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9.xml" ContentType="application/vnd.openxmlformats-officedocument.themeOverride+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1.xml" ContentType="application/vnd.openxmlformats-officedocument.themeOverride+xml"/>
  <Override PartName="/word/charts/chart13.xml" ContentType="application/vnd.openxmlformats-officedocument.drawingml.chart+xml"/>
  <Override PartName="/word/theme/themeOverride12.xml" ContentType="application/vnd.openxmlformats-officedocument.themeOverride+xml"/>
  <Override PartName="/word/charts/chart1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3.xml" ContentType="application/vnd.openxmlformats-officedocument.themeOverride+xml"/>
  <Override PartName="/word/charts/chart1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4.xml" ContentType="application/vnd.openxmlformats-officedocument.themeOverride+xml"/>
  <Override PartName="/word/charts/chart1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5.xml" ContentType="application/vnd.openxmlformats-officedocument.themeOverride+xml"/>
  <Override PartName="/word/charts/chart1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6.xml" ContentType="application/vnd.openxmlformats-officedocument.themeOverride+xml"/>
  <Override PartName="/word/charts/chart18.xml" ContentType="application/vnd.openxmlformats-officedocument.drawingml.chart+xml"/>
  <Override PartName="/word/theme/themeOverride17.xml" ContentType="application/vnd.openxmlformats-officedocument.themeOverride+xml"/>
  <Override PartName="/word/charts/chart19.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8.xml" ContentType="application/vnd.openxmlformats-officedocument.themeOverride+xml"/>
  <Override PartName="/word/charts/chart20.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9.xml" ContentType="application/vnd.openxmlformats-officedocument.themeOverride+xml"/>
  <Override PartName="/word/charts/chart21.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20.xml" ContentType="application/vnd.openxmlformats-officedocument.themeOverride+xml"/>
  <Override PartName="/word/charts/chart22.xml" ContentType="application/vnd.openxmlformats-officedocument.drawingml.chart+xml"/>
  <Override PartName="/word/theme/themeOverride21.xml" ContentType="application/vnd.openxmlformats-officedocument.themeOverride+xml"/>
  <Override PartName="/word/charts/chart23.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22.xml" ContentType="application/vnd.openxmlformats-officedocument.themeOverride+xml"/>
  <Override PartName="/word/charts/chart24.xml" ContentType="application/vnd.openxmlformats-officedocument.drawingml.chart+xml"/>
  <Override PartName="/word/theme/themeOverride23.xml" ContentType="application/vnd.openxmlformats-officedocument.themeOverride+xml"/>
  <Override PartName="/word/charts/chart25.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24.xml" ContentType="application/vnd.openxmlformats-officedocument.themeOverride+xml"/>
  <Override PartName="/word/charts/chart26.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25.xml" ContentType="application/vnd.openxmlformats-officedocument.themeOverride+xml"/>
  <Override PartName="/word/charts/chart27.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26.xml" ContentType="application/vnd.openxmlformats-officedocument.themeOverride+xml"/>
  <Override PartName="/word/charts/chart28.xml" ContentType="application/vnd.openxmlformats-officedocument.drawingml.chart+xml"/>
  <Override PartName="/word/theme/themeOverride27.xml" ContentType="application/vnd.openxmlformats-officedocument.themeOverride+xml"/>
  <Override PartName="/word/charts/chart29.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28.xml" ContentType="application/vnd.openxmlformats-officedocument.themeOverride+xml"/>
  <Override PartName="/word/charts/chart30.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29.xml" ContentType="application/vnd.openxmlformats-officedocument.themeOverride+xml"/>
  <Override PartName="/word/charts/chart31.xml" ContentType="application/vnd.openxmlformats-officedocument.drawingml.chart+xml"/>
  <Override PartName="/word/theme/themeOverride30.xml" ContentType="application/vnd.openxmlformats-officedocument.themeOverride+xml"/>
  <Override PartName="/word/charts/chart32.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31.xml" ContentType="application/vnd.openxmlformats-officedocument.themeOverride+xml"/>
  <Override PartName="/word/header4.xml" ContentType="application/vnd.openxmlformats-officedocument.wordprocessingml.header+xml"/>
  <Override PartName="/word/header5.xml" ContentType="application/vnd.openxmlformats-officedocument.wordprocessingml.header+xml"/>
  <Override PartName="/word/charts/chart33.xml" ContentType="application/vnd.openxmlformats-officedocument.drawingml.chart+xml"/>
  <Override PartName="/word/theme/themeOverride32.xml" ContentType="application/vnd.openxmlformats-officedocument.themeOverride+xml"/>
  <Override PartName="/word/charts/chart34.xml" ContentType="application/vnd.openxmlformats-officedocument.drawingml.chart+xml"/>
  <Override PartName="/word/theme/themeOverride33.xml" ContentType="application/vnd.openxmlformats-officedocument.themeOverride+xml"/>
  <Override PartName="/word/charts/chart35.xml" ContentType="application/vnd.openxmlformats-officedocument.drawingml.chart+xml"/>
  <Override PartName="/word/theme/themeOverride34.xml" ContentType="application/vnd.openxmlformats-officedocument.themeOverride+xml"/>
  <Override PartName="/word/charts/chart36.xml" ContentType="application/vnd.openxmlformats-officedocument.drawingml.chart+xml"/>
  <Override PartName="/word/theme/themeOverride35.xml" ContentType="application/vnd.openxmlformats-officedocument.themeOverride+xml"/>
  <Override PartName="/word/charts/chart37.xml" ContentType="application/vnd.openxmlformats-officedocument.drawingml.chart+xml"/>
  <Override PartName="/word/theme/themeOverride36.xml" ContentType="application/vnd.openxmlformats-officedocument.themeOverride+xml"/>
  <Override PartName="/word/charts/chart38.xml" ContentType="application/vnd.openxmlformats-officedocument.drawingml.chart+xml"/>
  <Override PartName="/word/charts/style18.xml" ContentType="application/vnd.ms-office.chartstyle+xml"/>
  <Override PartName="/word/charts/colors18.xml" ContentType="application/vnd.ms-office.chartcolorstyle+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charts/chart3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37.xml" ContentType="application/vnd.openxmlformats-officedocument.themeOverride+xml"/>
  <Override PartName="/word/charts/chart4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38.xml" ContentType="application/vnd.openxmlformats-officedocument.themeOverride+xml"/>
  <Override PartName="/word/header8.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83AE07" w14:textId="77777777" w:rsidR="003D6956" w:rsidRDefault="003D6956" w:rsidP="000E2A66">
      <w:pPr>
        <w:pStyle w:val="NormalWeb"/>
        <w:spacing w:after="0" w:line="240" w:lineRule="auto"/>
        <w:jc w:val="center"/>
        <w:rPr>
          <w:rFonts w:ascii="Open Sans" w:hAnsi="Open Sans" w:cs="Open Sans"/>
          <w:color w:val="000000"/>
          <w:sz w:val="60"/>
          <w:szCs w:val="60"/>
        </w:rPr>
      </w:pPr>
    </w:p>
    <w:p w14:paraId="071C645A" w14:textId="77777777" w:rsidR="003D6956" w:rsidRDefault="003D6956" w:rsidP="000E2A66">
      <w:pPr>
        <w:pStyle w:val="NormalWeb"/>
        <w:spacing w:after="0" w:line="240" w:lineRule="auto"/>
        <w:jc w:val="center"/>
        <w:rPr>
          <w:rFonts w:ascii="Open Sans" w:hAnsi="Open Sans" w:cs="Open Sans"/>
          <w:color w:val="000000"/>
          <w:sz w:val="60"/>
          <w:szCs w:val="60"/>
        </w:rPr>
      </w:pPr>
    </w:p>
    <w:p w14:paraId="7CD86909" w14:textId="77777777" w:rsidR="003D6956" w:rsidRDefault="003D6956" w:rsidP="000E2A66">
      <w:pPr>
        <w:pStyle w:val="NormalWeb"/>
        <w:spacing w:after="0" w:line="240" w:lineRule="auto"/>
        <w:jc w:val="center"/>
        <w:rPr>
          <w:rFonts w:ascii="Open Sans" w:hAnsi="Open Sans" w:cs="Open Sans"/>
          <w:color w:val="000000"/>
          <w:sz w:val="60"/>
          <w:szCs w:val="60"/>
        </w:rPr>
      </w:pPr>
    </w:p>
    <w:p w14:paraId="43872141" w14:textId="67427D93" w:rsidR="000E2A66" w:rsidRPr="00A07BE9" w:rsidRDefault="000E2A66" w:rsidP="000E2A66">
      <w:pPr>
        <w:pStyle w:val="NormalWeb"/>
        <w:spacing w:after="0" w:line="240" w:lineRule="auto"/>
        <w:jc w:val="center"/>
      </w:pPr>
      <w:r w:rsidRPr="00A07BE9">
        <w:rPr>
          <w:rFonts w:ascii="Open Sans" w:hAnsi="Open Sans" w:cs="Open Sans"/>
          <w:color w:val="000000"/>
          <w:sz w:val="60"/>
          <w:szCs w:val="60"/>
        </w:rPr>
        <w:t xml:space="preserve">MEMORIA DE ACTIVIDAD </w:t>
      </w:r>
    </w:p>
    <w:p w14:paraId="32139401" w14:textId="77777777" w:rsidR="000E2A66" w:rsidRPr="00A07BE9" w:rsidRDefault="000E2A66" w:rsidP="000E2A66">
      <w:pPr>
        <w:pStyle w:val="NormalWeb"/>
        <w:spacing w:after="0" w:line="240" w:lineRule="auto"/>
        <w:jc w:val="center"/>
      </w:pPr>
      <w:r w:rsidRPr="00A07BE9">
        <w:rPr>
          <w:rFonts w:ascii="Open Sans" w:hAnsi="Open Sans" w:cs="Open Sans"/>
          <w:color w:val="000000"/>
          <w:sz w:val="60"/>
          <w:szCs w:val="60"/>
        </w:rPr>
        <w:t>EJERCICIO 2019</w:t>
      </w:r>
    </w:p>
    <w:p w14:paraId="3421B897" w14:textId="77777777" w:rsidR="000E2A66" w:rsidRPr="00A07BE9" w:rsidRDefault="000E2A66" w:rsidP="005945CC">
      <w:pPr>
        <w:pStyle w:val="NormalWeb"/>
        <w:spacing w:after="0" w:line="240" w:lineRule="auto"/>
        <w:jc w:val="center"/>
      </w:pPr>
    </w:p>
    <w:p w14:paraId="0CB3449D" w14:textId="77777777" w:rsidR="000E2A66" w:rsidRPr="00A07BE9" w:rsidRDefault="000E2A66" w:rsidP="000E2A66">
      <w:pPr>
        <w:pStyle w:val="NormalWeb"/>
        <w:spacing w:after="0" w:line="240" w:lineRule="auto"/>
        <w:jc w:val="center"/>
      </w:pPr>
    </w:p>
    <w:p w14:paraId="545BE0A6" w14:textId="76588F26" w:rsidR="000E2A66" w:rsidRPr="00A07BE9" w:rsidRDefault="000E2A66" w:rsidP="000E2A66">
      <w:pPr>
        <w:pStyle w:val="NormalWeb"/>
        <w:spacing w:after="0" w:line="240" w:lineRule="auto"/>
        <w:jc w:val="center"/>
        <w:rPr>
          <w:color w:val="9D2235"/>
        </w:rPr>
      </w:pPr>
      <w:r w:rsidRPr="00A07BE9">
        <w:rPr>
          <w:rFonts w:ascii="Open Sans" w:hAnsi="Open Sans" w:cs="Open Sans"/>
          <w:color w:val="9D2235"/>
          <w:sz w:val="30"/>
          <w:szCs w:val="30"/>
        </w:rPr>
        <w:t>AGENCIA DE PREVENCIÓN Y LUCHA CONTRA EL FRAUDE Y LA CORRUPCIÓN DE LA COMUNITAT VALENCIANA</w:t>
      </w:r>
    </w:p>
    <w:p w14:paraId="63C6212F" w14:textId="77777777" w:rsidR="000E2A66" w:rsidRPr="00A07BE9" w:rsidRDefault="000E2A66" w:rsidP="000E2A66">
      <w:pPr>
        <w:pStyle w:val="NormalWeb"/>
        <w:spacing w:after="0" w:line="240" w:lineRule="auto"/>
        <w:jc w:val="center"/>
      </w:pPr>
    </w:p>
    <w:p w14:paraId="42F402F5" w14:textId="19C03B14" w:rsidR="000E2A66" w:rsidRPr="00A07BE9" w:rsidRDefault="000E2A66" w:rsidP="000E2A66">
      <w:pPr>
        <w:pStyle w:val="NormalWeb"/>
        <w:keepNext/>
        <w:spacing w:after="0" w:line="240" w:lineRule="auto"/>
        <w:jc w:val="center"/>
      </w:pPr>
      <w:r w:rsidRPr="00A07BE9">
        <w:rPr>
          <w:rFonts w:ascii="Open Sans" w:hAnsi="Open Sans" w:cs="Open Sans"/>
          <w:color w:val="000000"/>
        </w:rPr>
        <w:t xml:space="preserve">València, </w:t>
      </w:r>
      <w:r w:rsidR="009568B0" w:rsidRPr="00A07BE9">
        <w:rPr>
          <w:rFonts w:ascii="Open Sans" w:hAnsi="Open Sans" w:cs="Open Sans"/>
          <w:color w:val="000000"/>
        </w:rPr>
        <w:t>30 de marzo de 2020</w:t>
      </w:r>
    </w:p>
    <w:p w14:paraId="262246A6" w14:textId="77777777" w:rsidR="00130C46" w:rsidRPr="00A07BE9" w:rsidRDefault="00130C46"/>
    <w:p w14:paraId="0BFD1963" w14:textId="77777777" w:rsidR="000E2A66" w:rsidRPr="00A07BE9" w:rsidRDefault="000E2A66"/>
    <w:p w14:paraId="07C39E98" w14:textId="77777777" w:rsidR="000E2A66" w:rsidRPr="00A07BE9" w:rsidRDefault="000E2A66"/>
    <w:p w14:paraId="76A7E676" w14:textId="77777777" w:rsidR="000E2A66" w:rsidRPr="00A07BE9" w:rsidRDefault="000E2A66"/>
    <w:p w14:paraId="22413461" w14:textId="77777777" w:rsidR="000E2A66" w:rsidRPr="00A07BE9" w:rsidRDefault="000E2A66"/>
    <w:p w14:paraId="3A833C4A" w14:textId="77777777" w:rsidR="000E2A66" w:rsidRPr="00A07BE9" w:rsidRDefault="000E2A66"/>
    <w:p w14:paraId="6BF15D4E" w14:textId="77777777" w:rsidR="000E2A66" w:rsidRPr="00A07BE9" w:rsidRDefault="000E2A66"/>
    <w:p w14:paraId="2595574C" w14:textId="77777777" w:rsidR="000E2A66" w:rsidRPr="00A07BE9" w:rsidRDefault="000E2A66"/>
    <w:p w14:paraId="6D42D00E" w14:textId="77777777" w:rsidR="00DD15BF" w:rsidRPr="00A07BE9" w:rsidRDefault="00DD15BF">
      <w:pPr>
        <w:sectPr w:rsidR="00DD15BF" w:rsidRPr="00A07BE9" w:rsidSect="000435A4">
          <w:headerReference w:type="even" r:id="rId7"/>
          <w:headerReference w:type="default" r:id="rId8"/>
          <w:footerReference w:type="even" r:id="rId9"/>
          <w:footerReference w:type="first" r:id="rId10"/>
          <w:pgSz w:w="11906" w:h="16838"/>
          <w:pgMar w:top="1134" w:right="1701" w:bottom="1985" w:left="1701" w:header="708" w:footer="708" w:gutter="0"/>
          <w:cols w:space="708"/>
          <w:docGrid w:linePitch="360"/>
        </w:sectPr>
      </w:pPr>
    </w:p>
    <w:p w14:paraId="373493EF" w14:textId="77777777" w:rsidR="000E2A66" w:rsidRPr="00A07BE9" w:rsidRDefault="000E2A66"/>
    <w:p w14:paraId="771C128F" w14:textId="77777777" w:rsidR="00DD15BF" w:rsidRPr="00A07BE9" w:rsidRDefault="00DD15BF"/>
    <w:p w14:paraId="0B00F6E2" w14:textId="77777777" w:rsidR="000E2A66" w:rsidRPr="00A07BE9" w:rsidRDefault="000E2A66"/>
    <w:p w14:paraId="3F0BE430" w14:textId="77777777" w:rsidR="000E2A66" w:rsidRPr="00A07BE9" w:rsidRDefault="000E2A66"/>
    <w:p w14:paraId="463DE618" w14:textId="77777777" w:rsidR="000E2A66" w:rsidRPr="00A07BE9" w:rsidRDefault="000E2A66"/>
    <w:p w14:paraId="4FB10CB2" w14:textId="77777777" w:rsidR="000E2A66" w:rsidRPr="00A07BE9" w:rsidRDefault="000E2A66"/>
    <w:p w14:paraId="5640EAAB" w14:textId="77777777" w:rsidR="000E2A66" w:rsidRPr="00A07BE9" w:rsidRDefault="000E2A66"/>
    <w:p w14:paraId="13779271" w14:textId="77777777" w:rsidR="00DD15BF" w:rsidRPr="00A07BE9" w:rsidRDefault="00DD15BF"/>
    <w:p w14:paraId="6D39B73D" w14:textId="77777777" w:rsidR="00DD15BF" w:rsidRPr="00A07BE9" w:rsidRDefault="00DD15BF"/>
    <w:p w14:paraId="5A379638" w14:textId="77777777" w:rsidR="00DD15BF" w:rsidRPr="00A07BE9" w:rsidRDefault="00DD15BF"/>
    <w:p w14:paraId="218AD450" w14:textId="77777777" w:rsidR="00DD15BF" w:rsidRPr="00A07BE9" w:rsidRDefault="00DD15BF"/>
    <w:p w14:paraId="65FFBF1A" w14:textId="77777777" w:rsidR="00DD15BF" w:rsidRPr="00A07BE9" w:rsidRDefault="00DD15BF"/>
    <w:p w14:paraId="1F533192" w14:textId="77777777" w:rsidR="00DD15BF" w:rsidRPr="00A07BE9" w:rsidRDefault="00DD15BF"/>
    <w:p w14:paraId="55A181CF" w14:textId="77777777" w:rsidR="00DD15BF" w:rsidRPr="00A07BE9" w:rsidRDefault="00DD15BF"/>
    <w:p w14:paraId="2FFDBEE3" w14:textId="77777777" w:rsidR="00DD15BF" w:rsidRPr="00A07BE9" w:rsidRDefault="00DD15BF"/>
    <w:p w14:paraId="3490D864" w14:textId="77777777" w:rsidR="00DD15BF" w:rsidRPr="00A07BE9" w:rsidRDefault="00DD15BF"/>
    <w:p w14:paraId="33CA4A92" w14:textId="77777777" w:rsidR="00DD15BF" w:rsidRPr="00A07BE9" w:rsidRDefault="00DD15BF"/>
    <w:p w14:paraId="729B9F7F" w14:textId="77777777" w:rsidR="00DD15BF" w:rsidRPr="00A07BE9" w:rsidRDefault="00DD15BF"/>
    <w:p w14:paraId="5742D0E2" w14:textId="77777777" w:rsidR="00DD15BF" w:rsidRPr="00A07BE9" w:rsidRDefault="00DD15BF"/>
    <w:p w14:paraId="395450C8" w14:textId="77777777" w:rsidR="00DD15BF" w:rsidRPr="00A07BE9" w:rsidRDefault="00DD15BF"/>
    <w:p w14:paraId="72ABEAF6" w14:textId="77777777" w:rsidR="00DD15BF" w:rsidRPr="00A07BE9" w:rsidRDefault="00DD15BF"/>
    <w:p w14:paraId="4861C532" w14:textId="77777777" w:rsidR="00DD15BF" w:rsidRPr="00A07BE9" w:rsidRDefault="00DD15BF"/>
    <w:p w14:paraId="69D6E34E" w14:textId="77777777" w:rsidR="00DD15BF" w:rsidRPr="00A07BE9" w:rsidRDefault="00DD15BF"/>
    <w:p w14:paraId="73DB26DC" w14:textId="77777777" w:rsidR="000E2A66" w:rsidRPr="00A07BE9" w:rsidRDefault="000E2A66" w:rsidP="000E2A66">
      <w:pPr>
        <w:pStyle w:val="NormalWeb"/>
        <w:spacing w:after="0" w:line="240" w:lineRule="auto"/>
      </w:pPr>
      <w:r w:rsidRPr="00A07BE9">
        <w:rPr>
          <w:noProof/>
        </w:rPr>
        <w:drawing>
          <wp:anchor distT="57150" distB="57150" distL="57150" distR="57150" simplePos="0" relativeHeight="251658240" behindDoc="0" locked="0" layoutInCell="1" allowOverlap="0" wp14:anchorId="5A1E4B1D" wp14:editId="57346B27">
            <wp:simplePos x="0" y="0"/>
            <wp:positionH relativeFrom="column">
              <wp:align>left</wp:align>
            </wp:positionH>
            <wp:positionV relativeFrom="line">
              <wp:posOffset>0</wp:posOffset>
            </wp:positionV>
            <wp:extent cx="1047750" cy="361950"/>
            <wp:effectExtent l="0" t="0" r="0" b="0"/>
            <wp:wrapSquare wrapText="bothSides"/>
            <wp:docPr id="2" name="Imagen 2" descr="C:\Users\ROSA~1.BOR\AppData\Local\Temp\lu13676wmsrqw.tmp\lu13676wmsrsm_tmp_dfb25262bd3e99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SA~1.BOR\AppData\Local\Temp\lu13676wmsrqw.tmp\lu13676wmsrsm_tmp_dfb25262bd3e99f6.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47750" cy="361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7BE9">
        <w:br w:type="textWrapping" w:clear="left"/>
      </w:r>
      <w:r w:rsidRPr="00A07BE9">
        <w:rPr>
          <w:rFonts w:ascii="Open Sans" w:hAnsi="Open Sans" w:cs="Open Sans"/>
          <w:b/>
          <w:bCs/>
          <w:sz w:val="18"/>
          <w:szCs w:val="18"/>
        </w:rPr>
        <w:t>Reconocimiento – No Comercial – Sin Obra Derivada:</w:t>
      </w:r>
      <w:r w:rsidRPr="00A07BE9">
        <w:rPr>
          <w:rFonts w:ascii="Open Sans" w:hAnsi="Open Sans" w:cs="Open Sans"/>
          <w:sz w:val="18"/>
          <w:szCs w:val="18"/>
        </w:rPr>
        <w:t xml:space="preserve"> No se permite un uso comercial de la obra original ni la generación de obras derivadas. </w:t>
      </w:r>
    </w:p>
    <w:p w14:paraId="396ECBF8" w14:textId="77777777" w:rsidR="000E2A66" w:rsidRPr="00A07BE9" w:rsidRDefault="000E2A66" w:rsidP="000E2A66">
      <w:pPr>
        <w:pStyle w:val="NormalWeb"/>
        <w:spacing w:before="0" w:beforeAutospacing="0" w:after="0" w:line="240" w:lineRule="auto"/>
      </w:pPr>
      <w:r w:rsidRPr="00A07BE9">
        <w:rPr>
          <w:rFonts w:ascii="Open Sans" w:hAnsi="Open Sans" w:cs="Open Sans"/>
          <w:sz w:val="18"/>
          <w:szCs w:val="18"/>
        </w:rPr>
        <w:t>Depósito legal: V-1285-2018</w:t>
      </w:r>
    </w:p>
    <w:p w14:paraId="6A93C148" w14:textId="0AAFCF9F" w:rsidR="000E2A66" w:rsidRPr="00A07BE9" w:rsidRDefault="000E2A66" w:rsidP="000E2A66">
      <w:pPr>
        <w:pStyle w:val="NormalWeb"/>
        <w:spacing w:before="0" w:beforeAutospacing="0" w:after="0" w:line="240" w:lineRule="auto"/>
      </w:pPr>
      <w:r w:rsidRPr="00A07BE9">
        <w:rPr>
          <w:rFonts w:ascii="Open Sans" w:hAnsi="Open Sans" w:cs="Open Sans"/>
          <w:sz w:val="18"/>
          <w:szCs w:val="18"/>
        </w:rPr>
        <w:t>Edita: Ag</w:t>
      </w:r>
      <w:r w:rsidR="007D3D23" w:rsidRPr="00A07BE9">
        <w:rPr>
          <w:rFonts w:ascii="Open Sans" w:hAnsi="Open Sans" w:cs="Open Sans"/>
          <w:sz w:val="18"/>
          <w:szCs w:val="18"/>
        </w:rPr>
        <w:t>e</w:t>
      </w:r>
      <w:r w:rsidRPr="00A07BE9">
        <w:rPr>
          <w:rFonts w:ascii="Open Sans" w:hAnsi="Open Sans" w:cs="Open Sans"/>
          <w:sz w:val="18"/>
          <w:szCs w:val="18"/>
        </w:rPr>
        <w:t>ncia Valenciana Antifrau</w:t>
      </w:r>
      <w:r w:rsidR="00436174" w:rsidRPr="00A07BE9">
        <w:rPr>
          <w:rFonts w:ascii="Open Sans" w:hAnsi="Open Sans" w:cs="Open Sans"/>
          <w:sz w:val="18"/>
          <w:szCs w:val="18"/>
        </w:rPr>
        <w:t>de</w:t>
      </w:r>
    </w:p>
    <w:p w14:paraId="416ADF57" w14:textId="05249D9F" w:rsidR="000E2A66" w:rsidRPr="00A07BE9" w:rsidRDefault="000E2A66" w:rsidP="000E2A66">
      <w:pPr>
        <w:pStyle w:val="NormalWeb"/>
        <w:spacing w:before="0" w:beforeAutospacing="0" w:after="0" w:line="240" w:lineRule="auto"/>
      </w:pPr>
      <w:r w:rsidRPr="00A07BE9">
        <w:rPr>
          <w:rFonts w:ascii="Open Sans" w:hAnsi="Open Sans" w:cs="Open Sans"/>
          <w:sz w:val="18"/>
          <w:szCs w:val="18"/>
        </w:rPr>
        <w:t>Diseño y maquetación: Ag</w:t>
      </w:r>
      <w:r w:rsidR="007D3D23" w:rsidRPr="00A07BE9">
        <w:rPr>
          <w:rFonts w:ascii="Open Sans" w:hAnsi="Open Sans" w:cs="Open Sans"/>
          <w:sz w:val="18"/>
          <w:szCs w:val="18"/>
        </w:rPr>
        <w:t>e</w:t>
      </w:r>
      <w:r w:rsidRPr="00A07BE9">
        <w:rPr>
          <w:rFonts w:ascii="Open Sans" w:hAnsi="Open Sans" w:cs="Open Sans"/>
          <w:sz w:val="18"/>
          <w:szCs w:val="18"/>
        </w:rPr>
        <w:t>ncia Valenciana Antifrau</w:t>
      </w:r>
      <w:r w:rsidR="00436174" w:rsidRPr="00A07BE9">
        <w:rPr>
          <w:rFonts w:ascii="Open Sans" w:hAnsi="Open Sans" w:cs="Open Sans"/>
          <w:sz w:val="18"/>
          <w:szCs w:val="18"/>
        </w:rPr>
        <w:t>de</w:t>
      </w:r>
    </w:p>
    <w:p w14:paraId="3C06F3EF" w14:textId="78085C0C" w:rsidR="000E2A66" w:rsidRPr="00A07BE9" w:rsidRDefault="00AF755F" w:rsidP="000E2A66">
      <w:pPr>
        <w:pStyle w:val="NormalWeb"/>
        <w:spacing w:before="0" w:beforeAutospacing="0" w:after="0" w:line="240" w:lineRule="auto"/>
      </w:pPr>
      <w:r w:rsidRPr="00A07BE9">
        <w:rPr>
          <w:rFonts w:ascii="Open Sans" w:hAnsi="Open Sans" w:cs="Open Sans"/>
          <w:sz w:val="18"/>
          <w:szCs w:val="18"/>
        </w:rPr>
        <w:t>M</w:t>
      </w:r>
      <w:r w:rsidR="000E2A66" w:rsidRPr="00A07BE9">
        <w:rPr>
          <w:rFonts w:ascii="Open Sans" w:hAnsi="Open Sans" w:cs="Open Sans"/>
          <w:sz w:val="18"/>
          <w:szCs w:val="18"/>
        </w:rPr>
        <w:t>arzo de 20</w:t>
      </w:r>
      <w:r w:rsidR="009568B0" w:rsidRPr="00A07BE9">
        <w:rPr>
          <w:rFonts w:ascii="Open Sans" w:hAnsi="Open Sans" w:cs="Open Sans"/>
          <w:sz w:val="18"/>
          <w:szCs w:val="18"/>
        </w:rPr>
        <w:t>20</w:t>
      </w:r>
    </w:p>
    <w:p w14:paraId="71C8DDCE" w14:textId="77777777" w:rsidR="000E2A66" w:rsidRPr="00A07BE9" w:rsidRDefault="000E2A66" w:rsidP="000E2A66">
      <w:pPr>
        <w:pStyle w:val="NormalWeb"/>
        <w:spacing w:before="0" w:beforeAutospacing="0" w:after="0" w:line="240" w:lineRule="auto"/>
      </w:pPr>
      <w:r w:rsidRPr="00A07BE9">
        <w:rPr>
          <w:rFonts w:ascii="Open Sans" w:hAnsi="Open Sans" w:cs="Open Sans"/>
          <w:sz w:val="18"/>
          <w:szCs w:val="18"/>
        </w:rPr>
        <w:t xml:space="preserve">Primera edición </w:t>
      </w:r>
    </w:p>
    <w:p w14:paraId="41F21AB4" w14:textId="77777777" w:rsidR="000E2A66" w:rsidRPr="00A07BE9" w:rsidRDefault="000E2A66" w:rsidP="000E2A66">
      <w:pPr>
        <w:pStyle w:val="NormalWeb"/>
        <w:spacing w:before="0" w:beforeAutospacing="0" w:after="0" w:line="240" w:lineRule="auto"/>
        <w:rPr>
          <w:color w:val="000080"/>
        </w:rPr>
      </w:pPr>
      <w:r w:rsidRPr="00A07BE9">
        <w:rPr>
          <w:rFonts w:ascii="Open Sans" w:hAnsi="Open Sans" w:cs="Open Sans"/>
          <w:sz w:val="18"/>
          <w:szCs w:val="18"/>
        </w:rPr>
        <w:t xml:space="preserve">La versión digital de este documento está accesible en el sitio web: </w:t>
      </w:r>
      <w:hyperlink r:id="rId12" w:history="1">
        <w:r w:rsidRPr="00A07BE9">
          <w:rPr>
            <w:rStyle w:val="Hipervnculo"/>
            <w:rFonts w:ascii="Open Sans" w:hAnsi="Open Sans" w:cs="Open Sans"/>
            <w:sz w:val="18"/>
            <w:szCs w:val="18"/>
          </w:rPr>
          <w:t>http</w:t>
        </w:r>
      </w:hyperlink>
      <w:hyperlink r:id="rId13" w:history="1">
        <w:r w:rsidRPr="00A07BE9">
          <w:rPr>
            <w:rStyle w:val="Hipervnculo"/>
            <w:rFonts w:ascii="Open Sans" w:hAnsi="Open Sans" w:cs="Open Sans"/>
            <w:sz w:val="18"/>
            <w:szCs w:val="18"/>
          </w:rPr>
          <w:t>s</w:t>
        </w:r>
      </w:hyperlink>
      <w:hyperlink r:id="rId14" w:history="1">
        <w:r w:rsidRPr="00A07BE9">
          <w:rPr>
            <w:rStyle w:val="Hipervnculo"/>
            <w:rFonts w:ascii="Open Sans" w:hAnsi="Open Sans" w:cs="Open Sans"/>
            <w:sz w:val="18"/>
            <w:szCs w:val="18"/>
          </w:rPr>
          <w:t>://</w:t>
        </w:r>
      </w:hyperlink>
      <w:hyperlink r:id="rId15" w:history="1">
        <w:r w:rsidRPr="00A07BE9">
          <w:rPr>
            <w:rStyle w:val="Hipervnculo"/>
            <w:rFonts w:ascii="Open Sans" w:hAnsi="Open Sans" w:cs="Open Sans"/>
            <w:sz w:val="18"/>
            <w:szCs w:val="18"/>
          </w:rPr>
          <w:t>www.antifrau</w:t>
        </w:r>
      </w:hyperlink>
      <w:hyperlink r:id="rId16" w:history="1">
        <w:r w:rsidRPr="00A07BE9">
          <w:rPr>
            <w:rStyle w:val="Hipervnculo"/>
            <w:rFonts w:ascii="Open Sans" w:hAnsi="Open Sans" w:cs="Open Sans"/>
            <w:sz w:val="18"/>
            <w:szCs w:val="18"/>
          </w:rPr>
          <w:t>cv.e</w:t>
        </w:r>
      </w:hyperlink>
      <w:hyperlink r:id="rId17" w:history="1">
        <w:r w:rsidRPr="00A07BE9">
          <w:rPr>
            <w:rStyle w:val="Hipervnculo"/>
            <w:rFonts w:ascii="Open Sans" w:hAnsi="Open Sans" w:cs="Open Sans"/>
            <w:sz w:val="18"/>
            <w:szCs w:val="18"/>
          </w:rPr>
          <w:t>s</w:t>
        </w:r>
      </w:hyperlink>
    </w:p>
    <w:p w14:paraId="7FF73065" w14:textId="77777777" w:rsidR="00DD15BF" w:rsidRPr="00A07BE9" w:rsidRDefault="00DD15BF" w:rsidP="000E2A66">
      <w:pPr>
        <w:sectPr w:rsidR="00DD15BF" w:rsidRPr="00A07BE9" w:rsidSect="001F5FA5">
          <w:pgSz w:w="11906" w:h="16838"/>
          <w:pgMar w:top="1134" w:right="1701" w:bottom="1985" w:left="1701" w:header="708" w:footer="708" w:gutter="0"/>
          <w:cols w:space="708"/>
          <w:titlePg/>
          <w:docGrid w:linePitch="360"/>
        </w:sectPr>
      </w:pPr>
    </w:p>
    <w:p w14:paraId="49089E0F" w14:textId="77777777" w:rsidR="000E2A66" w:rsidRPr="00A07BE9" w:rsidRDefault="000E2A66" w:rsidP="000E2A66"/>
    <w:p w14:paraId="6AA47997" w14:textId="08993D29" w:rsidR="000E2A66" w:rsidRPr="00A07BE9" w:rsidRDefault="000E2A66" w:rsidP="00A46175">
      <w:pPr>
        <w:pStyle w:val="NormalWeb"/>
        <w:spacing w:before="5600" w:beforeAutospacing="0" w:after="0" w:line="240" w:lineRule="auto"/>
        <w:jc w:val="both"/>
      </w:pPr>
      <w:bookmarkStart w:id="2" w:name="OBJ_PREFIX_DWT50_com_zimbra_date"/>
      <w:bookmarkEnd w:id="2"/>
      <w:r w:rsidRPr="00A07BE9">
        <w:rPr>
          <w:rFonts w:ascii="Open Sans" w:hAnsi="Open Sans" w:cs="Open Sans"/>
          <w:color w:val="000000"/>
          <w:sz w:val="20"/>
          <w:szCs w:val="20"/>
        </w:rPr>
        <w:t>E</w:t>
      </w:r>
      <w:r w:rsidR="00DD15BF" w:rsidRPr="00A07BE9">
        <w:rPr>
          <w:rFonts w:ascii="Open Sans" w:hAnsi="Open Sans" w:cs="Open Sans"/>
          <w:color w:val="000000"/>
          <w:sz w:val="20"/>
          <w:szCs w:val="20"/>
        </w:rPr>
        <w:t>n</w:t>
      </w:r>
      <w:r w:rsidRPr="00A07BE9">
        <w:rPr>
          <w:rFonts w:ascii="Open Sans" w:hAnsi="Open Sans" w:cs="Open Sans"/>
          <w:color w:val="000000"/>
          <w:sz w:val="20"/>
          <w:szCs w:val="20"/>
        </w:rPr>
        <w:t xml:space="preserve"> cumplimiento del mandato que establece el artículo 22 de la Ley 11/2016, de 28 de noviembre, de la Generalitat, de la Agencia de Prevención y Lucha contra el Fraude y la Corrupción de la Comunitat Valenciana, se presenta la Memoria de las actuaciones desarrolladas por esta entidad durante el año 201</w:t>
      </w:r>
      <w:r w:rsidR="009568B0" w:rsidRPr="00A07BE9">
        <w:rPr>
          <w:rFonts w:ascii="Open Sans" w:hAnsi="Open Sans" w:cs="Open Sans"/>
          <w:color w:val="000000"/>
          <w:sz w:val="20"/>
          <w:szCs w:val="20"/>
        </w:rPr>
        <w:t>9</w:t>
      </w:r>
      <w:r w:rsidRPr="00A07BE9">
        <w:rPr>
          <w:rFonts w:ascii="Open Sans" w:hAnsi="Open Sans" w:cs="Open Sans"/>
          <w:color w:val="000000"/>
          <w:sz w:val="20"/>
          <w:szCs w:val="20"/>
        </w:rPr>
        <w:t xml:space="preserve"> en el ámbito de sus funciones. </w:t>
      </w:r>
    </w:p>
    <w:p w14:paraId="351047A0" w14:textId="6C8DC204" w:rsidR="00367282" w:rsidRPr="00A07BE9" w:rsidRDefault="00367282">
      <w:r w:rsidRPr="00A07BE9">
        <w:br w:type="page"/>
      </w:r>
    </w:p>
    <w:p w14:paraId="155907E5" w14:textId="77777777" w:rsidR="00DD15BF" w:rsidRPr="00A07BE9" w:rsidRDefault="00DD15BF"/>
    <w:p w14:paraId="4C988ABC" w14:textId="77777777" w:rsidR="000E2A66" w:rsidRPr="00A07BE9" w:rsidRDefault="000E2A66"/>
    <w:p w14:paraId="130F1E53" w14:textId="77777777" w:rsidR="000E2A66" w:rsidRPr="00A07BE9" w:rsidRDefault="000E2A66" w:rsidP="000E2A66">
      <w:pPr>
        <w:jc w:val="both"/>
      </w:pPr>
    </w:p>
    <w:p w14:paraId="460B0954" w14:textId="77777777" w:rsidR="000E2A66" w:rsidRPr="00A07BE9" w:rsidRDefault="000E2A66" w:rsidP="000E2A66">
      <w:pPr>
        <w:jc w:val="both"/>
      </w:pPr>
    </w:p>
    <w:p w14:paraId="3071B7AE" w14:textId="77777777" w:rsidR="000E2A66" w:rsidRPr="00A07BE9" w:rsidRDefault="000E2A66" w:rsidP="000E2A66">
      <w:pPr>
        <w:jc w:val="both"/>
      </w:pPr>
    </w:p>
    <w:p w14:paraId="15A051B9" w14:textId="77777777" w:rsidR="000E2A66" w:rsidRPr="00A07BE9" w:rsidRDefault="000E2A66" w:rsidP="000E2A66">
      <w:pPr>
        <w:jc w:val="both"/>
      </w:pPr>
    </w:p>
    <w:p w14:paraId="426BF2EF" w14:textId="77777777" w:rsidR="000E2A66" w:rsidRPr="00A07BE9" w:rsidRDefault="000E2A66" w:rsidP="000E2A66">
      <w:pPr>
        <w:jc w:val="both"/>
      </w:pPr>
    </w:p>
    <w:p w14:paraId="425394AA" w14:textId="77777777" w:rsidR="000E2A66" w:rsidRPr="00A07BE9" w:rsidRDefault="000E2A66" w:rsidP="000E2A66">
      <w:pPr>
        <w:jc w:val="both"/>
      </w:pPr>
    </w:p>
    <w:p w14:paraId="1B7B0F6F" w14:textId="77777777" w:rsidR="00A46175" w:rsidRPr="00A07BE9" w:rsidRDefault="00A46175" w:rsidP="000E2A66">
      <w:pPr>
        <w:keepNext/>
        <w:spacing w:after="0" w:line="240" w:lineRule="auto"/>
        <w:ind w:left="1134"/>
        <w:jc w:val="right"/>
        <w:outlineLvl w:val="0"/>
        <w:rPr>
          <w:rFonts w:ascii="Nirmala UI Semilight" w:eastAsia="Times New Roman" w:hAnsi="Nirmala UI Semilight" w:cs="Nirmala UI Semilight"/>
          <w:b/>
          <w:bCs/>
          <w:color w:val="94070A"/>
          <w:spacing w:val="-34"/>
          <w:kern w:val="36"/>
          <w:sz w:val="20"/>
          <w:szCs w:val="20"/>
          <w:lang w:eastAsia="es-ES"/>
        </w:rPr>
      </w:pPr>
    </w:p>
    <w:p w14:paraId="5B0BC859" w14:textId="77777777" w:rsidR="00A46175" w:rsidRPr="00A07BE9" w:rsidRDefault="00A46175" w:rsidP="00043C15">
      <w:pPr>
        <w:keepNext/>
        <w:spacing w:after="0" w:line="240" w:lineRule="auto"/>
        <w:outlineLvl w:val="0"/>
        <w:rPr>
          <w:rFonts w:ascii="Nirmala UI Semilight" w:eastAsia="Times New Roman" w:hAnsi="Nirmala UI Semilight" w:cs="Nirmala UI Semilight"/>
          <w:b/>
          <w:bCs/>
          <w:color w:val="94070A"/>
          <w:spacing w:val="-34"/>
          <w:kern w:val="36"/>
          <w:sz w:val="20"/>
          <w:szCs w:val="20"/>
          <w:lang w:eastAsia="es-ES"/>
        </w:rPr>
      </w:pPr>
    </w:p>
    <w:p w14:paraId="6E11F2EB" w14:textId="77777777" w:rsidR="00C65D36" w:rsidRPr="00A07BE9" w:rsidRDefault="00C65D36" w:rsidP="00043C15">
      <w:pPr>
        <w:keepNext/>
        <w:spacing w:after="0" w:line="240" w:lineRule="auto"/>
        <w:outlineLvl w:val="0"/>
        <w:rPr>
          <w:rFonts w:ascii="Nirmala UI Semilight" w:eastAsia="Times New Roman" w:hAnsi="Nirmala UI Semilight" w:cs="Nirmala UI Semilight"/>
          <w:b/>
          <w:bCs/>
          <w:color w:val="94070A"/>
          <w:spacing w:val="-34"/>
          <w:kern w:val="36"/>
          <w:sz w:val="20"/>
          <w:szCs w:val="20"/>
          <w:lang w:eastAsia="es-ES"/>
        </w:rPr>
      </w:pPr>
    </w:p>
    <w:p w14:paraId="41A1137D" w14:textId="77777777" w:rsidR="00A46175" w:rsidRPr="00A07BE9" w:rsidRDefault="000E2A66" w:rsidP="00A46175">
      <w:pPr>
        <w:keepNext/>
        <w:spacing w:after="0" w:line="240" w:lineRule="auto"/>
        <w:ind w:left="1134"/>
        <w:jc w:val="right"/>
        <w:outlineLvl w:val="0"/>
        <w:rPr>
          <w:rFonts w:ascii="Liberation Sans" w:eastAsia="Times New Roman" w:hAnsi="Liberation Sans" w:cs="Liberation Sans"/>
          <w:b/>
          <w:bCs/>
          <w:color w:val="9D2235"/>
          <w:kern w:val="36"/>
          <w:sz w:val="36"/>
          <w:szCs w:val="36"/>
          <w:lang w:eastAsia="es-ES"/>
        </w:rPr>
      </w:pPr>
      <w:r w:rsidRPr="00A07BE9">
        <w:rPr>
          <w:rFonts w:ascii="Nirmala UI Semilight" w:eastAsia="Times New Roman" w:hAnsi="Nirmala UI Semilight" w:cs="Nirmala UI Semilight"/>
          <w:b/>
          <w:bCs/>
          <w:color w:val="9D2235"/>
          <w:spacing w:val="-34"/>
          <w:kern w:val="36"/>
          <w:sz w:val="60"/>
          <w:szCs w:val="60"/>
          <w:lang w:eastAsia="es-ES"/>
        </w:rPr>
        <w:t>La Agencia</w:t>
      </w:r>
    </w:p>
    <w:p w14:paraId="5B756E76" w14:textId="77777777" w:rsidR="000E2A66" w:rsidRPr="00A07BE9" w:rsidRDefault="000E2A66" w:rsidP="000E2A66">
      <w:pPr>
        <w:spacing w:before="100" w:beforeAutospacing="1" w:after="0" w:line="240" w:lineRule="auto"/>
        <w:jc w:val="right"/>
        <w:rPr>
          <w:rFonts w:ascii="Times New Roman" w:eastAsia="Times New Roman" w:hAnsi="Times New Roman" w:cs="Times New Roman"/>
          <w:color w:val="9D2235"/>
          <w:sz w:val="24"/>
          <w:szCs w:val="24"/>
          <w:lang w:eastAsia="es-ES"/>
        </w:rPr>
      </w:pPr>
      <w:r w:rsidRPr="00A07BE9">
        <w:rPr>
          <w:rFonts w:ascii="Open Sans" w:eastAsia="Times New Roman" w:hAnsi="Open Sans" w:cs="Open Sans"/>
          <w:b/>
          <w:bCs/>
          <w:color w:val="9D2235"/>
          <w:sz w:val="18"/>
          <w:szCs w:val="18"/>
          <w:lang w:eastAsia="es-ES"/>
        </w:rPr>
        <w:t>Nos encontramos en:</w:t>
      </w:r>
    </w:p>
    <w:p w14:paraId="431B8CB8" w14:textId="77777777" w:rsidR="000E2A66" w:rsidRPr="00A07BE9" w:rsidRDefault="000E2A66" w:rsidP="000E2A66">
      <w:pPr>
        <w:spacing w:after="0" w:line="240" w:lineRule="auto"/>
        <w:jc w:val="right"/>
        <w:rPr>
          <w:rFonts w:ascii="Times New Roman" w:eastAsia="Times New Roman" w:hAnsi="Times New Roman" w:cs="Times New Roman"/>
          <w:sz w:val="24"/>
          <w:szCs w:val="24"/>
          <w:lang w:eastAsia="es-ES"/>
        </w:rPr>
      </w:pPr>
      <w:r w:rsidRPr="00A07BE9">
        <w:rPr>
          <w:rFonts w:ascii="Open Sans" w:eastAsia="Times New Roman" w:hAnsi="Open Sans" w:cs="Open Sans"/>
          <w:color w:val="000000"/>
          <w:sz w:val="18"/>
          <w:szCs w:val="18"/>
          <w:lang w:eastAsia="es-ES"/>
        </w:rPr>
        <w:t>C/ Navellos, 14-3 | 46003 València</w:t>
      </w:r>
    </w:p>
    <w:p w14:paraId="12F23F3F" w14:textId="77777777" w:rsidR="000E2A66" w:rsidRPr="00A07BE9" w:rsidRDefault="000E2A66" w:rsidP="000E2A66">
      <w:pPr>
        <w:spacing w:after="0" w:line="240" w:lineRule="auto"/>
        <w:jc w:val="right"/>
        <w:rPr>
          <w:rFonts w:ascii="Times New Roman" w:eastAsia="Times New Roman" w:hAnsi="Times New Roman" w:cs="Times New Roman"/>
          <w:sz w:val="24"/>
          <w:szCs w:val="24"/>
          <w:lang w:eastAsia="es-ES"/>
        </w:rPr>
      </w:pPr>
      <w:r w:rsidRPr="00A07BE9">
        <w:rPr>
          <w:rFonts w:ascii="Open Sans" w:eastAsia="Times New Roman" w:hAnsi="Open Sans" w:cs="Open Sans"/>
          <w:color w:val="000000"/>
          <w:sz w:val="18"/>
          <w:szCs w:val="18"/>
          <w:lang w:eastAsia="es-ES"/>
        </w:rPr>
        <w:t>96.</w:t>
      </w:r>
      <w:r w:rsidR="008541FB" w:rsidRPr="00A07BE9">
        <w:rPr>
          <w:rFonts w:ascii="Open Sans" w:eastAsia="Times New Roman" w:hAnsi="Open Sans" w:cs="Open Sans"/>
          <w:color w:val="000000"/>
          <w:sz w:val="18"/>
          <w:szCs w:val="18"/>
          <w:lang w:eastAsia="es-ES"/>
        </w:rPr>
        <w:t>278.74.50</w:t>
      </w:r>
    </w:p>
    <w:p w14:paraId="7271038A" w14:textId="77777777" w:rsidR="000E2A66" w:rsidRPr="00A07BE9" w:rsidRDefault="00000000" w:rsidP="000E2A66">
      <w:pPr>
        <w:spacing w:after="0" w:line="240" w:lineRule="auto"/>
        <w:jc w:val="right"/>
        <w:rPr>
          <w:rFonts w:ascii="Times New Roman" w:eastAsia="Times New Roman" w:hAnsi="Times New Roman" w:cs="Times New Roman"/>
          <w:sz w:val="24"/>
          <w:szCs w:val="24"/>
          <w:lang w:eastAsia="es-ES"/>
        </w:rPr>
      </w:pPr>
      <w:hyperlink r:id="rId18" w:history="1">
        <w:r w:rsidR="000E2A66" w:rsidRPr="00A07BE9">
          <w:rPr>
            <w:rFonts w:ascii="Open Sans" w:eastAsia="Times New Roman" w:hAnsi="Open Sans" w:cs="Open Sans"/>
            <w:color w:val="000000"/>
            <w:sz w:val="18"/>
            <w:szCs w:val="18"/>
            <w:u w:val="single"/>
            <w:lang w:eastAsia="es-ES"/>
          </w:rPr>
          <w:t>https://antifraucv.es</w:t>
        </w:r>
      </w:hyperlink>
    </w:p>
    <w:p w14:paraId="74A1B30D" w14:textId="77777777" w:rsidR="000E2A66" w:rsidRPr="00A07BE9" w:rsidRDefault="000E2A66" w:rsidP="000E2A66">
      <w:pPr>
        <w:spacing w:after="0" w:line="240" w:lineRule="auto"/>
        <w:jc w:val="right"/>
        <w:rPr>
          <w:rFonts w:ascii="Times New Roman" w:eastAsia="Times New Roman" w:hAnsi="Times New Roman" w:cs="Times New Roman"/>
          <w:sz w:val="24"/>
          <w:szCs w:val="24"/>
          <w:lang w:eastAsia="es-ES"/>
        </w:rPr>
      </w:pPr>
    </w:p>
    <w:p w14:paraId="7A5EE58B" w14:textId="77777777" w:rsidR="000E2A66" w:rsidRPr="00A07BE9" w:rsidRDefault="000E2A66" w:rsidP="000E2A66">
      <w:pPr>
        <w:spacing w:after="0" w:line="240" w:lineRule="auto"/>
        <w:jc w:val="right"/>
        <w:rPr>
          <w:rFonts w:ascii="Times New Roman" w:eastAsia="Times New Roman" w:hAnsi="Times New Roman" w:cs="Times New Roman"/>
          <w:color w:val="9D2235"/>
          <w:sz w:val="24"/>
          <w:szCs w:val="24"/>
          <w:lang w:eastAsia="es-ES"/>
        </w:rPr>
      </w:pPr>
      <w:r w:rsidRPr="00A07BE9">
        <w:rPr>
          <w:rFonts w:ascii="Open Sans" w:eastAsia="Times New Roman" w:hAnsi="Open Sans" w:cs="Open Sans"/>
          <w:b/>
          <w:bCs/>
          <w:color w:val="9D2235"/>
          <w:sz w:val="18"/>
          <w:szCs w:val="18"/>
          <w:lang w:eastAsia="es-ES"/>
        </w:rPr>
        <w:t>Solicitud de acceso a la información:</w:t>
      </w:r>
    </w:p>
    <w:p w14:paraId="76F01EA3" w14:textId="78665B06" w:rsidR="000E2A66" w:rsidRPr="00A07BE9" w:rsidRDefault="00000000" w:rsidP="000E2A66">
      <w:pPr>
        <w:spacing w:after="0" w:line="240" w:lineRule="auto"/>
        <w:jc w:val="right"/>
        <w:rPr>
          <w:rFonts w:ascii="Open Sans" w:hAnsi="Open Sans" w:cs="Open Sans"/>
          <w:sz w:val="18"/>
          <w:szCs w:val="18"/>
        </w:rPr>
      </w:pPr>
      <w:hyperlink r:id="rId19" w:history="1">
        <w:r w:rsidR="00BD32F1" w:rsidRPr="00A07BE9">
          <w:rPr>
            <w:rStyle w:val="Hipervnculo"/>
            <w:rFonts w:ascii="Open Sans" w:hAnsi="Open Sans" w:cs="Open Sans"/>
            <w:color w:val="auto"/>
            <w:sz w:val="18"/>
            <w:szCs w:val="18"/>
          </w:rPr>
          <w:t>https://www.antifraucv.es/es/portal-transparencia/acceso-a-la-informacion/</w:t>
        </w:r>
      </w:hyperlink>
    </w:p>
    <w:p w14:paraId="09BEF9F5" w14:textId="77777777" w:rsidR="00BD32F1" w:rsidRPr="00A07BE9" w:rsidRDefault="00BD32F1" w:rsidP="000E2A66">
      <w:pPr>
        <w:spacing w:after="0" w:line="240" w:lineRule="auto"/>
        <w:jc w:val="right"/>
        <w:rPr>
          <w:rFonts w:ascii="Times New Roman" w:eastAsia="Times New Roman" w:hAnsi="Times New Roman" w:cs="Times New Roman"/>
          <w:sz w:val="24"/>
          <w:szCs w:val="24"/>
          <w:lang w:eastAsia="es-ES"/>
        </w:rPr>
      </w:pPr>
    </w:p>
    <w:p w14:paraId="74D457D6" w14:textId="77777777" w:rsidR="000E2A66" w:rsidRPr="00A07BE9" w:rsidRDefault="000E2A66" w:rsidP="000E2A66">
      <w:pPr>
        <w:spacing w:after="0" w:line="240" w:lineRule="auto"/>
        <w:jc w:val="right"/>
        <w:rPr>
          <w:rFonts w:ascii="Times New Roman" w:eastAsia="Times New Roman" w:hAnsi="Times New Roman" w:cs="Times New Roman"/>
          <w:color w:val="9D2235"/>
          <w:sz w:val="24"/>
          <w:szCs w:val="24"/>
          <w:lang w:eastAsia="es-ES"/>
        </w:rPr>
      </w:pPr>
      <w:r w:rsidRPr="00A07BE9">
        <w:rPr>
          <w:rFonts w:ascii="Open Sans" w:eastAsia="Times New Roman" w:hAnsi="Open Sans" w:cs="Open Sans"/>
          <w:b/>
          <w:bCs/>
          <w:color w:val="9D2235"/>
          <w:sz w:val="18"/>
          <w:szCs w:val="18"/>
          <w:lang w:eastAsia="es-ES"/>
        </w:rPr>
        <w:t>Buzón de Denuncias:</w:t>
      </w:r>
    </w:p>
    <w:p w14:paraId="10353241" w14:textId="3A2F0E8A" w:rsidR="000E2A66" w:rsidRPr="00A07BE9" w:rsidRDefault="00000000" w:rsidP="000E2A66">
      <w:pPr>
        <w:spacing w:after="0" w:line="240" w:lineRule="auto"/>
        <w:jc w:val="right"/>
        <w:rPr>
          <w:rFonts w:ascii="Open Sans" w:hAnsi="Open Sans" w:cs="Open Sans"/>
          <w:sz w:val="18"/>
          <w:szCs w:val="18"/>
        </w:rPr>
      </w:pPr>
      <w:hyperlink r:id="rId20" w:history="1">
        <w:r w:rsidR="00BD32F1" w:rsidRPr="00A07BE9">
          <w:rPr>
            <w:rStyle w:val="Hipervnculo"/>
            <w:rFonts w:ascii="Open Sans" w:hAnsi="Open Sans" w:cs="Open Sans"/>
            <w:color w:val="auto"/>
            <w:sz w:val="18"/>
            <w:szCs w:val="18"/>
          </w:rPr>
          <w:t>https://www.antifraucv.es/es/denuncia/buzon-de-denuncias/</w:t>
        </w:r>
      </w:hyperlink>
    </w:p>
    <w:p w14:paraId="3A4D8ED6" w14:textId="77777777" w:rsidR="00BD32F1" w:rsidRPr="00A07BE9" w:rsidRDefault="00BD32F1" w:rsidP="000E2A66">
      <w:pPr>
        <w:spacing w:after="0" w:line="240" w:lineRule="auto"/>
        <w:jc w:val="right"/>
        <w:rPr>
          <w:rFonts w:ascii="Times New Roman" w:eastAsia="Times New Roman" w:hAnsi="Times New Roman" w:cs="Times New Roman"/>
          <w:sz w:val="24"/>
          <w:szCs w:val="24"/>
          <w:lang w:eastAsia="es-ES"/>
        </w:rPr>
      </w:pPr>
    </w:p>
    <w:p w14:paraId="63D5A44E" w14:textId="77777777" w:rsidR="000E2A66" w:rsidRPr="00A07BE9" w:rsidRDefault="000E2A66" w:rsidP="000E2A66">
      <w:pPr>
        <w:spacing w:after="0" w:line="240" w:lineRule="auto"/>
        <w:jc w:val="right"/>
        <w:rPr>
          <w:rFonts w:ascii="Times New Roman" w:eastAsia="Times New Roman" w:hAnsi="Times New Roman" w:cs="Times New Roman"/>
          <w:color w:val="9D2235"/>
          <w:sz w:val="24"/>
          <w:szCs w:val="24"/>
          <w:lang w:eastAsia="es-ES"/>
        </w:rPr>
      </w:pPr>
      <w:r w:rsidRPr="00A07BE9">
        <w:rPr>
          <w:rFonts w:ascii="Open Sans" w:eastAsia="Times New Roman" w:hAnsi="Open Sans" w:cs="Open Sans"/>
          <w:b/>
          <w:bCs/>
          <w:color w:val="9D2235"/>
          <w:sz w:val="18"/>
          <w:szCs w:val="18"/>
          <w:lang w:eastAsia="es-ES"/>
        </w:rPr>
        <w:t>Gabinete de comunicación:</w:t>
      </w:r>
    </w:p>
    <w:p w14:paraId="160D2320" w14:textId="77777777" w:rsidR="000E2A66" w:rsidRPr="00A07BE9" w:rsidRDefault="000E2A66" w:rsidP="000E2A66">
      <w:pPr>
        <w:spacing w:after="0" w:line="240" w:lineRule="auto"/>
        <w:jc w:val="right"/>
        <w:rPr>
          <w:rFonts w:ascii="Times New Roman" w:eastAsia="Times New Roman" w:hAnsi="Times New Roman" w:cs="Times New Roman"/>
          <w:sz w:val="24"/>
          <w:szCs w:val="24"/>
          <w:lang w:eastAsia="es-ES"/>
        </w:rPr>
      </w:pPr>
      <w:r w:rsidRPr="00A07BE9">
        <w:rPr>
          <w:rFonts w:ascii="Open Sans" w:eastAsia="Times New Roman" w:hAnsi="Open Sans" w:cs="Open Sans"/>
          <w:color w:val="000000"/>
          <w:sz w:val="18"/>
          <w:szCs w:val="18"/>
          <w:lang w:eastAsia="es-ES"/>
        </w:rPr>
        <w:t xml:space="preserve">gabinete@antifraucv.es </w:t>
      </w:r>
    </w:p>
    <w:p w14:paraId="11092D7D" w14:textId="77777777" w:rsidR="000E2A66" w:rsidRPr="00A07BE9" w:rsidRDefault="000E2A66" w:rsidP="000E2A66">
      <w:pPr>
        <w:spacing w:after="0" w:line="240" w:lineRule="auto"/>
        <w:jc w:val="right"/>
        <w:rPr>
          <w:rFonts w:ascii="Times New Roman" w:eastAsia="Times New Roman" w:hAnsi="Times New Roman" w:cs="Times New Roman"/>
          <w:sz w:val="24"/>
          <w:szCs w:val="24"/>
          <w:lang w:eastAsia="es-ES"/>
        </w:rPr>
      </w:pPr>
    </w:p>
    <w:p w14:paraId="2822C3FE" w14:textId="77777777" w:rsidR="000E2A66" w:rsidRPr="00A07BE9" w:rsidRDefault="000E2A66" w:rsidP="000E2A66">
      <w:pPr>
        <w:spacing w:after="0" w:line="240" w:lineRule="auto"/>
        <w:jc w:val="right"/>
        <w:rPr>
          <w:rFonts w:ascii="Times New Roman" w:eastAsia="Times New Roman" w:hAnsi="Times New Roman" w:cs="Times New Roman"/>
          <w:color w:val="9D2235"/>
          <w:sz w:val="24"/>
          <w:szCs w:val="24"/>
          <w:lang w:eastAsia="es-ES"/>
        </w:rPr>
      </w:pPr>
      <w:r w:rsidRPr="00A07BE9">
        <w:rPr>
          <w:rFonts w:ascii="Open Sans" w:eastAsia="Times New Roman" w:hAnsi="Open Sans" w:cs="Open Sans"/>
          <w:b/>
          <w:bCs/>
          <w:color w:val="9D2235"/>
          <w:sz w:val="18"/>
          <w:szCs w:val="18"/>
          <w:lang w:eastAsia="es-ES"/>
        </w:rPr>
        <w:t>Redes sociales:</w:t>
      </w:r>
    </w:p>
    <w:p w14:paraId="31C592CA" w14:textId="40DC1592" w:rsidR="00367282" w:rsidRPr="00A07BE9" w:rsidRDefault="00A46175" w:rsidP="000F347B">
      <w:pPr>
        <w:spacing w:before="100" w:beforeAutospacing="1" w:after="0" w:line="240" w:lineRule="auto"/>
        <w:jc w:val="right"/>
        <w:rPr>
          <w:rFonts w:ascii="Times New Roman" w:eastAsia="Times New Roman" w:hAnsi="Times New Roman" w:cs="Times New Roman"/>
          <w:sz w:val="24"/>
          <w:szCs w:val="24"/>
          <w:lang w:eastAsia="es-ES"/>
        </w:rPr>
      </w:pPr>
      <w:r w:rsidRPr="00A07BE9">
        <w:rPr>
          <w:rFonts w:ascii="Times New Roman" w:eastAsia="Times New Roman" w:hAnsi="Times New Roman" w:cs="Times New Roman"/>
          <w:noProof/>
          <w:sz w:val="24"/>
          <w:szCs w:val="24"/>
          <w:lang w:eastAsia="es-ES"/>
        </w:rPr>
        <w:drawing>
          <wp:inline distT="0" distB="0" distL="0" distR="0" wp14:anchorId="10FFAC49" wp14:editId="3B811C53">
            <wp:extent cx="551760" cy="310591"/>
            <wp:effectExtent l="0" t="0" r="127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screen">
                      <a:extLst>
                        <a:ext uri="{28A0092B-C50C-407E-A947-70E740481C1C}">
                          <a14:useLocalDpi xmlns:a14="http://schemas.microsoft.com/office/drawing/2010/main"/>
                        </a:ext>
                      </a:extLst>
                    </a:blip>
                    <a:stretch>
                      <a:fillRect/>
                    </a:stretch>
                  </pic:blipFill>
                  <pic:spPr>
                    <a:xfrm>
                      <a:off x="0" y="0"/>
                      <a:ext cx="574865" cy="323597"/>
                    </a:xfrm>
                    <a:prstGeom prst="rect">
                      <a:avLst/>
                    </a:prstGeom>
                  </pic:spPr>
                </pic:pic>
              </a:graphicData>
            </a:graphic>
          </wp:inline>
        </w:drawing>
      </w:r>
      <w:r w:rsidRPr="00A07BE9">
        <w:rPr>
          <w:rFonts w:ascii="Times New Roman" w:eastAsia="Times New Roman" w:hAnsi="Times New Roman" w:cs="Times New Roman"/>
          <w:noProof/>
          <w:sz w:val="24"/>
          <w:szCs w:val="24"/>
          <w:lang w:eastAsia="es-ES"/>
        </w:rPr>
        <w:drawing>
          <wp:inline distT="0" distB="0" distL="0" distR="0" wp14:anchorId="632871A5" wp14:editId="219CAA73">
            <wp:extent cx="361950" cy="3238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361950" cy="323850"/>
                    </a:xfrm>
                    <a:prstGeom prst="rect">
                      <a:avLst/>
                    </a:prstGeom>
                  </pic:spPr>
                </pic:pic>
              </a:graphicData>
            </a:graphic>
          </wp:inline>
        </w:drawing>
      </w:r>
      <w:r w:rsidRPr="00A07BE9">
        <w:rPr>
          <w:rFonts w:ascii="Times New Roman" w:eastAsia="Times New Roman" w:hAnsi="Times New Roman" w:cs="Times New Roman"/>
          <w:noProof/>
          <w:sz w:val="24"/>
          <w:szCs w:val="24"/>
          <w:lang w:eastAsia="es-ES"/>
        </w:rPr>
        <w:drawing>
          <wp:inline distT="0" distB="0" distL="0" distR="0" wp14:anchorId="6A2509A9" wp14:editId="56BBF169">
            <wp:extent cx="361950" cy="36195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361950" cy="361950"/>
                    </a:xfrm>
                    <a:prstGeom prst="rect">
                      <a:avLst/>
                    </a:prstGeom>
                  </pic:spPr>
                </pic:pic>
              </a:graphicData>
            </a:graphic>
          </wp:inline>
        </w:drawing>
      </w:r>
    </w:p>
    <w:p w14:paraId="116AFC9C" w14:textId="77777777" w:rsidR="00367282" w:rsidRPr="00A07BE9" w:rsidRDefault="00367282" w:rsidP="00367282">
      <w:pPr>
        <w:rPr>
          <w:rFonts w:ascii="Times New Roman" w:eastAsia="Times New Roman" w:hAnsi="Times New Roman" w:cs="Times New Roman"/>
          <w:sz w:val="24"/>
          <w:szCs w:val="24"/>
          <w:lang w:eastAsia="es-ES"/>
        </w:rPr>
      </w:pPr>
    </w:p>
    <w:p w14:paraId="56344CAB" w14:textId="50699E80" w:rsidR="00367282" w:rsidRPr="00A07BE9" w:rsidRDefault="00367282" w:rsidP="00367282">
      <w:pPr>
        <w:rPr>
          <w:rFonts w:ascii="Times New Roman" w:eastAsia="Times New Roman" w:hAnsi="Times New Roman" w:cs="Times New Roman"/>
          <w:sz w:val="24"/>
          <w:szCs w:val="24"/>
          <w:lang w:eastAsia="es-ES"/>
        </w:rPr>
      </w:pPr>
    </w:p>
    <w:p w14:paraId="105CF3AB" w14:textId="1CF2264F" w:rsidR="00367282" w:rsidRPr="00A07BE9" w:rsidRDefault="00367282" w:rsidP="00367282">
      <w:pPr>
        <w:tabs>
          <w:tab w:val="left" w:pos="7214"/>
        </w:tabs>
        <w:rPr>
          <w:rFonts w:ascii="Times New Roman" w:eastAsia="Times New Roman" w:hAnsi="Times New Roman" w:cs="Times New Roman"/>
          <w:sz w:val="24"/>
          <w:szCs w:val="24"/>
          <w:lang w:eastAsia="es-ES"/>
        </w:rPr>
      </w:pPr>
      <w:r w:rsidRPr="00A07BE9">
        <w:rPr>
          <w:rFonts w:ascii="Times New Roman" w:eastAsia="Times New Roman" w:hAnsi="Times New Roman" w:cs="Times New Roman"/>
          <w:sz w:val="24"/>
          <w:szCs w:val="24"/>
          <w:lang w:eastAsia="es-ES"/>
        </w:rPr>
        <w:tab/>
      </w:r>
    </w:p>
    <w:p w14:paraId="039D307E" w14:textId="4C6D8541" w:rsidR="00CE1008" w:rsidRPr="00A07BE9" w:rsidRDefault="00367282">
      <w:pPr>
        <w:rPr>
          <w:rFonts w:ascii="Times New Roman" w:eastAsia="Times New Roman" w:hAnsi="Times New Roman" w:cs="Times New Roman"/>
          <w:sz w:val="24"/>
          <w:szCs w:val="24"/>
          <w:lang w:eastAsia="es-ES"/>
        </w:rPr>
      </w:pPr>
      <w:r w:rsidRPr="00A07BE9">
        <w:rPr>
          <w:rFonts w:ascii="Times New Roman" w:eastAsia="Times New Roman" w:hAnsi="Times New Roman" w:cs="Times New Roman"/>
          <w:sz w:val="24"/>
          <w:szCs w:val="24"/>
          <w:lang w:eastAsia="es-ES"/>
        </w:rPr>
        <w:br w:type="page"/>
      </w:r>
    </w:p>
    <w:p w14:paraId="405A14D6" w14:textId="77777777" w:rsidR="00A46175" w:rsidRPr="00A07BE9" w:rsidRDefault="00A46175" w:rsidP="00A46175">
      <w:pPr>
        <w:spacing w:line="276" w:lineRule="auto"/>
        <w:rPr>
          <w:rFonts w:ascii="Open Sans" w:hAnsi="Open Sans" w:cs="Open Sans"/>
          <w:color w:val="C00000"/>
          <w:sz w:val="60"/>
          <w:szCs w:val="60"/>
        </w:rPr>
      </w:pPr>
    </w:p>
    <w:p w14:paraId="5ADE1F05" w14:textId="61A096A9" w:rsidR="00A46175" w:rsidRDefault="00A46175" w:rsidP="00F9743D">
      <w:pPr>
        <w:spacing w:line="276" w:lineRule="auto"/>
        <w:rPr>
          <w:rFonts w:ascii="Open Sans" w:hAnsi="Open Sans" w:cs="Open Sans"/>
          <w:b/>
          <w:color w:val="9D2235"/>
          <w:sz w:val="60"/>
          <w:szCs w:val="60"/>
        </w:rPr>
      </w:pPr>
      <w:r w:rsidRPr="00A07BE9">
        <w:rPr>
          <w:rFonts w:ascii="Open Sans" w:hAnsi="Open Sans" w:cs="Open Sans"/>
          <w:b/>
          <w:color w:val="9D2235"/>
          <w:sz w:val="60"/>
          <w:szCs w:val="60"/>
        </w:rPr>
        <w:t>Tabla de contenidos</w:t>
      </w:r>
    </w:p>
    <w:p w14:paraId="68C0C382" w14:textId="77777777" w:rsidR="00F43152" w:rsidRPr="00F43152" w:rsidRDefault="00F43152" w:rsidP="00F9743D">
      <w:pPr>
        <w:spacing w:line="276" w:lineRule="auto"/>
        <w:rPr>
          <w:rFonts w:ascii="Open Sans" w:hAnsi="Open Sans" w:cs="Open Sans"/>
          <w:b/>
          <w:color w:val="9D2235"/>
          <w:sz w:val="20"/>
          <w:szCs w:val="20"/>
        </w:rPr>
      </w:pPr>
    </w:p>
    <w:p w14:paraId="1658F562" w14:textId="7F83EF59" w:rsidR="00A46175" w:rsidRPr="005667AF" w:rsidRDefault="00214F74" w:rsidP="00637696">
      <w:pPr>
        <w:pStyle w:val="Prrafodelista"/>
        <w:numPr>
          <w:ilvl w:val="0"/>
          <w:numId w:val="12"/>
        </w:numPr>
        <w:spacing w:after="0" w:line="276" w:lineRule="auto"/>
        <w:jc w:val="both"/>
        <w:rPr>
          <w:rFonts w:ascii="Open Sans" w:hAnsi="Open Sans" w:cs="Open Sans"/>
          <w:b/>
          <w:sz w:val="20"/>
          <w:szCs w:val="20"/>
        </w:rPr>
      </w:pPr>
      <w:r w:rsidRPr="005667AF">
        <w:rPr>
          <w:rFonts w:ascii="Open Sans" w:hAnsi="Open Sans" w:cs="Open Sans"/>
          <w:b/>
          <w:sz w:val="20"/>
          <w:szCs w:val="20"/>
        </w:rPr>
        <w:t>Presentación</w:t>
      </w:r>
      <w:r w:rsidR="00A46175" w:rsidRPr="005667AF">
        <w:rPr>
          <w:rFonts w:ascii="Open Sans" w:hAnsi="Open Sans" w:cs="Open Sans"/>
          <w:b/>
          <w:sz w:val="20"/>
          <w:szCs w:val="20"/>
        </w:rPr>
        <w:ptab w:relativeTo="margin" w:alignment="right" w:leader="dot"/>
      </w:r>
      <w:r w:rsidR="00B60A05" w:rsidRPr="005667AF">
        <w:rPr>
          <w:rFonts w:ascii="Open Sans" w:hAnsi="Open Sans" w:cs="Open Sans"/>
          <w:b/>
          <w:sz w:val="20"/>
          <w:szCs w:val="20"/>
        </w:rPr>
        <w:t>13</w:t>
      </w:r>
    </w:p>
    <w:p w14:paraId="7FA1220C" w14:textId="77777777" w:rsidR="00934176" w:rsidRPr="00257CD4" w:rsidRDefault="00934176" w:rsidP="00934176">
      <w:pPr>
        <w:pStyle w:val="Prrafodelista"/>
        <w:spacing w:after="0" w:line="276" w:lineRule="auto"/>
        <w:ind w:left="357"/>
        <w:jc w:val="both"/>
        <w:rPr>
          <w:rFonts w:ascii="Open Sans" w:hAnsi="Open Sans" w:cs="Open Sans"/>
          <w:sz w:val="20"/>
          <w:szCs w:val="20"/>
        </w:rPr>
      </w:pPr>
    </w:p>
    <w:p w14:paraId="31242DDF" w14:textId="30A33F6C" w:rsidR="00A46175" w:rsidRPr="00257CD4" w:rsidRDefault="00A46175" w:rsidP="00637696">
      <w:pPr>
        <w:pStyle w:val="Prrafodelista"/>
        <w:numPr>
          <w:ilvl w:val="0"/>
          <w:numId w:val="12"/>
        </w:numPr>
        <w:spacing w:after="0" w:line="276" w:lineRule="auto"/>
        <w:jc w:val="both"/>
        <w:rPr>
          <w:rFonts w:ascii="Open Sans" w:hAnsi="Open Sans" w:cs="Open Sans"/>
          <w:b/>
          <w:sz w:val="20"/>
          <w:szCs w:val="20"/>
        </w:rPr>
      </w:pPr>
      <w:r w:rsidRPr="00257CD4">
        <w:rPr>
          <w:rFonts w:ascii="Open Sans" w:hAnsi="Open Sans" w:cs="Open Sans"/>
          <w:b/>
          <w:sz w:val="20"/>
          <w:szCs w:val="20"/>
        </w:rPr>
        <w:t>Prevención</w:t>
      </w:r>
      <w:r w:rsidR="003B3BB4" w:rsidRPr="00257CD4">
        <w:rPr>
          <w:rFonts w:ascii="Open Sans" w:hAnsi="Open Sans" w:cs="Open Sans"/>
          <w:b/>
          <w:sz w:val="20"/>
          <w:szCs w:val="20"/>
        </w:rPr>
        <w:t xml:space="preserve">, </w:t>
      </w:r>
      <w:r w:rsidR="004F2FD1" w:rsidRPr="00257CD4">
        <w:rPr>
          <w:rFonts w:ascii="Open Sans" w:hAnsi="Open Sans" w:cs="Open Sans"/>
          <w:b/>
          <w:sz w:val="20"/>
          <w:szCs w:val="20"/>
        </w:rPr>
        <w:t>f</w:t>
      </w:r>
      <w:r w:rsidRPr="00257CD4">
        <w:rPr>
          <w:rFonts w:ascii="Open Sans" w:hAnsi="Open Sans" w:cs="Open Sans"/>
          <w:b/>
          <w:sz w:val="20"/>
          <w:szCs w:val="20"/>
        </w:rPr>
        <w:t>ormación</w:t>
      </w:r>
      <w:r w:rsidR="003B3BB4" w:rsidRPr="00257CD4">
        <w:rPr>
          <w:rFonts w:ascii="Open Sans" w:hAnsi="Open Sans" w:cs="Open Sans"/>
          <w:b/>
          <w:sz w:val="20"/>
          <w:szCs w:val="20"/>
        </w:rPr>
        <w:t xml:space="preserve"> y </w:t>
      </w:r>
      <w:r w:rsidR="004F2FD1" w:rsidRPr="00257CD4">
        <w:rPr>
          <w:rFonts w:ascii="Open Sans" w:hAnsi="Open Sans" w:cs="Open Sans"/>
          <w:b/>
          <w:sz w:val="20"/>
          <w:szCs w:val="20"/>
        </w:rPr>
        <w:t>d</w:t>
      </w:r>
      <w:r w:rsidR="003B3BB4" w:rsidRPr="00257CD4">
        <w:rPr>
          <w:rFonts w:ascii="Open Sans" w:hAnsi="Open Sans" w:cs="Open Sans"/>
          <w:b/>
          <w:sz w:val="20"/>
          <w:szCs w:val="20"/>
        </w:rPr>
        <w:t>ocumentación</w:t>
      </w:r>
      <w:r w:rsidR="008B6528" w:rsidRPr="00257CD4">
        <w:rPr>
          <w:rFonts w:ascii="Open Sans" w:hAnsi="Open Sans" w:cs="Open Sans"/>
          <w:b/>
          <w:sz w:val="20"/>
          <w:szCs w:val="20"/>
        </w:rPr>
        <w:ptab w:relativeTo="margin" w:alignment="right" w:leader="dot"/>
      </w:r>
      <w:r w:rsidR="00B60A05" w:rsidRPr="00257CD4">
        <w:rPr>
          <w:rFonts w:ascii="Open Sans" w:hAnsi="Open Sans" w:cs="Open Sans"/>
          <w:b/>
          <w:sz w:val="20"/>
          <w:szCs w:val="20"/>
        </w:rPr>
        <w:t>17</w:t>
      </w:r>
    </w:p>
    <w:p w14:paraId="54008B7E" w14:textId="557F0C6A" w:rsidR="00A46175" w:rsidRPr="00257CD4" w:rsidRDefault="000F0D13" w:rsidP="00637696">
      <w:pPr>
        <w:pStyle w:val="Prrafodelista"/>
        <w:numPr>
          <w:ilvl w:val="1"/>
          <w:numId w:val="12"/>
        </w:numPr>
        <w:spacing w:after="0" w:line="276" w:lineRule="auto"/>
        <w:jc w:val="both"/>
        <w:rPr>
          <w:rFonts w:ascii="Open Sans" w:hAnsi="Open Sans" w:cs="Open Sans"/>
          <w:sz w:val="20"/>
          <w:szCs w:val="20"/>
        </w:rPr>
      </w:pPr>
      <w:r>
        <w:rPr>
          <w:rFonts w:ascii="Open Sans" w:hAnsi="Open Sans" w:cs="Open Sans"/>
          <w:sz w:val="20"/>
          <w:szCs w:val="20"/>
        </w:rPr>
        <w:t xml:space="preserve"> </w:t>
      </w:r>
      <w:r w:rsidR="003B3BB4" w:rsidRPr="00257CD4">
        <w:rPr>
          <w:rFonts w:ascii="Open Sans" w:hAnsi="Open Sans" w:cs="Open Sans"/>
          <w:sz w:val="20"/>
          <w:szCs w:val="20"/>
        </w:rPr>
        <w:t xml:space="preserve">El </w:t>
      </w:r>
      <w:r w:rsidR="00944536" w:rsidRPr="00257CD4">
        <w:rPr>
          <w:rFonts w:ascii="Open Sans" w:hAnsi="Open Sans" w:cs="Open Sans"/>
          <w:sz w:val="20"/>
          <w:szCs w:val="20"/>
        </w:rPr>
        <w:t>S</w:t>
      </w:r>
      <w:r w:rsidR="003B3BB4" w:rsidRPr="00257CD4">
        <w:rPr>
          <w:rFonts w:ascii="Open Sans" w:hAnsi="Open Sans" w:cs="Open Sans"/>
          <w:sz w:val="20"/>
          <w:szCs w:val="20"/>
        </w:rPr>
        <w:t>ervicio de Prevención</w:t>
      </w:r>
      <w:r w:rsidR="00AE3640" w:rsidRPr="00257CD4">
        <w:rPr>
          <w:rFonts w:ascii="Open Sans" w:hAnsi="Open Sans" w:cs="Open Sans"/>
          <w:sz w:val="20"/>
          <w:szCs w:val="20"/>
        </w:rPr>
        <w:ptab w:relativeTo="margin" w:alignment="right" w:leader="dot"/>
      </w:r>
      <w:r w:rsidR="00B60A05" w:rsidRPr="00257CD4">
        <w:rPr>
          <w:rFonts w:ascii="Open Sans" w:hAnsi="Open Sans" w:cs="Open Sans"/>
          <w:sz w:val="20"/>
          <w:szCs w:val="20"/>
        </w:rPr>
        <w:t>17</w:t>
      </w:r>
    </w:p>
    <w:p w14:paraId="33F4458E" w14:textId="199E76C6" w:rsidR="00A46175" w:rsidRPr="00257CD4" w:rsidRDefault="003B3BB4" w:rsidP="00637696">
      <w:pPr>
        <w:pStyle w:val="Prrafodelista"/>
        <w:numPr>
          <w:ilvl w:val="2"/>
          <w:numId w:val="12"/>
        </w:numPr>
        <w:spacing w:after="0" w:line="276" w:lineRule="auto"/>
        <w:jc w:val="both"/>
        <w:rPr>
          <w:rFonts w:ascii="Open Sans" w:hAnsi="Open Sans" w:cs="Open Sans"/>
          <w:sz w:val="20"/>
          <w:szCs w:val="20"/>
        </w:rPr>
      </w:pPr>
      <w:r w:rsidRPr="00257CD4">
        <w:rPr>
          <w:rFonts w:ascii="Open Sans" w:hAnsi="Open Sans" w:cs="Open Sans"/>
          <w:sz w:val="20"/>
          <w:szCs w:val="20"/>
        </w:rPr>
        <w:t>Introducción</w:t>
      </w:r>
      <w:r w:rsidR="00AE3640" w:rsidRPr="00257CD4">
        <w:rPr>
          <w:rFonts w:ascii="Open Sans" w:hAnsi="Open Sans" w:cs="Open Sans"/>
          <w:sz w:val="20"/>
          <w:szCs w:val="20"/>
        </w:rPr>
        <w:ptab w:relativeTo="margin" w:alignment="right" w:leader="dot"/>
      </w:r>
      <w:r w:rsidR="00B60A05" w:rsidRPr="00257CD4">
        <w:rPr>
          <w:rFonts w:ascii="Open Sans" w:hAnsi="Open Sans" w:cs="Open Sans"/>
          <w:sz w:val="20"/>
          <w:szCs w:val="20"/>
        </w:rPr>
        <w:t>17</w:t>
      </w:r>
    </w:p>
    <w:p w14:paraId="3D1D17D3" w14:textId="6C090393" w:rsidR="00A46175" w:rsidRPr="00257CD4" w:rsidRDefault="003B3BB4" w:rsidP="00637696">
      <w:pPr>
        <w:pStyle w:val="Prrafodelista"/>
        <w:numPr>
          <w:ilvl w:val="2"/>
          <w:numId w:val="12"/>
        </w:numPr>
        <w:spacing w:after="0" w:line="276" w:lineRule="auto"/>
        <w:jc w:val="both"/>
        <w:rPr>
          <w:rFonts w:ascii="Open Sans" w:hAnsi="Open Sans" w:cs="Open Sans"/>
          <w:sz w:val="20"/>
          <w:szCs w:val="20"/>
        </w:rPr>
      </w:pPr>
      <w:r w:rsidRPr="00257CD4">
        <w:rPr>
          <w:rFonts w:ascii="Open Sans" w:hAnsi="Open Sans" w:cs="Open Sans"/>
          <w:sz w:val="20"/>
          <w:szCs w:val="20"/>
        </w:rPr>
        <w:t xml:space="preserve">Servicio de </w:t>
      </w:r>
      <w:r w:rsidR="005227EB" w:rsidRPr="00257CD4">
        <w:rPr>
          <w:rFonts w:ascii="Open Sans" w:hAnsi="Open Sans" w:cs="Open Sans"/>
          <w:sz w:val="20"/>
          <w:szCs w:val="20"/>
        </w:rPr>
        <w:t>P</w:t>
      </w:r>
      <w:r w:rsidRPr="00257CD4">
        <w:rPr>
          <w:rFonts w:ascii="Open Sans" w:hAnsi="Open Sans" w:cs="Open Sans"/>
          <w:sz w:val="20"/>
          <w:szCs w:val="20"/>
        </w:rPr>
        <w:t>revención. Funciones</w:t>
      </w:r>
      <w:r w:rsidR="00AE3640" w:rsidRPr="00257CD4">
        <w:rPr>
          <w:rFonts w:ascii="Open Sans" w:hAnsi="Open Sans" w:cs="Open Sans"/>
          <w:sz w:val="20"/>
          <w:szCs w:val="20"/>
        </w:rPr>
        <w:ptab w:relativeTo="margin" w:alignment="right" w:leader="dot"/>
      </w:r>
      <w:r w:rsidR="00B60A05" w:rsidRPr="00257CD4">
        <w:rPr>
          <w:rFonts w:ascii="Open Sans" w:hAnsi="Open Sans" w:cs="Open Sans"/>
          <w:sz w:val="20"/>
          <w:szCs w:val="20"/>
        </w:rPr>
        <w:t>18</w:t>
      </w:r>
    </w:p>
    <w:p w14:paraId="2027DF2F" w14:textId="5F8E44EF" w:rsidR="00A46175" w:rsidRPr="00257CD4" w:rsidRDefault="003B3BB4" w:rsidP="00637696">
      <w:pPr>
        <w:pStyle w:val="Prrafodelista"/>
        <w:numPr>
          <w:ilvl w:val="2"/>
          <w:numId w:val="12"/>
        </w:numPr>
        <w:spacing w:after="0" w:line="276" w:lineRule="auto"/>
        <w:jc w:val="both"/>
        <w:rPr>
          <w:rFonts w:ascii="Open Sans" w:hAnsi="Open Sans" w:cs="Open Sans"/>
          <w:sz w:val="20"/>
          <w:szCs w:val="20"/>
        </w:rPr>
      </w:pPr>
      <w:r w:rsidRPr="00257CD4">
        <w:rPr>
          <w:rFonts w:ascii="Open Sans" w:hAnsi="Open Sans" w:cs="Open Sans"/>
          <w:sz w:val="20"/>
          <w:szCs w:val="20"/>
        </w:rPr>
        <w:t xml:space="preserve">Plan estratégico del </w:t>
      </w:r>
      <w:r w:rsidR="005A4C72" w:rsidRPr="00257CD4">
        <w:rPr>
          <w:rFonts w:ascii="Open Sans" w:hAnsi="Open Sans" w:cs="Open Sans"/>
          <w:sz w:val="20"/>
          <w:szCs w:val="20"/>
        </w:rPr>
        <w:t>S</w:t>
      </w:r>
      <w:r w:rsidRPr="00257CD4">
        <w:rPr>
          <w:rFonts w:ascii="Open Sans" w:hAnsi="Open Sans" w:cs="Open Sans"/>
          <w:sz w:val="20"/>
          <w:szCs w:val="20"/>
        </w:rPr>
        <w:t xml:space="preserve">ervicio de </w:t>
      </w:r>
      <w:r w:rsidR="005A4C72" w:rsidRPr="00257CD4">
        <w:rPr>
          <w:rFonts w:ascii="Open Sans" w:hAnsi="Open Sans" w:cs="Open Sans"/>
          <w:sz w:val="20"/>
          <w:szCs w:val="20"/>
        </w:rPr>
        <w:t>P</w:t>
      </w:r>
      <w:r w:rsidRPr="00257CD4">
        <w:rPr>
          <w:rFonts w:ascii="Open Sans" w:hAnsi="Open Sans" w:cs="Open Sans"/>
          <w:sz w:val="20"/>
          <w:szCs w:val="20"/>
        </w:rPr>
        <w:t>revención</w:t>
      </w:r>
      <w:r w:rsidR="00AE3640" w:rsidRPr="00257CD4">
        <w:rPr>
          <w:rFonts w:ascii="Open Sans" w:hAnsi="Open Sans" w:cs="Open Sans"/>
          <w:sz w:val="20"/>
          <w:szCs w:val="20"/>
        </w:rPr>
        <w:ptab w:relativeTo="margin" w:alignment="right" w:leader="dot"/>
      </w:r>
      <w:r w:rsidR="00B60A05" w:rsidRPr="00257CD4">
        <w:rPr>
          <w:rFonts w:ascii="Open Sans" w:hAnsi="Open Sans" w:cs="Open Sans"/>
          <w:sz w:val="20"/>
          <w:szCs w:val="20"/>
        </w:rPr>
        <w:t>20</w:t>
      </w:r>
    </w:p>
    <w:p w14:paraId="34A9C645" w14:textId="04DF98EB" w:rsidR="00A46175" w:rsidRPr="00257CD4" w:rsidRDefault="003B3BB4" w:rsidP="00637696">
      <w:pPr>
        <w:pStyle w:val="Prrafodelista"/>
        <w:numPr>
          <w:ilvl w:val="2"/>
          <w:numId w:val="12"/>
        </w:numPr>
        <w:spacing w:after="0" w:line="276" w:lineRule="auto"/>
        <w:jc w:val="both"/>
        <w:rPr>
          <w:rFonts w:ascii="Open Sans" w:hAnsi="Open Sans" w:cs="Open Sans"/>
          <w:sz w:val="20"/>
          <w:szCs w:val="20"/>
        </w:rPr>
      </w:pPr>
      <w:r w:rsidRPr="00257CD4">
        <w:rPr>
          <w:rFonts w:ascii="Open Sans" w:hAnsi="Open Sans" w:cs="Open Sans"/>
          <w:sz w:val="20"/>
          <w:szCs w:val="20"/>
        </w:rPr>
        <w:t>Recomendaciones</w:t>
      </w:r>
      <w:r w:rsidR="00AE3640" w:rsidRPr="00257CD4">
        <w:rPr>
          <w:rFonts w:ascii="Open Sans" w:hAnsi="Open Sans" w:cs="Open Sans"/>
          <w:sz w:val="20"/>
          <w:szCs w:val="20"/>
        </w:rPr>
        <w:ptab w:relativeTo="margin" w:alignment="right" w:leader="dot"/>
      </w:r>
      <w:r w:rsidR="00B60A05" w:rsidRPr="00257CD4">
        <w:rPr>
          <w:rFonts w:ascii="Open Sans" w:hAnsi="Open Sans" w:cs="Open Sans"/>
          <w:sz w:val="20"/>
          <w:szCs w:val="20"/>
        </w:rPr>
        <w:t>24</w:t>
      </w:r>
    </w:p>
    <w:p w14:paraId="702827BF" w14:textId="675CAD66" w:rsidR="00A46175" w:rsidRPr="00257CD4" w:rsidRDefault="003B3BB4" w:rsidP="00637696">
      <w:pPr>
        <w:pStyle w:val="Prrafodelista"/>
        <w:numPr>
          <w:ilvl w:val="2"/>
          <w:numId w:val="12"/>
        </w:numPr>
        <w:spacing w:after="0" w:line="276" w:lineRule="auto"/>
        <w:jc w:val="both"/>
        <w:rPr>
          <w:rFonts w:ascii="Open Sans" w:hAnsi="Open Sans" w:cs="Open Sans"/>
          <w:sz w:val="20"/>
          <w:szCs w:val="20"/>
        </w:rPr>
      </w:pPr>
      <w:r w:rsidRPr="00257CD4">
        <w:rPr>
          <w:rFonts w:ascii="Open Sans" w:hAnsi="Open Sans" w:cs="Open Sans"/>
          <w:sz w:val="20"/>
          <w:szCs w:val="20"/>
        </w:rPr>
        <w:t>Propuestas sobre disposiciones normativas</w:t>
      </w:r>
      <w:r w:rsidR="008643C9" w:rsidRPr="00257CD4">
        <w:rPr>
          <w:rFonts w:ascii="Open Sans" w:hAnsi="Open Sans" w:cs="Open Sans"/>
          <w:sz w:val="20"/>
          <w:szCs w:val="20"/>
        </w:rPr>
        <w:ptab w:relativeTo="margin" w:alignment="right" w:leader="dot"/>
      </w:r>
      <w:r w:rsidR="00B60A05" w:rsidRPr="00257CD4">
        <w:rPr>
          <w:rFonts w:ascii="Open Sans" w:hAnsi="Open Sans" w:cs="Open Sans"/>
          <w:sz w:val="20"/>
          <w:szCs w:val="20"/>
        </w:rPr>
        <w:t>26</w:t>
      </w:r>
    </w:p>
    <w:p w14:paraId="4F89ACB1" w14:textId="4A4BF6B4" w:rsidR="00A46175" w:rsidRPr="00257CD4" w:rsidRDefault="003B3BB4" w:rsidP="00637696">
      <w:pPr>
        <w:pStyle w:val="Prrafodelista"/>
        <w:numPr>
          <w:ilvl w:val="2"/>
          <w:numId w:val="12"/>
        </w:numPr>
        <w:spacing w:after="0" w:line="276" w:lineRule="auto"/>
        <w:jc w:val="both"/>
        <w:rPr>
          <w:rFonts w:ascii="Open Sans" w:hAnsi="Open Sans" w:cs="Open Sans"/>
          <w:sz w:val="20"/>
          <w:szCs w:val="20"/>
        </w:rPr>
      </w:pPr>
      <w:r w:rsidRPr="00257CD4">
        <w:rPr>
          <w:rFonts w:ascii="Open Sans" w:hAnsi="Open Sans" w:cs="Open Sans"/>
          <w:sz w:val="20"/>
          <w:szCs w:val="20"/>
        </w:rPr>
        <w:t>Consultoría, difusión y otras colaboraciones</w:t>
      </w:r>
      <w:r w:rsidR="00C56FE1" w:rsidRPr="00257CD4">
        <w:rPr>
          <w:rFonts w:ascii="Open Sans" w:hAnsi="Open Sans" w:cs="Open Sans"/>
          <w:sz w:val="20"/>
          <w:szCs w:val="20"/>
        </w:rPr>
        <w:ptab w:relativeTo="margin" w:alignment="right" w:leader="dot"/>
      </w:r>
      <w:r w:rsidR="00B60A05" w:rsidRPr="00257CD4">
        <w:rPr>
          <w:rFonts w:ascii="Open Sans" w:hAnsi="Open Sans" w:cs="Open Sans"/>
          <w:sz w:val="20"/>
          <w:szCs w:val="20"/>
        </w:rPr>
        <w:t>28</w:t>
      </w:r>
    </w:p>
    <w:p w14:paraId="6FB2E820" w14:textId="74B20A69" w:rsidR="00A46175" w:rsidRPr="00257CD4" w:rsidRDefault="00944536" w:rsidP="00637696">
      <w:pPr>
        <w:pStyle w:val="Prrafodelista"/>
        <w:numPr>
          <w:ilvl w:val="1"/>
          <w:numId w:val="12"/>
        </w:numPr>
        <w:spacing w:after="0" w:line="276" w:lineRule="auto"/>
        <w:jc w:val="both"/>
        <w:rPr>
          <w:rFonts w:ascii="Open Sans" w:hAnsi="Open Sans" w:cs="Open Sans"/>
          <w:sz w:val="20"/>
          <w:szCs w:val="20"/>
        </w:rPr>
      </w:pPr>
      <w:r w:rsidRPr="00257CD4">
        <w:rPr>
          <w:rFonts w:ascii="Open Sans" w:hAnsi="Open Sans" w:cs="Open Sans"/>
          <w:sz w:val="20"/>
          <w:szCs w:val="20"/>
        </w:rPr>
        <w:t xml:space="preserve"> El </w:t>
      </w:r>
      <w:r w:rsidR="003B3BB4" w:rsidRPr="00257CD4">
        <w:rPr>
          <w:rFonts w:ascii="Open Sans" w:hAnsi="Open Sans" w:cs="Open Sans"/>
          <w:sz w:val="20"/>
          <w:szCs w:val="20"/>
        </w:rPr>
        <w:t xml:space="preserve">Servicio de </w:t>
      </w:r>
      <w:r w:rsidR="005227EB" w:rsidRPr="00257CD4">
        <w:rPr>
          <w:rFonts w:ascii="Open Sans" w:hAnsi="Open Sans" w:cs="Open Sans"/>
          <w:sz w:val="20"/>
          <w:szCs w:val="20"/>
        </w:rPr>
        <w:t>F</w:t>
      </w:r>
      <w:r w:rsidR="003B3BB4" w:rsidRPr="00257CD4">
        <w:rPr>
          <w:rFonts w:ascii="Open Sans" w:hAnsi="Open Sans" w:cs="Open Sans"/>
          <w:sz w:val="20"/>
          <w:szCs w:val="20"/>
        </w:rPr>
        <w:t>ormación</w:t>
      </w:r>
      <w:r w:rsidR="00C56FE1" w:rsidRPr="00257CD4">
        <w:rPr>
          <w:rFonts w:ascii="Open Sans" w:hAnsi="Open Sans" w:cs="Open Sans"/>
          <w:sz w:val="20"/>
          <w:szCs w:val="20"/>
        </w:rPr>
        <w:ptab w:relativeTo="margin" w:alignment="right" w:leader="dot"/>
      </w:r>
      <w:r w:rsidR="00E232A8" w:rsidRPr="00257CD4">
        <w:rPr>
          <w:rFonts w:ascii="Open Sans" w:hAnsi="Open Sans" w:cs="Open Sans"/>
          <w:sz w:val="20"/>
          <w:szCs w:val="20"/>
        </w:rPr>
        <w:t>29</w:t>
      </w:r>
    </w:p>
    <w:p w14:paraId="3D800E0F" w14:textId="67CCF1CF" w:rsidR="008541FB" w:rsidRPr="00257CD4" w:rsidRDefault="008643C9" w:rsidP="00637696">
      <w:pPr>
        <w:pStyle w:val="Prrafodelista"/>
        <w:numPr>
          <w:ilvl w:val="2"/>
          <w:numId w:val="12"/>
        </w:numPr>
        <w:spacing w:after="0" w:line="276" w:lineRule="auto"/>
        <w:jc w:val="both"/>
        <w:rPr>
          <w:rFonts w:ascii="Open Sans" w:hAnsi="Open Sans" w:cs="Open Sans"/>
          <w:sz w:val="20"/>
          <w:szCs w:val="20"/>
        </w:rPr>
      </w:pPr>
      <w:r w:rsidRPr="00257CD4">
        <w:rPr>
          <w:rFonts w:ascii="Open Sans" w:hAnsi="Open Sans" w:cs="Open Sans"/>
          <w:sz w:val="20"/>
          <w:szCs w:val="20"/>
        </w:rPr>
        <w:t>Funciones</w:t>
      </w:r>
      <w:r w:rsidR="00C56FE1" w:rsidRPr="00257CD4">
        <w:rPr>
          <w:rFonts w:ascii="Open Sans" w:hAnsi="Open Sans" w:cs="Open Sans"/>
          <w:sz w:val="20"/>
          <w:szCs w:val="20"/>
        </w:rPr>
        <w:ptab w:relativeTo="margin" w:alignment="right" w:leader="dot"/>
      </w:r>
      <w:r w:rsidR="00E232A8" w:rsidRPr="00257CD4">
        <w:rPr>
          <w:rFonts w:ascii="Open Sans" w:hAnsi="Open Sans" w:cs="Open Sans"/>
          <w:sz w:val="20"/>
          <w:szCs w:val="20"/>
        </w:rPr>
        <w:t>29</w:t>
      </w:r>
    </w:p>
    <w:p w14:paraId="74A827CB" w14:textId="1CDFAB6C" w:rsidR="003B3BB4" w:rsidRPr="00257CD4" w:rsidRDefault="003B3BB4" w:rsidP="00637696">
      <w:pPr>
        <w:pStyle w:val="Prrafodelista"/>
        <w:numPr>
          <w:ilvl w:val="2"/>
          <w:numId w:val="12"/>
        </w:numPr>
        <w:spacing w:after="0" w:line="276" w:lineRule="auto"/>
        <w:jc w:val="both"/>
        <w:rPr>
          <w:rFonts w:ascii="Open Sans" w:hAnsi="Open Sans" w:cs="Open Sans"/>
          <w:sz w:val="20"/>
          <w:szCs w:val="20"/>
        </w:rPr>
      </w:pPr>
      <w:r w:rsidRPr="00257CD4">
        <w:rPr>
          <w:rFonts w:ascii="Open Sans" w:hAnsi="Open Sans" w:cs="Open Sans"/>
          <w:sz w:val="20"/>
          <w:szCs w:val="20"/>
        </w:rPr>
        <w:t xml:space="preserve">Plan de </w:t>
      </w:r>
      <w:r w:rsidR="00E8375C" w:rsidRPr="00257CD4">
        <w:rPr>
          <w:rFonts w:ascii="Open Sans" w:hAnsi="Open Sans" w:cs="Open Sans"/>
          <w:sz w:val="20"/>
          <w:szCs w:val="20"/>
        </w:rPr>
        <w:t>Fo</w:t>
      </w:r>
      <w:r w:rsidRPr="00257CD4">
        <w:rPr>
          <w:rFonts w:ascii="Open Sans" w:hAnsi="Open Sans" w:cs="Open Sans"/>
          <w:sz w:val="20"/>
          <w:szCs w:val="20"/>
        </w:rPr>
        <w:t>rmación 2019-2020 de la Agencia</w:t>
      </w:r>
      <w:r w:rsidRPr="00257CD4">
        <w:rPr>
          <w:rFonts w:ascii="Open Sans" w:hAnsi="Open Sans" w:cs="Open Sans"/>
          <w:sz w:val="20"/>
          <w:szCs w:val="20"/>
        </w:rPr>
        <w:ptab w:relativeTo="margin" w:alignment="right" w:leader="dot"/>
      </w:r>
      <w:r w:rsidR="00B60A05" w:rsidRPr="00257CD4">
        <w:rPr>
          <w:rFonts w:ascii="Open Sans" w:hAnsi="Open Sans" w:cs="Open Sans"/>
          <w:sz w:val="20"/>
          <w:szCs w:val="20"/>
        </w:rPr>
        <w:t>3</w:t>
      </w:r>
      <w:r w:rsidR="00E232A8" w:rsidRPr="00257CD4">
        <w:rPr>
          <w:rFonts w:ascii="Open Sans" w:hAnsi="Open Sans" w:cs="Open Sans"/>
          <w:sz w:val="20"/>
          <w:szCs w:val="20"/>
        </w:rPr>
        <w:t>0</w:t>
      </w:r>
    </w:p>
    <w:p w14:paraId="720B887C" w14:textId="24E83CEC" w:rsidR="003B3BB4" w:rsidRPr="00257CD4" w:rsidRDefault="003B3BB4" w:rsidP="00637696">
      <w:pPr>
        <w:pStyle w:val="Prrafodelista"/>
        <w:numPr>
          <w:ilvl w:val="2"/>
          <w:numId w:val="12"/>
        </w:numPr>
        <w:spacing w:after="0" w:line="276" w:lineRule="auto"/>
        <w:jc w:val="both"/>
        <w:rPr>
          <w:rFonts w:ascii="Open Sans" w:hAnsi="Open Sans" w:cs="Open Sans"/>
          <w:sz w:val="20"/>
          <w:szCs w:val="20"/>
        </w:rPr>
      </w:pPr>
      <w:r w:rsidRPr="00257CD4">
        <w:rPr>
          <w:rFonts w:ascii="Open Sans" w:hAnsi="Open Sans" w:cs="Open Sans"/>
          <w:sz w:val="20"/>
          <w:szCs w:val="20"/>
        </w:rPr>
        <w:t xml:space="preserve">Formación interna </w:t>
      </w:r>
      <w:r w:rsidRPr="00257CD4">
        <w:rPr>
          <w:rFonts w:ascii="Open Sans" w:hAnsi="Open Sans" w:cs="Open Sans"/>
          <w:sz w:val="20"/>
          <w:szCs w:val="20"/>
        </w:rPr>
        <w:ptab w:relativeTo="margin" w:alignment="right" w:leader="dot"/>
      </w:r>
      <w:r w:rsidR="00B60A05" w:rsidRPr="00257CD4">
        <w:rPr>
          <w:rFonts w:ascii="Open Sans" w:hAnsi="Open Sans" w:cs="Open Sans"/>
          <w:sz w:val="20"/>
          <w:szCs w:val="20"/>
        </w:rPr>
        <w:t>3</w:t>
      </w:r>
      <w:r w:rsidR="00E232A8" w:rsidRPr="00257CD4">
        <w:rPr>
          <w:rFonts w:ascii="Open Sans" w:hAnsi="Open Sans" w:cs="Open Sans"/>
          <w:sz w:val="20"/>
          <w:szCs w:val="20"/>
        </w:rPr>
        <w:t>1</w:t>
      </w:r>
    </w:p>
    <w:p w14:paraId="3F7FF30F" w14:textId="540CCBC0" w:rsidR="003B3BB4" w:rsidRPr="00257CD4" w:rsidRDefault="00A07BE9" w:rsidP="00637696">
      <w:pPr>
        <w:pStyle w:val="Prrafodelista"/>
        <w:numPr>
          <w:ilvl w:val="3"/>
          <w:numId w:val="12"/>
        </w:numPr>
        <w:spacing w:after="0" w:line="276" w:lineRule="auto"/>
        <w:jc w:val="both"/>
        <w:rPr>
          <w:rFonts w:ascii="Open Sans" w:hAnsi="Open Sans" w:cs="Open Sans"/>
          <w:sz w:val="20"/>
          <w:szCs w:val="20"/>
        </w:rPr>
      </w:pPr>
      <w:r w:rsidRPr="00257CD4">
        <w:rPr>
          <w:rFonts w:ascii="Open Sans" w:hAnsi="Open Sans" w:cs="Open Sans"/>
          <w:sz w:val="20"/>
          <w:szCs w:val="20"/>
        </w:rPr>
        <w:t xml:space="preserve"> </w:t>
      </w:r>
      <w:r w:rsidR="00FE5EA0" w:rsidRPr="00257CD4">
        <w:rPr>
          <w:rFonts w:ascii="Open Sans" w:hAnsi="Open Sans" w:cs="Open Sans"/>
          <w:sz w:val="20"/>
          <w:szCs w:val="20"/>
        </w:rPr>
        <w:t>Formación institucional</w:t>
      </w:r>
      <w:r w:rsidR="00AB0843" w:rsidRPr="00257CD4">
        <w:rPr>
          <w:rFonts w:ascii="Open Sans" w:hAnsi="Open Sans" w:cs="Open Sans"/>
          <w:sz w:val="20"/>
          <w:szCs w:val="20"/>
        </w:rPr>
        <w:ptab w:relativeTo="margin" w:alignment="right" w:leader="dot"/>
      </w:r>
      <w:r w:rsidR="00B60A05" w:rsidRPr="00257CD4">
        <w:rPr>
          <w:rFonts w:ascii="Open Sans" w:hAnsi="Open Sans" w:cs="Open Sans"/>
          <w:sz w:val="20"/>
          <w:szCs w:val="20"/>
        </w:rPr>
        <w:t>3</w:t>
      </w:r>
      <w:r w:rsidR="00E232A8" w:rsidRPr="00257CD4">
        <w:rPr>
          <w:rFonts w:ascii="Open Sans" w:hAnsi="Open Sans" w:cs="Open Sans"/>
          <w:sz w:val="20"/>
          <w:szCs w:val="20"/>
        </w:rPr>
        <w:t>1</w:t>
      </w:r>
    </w:p>
    <w:p w14:paraId="2A9C6396" w14:textId="18C63A41" w:rsidR="00FE5EA0" w:rsidRPr="00257CD4" w:rsidRDefault="00A07BE9" w:rsidP="00637696">
      <w:pPr>
        <w:pStyle w:val="Prrafodelista"/>
        <w:numPr>
          <w:ilvl w:val="3"/>
          <w:numId w:val="12"/>
        </w:numPr>
        <w:spacing w:after="0" w:line="276" w:lineRule="auto"/>
        <w:jc w:val="both"/>
        <w:rPr>
          <w:rFonts w:ascii="Open Sans" w:hAnsi="Open Sans" w:cs="Open Sans"/>
          <w:sz w:val="20"/>
          <w:szCs w:val="20"/>
        </w:rPr>
      </w:pPr>
      <w:r w:rsidRPr="00257CD4">
        <w:rPr>
          <w:rFonts w:ascii="Open Sans" w:hAnsi="Open Sans" w:cs="Open Sans"/>
          <w:sz w:val="20"/>
          <w:szCs w:val="20"/>
        </w:rPr>
        <w:t xml:space="preserve"> </w:t>
      </w:r>
      <w:r w:rsidR="00FE5EA0" w:rsidRPr="00257CD4">
        <w:rPr>
          <w:rFonts w:ascii="Open Sans" w:hAnsi="Open Sans" w:cs="Open Sans"/>
          <w:sz w:val="20"/>
          <w:szCs w:val="20"/>
        </w:rPr>
        <w:t>Formación departamental</w:t>
      </w:r>
      <w:r w:rsidR="00AB0843" w:rsidRPr="00257CD4">
        <w:rPr>
          <w:rFonts w:ascii="Open Sans" w:hAnsi="Open Sans" w:cs="Open Sans"/>
          <w:sz w:val="20"/>
          <w:szCs w:val="20"/>
        </w:rPr>
        <w:ptab w:relativeTo="margin" w:alignment="right" w:leader="dot"/>
      </w:r>
      <w:r w:rsidR="00B60A05" w:rsidRPr="00257CD4">
        <w:rPr>
          <w:rFonts w:ascii="Open Sans" w:hAnsi="Open Sans" w:cs="Open Sans"/>
          <w:sz w:val="20"/>
          <w:szCs w:val="20"/>
        </w:rPr>
        <w:t>3</w:t>
      </w:r>
      <w:r w:rsidR="00E232A8" w:rsidRPr="00257CD4">
        <w:rPr>
          <w:rFonts w:ascii="Open Sans" w:hAnsi="Open Sans" w:cs="Open Sans"/>
          <w:sz w:val="20"/>
          <w:szCs w:val="20"/>
        </w:rPr>
        <w:t>2</w:t>
      </w:r>
    </w:p>
    <w:p w14:paraId="4CA542DD" w14:textId="5D79B8A3" w:rsidR="00FE5EA0" w:rsidRPr="00257CD4" w:rsidRDefault="00A07BE9" w:rsidP="00637696">
      <w:pPr>
        <w:pStyle w:val="Prrafodelista"/>
        <w:numPr>
          <w:ilvl w:val="3"/>
          <w:numId w:val="12"/>
        </w:numPr>
        <w:spacing w:after="0" w:line="276" w:lineRule="auto"/>
        <w:jc w:val="both"/>
        <w:rPr>
          <w:rFonts w:ascii="Open Sans" w:hAnsi="Open Sans" w:cs="Open Sans"/>
          <w:sz w:val="20"/>
          <w:szCs w:val="20"/>
        </w:rPr>
      </w:pPr>
      <w:r w:rsidRPr="00257CD4">
        <w:rPr>
          <w:rFonts w:ascii="Open Sans" w:hAnsi="Open Sans" w:cs="Open Sans"/>
          <w:sz w:val="20"/>
          <w:szCs w:val="20"/>
        </w:rPr>
        <w:t xml:space="preserve"> </w:t>
      </w:r>
      <w:r w:rsidR="00FE5EA0" w:rsidRPr="00257CD4">
        <w:rPr>
          <w:rFonts w:ascii="Open Sans" w:hAnsi="Open Sans" w:cs="Open Sans"/>
          <w:sz w:val="20"/>
          <w:szCs w:val="20"/>
        </w:rPr>
        <w:t>Formación instrumental</w:t>
      </w:r>
      <w:r w:rsidR="00AB0843" w:rsidRPr="00257CD4">
        <w:rPr>
          <w:rFonts w:ascii="Open Sans" w:hAnsi="Open Sans" w:cs="Open Sans"/>
          <w:sz w:val="20"/>
          <w:szCs w:val="20"/>
        </w:rPr>
        <w:ptab w:relativeTo="margin" w:alignment="right" w:leader="dot"/>
      </w:r>
      <w:r w:rsidR="00B60A05" w:rsidRPr="00257CD4">
        <w:rPr>
          <w:rFonts w:ascii="Open Sans" w:hAnsi="Open Sans" w:cs="Open Sans"/>
          <w:sz w:val="20"/>
          <w:szCs w:val="20"/>
        </w:rPr>
        <w:t>3</w:t>
      </w:r>
      <w:r w:rsidR="00E232A8" w:rsidRPr="00257CD4">
        <w:rPr>
          <w:rFonts w:ascii="Open Sans" w:hAnsi="Open Sans" w:cs="Open Sans"/>
          <w:sz w:val="20"/>
          <w:szCs w:val="20"/>
        </w:rPr>
        <w:t>3</w:t>
      </w:r>
    </w:p>
    <w:p w14:paraId="7B02FC29" w14:textId="0C16D089" w:rsidR="00667C3E" w:rsidRPr="00257CD4" w:rsidRDefault="00FE5EA0" w:rsidP="00637696">
      <w:pPr>
        <w:pStyle w:val="Prrafodelista"/>
        <w:numPr>
          <w:ilvl w:val="2"/>
          <w:numId w:val="12"/>
        </w:numPr>
        <w:spacing w:line="276" w:lineRule="auto"/>
        <w:jc w:val="both"/>
        <w:rPr>
          <w:rFonts w:ascii="Open Sans" w:hAnsi="Open Sans" w:cs="Open Sans"/>
          <w:sz w:val="20"/>
          <w:szCs w:val="20"/>
        </w:rPr>
      </w:pPr>
      <w:r w:rsidRPr="00257CD4">
        <w:rPr>
          <w:rFonts w:ascii="Open Sans" w:hAnsi="Open Sans" w:cs="Open Sans"/>
          <w:sz w:val="20"/>
          <w:szCs w:val="20"/>
        </w:rPr>
        <w:t>Formación externa</w:t>
      </w:r>
      <w:r w:rsidR="00C56FE1" w:rsidRPr="00257CD4">
        <w:rPr>
          <w:rFonts w:ascii="Open Sans" w:hAnsi="Open Sans" w:cs="Open Sans"/>
          <w:sz w:val="20"/>
          <w:szCs w:val="20"/>
        </w:rPr>
        <w:ptab w:relativeTo="margin" w:alignment="right" w:leader="dot"/>
      </w:r>
      <w:r w:rsidR="008A58B0" w:rsidRPr="00257CD4">
        <w:rPr>
          <w:rFonts w:ascii="Open Sans" w:hAnsi="Open Sans" w:cs="Open Sans"/>
          <w:sz w:val="20"/>
          <w:szCs w:val="20"/>
        </w:rPr>
        <w:t>3</w:t>
      </w:r>
      <w:r w:rsidR="00E232A8" w:rsidRPr="00257CD4">
        <w:rPr>
          <w:rFonts w:ascii="Open Sans" w:hAnsi="Open Sans" w:cs="Open Sans"/>
          <w:sz w:val="20"/>
          <w:szCs w:val="20"/>
        </w:rPr>
        <w:t>5</w:t>
      </w:r>
    </w:p>
    <w:p w14:paraId="3C90B5F8" w14:textId="68BA94B2" w:rsidR="005E7B93" w:rsidRPr="00257CD4" w:rsidRDefault="00A07BE9" w:rsidP="00637696">
      <w:pPr>
        <w:pStyle w:val="Prrafodelista"/>
        <w:numPr>
          <w:ilvl w:val="3"/>
          <w:numId w:val="12"/>
        </w:numPr>
        <w:spacing w:line="276" w:lineRule="auto"/>
        <w:jc w:val="both"/>
        <w:rPr>
          <w:rFonts w:ascii="Open Sans" w:hAnsi="Open Sans" w:cs="Open Sans"/>
          <w:sz w:val="20"/>
          <w:szCs w:val="20"/>
        </w:rPr>
      </w:pPr>
      <w:r w:rsidRPr="00257CD4">
        <w:rPr>
          <w:rFonts w:ascii="Open Sans" w:hAnsi="Open Sans" w:cs="Open Sans"/>
          <w:sz w:val="20"/>
          <w:szCs w:val="20"/>
        </w:rPr>
        <w:t xml:space="preserve"> </w:t>
      </w:r>
      <w:r w:rsidR="00FE5EA0" w:rsidRPr="00257CD4">
        <w:rPr>
          <w:rFonts w:ascii="Open Sans" w:hAnsi="Open Sans" w:cs="Open Sans"/>
          <w:sz w:val="20"/>
          <w:szCs w:val="20"/>
        </w:rPr>
        <w:t>Función Pública</w:t>
      </w:r>
      <w:r w:rsidR="00667C3E" w:rsidRPr="00257CD4">
        <w:rPr>
          <w:rFonts w:ascii="Open Sans" w:hAnsi="Open Sans" w:cs="Open Sans"/>
          <w:sz w:val="20"/>
          <w:szCs w:val="20"/>
        </w:rPr>
        <w:ptab w:relativeTo="margin" w:alignment="right" w:leader="dot"/>
      </w:r>
      <w:r w:rsidR="008A58B0" w:rsidRPr="00257CD4">
        <w:rPr>
          <w:rFonts w:ascii="Open Sans" w:hAnsi="Open Sans" w:cs="Open Sans"/>
          <w:sz w:val="20"/>
          <w:szCs w:val="20"/>
        </w:rPr>
        <w:t>3</w:t>
      </w:r>
      <w:r w:rsidR="00E232A8" w:rsidRPr="00257CD4">
        <w:rPr>
          <w:rFonts w:ascii="Open Sans" w:hAnsi="Open Sans" w:cs="Open Sans"/>
          <w:sz w:val="20"/>
          <w:szCs w:val="20"/>
        </w:rPr>
        <w:t>7</w:t>
      </w:r>
    </w:p>
    <w:p w14:paraId="589F2CD3" w14:textId="413B0DD2" w:rsidR="00934176" w:rsidRPr="00257CD4" w:rsidRDefault="00A07BE9" w:rsidP="0019430F">
      <w:pPr>
        <w:pStyle w:val="Prrafodelista"/>
        <w:numPr>
          <w:ilvl w:val="3"/>
          <w:numId w:val="12"/>
        </w:numPr>
        <w:spacing w:line="276" w:lineRule="auto"/>
        <w:jc w:val="both"/>
        <w:rPr>
          <w:rFonts w:ascii="Open Sans" w:hAnsi="Open Sans" w:cs="Open Sans"/>
          <w:sz w:val="20"/>
          <w:szCs w:val="20"/>
        </w:rPr>
      </w:pPr>
      <w:r w:rsidRPr="00257CD4">
        <w:rPr>
          <w:rFonts w:ascii="Open Sans" w:hAnsi="Open Sans" w:cs="Open Sans"/>
          <w:sz w:val="20"/>
          <w:szCs w:val="20"/>
        </w:rPr>
        <w:t xml:space="preserve"> </w:t>
      </w:r>
      <w:r w:rsidR="00667C3E" w:rsidRPr="00257CD4">
        <w:rPr>
          <w:rFonts w:ascii="Open Sans" w:hAnsi="Open Sans" w:cs="Open Sans"/>
          <w:sz w:val="20"/>
          <w:szCs w:val="20"/>
        </w:rPr>
        <w:t>Ciudadanía</w:t>
      </w:r>
      <w:r w:rsidR="00C56FE1" w:rsidRPr="00257CD4">
        <w:rPr>
          <w:rFonts w:ascii="Open Sans" w:hAnsi="Open Sans" w:cs="Open Sans"/>
          <w:sz w:val="20"/>
          <w:szCs w:val="20"/>
        </w:rPr>
        <w:ptab w:relativeTo="margin" w:alignment="right" w:leader="dot"/>
      </w:r>
      <w:r w:rsidR="008A58B0" w:rsidRPr="00257CD4">
        <w:rPr>
          <w:rFonts w:ascii="Open Sans" w:hAnsi="Open Sans" w:cs="Open Sans"/>
          <w:sz w:val="20"/>
          <w:szCs w:val="20"/>
        </w:rPr>
        <w:t>3</w:t>
      </w:r>
      <w:r w:rsidR="00E232A8" w:rsidRPr="00257CD4">
        <w:rPr>
          <w:rFonts w:ascii="Open Sans" w:hAnsi="Open Sans" w:cs="Open Sans"/>
          <w:sz w:val="20"/>
          <w:szCs w:val="20"/>
        </w:rPr>
        <w:t>7</w:t>
      </w:r>
    </w:p>
    <w:p w14:paraId="6D3E1CBF" w14:textId="5F329CBD" w:rsidR="0019430F" w:rsidRPr="00257CD4" w:rsidRDefault="0019430F" w:rsidP="0019430F">
      <w:pPr>
        <w:pStyle w:val="Prrafodelista"/>
        <w:numPr>
          <w:ilvl w:val="2"/>
          <w:numId w:val="12"/>
        </w:numPr>
        <w:spacing w:line="276" w:lineRule="auto"/>
        <w:jc w:val="both"/>
        <w:rPr>
          <w:rFonts w:ascii="Open Sans" w:hAnsi="Open Sans" w:cs="Open Sans"/>
          <w:sz w:val="20"/>
          <w:szCs w:val="20"/>
        </w:rPr>
      </w:pPr>
      <w:r w:rsidRPr="00257CD4">
        <w:rPr>
          <w:rFonts w:ascii="Open Sans" w:hAnsi="Open Sans" w:cs="Open Sans"/>
          <w:sz w:val="20"/>
          <w:szCs w:val="20"/>
        </w:rPr>
        <w:t>Principales resultados</w:t>
      </w:r>
      <w:r w:rsidRPr="00257CD4">
        <w:rPr>
          <w:rFonts w:ascii="Open Sans" w:hAnsi="Open Sans" w:cs="Open Sans"/>
          <w:sz w:val="20"/>
          <w:szCs w:val="20"/>
        </w:rPr>
        <w:tab/>
      </w:r>
      <w:r w:rsidRPr="00257CD4">
        <w:rPr>
          <w:rFonts w:ascii="Open Sans" w:hAnsi="Open Sans" w:cs="Open Sans"/>
          <w:sz w:val="20"/>
          <w:szCs w:val="20"/>
        </w:rPr>
        <w:tab/>
      </w:r>
      <w:r w:rsidRPr="00257CD4">
        <w:rPr>
          <w:rFonts w:ascii="Open Sans" w:hAnsi="Open Sans" w:cs="Open Sans"/>
          <w:sz w:val="20"/>
          <w:szCs w:val="20"/>
        </w:rPr>
        <w:tab/>
      </w:r>
      <w:r w:rsidRPr="00257CD4">
        <w:rPr>
          <w:rFonts w:ascii="Open Sans" w:hAnsi="Open Sans" w:cs="Open Sans"/>
          <w:sz w:val="20"/>
          <w:szCs w:val="20"/>
        </w:rPr>
        <w:tab/>
      </w:r>
      <w:r w:rsidRPr="00257CD4">
        <w:rPr>
          <w:rFonts w:ascii="Open Sans" w:hAnsi="Open Sans" w:cs="Open Sans"/>
          <w:sz w:val="20"/>
          <w:szCs w:val="20"/>
        </w:rPr>
        <w:tab/>
      </w:r>
      <w:r w:rsidRPr="00257CD4">
        <w:rPr>
          <w:rFonts w:ascii="Open Sans" w:hAnsi="Open Sans" w:cs="Open Sans"/>
          <w:sz w:val="20"/>
          <w:szCs w:val="20"/>
        </w:rPr>
        <w:tab/>
      </w:r>
      <w:r w:rsidRPr="00257CD4">
        <w:rPr>
          <w:rFonts w:ascii="Open Sans" w:hAnsi="Open Sans" w:cs="Open Sans"/>
          <w:sz w:val="20"/>
          <w:szCs w:val="20"/>
        </w:rPr>
        <w:ptab w:relativeTo="margin" w:alignment="right" w:leader="dot"/>
      </w:r>
      <w:r w:rsidRPr="00257CD4">
        <w:rPr>
          <w:rFonts w:ascii="Open Sans" w:hAnsi="Open Sans" w:cs="Open Sans"/>
          <w:sz w:val="20"/>
          <w:szCs w:val="20"/>
        </w:rPr>
        <w:t>4</w:t>
      </w:r>
      <w:r w:rsidR="00017E5E">
        <w:rPr>
          <w:rFonts w:ascii="Open Sans" w:hAnsi="Open Sans" w:cs="Open Sans"/>
          <w:sz w:val="20"/>
          <w:szCs w:val="20"/>
        </w:rPr>
        <w:t>8</w:t>
      </w:r>
    </w:p>
    <w:p w14:paraId="3E152F11" w14:textId="77777777" w:rsidR="0019430F" w:rsidRPr="005667AF" w:rsidRDefault="0019430F" w:rsidP="0019430F">
      <w:pPr>
        <w:pStyle w:val="Prrafodelista"/>
        <w:spacing w:line="276" w:lineRule="auto"/>
        <w:ind w:left="1225"/>
        <w:jc w:val="both"/>
        <w:rPr>
          <w:rFonts w:ascii="Open Sans" w:hAnsi="Open Sans" w:cs="Open Sans"/>
          <w:b/>
          <w:sz w:val="20"/>
          <w:szCs w:val="20"/>
        </w:rPr>
      </w:pPr>
    </w:p>
    <w:p w14:paraId="1C11877A" w14:textId="156E7936" w:rsidR="003F2F5A" w:rsidRPr="005667AF" w:rsidRDefault="00C9771B" w:rsidP="00637696">
      <w:pPr>
        <w:pStyle w:val="Prrafodelista"/>
        <w:numPr>
          <w:ilvl w:val="0"/>
          <w:numId w:val="12"/>
        </w:numPr>
        <w:spacing w:line="276" w:lineRule="auto"/>
        <w:jc w:val="both"/>
        <w:rPr>
          <w:rFonts w:ascii="Open Sans" w:hAnsi="Open Sans" w:cs="Open Sans"/>
          <w:b/>
          <w:sz w:val="20"/>
          <w:szCs w:val="20"/>
        </w:rPr>
      </w:pPr>
      <w:r w:rsidRPr="005667AF">
        <w:rPr>
          <w:rFonts w:ascii="Open Sans" w:hAnsi="Open Sans" w:cs="Open Sans"/>
          <w:b/>
          <w:sz w:val="20"/>
          <w:szCs w:val="20"/>
        </w:rPr>
        <w:t xml:space="preserve">Análisis e </w:t>
      </w:r>
      <w:r w:rsidR="004F2FD1" w:rsidRPr="005667AF">
        <w:rPr>
          <w:rFonts w:ascii="Open Sans" w:hAnsi="Open Sans" w:cs="Open Sans"/>
          <w:b/>
          <w:sz w:val="20"/>
          <w:szCs w:val="20"/>
        </w:rPr>
        <w:t>i</w:t>
      </w:r>
      <w:r w:rsidRPr="005667AF">
        <w:rPr>
          <w:rFonts w:ascii="Open Sans" w:hAnsi="Open Sans" w:cs="Open Sans"/>
          <w:b/>
          <w:sz w:val="20"/>
          <w:szCs w:val="20"/>
        </w:rPr>
        <w:t>nvestigación</w:t>
      </w:r>
      <w:r w:rsidRPr="005667AF">
        <w:rPr>
          <w:rFonts w:ascii="Open Sans" w:hAnsi="Open Sans" w:cs="Open Sans"/>
          <w:b/>
          <w:sz w:val="20"/>
          <w:szCs w:val="20"/>
        </w:rPr>
        <w:ptab w:relativeTo="margin" w:alignment="right" w:leader="dot"/>
      </w:r>
      <w:r w:rsidR="00E232A8" w:rsidRPr="005667AF">
        <w:rPr>
          <w:rFonts w:ascii="Open Sans" w:hAnsi="Open Sans" w:cs="Open Sans"/>
          <w:b/>
          <w:sz w:val="20"/>
          <w:szCs w:val="20"/>
        </w:rPr>
        <w:t>4</w:t>
      </w:r>
      <w:r w:rsidR="00017E5E">
        <w:rPr>
          <w:rFonts w:ascii="Open Sans" w:hAnsi="Open Sans" w:cs="Open Sans"/>
          <w:b/>
          <w:sz w:val="20"/>
          <w:szCs w:val="20"/>
        </w:rPr>
        <w:t>9</w:t>
      </w:r>
    </w:p>
    <w:p w14:paraId="678719C0" w14:textId="219C0F21" w:rsidR="003F2F5A" w:rsidRPr="00257CD4" w:rsidRDefault="00B11BFA" w:rsidP="00637696">
      <w:pPr>
        <w:pStyle w:val="Prrafodelista"/>
        <w:numPr>
          <w:ilvl w:val="1"/>
          <w:numId w:val="12"/>
        </w:numPr>
        <w:spacing w:line="276" w:lineRule="auto"/>
        <w:jc w:val="both"/>
        <w:rPr>
          <w:rFonts w:ascii="Open Sans" w:hAnsi="Open Sans" w:cs="Open Sans"/>
          <w:sz w:val="20"/>
          <w:szCs w:val="20"/>
        </w:rPr>
      </w:pPr>
      <w:r>
        <w:rPr>
          <w:rFonts w:ascii="Open Sans" w:hAnsi="Open Sans" w:cs="Open Sans"/>
          <w:sz w:val="20"/>
          <w:szCs w:val="20"/>
        </w:rPr>
        <w:t xml:space="preserve"> </w:t>
      </w:r>
      <w:r w:rsidR="00C9771B" w:rsidRPr="00257CD4">
        <w:rPr>
          <w:rFonts w:ascii="Open Sans" w:hAnsi="Open Sans" w:cs="Open Sans"/>
          <w:sz w:val="20"/>
          <w:szCs w:val="20"/>
        </w:rPr>
        <w:t>Presentación</w:t>
      </w:r>
      <w:r w:rsidR="00C9771B" w:rsidRPr="00257CD4">
        <w:rPr>
          <w:rFonts w:ascii="Open Sans" w:hAnsi="Open Sans" w:cs="Open Sans"/>
          <w:sz w:val="20"/>
          <w:szCs w:val="20"/>
        </w:rPr>
        <w:ptab w:relativeTo="margin" w:alignment="right" w:leader="dot"/>
      </w:r>
      <w:r w:rsidR="00E232A8" w:rsidRPr="00257CD4">
        <w:rPr>
          <w:rFonts w:ascii="Open Sans" w:hAnsi="Open Sans" w:cs="Open Sans"/>
          <w:sz w:val="20"/>
          <w:szCs w:val="20"/>
        </w:rPr>
        <w:t>4</w:t>
      </w:r>
      <w:r w:rsidR="00017E5E">
        <w:rPr>
          <w:rFonts w:ascii="Open Sans" w:hAnsi="Open Sans" w:cs="Open Sans"/>
          <w:sz w:val="20"/>
          <w:szCs w:val="20"/>
        </w:rPr>
        <w:t>9</w:t>
      </w:r>
    </w:p>
    <w:p w14:paraId="44F3D110" w14:textId="7AFD30E3" w:rsidR="00C9771B" w:rsidRPr="00257CD4" w:rsidRDefault="00B11BFA" w:rsidP="00637696">
      <w:pPr>
        <w:pStyle w:val="Prrafodelista"/>
        <w:numPr>
          <w:ilvl w:val="1"/>
          <w:numId w:val="12"/>
        </w:numPr>
        <w:spacing w:line="276" w:lineRule="auto"/>
        <w:jc w:val="both"/>
        <w:rPr>
          <w:rFonts w:ascii="Open Sans" w:hAnsi="Open Sans" w:cs="Open Sans"/>
          <w:sz w:val="20"/>
          <w:szCs w:val="20"/>
        </w:rPr>
      </w:pPr>
      <w:r>
        <w:rPr>
          <w:rFonts w:ascii="Open Sans" w:hAnsi="Open Sans" w:cs="Open Sans"/>
          <w:sz w:val="20"/>
          <w:szCs w:val="20"/>
        </w:rPr>
        <w:t xml:space="preserve"> </w:t>
      </w:r>
      <w:r w:rsidR="00C9771B" w:rsidRPr="00257CD4">
        <w:rPr>
          <w:rFonts w:ascii="Open Sans" w:hAnsi="Open Sans" w:cs="Open Sans"/>
          <w:sz w:val="20"/>
          <w:szCs w:val="20"/>
        </w:rPr>
        <w:t>Marco jurídico, funciones y organización</w:t>
      </w:r>
      <w:r w:rsidR="00220772" w:rsidRPr="00257CD4">
        <w:rPr>
          <w:rFonts w:ascii="Open Sans" w:hAnsi="Open Sans" w:cs="Open Sans"/>
          <w:sz w:val="20"/>
          <w:szCs w:val="20"/>
        </w:rPr>
        <w:ptab w:relativeTo="margin" w:alignment="right" w:leader="dot"/>
      </w:r>
      <w:r w:rsidR="00E74ACD" w:rsidRPr="00257CD4">
        <w:rPr>
          <w:rFonts w:ascii="Open Sans" w:hAnsi="Open Sans" w:cs="Open Sans"/>
          <w:sz w:val="20"/>
          <w:szCs w:val="20"/>
        </w:rPr>
        <w:t>……………………………………………………………………</w:t>
      </w:r>
      <w:r w:rsidR="00220772" w:rsidRPr="00257CD4">
        <w:rPr>
          <w:rFonts w:ascii="Open Sans" w:hAnsi="Open Sans" w:cs="Open Sans"/>
          <w:sz w:val="20"/>
          <w:szCs w:val="20"/>
        </w:rPr>
        <w:t>5</w:t>
      </w:r>
      <w:r w:rsidR="00017E5E">
        <w:rPr>
          <w:rFonts w:ascii="Open Sans" w:hAnsi="Open Sans" w:cs="Open Sans"/>
          <w:sz w:val="20"/>
          <w:szCs w:val="20"/>
        </w:rPr>
        <w:t>1</w:t>
      </w:r>
    </w:p>
    <w:p w14:paraId="58A82562" w14:textId="5E4974BE" w:rsidR="00C9771B" w:rsidRPr="00257CD4" w:rsidRDefault="00B11BFA" w:rsidP="00636294">
      <w:pPr>
        <w:pStyle w:val="Prrafodelista"/>
        <w:numPr>
          <w:ilvl w:val="1"/>
          <w:numId w:val="12"/>
        </w:numPr>
        <w:spacing w:line="276" w:lineRule="auto"/>
        <w:jc w:val="both"/>
        <w:rPr>
          <w:rFonts w:ascii="Open Sans" w:hAnsi="Open Sans" w:cs="Open Sans"/>
          <w:sz w:val="20"/>
          <w:szCs w:val="20"/>
        </w:rPr>
      </w:pPr>
      <w:r>
        <w:rPr>
          <w:rFonts w:ascii="Open Sans" w:hAnsi="Open Sans" w:cs="Open Sans"/>
          <w:sz w:val="20"/>
          <w:szCs w:val="20"/>
        </w:rPr>
        <w:t xml:space="preserve"> </w:t>
      </w:r>
      <w:r w:rsidR="00C9771B" w:rsidRPr="00257CD4">
        <w:rPr>
          <w:rFonts w:ascii="Open Sans" w:hAnsi="Open Sans" w:cs="Open Sans"/>
          <w:sz w:val="20"/>
          <w:szCs w:val="20"/>
        </w:rPr>
        <w:t xml:space="preserve">Denuncias </w:t>
      </w:r>
      <w:r w:rsidR="00220772" w:rsidRPr="00257CD4">
        <w:rPr>
          <w:rFonts w:ascii="Open Sans" w:hAnsi="Open Sans" w:cs="Open Sans"/>
          <w:sz w:val="20"/>
          <w:szCs w:val="20"/>
        </w:rPr>
        <w:ptab w:relativeTo="margin" w:alignment="right" w:leader="dot"/>
      </w:r>
      <w:r w:rsidR="00220772" w:rsidRPr="00257CD4">
        <w:rPr>
          <w:rFonts w:ascii="Open Sans" w:hAnsi="Open Sans" w:cs="Open Sans"/>
          <w:sz w:val="20"/>
          <w:szCs w:val="20"/>
        </w:rPr>
        <w:t>5</w:t>
      </w:r>
      <w:r w:rsidR="00C374F5">
        <w:rPr>
          <w:rFonts w:ascii="Open Sans" w:hAnsi="Open Sans" w:cs="Open Sans"/>
          <w:sz w:val="20"/>
          <w:szCs w:val="20"/>
        </w:rPr>
        <w:t>6</w:t>
      </w:r>
    </w:p>
    <w:p w14:paraId="688B7739" w14:textId="4C3096E0" w:rsidR="00636294" w:rsidRPr="00257CD4" w:rsidRDefault="00C9771B" w:rsidP="00636294">
      <w:pPr>
        <w:pStyle w:val="Prrafodelista"/>
        <w:numPr>
          <w:ilvl w:val="2"/>
          <w:numId w:val="12"/>
        </w:numPr>
        <w:spacing w:line="276" w:lineRule="auto"/>
        <w:jc w:val="both"/>
        <w:rPr>
          <w:rFonts w:ascii="Open Sans" w:hAnsi="Open Sans" w:cs="Open Sans"/>
          <w:sz w:val="20"/>
          <w:szCs w:val="20"/>
        </w:rPr>
      </w:pPr>
      <w:r w:rsidRPr="00257CD4">
        <w:rPr>
          <w:rFonts w:ascii="Open Sans" w:hAnsi="Open Sans" w:cs="Open Sans"/>
          <w:sz w:val="20"/>
          <w:szCs w:val="20"/>
        </w:rPr>
        <w:t>Denuncias presentadas por ámbito subjetivo</w:t>
      </w:r>
      <w:r w:rsidRPr="00257CD4">
        <w:rPr>
          <w:rFonts w:ascii="Open Sans" w:hAnsi="Open Sans" w:cs="Open Sans"/>
          <w:sz w:val="20"/>
          <w:szCs w:val="20"/>
        </w:rPr>
        <w:ptab w:relativeTo="margin" w:alignment="right" w:leader="dot"/>
      </w:r>
      <w:r w:rsidR="00220772" w:rsidRPr="00257CD4">
        <w:rPr>
          <w:rFonts w:ascii="Open Sans" w:hAnsi="Open Sans" w:cs="Open Sans"/>
          <w:sz w:val="20"/>
          <w:szCs w:val="20"/>
        </w:rPr>
        <w:t>5</w:t>
      </w:r>
      <w:r w:rsidR="00D457C5">
        <w:rPr>
          <w:rFonts w:ascii="Open Sans" w:hAnsi="Open Sans" w:cs="Open Sans"/>
          <w:sz w:val="20"/>
          <w:szCs w:val="20"/>
        </w:rPr>
        <w:t>7</w:t>
      </w:r>
    </w:p>
    <w:p w14:paraId="3B243D50" w14:textId="7C2A5875" w:rsidR="00636294" w:rsidRPr="00257CD4" w:rsidRDefault="00C9771B" w:rsidP="00636294">
      <w:pPr>
        <w:pStyle w:val="Prrafodelista"/>
        <w:numPr>
          <w:ilvl w:val="2"/>
          <w:numId w:val="12"/>
        </w:numPr>
        <w:spacing w:line="276" w:lineRule="auto"/>
        <w:jc w:val="both"/>
        <w:rPr>
          <w:rFonts w:ascii="Open Sans" w:hAnsi="Open Sans" w:cs="Open Sans"/>
          <w:sz w:val="20"/>
          <w:szCs w:val="20"/>
        </w:rPr>
      </w:pPr>
      <w:r w:rsidRPr="00257CD4">
        <w:rPr>
          <w:rFonts w:ascii="Open Sans" w:hAnsi="Open Sans" w:cs="Open Sans"/>
          <w:sz w:val="20"/>
          <w:szCs w:val="20"/>
        </w:rPr>
        <w:t>Denuncias presentadas según el canal de comunicación</w:t>
      </w:r>
      <w:r w:rsidRPr="00257CD4">
        <w:rPr>
          <w:rFonts w:ascii="Open Sans" w:hAnsi="Open Sans" w:cs="Open Sans"/>
          <w:sz w:val="20"/>
          <w:szCs w:val="20"/>
        </w:rPr>
        <w:ptab w:relativeTo="margin" w:alignment="right" w:leader="dot"/>
      </w:r>
      <w:r w:rsidR="00E232A8" w:rsidRPr="00257CD4">
        <w:rPr>
          <w:rFonts w:ascii="Open Sans" w:hAnsi="Open Sans" w:cs="Open Sans"/>
          <w:sz w:val="20"/>
          <w:szCs w:val="20"/>
        </w:rPr>
        <w:t>5</w:t>
      </w:r>
      <w:r w:rsidR="00D457C5">
        <w:rPr>
          <w:rFonts w:ascii="Open Sans" w:hAnsi="Open Sans" w:cs="Open Sans"/>
          <w:sz w:val="20"/>
          <w:szCs w:val="20"/>
        </w:rPr>
        <w:t>8</w:t>
      </w:r>
    </w:p>
    <w:p w14:paraId="4F313BB9" w14:textId="6416BF30" w:rsidR="00636294" w:rsidRPr="00257CD4" w:rsidRDefault="00C9771B" w:rsidP="00636294">
      <w:pPr>
        <w:pStyle w:val="Prrafodelista"/>
        <w:numPr>
          <w:ilvl w:val="2"/>
          <w:numId w:val="12"/>
        </w:numPr>
        <w:spacing w:line="276" w:lineRule="auto"/>
        <w:jc w:val="both"/>
        <w:rPr>
          <w:rFonts w:ascii="Open Sans" w:hAnsi="Open Sans" w:cs="Open Sans"/>
          <w:sz w:val="20"/>
          <w:szCs w:val="20"/>
        </w:rPr>
      </w:pPr>
      <w:r w:rsidRPr="00257CD4">
        <w:rPr>
          <w:rFonts w:ascii="Open Sans" w:hAnsi="Open Sans" w:cs="Open Sans"/>
          <w:sz w:val="20"/>
          <w:szCs w:val="20"/>
        </w:rPr>
        <w:t xml:space="preserve">Denuncias presentadas según </w:t>
      </w:r>
      <w:r w:rsidR="00EC46CF" w:rsidRPr="00257CD4">
        <w:rPr>
          <w:rFonts w:ascii="Open Sans" w:hAnsi="Open Sans" w:cs="Open Sans"/>
          <w:sz w:val="20"/>
          <w:szCs w:val="20"/>
        </w:rPr>
        <w:t>el territorio</w:t>
      </w:r>
      <w:r w:rsidRPr="00257CD4">
        <w:rPr>
          <w:rFonts w:ascii="Open Sans" w:hAnsi="Open Sans" w:cs="Open Sans"/>
          <w:sz w:val="20"/>
          <w:szCs w:val="20"/>
        </w:rPr>
        <w:ptab w:relativeTo="margin" w:alignment="right" w:leader="dot"/>
      </w:r>
      <w:r w:rsidR="00C374F5">
        <w:rPr>
          <w:rFonts w:ascii="Open Sans" w:hAnsi="Open Sans" w:cs="Open Sans"/>
          <w:sz w:val="20"/>
          <w:szCs w:val="20"/>
        </w:rPr>
        <w:t>60</w:t>
      </w:r>
    </w:p>
    <w:p w14:paraId="67B56270" w14:textId="4EE8B40E" w:rsidR="00636294" w:rsidRPr="00257CD4" w:rsidRDefault="00C9771B" w:rsidP="00636294">
      <w:pPr>
        <w:pStyle w:val="Prrafodelista"/>
        <w:numPr>
          <w:ilvl w:val="2"/>
          <w:numId w:val="12"/>
        </w:numPr>
        <w:spacing w:line="276" w:lineRule="auto"/>
        <w:jc w:val="both"/>
        <w:rPr>
          <w:rFonts w:ascii="Open Sans" w:hAnsi="Open Sans" w:cs="Open Sans"/>
          <w:sz w:val="20"/>
          <w:szCs w:val="20"/>
        </w:rPr>
      </w:pPr>
      <w:r w:rsidRPr="00257CD4">
        <w:rPr>
          <w:rFonts w:ascii="Open Sans" w:hAnsi="Open Sans" w:cs="Open Sans"/>
          <w:sz w:val="20"/>
          <w:szCs w:val="20"/>
        </w:rPr>
        <w:t>Denuncias presentadas según el ámbito material</w:t>
      </w:r>
      <w:r w:rsidRPr="00257CD4">
        <w:rPr>
          <w:rFonts w:ascii="Open Sans" w:hAnsi="Open Sans" w:cs="Open Sans"/>
          <w:sz w:val="20"/>
          <w:szCs w:val="20"/>
        </w:rPr>
        <w:ptab w:relativeTo="margin" w:alignment="right" w:leader="dot"/>
      </w:r>
      <w:r w:rsidR="00220772" w:rsidRPr="00257CD4">
        <w:rPr>
          <w:rFonts w:ascii="Open Sans" w:hAnsi="Open Sans" w:cs="Open Sans"/>
          <w:sz w:val="20"/>
          <w:szCs w:val="20"/>
        </w:rPr>
        <w:t>6</w:t>
      </w:r>
      <w:r w:rsidR="00C374F5">
        <w:rPr>
          <w:rFonts w:ascii="Open Sans" w:hAnsi="Open Sans" w:cs="Open Sans"/>
          <w:sz w:val="20"/>
          <w:szCs w:val="20"/>
        </w:rPr>
        <w:t>1</w:t>
      </w:r>
    </w:p>
    <w:p w14:paraId="616CAC27" w14:textId="4F893D0F" w:rsidR="00636294" w:rsidRPr="00257CD4" w:rsidRDefault="00C9771B" w:rsidP="00636294">
      <w:pPr>
        <w:pStyle w:val="Prrafodelista"/>
        <w:numPr>
          <w:ilvl w:val="2"/>
          <w:numId w:val="12"/>
        </w:numPr>
        <w:spacing w:line="276" w:lineRule="auto"/>
        <w:jc w:val="both"/>
        <w:rPr>
          <w:rFonts w:ascii="Open Sans" w:hAnsi="Open Sans" w:cs="Open Sans"/>
          <w:sz w:val="20"/>
          <w:szCs w:val="20"/>
        </w:rPr>
      </w:pPr>
      <w:r w:rsidRPr="00257CD4">
        <w:rPr>
          <w:rFonts w:ascii="Open Sans" w:hAnsi="Open Sans" w:cs="Open Sans"/>
          <w:sz w:val="20"/>
          <w:szCs w:val="20"/>
        </w:rPr>
        <w:t>Denuncias presentadas según la tipología, condición o naturaleza del comunicante</w:t>
      </w:r>
      <w:r w:rsidRPr="00257CD4">
        <w:rPr>
          <w:rFonts w:ascii="Open Sans" w:hAnsi="Open Sans" w:cs="Open Sans"/>
          <w:sz w:val="20"/>
          <w:szCs w:val="20"/>
        </w:rPr>
        <w:ptab w:relativeTo="margin" w:alignment="right" w:leader="dot"/>
      </w:r>
      <w:r w:rsidR="000C499C" w:rsidRPr="00257CD4">
        <w:rPr>
          <w:rFonts w:ascii="Open Sans" w:hAnsi="Open Sans" w:cs="Open Sans"/>
          <w:sz w:val="20"/>
          <w:szCs w:val="20"/>
        </w:rPr>
        <w:t>6</w:t>
      </w:r>
      <w:r w:rsidR="00C374F5">
        <w:rPr>
          <w:rFonts w:ascii="Open Sans" w:hAnsi="Open Sans" w:cs="Open Sans"/>
          <w:sz w:val="20"/>
          <w:szCs w:val="20"/>
        </w:rPr>
        <w:t>3</w:t>
      </w:r>
    </w:p>
    <w:p w14:paraId="5309A7D6" w14:textId="7807E08A" w:rsidR="000C701C" w:rsidRPr="00257CD4" w:rsidRDefault="00C914B0" w:rsidP="000C701C">
      <w:pPr>
        <w:pStyle w:val="Prrafodelista"/>
        <w:numPr>
          <w:ilvl w:val="2"/>
          <w:numId w:val="12"/>
        </w:numPr>
        <w:spacing w:line="276" w:lineRule="auto"/>
        <w:jc w:val="both"/>
        <w:rPr>
          <w:rFonts w:ascii="Open Sans" w:hAnsi="Open Sans" w:cs="Open Sans"/>
          <w:sz w:val="20"/>
          <w:szCs w:val="20"/>
        </w:rPr>
      </w:pPr>
      <w:r w:rsidRPr="00257CD4">
        <w:rPr>
          <w:rFonts w:ascii="Open Sans" w:hAnsi="Open Sans" w:cs="Open Sans"/>
          <w:sz w:val="20"/>
          <w:szCs w:val="20"/>
        </w:rPr>
        <w:t>Denuncias de personas físicas clasificadas por género</w:t>
      </w:r>
      <w:r w:rsidRPr="00257CD4">
        <w:rPr>
          <w:rFonts w:ascii="Open Sans" w:hAnsi="Open Sans" w:cs="Open Sans"/>
          <w:sz w:val="20"/>
          <w:szCs w:val="20"/>
        </w:rPr>
        <w:ptab w:relativeTo="margin" w:alignment="right" w:leader="dot"/>
      </w:r>
      <w:r w:rsidR="000C499C" w:rsidRPr="00257CD4">
        <w:rPr>
          <w:rFonts w:ascii="Open Sans" w:hAnsi="Open Sans" w:cs="Open Sans"/>
          <w:sz w:val="20"/>
          <w:szCs w:val="20"/>
        </w:rPr>
        <w:t>6</w:t>
      </w:r>
      <w:r w:rsidR="00C374F5">
        <w:rPr>
          <w:rFonts w:ascii="Open Sans" w:hAnsi="Open Sans" w:cs="Open Sans"/>
          <w:sz w:val="20"/>
          <w:szCs w:val="20"/>
        </w:rPr>
        <w:t>5</w:t>
      </w:r>
    </w:p>
    <w:p w14:paraId="28FFF1B1" w14:textId="431075AA" w:rsidR="000C701C" w:rsidRPr="00257CD4" w:rsidRDefault="00B11BFA" w:rsidP="000C701C">
      <w:pPr>
        <w:pStyle w:val="Prrafodelista"/>
        <w:numPr>
          <w:ilvl w:val="1"/>
          <w:numId w:val="12"/>
        </w:numPr>
        <w:spacing w:line="276" w:lineRule="auto"/>
        <w:jc w:val="both"/>
        <w:rPr>
          <w:rFonts w:ascii="Open Sans" w:hAnsi="Open Sans" w:cs="Open Sans"/>
          <w:sz w:val="20"/>
          <w:szCs w:val="20"/>
        </w:rPr>
      </w:pPr>
      <w:r>
        <w:rPr>
          <w:rFonts w:ascii="Open Sans" w:hAnsi="Open Sans" w:cs="Open Sans"/>
          <w:sz w:val="20"/>
          <w:szCs w:val="20"/>
        </w:rPr>
        <w:t xml:space="preserve"> </w:t>
      </w:r>
      <w:r w:rsidR="00C914B0" w:rsidRPr="00257CD4">
        <w:rPr>
          <w:rFonts w:ascii="Open Sans" w:hAnsi="Open Sans" w:cs="Open Sans"/>
          <w:sz w:val="20"/>
          <w:szCs w:val="20"/>
        </w:rPr>
        <w:t>Procedimiento de análisis e investigación. Seguimiento de actuaciones</w:t>
      </w:r>
      <w:r w:rsidR="00C914B0" w:rsidRPr="00257CD4">
        <w:rPr>
          <w:rFonts w:ascii="Open Sans" w:hAnsi="Open Sans" w:cs="Open Sans"/>
          <w:sz w:val="20"/>
          <w:szCs w:val="20"/>
        </w:rPr>
        <w:ptab w:relativeTo="margin" w:alignment="right" w:leader="dot"/>
      </w:r>
      <w:r w:rsidR="000C499C" w:rsidRPr="00257CD4">
        <w:rPr>
          <w:rFonts w:ascii="Open Sans" w:hAnsi="Open Sans" w:cs="Open Sans"/>
          <w:sz w:val="20"/>
          <w:szCs w:val="20"/>
        </w:rPr>
        <w:t>6</w:t>
      </w:r>
      <w:r w:rsidR="00C374F5">
        <w:rPr>
          <w:rFonts w:ascii="Open Sans" w:hAnsi="Open Sans" w:cs="Open Sans"/>
          <w:sz w:val="20"/>
          <w:szCs w:val="20"/>
        </w:rPr>
        <w:t>5</w:t>
      </w:r>
    </w:p>
    <w:p w14:paraId="0586D4E8" w14:textId="533A67E8" w:rsidR="000421D3" w:rsidRPr="00257CD4" w:rsidRDefault="00C914B0" w:rsidP="000421D3">
      <w:pPr>
        <w:pStyle w:val="Prrafodelista"/>
        <w:numPr>
          <w:ilvl w:val="2"/>
          <w:numId w:val="12"/>
        </w:numPr>
        <w:spacing w:line="276" w:lineRule="auto"/>
        <w:jc w:val="both"/>
        <w:rPr>
          <w:rFonts w:ascii="Open Sans" w:hAnsi="Open Sans" w:cs="Open Sans"/>
          <w:sz w:val="20"/>
          <w:szCs w:val="20"/>
        </w:rPr>
      </w:pPr>
      <w:r w:rsidRPr="00257CD4">
        <w:rPr>
          <w:rFonts w:ascii="Open Sans" w:hAnsi="Open Sans" w:cs="Open Sans"/>
          <w:sz w:val="20"/>
          <w:szCs w:val="20"/>
        </w:rPr>
        <w:t>Procedimiento de análisis e investigación</w:t>
      </w:r>
      <w:r w:rsidRPr="00257CD4">
        <w:rPr>
          <w:rFonts w:ascii="Open Sans" w:hAnsi="Open Sans" w:cs="Open Sans"/>
          <w:sz w:val="20"/>
          <w:szCs w:val="20"/>
        </w:rPr>
        <w:ptab w:relativeTo="margin" w:alignment="right" w:leader="dot"/>
      </w:r>
      <w:r w:rsidR="000C499C" w:rsidRPr="00257CD4">
        <w:rPr>
          <w:rFonts w:ascii="Open Sans" w:hAnsi="Open Sans" w:cs="Open Sans"/>
          <w:sz w:val="20"/>
          <w:szCs w:val="20"/>
        </w:rPr>
        <w:t>6</w:t>
      </w:r>
      <w:r w:rsidR="00C374F5">
        <w:rPr>
          <w:rFonts w:ascii="Open Sans" w:hAnsi="Open Sans" w:cs="Open Sans"/>
          <w:sz w:val="20"/>
          <w:szCs w:val="20"/>
        </w:rPr>
        <w:t>5</w:t>
      </w:r>
    </w:p>
    <w:p w14:paraId="30D982B3" w14:textId="5CDD1A40" w:rsidR="00FD5832" w:rsidRPr="00257CD4" w:rsidRDefault="00C914B0" w:rsidP="00C34875">
      <w:pPr>
        <w:pStyle w:val="Prrafodelista"/>
        <w:numPr>
          <w:ilvl w:val="2"/>
          <w:numId w:val="12"/>
        </w:numPr>
        <w:spacing w:line="276" w:lineRule="auto"/>
        <w:jc w:val="both"/>
        <w:rPr>
          <w:rFonts w:ascii="Open Sans" w:hAnsi="Open Sans" w:cs="Open Sans"/>
          <w:sz w:val="20"/>
          <w:szCs w:val="20"/>
        </w:rPr>
      </w:pPr>
      <w:r w:rsidRPr="00257CD4">
        <w:rPr>
          <w:rFonts w:ascii="Open Sans" w:hAnsi="Open Sans" w:cs="Open Sans"/>
          <w:sz w:val="20"/>
          <w:szCs w:val="20"/>
        </w:rPr>
        <w:lastRenderedPageBreak/>
        <w:t>Seguimiento de actuaciones</w:t>
      </w:r>
      <w:r w:rsidRPr="00257CD4">
        <w:rPr>
          <w:rFonts w:ascii="Open Sans" w:hAnsi="Open Sans" w:cs="Open Sans"/>
          <w:sz w:val="20"/>
          <w:szCs w:val="20"/>
        </w:rPr>
        <w:ptab w:relativeTo="margin" w:alignment="right" w:leader="dot"/>
      </w:r>
      <w:r w:rsidR="009D0E10" w:rsidRPr="00257CD4">
        <w:rPr>
          <w:rFonts w:ascii="Open Sans" w:hAnsi="Open Sans" w:cs="Open Sans"/>
          <w:sz w:val="20"/>
          <w:szCs w:val="20"/>
        </w:rPr>
        <w:t>7</w:t>
      </w:r>
      <w:r w:rsidR="00C374F5">
        <w:rPr>
          <w:rFonts w:ascii="Open Sans" w:hAnsi="Open Sans" w:cs="Open Sans"/>
          <w:sz w:val="20"/>
          <w:szCs w:val="20"/>
        </w:rPr>
        <w:t>1</w:t>
      </w:r>
    </w:p>
    <w:p w14:paraId="6954550D" w14:textId="697ED006" w:rsidR="000421D3" w:rsidRPr="00257CD4" w:rsidRDefault="00B11BFA" w:rsidP="000421D3">
      <w:pPr>
        <w:pStyle w:val="Prrafodelista"/>
        <w:numPr>
          <w:ilvl w:val="1"/>
          <w:numId w:val="12"/>
        </w:numPr>
        <w:spacing w:line="276" w:lineRule="auto"/>
        <w:jc w:val="both"/>
        <w:rPr>
          <w:rFonts w:ascii="Open Sans" w:hAnsi="Open Sans" w:cs="Open Sans"/>
          <w:sz w:val="20"/>
          <w:szCs w:val="20"/>
        </w:rPr>
      </w:pPr>
      <w:r>
        <w:rPr>
          <w:rFonts w:ascii="Open Sans" w:hAnsi="Open Sans" w:cs="Open Sans"/>
          <w:sz w:val="20"/>
          <w:szCs w:val="20"/>
        </w:rPr>
        <w:t xml:space="preserve"> </w:t>
      </w:r>
      <w:r w:rsidR="00C914B0" w:rsidRPr="00257CD4">
        <w:rPr>
          <w:rFonts w:ascii="Open Sans" w:hAnsi="Open Sans" w:cs="Open Sans"/>
          <w:sz w:val="20"/>
          <w:szCs w:val="20"/>
        </w:rPr>
        <w:t>Resumen de actuaciones concluidas.</w:t>
      </w:r>
      <w:r w:rsidR="00A1628A" w:rsidRPr="00257CD4">
        <w:rPr>
          <w:rFonts w:ascii="Open Sans" w:hAnsi="Open Sans" w:cs="Open Sans"/>
          <w:sz w:val="20"/>
          <w:szCs w:val="20"/>
        </w:rPr>
        <w:ptab w:relativeTo="margin" w:alignment="right" w:leader="dot"/>
      </w:r>
      <w:r w:rsidR="009D0E10" w:rsidRPr="00257CD4">
        <w:rPr>
          <w:rFonts w:ascii="Open Sans" w:hAnsi="Open Sans" w:cs="Open Sans"/>
          <w:sz w:val="20"/>
          <w:szCs w:val="20"/>
        </w:rPr>
        <w:t>7</w:t>
      </w:r>
      <w:r w:rsidR="00C374F5">
        <w:rPr>
          <w:rFonts w:ascii="Open Sans" w:hAnsi="Open Sans" w:cs="Open Sans"/>
          <w:sz w:val="20"/>
          <w:szCs w:val="20"/>
        </w:rPr>
        <w:t>2</w:t>
      </w:r>
    </w:p>
    <w:p w14:paraId="4A7101DB" w14:textId="5BA88CEB" w:rsidR="000421D3" w:rsidRPr="00257CD4" w:rsidRDefault="00A1628A" w:rsidP="000421D3">
      <w:pPr>
        <w:pStyle w:val="Prrafodelista"/>
        <w:numPr>
          <w:ilvl w:val="2"/>
          <w:numId w:val="12"/>
        </w:numPr>
        <w:spacing w:line="276" w:lineRule="auto"/>
        <w:jc w:val="both"/>
        <w:rPr>
          <w:rFonts w:ascii="Open Sans" w:hAnsi="Open Sans" w:cs="Open Sans"/>
          <w:sz w:val="20"/>
          <w:szCs w:val="20"/>
        </w:rPr>
      </w:pPr>
      <w:r w:rsidRPr="00257CD4">
        <w:rPr>
          <w:rFonts w:ascii="Open Sans" w:hAnsi="Open Sans" w:cs="Open Sans"/>
          <w:sz w:val="20"/>
          <w:szCs w:val="20"/>
        </w:rPr>
        <w:t>Ayuntamiento. Fraccionamiento de contratos del parque acuático</w:t>
      </w:r>
      <w:r w:rsidRPr="00257CD4">
        <w:rPr>
          <w:rFonts w:ascii="Open Sans" w:hAnsi="Open Sans" w:cs="Open Sans"/>
          <w:sz w:val="20"/>
          <w:szCs w:val="20"/>
        </w:rPr>
        <w:ptab w:relativeTo="margin" w:alignment="right" w:leader="dot"/>
      </w:r>
      <w:r w:rsidR="009D0E10" w:rsidRPr="00257CD4">
        <w:rPr>
          <w:rFonts w:ascii="Open Sans" w:hAnsi="Open Sans" w:cs="Open Sans"/>
          <w:sz w:val="20"/>
          <w:szCs w:val="20"/>
        </w:rPr>
        <w:t>7</w:t>
      </w:r>
      <w:r w:rsidR="00C374F5">
        <w:rPr>
          <w:rFonts w:ascii="Open Sans" w:hAnsi="Open Sans" w:cs="Open Sans"/>
          <w:sz w:val="20"/>
          <w:szCs w:val="20"/>
        </w:rPr>
        <w:t>3</w:t>
      </w:r>
    </w:p>
    <w:p w14:paraId="17B7D687" w14:textId="7D74A33B" w:rsidR="000421D3" w:rsidRPr="00257CD4" w:rsidRDefault="00A1628A" w:rsidP="000421D3">
      <w:pPr>
        <w:pStyle w:val="Prrafodelista"/>
        <w:numPr>
          <w:ilvl w:val="2"/>
          <w:numId w:val="12"/>
        </w:numPr>
        <w:spacing w:line="276" w:lineRule="auto"/>
        <w:jc w:val="both"/>
        <w:rPr>
          <w:rFonts w:ascii="Open Sans" w:hAnsi="Open Sans" w:cs="Open Sans"/>
          <w:sz w:val="20"/>
          <w:szCs w:val="20"/>
        </w:rPr>
      </w:pPr>
      <w:r w:rsidRPr="00257CD4">
        <w:rPr>
          <w:rFonts w:ascii="Open Sans" w:hAnsi="Open Sans" w:cs="Open Sans"/>
          <w:sz w:val="20"/>
          <w:szCs w:val="20"/>
        </w:rPr>
        <w:t>Empresa Municipal. Fraude en las jubilaciones parciales</w:t>
      </w:r>
      <w:r w:rsidRPr="00257CD4">
        <w:rPr>
          <w:rFonts w:ascii="Open Sans" w:hAnsi="Open Sans" w:cs="Open Sans"/>
          <w:sz w:val="20"/>
          <w:szCs w:val="20"/>
        </w:rPr>
        <w:ptab w:relativeTo="margin" w:alignment="right" w:leader="dot"/>
      </w:r>
      <w:r w:rsidR="009D0E10" w:rsidRPr="00257CD4">
        <w:rPr>
          <w:rFonts w:ascii="Open Sans" w:hAnsi="Open Sans" w:cs="Open Sans"/>
          <w:sz w:val="20"/>
          <w:szCs w:val="20"/>
        </w:rPr>
        <w:t>7</w:t>
      </w:r>
      <w:r w:rsidR="00C374F5">
        <w:rPr>
          <w:rFonts w:ascii="Open Sans" w:hAnsi="Open Sans" w:cs="Open Sans"/>
          <w:sz w:val="20"/>
          <w:szCs w:val="20"/>
        </w:rPr>
        <w:t>4</w:t>
      </w:r>
    </w:p>
    <w:p w14:paraId="32CD645C" w14:textId="690EDECA" w:rsidR="000421D3" w:rsidRPr="00257CD4" w:rsidRDefault="00A1628A" w:rsidP="000421D3">
      <w:pPr>
        <w:pStyle w:val="Prrafodelista"/>
        <w:numPr>
          <w:ilvl w:val="2"/>
          <w:numId w:val="12"/>
        </w:numPr>
        <w:spacing w:line="276" w:lineRule="auto"/>
        <w:jc w:val="both"/>
        <w:rPr>
          <w:rFonts w:ascii="Open Sans" w:hAnsi="Open Sans" w:cs="Open Sans"/>
          <w:sz w:val="20"/>
          <w:szCs w:val="20"/>
        </w:rPr>
      </w:pPr>
      <w:r w:rsidRPr="00257CD4">
        <w:rPr>
          <w:rFonts w:ascii="Open Sans" w:hAnsi="Open Sans" w:cs="Open Sans"/>
          <w:sz w:val="20"/>
          <w:szCs w:val="20"/>
        </w:rPr>
        <w:t>Ayuntamiento</w:t>
      </w:r>
      <w:r w:rsidR="00480863" w:rsidRPr="00257CD4">
        <w:rPr>
          <w:rFonts w:ascii="Open Sans" w:hAnsi="Open Sans" w:cs="Open Sans"/>
          <w:sz w:val="20"/>
          <w:szCs w:val="20"/>
        </w:rPr>
        <w:t>. Fraude en la justificación de subvenciones</w:t>
      </w:r>
      <w:r w:rsidR="00480863" w:rsidRPr="00257CD4">
        <w:rPr>
          <w:rFonts w:ascii="Open Sans" w:hAnsi="Open Sans" w:cs="Open Sans"/>
          <w:sz w:val="20"/>
          <w:szCs w:val="20"/>
        </w:rPr>
        <w:ptab w:relativeTo="margin" w:alignment="right" w:leader="dot"/>
      </w:r>
      <w:r w:rsidR="009D0E10" w:rsidRPr="00257CD4">
        <w:rPr>
          <w:rFonts w:ascii="Open Sans" w:hAnsi="Open Sans" w:cs="Open Sans"/>
          <w:sz w:val="20"/>
          <w:szCs w:val="20"/>
        </w:rPr>
        <w:t>7</w:t>
      </w:r>
      <w:r w:rsidR="00C374F5">
        <w:rPr>
          <w:rFonts w:ascii="Open Sans" w:hAnsi="Open Sans" w:cs="Open Sans"/>
          <w:sz w:val="20"/>
          <w:szCs w:val="20"/>
        </w:rPr>
        <w:t>5</w:t>
      </w:r>
    </w:p>
    <w:p w14:paraId="2A580617" w14:textId="7ADA5722" w:rsidR="000421D3" w:rsidRPr="00257CD4" w:rsidRDefault="000421D3" w:rsidP="000421D3">
      <w:pPr>
        <w:pStyle w:val="Prrafodelista"/>
        <w:numPr>
          <w:ilvl w:val="2"/>
          <w:numId w:val="12"/>
        </w:numPr>
        <w:spacing w:line="276" w:lineRule="auto"/>
        <w:jc w:val="both"/>
        <w:rPr>
          <w:rFonts w:ascii="Open Sans" w:hAnsi="Open Sans" w:cs="Open Sans"/>
          <w:sz w:val="20"/>
          <w:szCs w:val="20"/>
        </w:rPr>
      </w:pPr>
      <w:r w:rsidRPr="00257CD4">
        <w:rPr>
          <w:rFonts w:ascii="Open Sans" w:hAnsi="Open Sans" w:cs="Open Sans"/>
          <w:sz w:val="20"/>
          <w:szCs w:val="20"/>
        </w:rPr>
        <w:t>Administración Autonómica</w:t>
      </w:r>
      <w:r w:rsidR="00124099" w:rsidRPr="00257CD4">
        <w:rPr>
          <w:rFonts w:ascii="Open Sans" w:hAnsi="Open Sans" w:cs="Open Sans"/>
          <w:sz w:val="20"/>
          <w:szCs w:val="20"/>
        </w:rPr>
        <w:t>. Secretar</w:t>
      </w:r>
      <w:r w:rsidR="004A6A9C" w:rsidRPr="00257CD4">
        <w:rPr>
          <w:rFonts w:ascii="Open Sans" w:hAnsi="Open Sans" w:cs="Open Sans"/>
          <w:sz w:val="20"/>
          <w:szCs w:val="20"/>
        </w:rPr>
        <w:t>í</w:t>
      </w:r>
      <w:r w:rsidR="00124099" w:rsidRPr="00257CD4">
        <w:rPr>
          <w:rFonts w:ascii="Open Sans" w:hAnsi="Open Sans" w:cs="Open Sans"/>
          <w:sz w:val="20"/>
          <w:szCs w:val="20"/>
        </w:rPr>
        <w:t xml:space="preserve">as </w:t>
      </w:r>
      <w:r w:rsidR="004A6A9C" w:rsidRPr="00257CD4">
        <w:rPr>
          <w:rFonts w:ascii="Open Sans" w:hAnsi="Open Sans" w:cs="Open Sans"/>
          <w:sz w:val="20"/>
          <w:szCs w:val="20"/>
        </w:rPr>
        <w:t>de dirección en interinidad</w:t>
      </w:r>
      <w:r w:rsidR="002431F6" w:rsidRPr="00257CD4">
        <w:rPr>
          <w:rFonts w:ascii="Open Sans" w:hAnsi="Open Sans" w:cs="Open Sans"/>
          <w:sz w:val="20"/>
          <w:szCs w:val="20"/>
        </w:rPr>
        <w:t xml:space="preserve"> </w:t>
      </w:r>
      <w:r w:rsidR="00124099" w:rsidRPr="00257CD4">
        <w:rPr>
          <w:rFonts w:ascii="Open Sans" w:hAnsi="Open Sans" w:cs="Open Sans"/>
          <w:sz w:val="20"/>
          <w:szCs w:val="20"/>
        </w:rPr>
        <w:t>..</w:t>
      </w:r>
      <w:r w:rsidR="00124099" w:rsidRPr="00257CD4">
        <w:rPr>
          <w:rFonts w:ascii="Open Sans" w:hAnsi="Open Sans" w:cs="Open Sans"/>
          <w:sz w:val="20"/>
          <w:szCs w:val="20"/>
        </w:rPr>
        <w:ptab w:relativeTo="margin" w:alignment="right" w:leader="dot"/>
      </w:r>
      <w:r w:rsidR="003F536E" w:rsidRPr="00257CD4">
        <w:rPr>
          <w:rFonts w:ascii="Open Sans" w:hAnsi="Open Sans" w:cs="Open Sans"/>
          <w:sz w:val="20"/>
          <w:szCs w:val="20"/>
        </w:rPr>
        <w:t>7</w:t>
      </w:r>
      <w:r w:rsidR="00C374F5">
        <w:rPr>
          <w:rFonts w:ascii="Open Sans" w:hAnsi="Open Sans" w:cs="Open Sans"/>
          <w:sz w:val="20"/>
          <w:szCs w:val="20"/>
        </w:rPr>
        <w:t>6</w:t>
      </w:r>
    </w:p>
    <w:p w14:paraId="02714217" w14:textId="2E254068" w:rsidR="000421D3" w:rsidRPr="00257CD4" w:rsidRDefault="000421D3" w:rsidP="000421D3">
      <w:pPr>
        <w:pStyle w:val="Prrafodelista"/>
        <w:numPr>
          <w:ilvl w:val="2"/>
          <w:numId w:val="12"/>
        </w:numPr>
        <w:spacing w:line="276" w:lineRule="auto"/>
        <w:jc w:val="both"/>
        <w:rPr>
          <w:rFonts w:ascii="Open Sans" w:hAnsi="Open Sans" w:cs="Open Sans"/>
          <w:sz w:val="20"/>
          <w:szCs w:val="20"/>
        </w:rPr>
      </w:pPr>
      <w:r w:rsidRPr="00257CD4">
        <w:rPr>
          <w:rFonts w:ascii="Open Sans" w:hAnsi="Open Sans" w:cs="Open Sans"/>
          <w:sz w:val="20"/>
          <w:szCs w:val="20"/>
        </w:rPr>
        <w:t>Administración Autonómica</w:t>
      </w:r>
      <w:r w:rsidR="00124099" w:rsidRPr="00257CD4">
        <w:rPr>
          <w:rFonts w:ascii="Open Sans" w:hAnsi="Open Sans" w:cs="Open Sans"/>
          <w:sz w:val="20"/>
          <w:szCs w:val="20"/>
        </w:rPr>
        <w:t>. Fraude en la justificación de subvenciones</w:t>
      </w:r>
      <w:r w:rsidR="00124099" w:rsidRPr="00257CD4">
        <w:rPr>
          <w:rFonts w:ascii="Open Sans" w:hAnsi="Open Sans" w:cs="Open Sans"/>
          <w:sz w:val="20"/>
          <w:szCs w:val="20"/>
        </w:rPr>
        <w:ptab w:relativeTo="margin" w:alignment="right" w:leader="dot"/>
      </w:r>
      <w:r w:rsidR="003F536E" w:rsidRPr="00257CD4">
        <w:rPr>
          <w:rFonts w:ascii="Open Sans" w:hAnsi="Open Sans" w:cs="Open Sans"/>
          <w:sz w:val="20"/>
          <w:szCs w:val="20"/>
        </w:rPr>
        <w:t>7</w:t>
      </w:r>
      <w:r w:rsidR="00C374F5">
        <w:rPr>
          <w:rFonts w:ascii="Open Sans" w:hAnsi="Open Sans" w:cs="Open Sans"/>
          <w:sz w:val="20"/>
          <w:szCs w:val="20"/>
        </w:rPr>
        <w:t>7</w:t>
      </w:r>
    </w:p>
    <w:p w14:paraId="0039DA2C" w14:textId="275B64FB" w:rsidR="000421D3" w:rsidRPr="00257CD4" w:rsidRDefault="000421D3" w:rsidP="000421D3">
      <w:pPr>
        <w:pStyle w:val="Prrafodelista"/>
        <w:numPr>
          <w:ilvl w:val="2"/>
          <w:numId w:val="12"/>
        </w:numPr>
        <w:spacing w:line="276" w:lineRule="auto"/>
        <w:jc w:val="both"/>
        <w:rPr>
          <w:rFonts w:ascii="Open Sans" w:hAnsi="Open Sans" w:cs="Open Sans"/>
          <w:sz w:val="20"/>
          <w:szCs w:val="20"/>
        </w:rPr>
      </w:pPr>
      <w:r w:rsidRPr="00257CD4">
        <w:rPr>
          <w:rFonts w:ascii="Open Sans" w:hAnsi="Open Sans" w:cs="Open Sans"/>
          <w:sz w:val="20"/>
          <w:szCs w:val="20"/>
        </w:rPr>
        <w:t>Ayuntamiento. Interventor en comisión de servicios en Diputación</w:t>
      </w:r>
      <w:r w:rsidRPr="00257CD4">
        <w:rPr>
          <w:rFonts w:ascii="Open Sans" w:hAnsi="Open Sans" w:cs="Open Sans"/>
          <w:sz w:val="20"/>
          <w:szCs w:val="20"/>
        </w:rPr>
        <w:ptab w:relativeTo="margin" w:alignment="right" w:leader="dot"/>
      </w:r>
      <w:r w:rsidR="003F536E" w:rsidRPr="00257CD4">
        <w:rPr>
          <w:rFonts w:ascii="Open Sans" w:hAnsi="Open Sans" w:cs="Open Sans"/>
          <w:sz w:val="20"/>
          <w:szCs w:val="20"/>
        </w:rPr>
        <w:t>7</w:t>
      </w:r>
      <w:r w:rsidR="00C374F5">
        <w:rPr>
          <w:rFonts w:ascii="Open Sans" w:hAnsi="Open Sans" w:cs="Open Sans"/>
          <w:sz w:val="20"/>
          <w:szCs w:val="20"/>
        </w:rPr>
        <w:t>8</w:t>
      </w:r>
    </w:p>
    <w:p w14:paraId="5F6A6552" w14:textId="2CA0D53A" w:rsidR="000421D3" w:rsidRPr="00257CD4" w:rsidRDefault="00124099" w:rsidP="000421D3">
      <w:pPr>
        <w:pStyle w:val="Prrafodelista"/>
        <w:numPr>
          <w:ilvl w:val="2"/>
          <w:numId w:val="12"/>
        </w:numPr>
        <w:spacing w:line="276" w:lineRule="auto"/>
        <w:jc w:val="both"/>
        <w:rPr>
          <w:rFonts w:ascii="Open Sans" w:hAnsi="Open Sans" w:cs="Open Sans"/>
          <w:sz w:val="20"/>
          <w:szCs w:val="20"/>
        </w:rPr>
      </w:pPr>
      <w:r w:rsidRPr="00257CD4">
        <w:rPr>
          <w:rFonts w:ascii="Open Sans" w:hAnsi="Open Sans" w:cs="Open Sans"/>
          <w:sz w:val="20"/>
          <w:szCs w:val="20"/>
        </w:rPr>
        <w:t xml:space="preserve">Ayuntamiento. </w:t>
      </w:r>
      <w:r w:rsidR="000421D3" w:rsidRPr="00257CD4">
        <w:rPr>
          <w:rFonts w:ascii="Open Sans" w:hAnsi="Open Sans" w:cs="Open Sans"/>
          <w:sz w:val="20"/>
          <w:szCs w:val="20"/>
        </w:rPr>
        <w:t>Fraude en la gestión de las escuelas deportivas municipales y posible contratación irregular del software de recaudación</w:t>
      </w:r>
      <w:r w:rsidRPr="00257CD4">
        <w:rPr>
          <w:rFonts w:ascii="Open Sans" w:hAnsi="Open Sans" w:cs="Open Sans"/>
          <w:sz w:val="20"/>
          <w:szCs w:val="20"/>
        </w:rPr>
        <w:ptab w:relativeTo="margin" w:alignment="right" w:leader="dot"/>
      </w:r>
      <w:r w:rsidR="003F536E" w:rsidRPr="00257CD4">
        <w:rPr>
          <w:rFonts w:ascii="Open Sans" w:hAnsi="Open Sans" w:cs="Open Sans"/>
          <w:sz w:val="20"/>
          <w:szCs w:val="20"/>
        </w:rPr>
        <w:t>7</w:t>
      </w:r>
      <w:r w:rsidR="00C374F5">
        <w:rPr>
          <w:rFonts w:ascii="Open Sans" w:hAnsi="Open Sans" w:cs="Open Sans"/>
          <w:sz w:val="20"/>
          <w:szCs w:val="20"/>
        </w:rPr>
        <w:t>8</w:t>
      </w:r>
    </w:p>
    <w:p w14:paraId="2613F288" w14:textId="3C6E6DAD" w:rsidR="00124099" w:rsidRPr="00257CD4" w:rsidRDefault="005E54A9" w:rsidP="000421D3">
      <w:pPr>
        <w:pStyle w:val="Prrafodelista"/>
        <w:numPr>
          <w:ilvl w:val="2"/>
          <w:numId w:val="12"/>
        </w:numPr>
        <w:spacing w:line="276" w:lineRule="auto"/>
        <w:jc w:val="both"/>
        <w:rPr>
          <w:rFonts w:ascii="Open Sans" w:hAnsi="Open Sans" w:cs="Open Sans"/>
          <w:sz w:val="20"/>
          <w:szCs w:val="20"/>
        </w:rPr>
      </w:pPr>
      <w:r w:rsidRPr="00257CD4">
        <w:rPr>
          <w:rFonts w:ascii="Open Sans" w:hAnsi="Open Sans" w:cs="Open Sans"/>
          <w:sz w:val="20"/>
          <w:szCs w:val="20"/>
        </w:rPr>
        <w:t>Sector público autonómico. Incompatibilidades del empleado público</w:t>
      </w:r>
      <w:r w:rsidR="00DF3F6B" w:rsidRPr="00257CD4">
        <w:rPr>
          <w:rFonts w:ascii="Open Sans" w:hAnsi="Open Sans" w:cs="Open Sans"/>
          <w:sz w:val="20"/>
          <w:szCs w:val="20"/>
        </w:rPr>
        <w:ptab w:relativeTo="margin" w:alignment="right" w:leader="dot"/>
      </w:r>
      <w:r w:rsidR="00C374F5">
        <w:rPr>
          <w:rFonts w:ascii="Open Sans" w:hAnsi="Open Sans" w:cs="Open Sans"/>
          <w:sz w:val="20"/>
          <w:szCs w:val="20"/>
        </w:rPr>
        <w:t>80</w:t>
      </w:r>
    </w:p>
    <w:p w14:paraId="23565690" w14:textId="05FBB28B" w:rsidR="005E54A9" w:rsidRPr="00257CD4" w:rsidRDefault="005E54A9" w:rsidP="000421D3">
      <w:pPr>
        <w:pStyle w:val="Prrafodelista"/>
        <w:numPr>
          <w:ilvl w:val="2"/>
          <w:numId w:val="12"/>
        </w:numPr>
        <w:spacing w:line="276" w:lineRule="auto"/>
        <w:jc w:val="both"/>
        <w:rPr>
          <w:rFonts w:ascii="Open Sans" w:hAnsi="Open Sans" w:cs="Open Sans"/>
          <w:sz w:val="20"/>
          <w:szCs w:val="20"/>
        </w:rPr>
      </w:pPr>
      <w:r w:rsidRPr="00257CD4">
        <w:rPr>
          <w:rFonts w:ascii="Open Sans" w:hAnsi="Open Sans" w:cs="Open Sans"/>
          <w:sz w:val="20"/>
          <w:szCs w:val="20"/>
        </w:rPr>
        <w:t>Ayuntamiento. Posible fraccionamiento de contratos, uso indebido de la figura del enriquecimiento injusto</w:t>
      </w:r>
      <w:r w:rsidRPr="00257CD4">
        <w:rPr>
          <w:rFonts w:ascii="Open Sans" w:hAnsi="Open Sans" w:cs="Open Sans"/>
          <w:sz w:val="20"/>
          <w:szCs w:val="20"/>
        </w:rPr>
        <w:ptab w:relativeTo="margin" w:alignment="right" w:leader="dot"/>
      </w:r>
      <w:r w:rsidR="009D0E10" w:rsidRPr="00257CD4">
        <w:rPr>
          <w:rFonts w:ascii="Open Sans" w:hAnsi="Open Sans" w:cs="Open Sans"/>
          <w:sz w:val="20"/>
          <w:szCs w:val="20"/>
        </w:rPr>
        <w:t>8</w:t>
      </w:r>
      <w:r w:rsidR="00C374F5">
        <w:rPr>
          <w:rFonts w:ascii="Open Sans" w:hAnsi="Open Sans" w:cs="Open Sans"/>
          <w:sz w:val="20"/>
          <w:szCs w:val="20"/>
        </w:rPr>
        <w:t>1</w:t>
      </w:r>
    </w:p>
    <w:p w14:paraId="77C5B0C7" w14:textId="45055D06" w:rsidR="005E54A9" w:rsidRPr="00257CD4" w:rsidRDefault="00A07BE9" w:rsidP="005E54A9">
      <w:pPr>
        <w:pStyle w:val="Prrafodelista"/>
        <w:numPr>
          <w:ilvl w:val="2"/>
          <w:numId w:val="12"/>
        </w:numPr>
        <w:spacing w:line="276" w:lineRule="auto"/>
        <w:jc w:val="both"/>
        <w:rPr>
          <w:rFonts w:ascii="Open Sans" w:hAnsi="Open Sans" w:cs="Open Sans"/>
          <w:sz w:val="20"/>
          <w:szCs w:val="20"/>
        </w:rPr>
      </w:pPr>
      <w:r w:rsidRPr="00257CD4">
        <w:rPr>
          <w:rFonts w:ascii="Open Sans" w:hAnsi="Open Sans" w:cs="Open Sans"/>
          <w:sz w:val="20"/>
          <w:szCs w:val="20"/>
        </w:rPr>
        <w:t xml:space="preserve"> </w:t>
      </w:r>
      <w:r w:rsidR="005E54A9" w:rsidRPr="00257CD4">
        <w:rPr>
          <w:rFonts w:ascii="Open Sans" w:hAnsi="Open Sans" w:cs="Open Sans"/>
          <w:sz w:val="20"/>
          <w:szCs w:val="20"/>
        </w:rPr>
        <w:t>Entidades privadas. Fraude formación ocupacional</w:t>
      </w:r>
      <w:r w:rsidR="005E54A9" w:rsidRPr="00257CD4">
        <w:rPr>
          <w:rFonts w:ascii="Open Sans" w:hAnsi="Open Sans" w:cs="Open Sans"/>
          <w:sz w:val="20"/>
          <w:szCs w:val="20"/>
        </w:rPr>
        <w:ptab w:relativeTo="margin" w:alignment="right" w:leader="dot"/>
      </w:r>
      <w:r w:rsidR="009D0E10" w:rsidRPr="00257CD4">
        <w:rPr>
          <w:rFonts w:ascii="Open Sans" w:hAnsi="Open Sans" w:cs="Open Sans"/>
          <w:sz w:val="20"/>
          <w:szCs w:val="20"/>
        </w:rPr>
        <w:t>8</w:t>
      </w:r>
      <w:r w:rsidR="00C374F5">
        <w:rPr>
          <w:rFonts w:ascii="Open Sans" w:hAnsi="Open Sans" w:cs="Open Sans"/>
          <w:sz w:val="20"/>
          <w:szCs w:val="20"/>
        </w:rPr>
        <w:t>2</w:t>
      </w:r>
    </w:p>
    <w:p w14:paraId="0FB55914" w14:textId="032099DB" w:rsidR="005E54A9" w:rsidRPr="00257CD4" w:rsidRDefault="00A07BE9" w:rsidP="005E54A9">
      <w:pPr>
        <w:pStyle w:val="Prrafodelista"/>
        <w:numPr>
          <w:ilvl w:val="2"/>
          <w:numId w:val="12"/>
        </w:numPr>
        <w:spacing w:line="276" w:lineRule="auto"/>
        <w:jc w:val="both"/>
        <w:rPr>
          <w:rFonts w:ascii="Open Sans" w:hAnsi="Open Sans" w:cs="Open Sans"/>
          <w:sz w:val="20"/>
          <w:szCs w:val="20"/>
        </w:rPr>
      </w:pPr>
      <w:r w:rsidRPr="00257CD4">
        <w:rPr>
          <w:rFonts w:ascii="Open Sans" w:hAnsi="Open Sans" w:cs="Open Sans"/>
          <w:sz w:val="20"/>
          <w:szCs w:val="20"/>
        </w:rPr>
        <w:t xml:space="preserve"> </w:t>
      </w:r>
      <w:r w:rsidR="005E54A9" w:rsidRPr="00257CD4">
        <w:rPr>
          <w:rFonts w:ascii="Open Sans" w:hAnsi="Open Sans" w:cs="Open Sans"/>
          <w:sz w:val="20"/>
          <w:szCs w:val="20"/>
        </w:rPr>
        <w:t>Ayuntamiento</w:t>
      </w:r>
      <w:r w:rsidR="00DF3F6B" w:rsidRPr="00257CD4">
        <w:rPr>
          <w:rFonts w:ascii="Open Sans" w:hAnsi="Open Sans" w:cs="Open Sans"/>
          <w:sz w:val="20"/>
          <w:szCs w:val="20"/>
        </w:rPr>
        <w:t xml:space="preserve">. </w:t>
      </w:r>
      <w:r w:rsidR="005E54A9" w:rsidRPr="00257CD4">
        <w:rPr>
          <w:rFonts w:ascii="Open Sans" w:hAnsi="Open Sans" w:cs="Open Sans"/>
          <w:sz w:val="20"/>
          <w:szCs w:val="20"/>
        </w:rPr>
        <w:t>Actividad sin licencia consentida en el tiempo</w:t>
      </w:r>
      <w:r w:rsidR="00DF3F6B" w:rsidRPr="00257CD4">
        <w:rPr>
          <w:rFonts w:ascii="Open Sans" w:hAnsi="Open Sans" w:cs="Open Sans"/>
          <w:sz w:val="20"/>
          <w:szCs w:val="20"/>
        </w:rPr>
        <w:ptab w:relativeTo="margin" w:alignment="right" w:leader="dot"/>
      </w:r>
      <w:r w:rsidR="009D0E10" w:rsidRPr="00257CD4">
        <w:rPr>
          <w:rFonts w:ascii="Open Sans" w:hAnsi="Open Sans" w:cs="Open Sans"/>
          <w:sz w:val="20"/>
          <w:szCs w:val="20"/>
        </w:rPr>
        <w:t>8</w:t>
      </w:r>
      <w:r w:rsidR="00C374F5">
        <w:rPr>
          <w:rFonts w:ascii="Open Sans" w:hAnsi="Open Sans" w:cs="Open Sans"/>
          <w:sz w:val="20"/>
          <w:szCs w:val="20"/>
        </w:rPr>
        <w:t>3</w:t>
      </w:r>
    </w:p>
    <w:p w14:paraId="0C984CFF" w14:textId="67A0AB6D" w:rsidR="005E54A9" w:rsidRPr="00257CD4" w:rsidRDefault="00A07BE9" w:rsidP="005E54A9">
      <w:pPr>
        <w:pStyle w:val="Prrafodelista"/>
        <w:numPr>
          <w:ilvl w:val="2"/>
          <w:numId w:val="12"/>
        </w:numPr>
        <w:spacing w:line="276" w:lineRule="auto"/>
        <w:jc w:val="both"/>
        <w:rPr>
          <w:rFonts w:ascii="Open Sans" w:hAnsi="Open Sans" w:cs="Open Sans"/>
          <w:sz w:val="20"/>
          <w:szCs w:val="20"/>
        </w:rPr>
      </w:pPr>
      <w:r w:rsidRPr="00257CD4">
        <w:rPr>
          <w:rFonts w:ascii="Open Sans" w:hAnsi="Open Sans" w:cs="Open Sans"/>
          <w:sz w:val="20"/>
          <w:szCs w:val="20"/>
        </w:rPr>
        <w:t xml:space="preserve"> </w:t>
      </w:r>
      <w:r w:rsidR="00DF3F6B" w:rsidRPr="00257CD4">
        <w:rPr>
          <w:rFonts w:ascii="Open Sans" w:hAnsi="Open Sans" w:cs="Open Sans"/>
          <w:sz w:val="20"/>
          <w:szCs w:val="20"/>
        </w:rPr>
        <w:t xml:space="preserve">Ayuntamiento. </w:t>
      </w:r>
      <w:r w:rsidR="005E54A9" w:rsidRPr="00257CD4">
        <w:rPr>
          <w:rFonts w:ascii="Open Sans" w:hAnsi="Open Sans" w:cs="Open Sans"/>
          <w:sz w:val="20"/>
          <w:szCs w:val="20"/>
        </w:rPr>
        <w:t>Irregularidades en el servicio de grúa municipal</w:t>
      </w:r>
      <w:r w:rsidR="00DF3F6B" w:rsidRPr="00257CD4">
        <w:rPr>
          <w:rFonts w:ascii="Open Sans" w:hAnsi="Open Sans" w:cs="Open Sans"/>
          <w:sz w:val="20"/>
          <w:szCs w:val="20"/>
        </w:rPr>
        <w:ptab w:relativeTo="margin" w:alignment="right" w:leader="dot"/>
      </w:r>
      <w:r w:rsidR="009D0E10" w:rsidRPr="00257CD4">
        <w:rPr>
          <w:rFonts w:ascii="Open Sans" w:hAnsi="Open Sans" w:cs="Open Sans"/>
          <w:sz w:val="20"/>
          <w:szCs w:val="20"/>
        </w:rPr>
        <w:t>8</w:t>
      </w:r>
      <w:r w:rsidR="00C374F5">
        <w:rPr>
          <w:rFonts w:ascii="Open Sans" w:hAnsi="Open Sans" w:cs="Open Sans"/>
          <w:sz w:val="20"/>
          <w:szCs w:val="20"/>
        </w:rPr>
        <w:t>5</w:t>
      </w:r>
    </w:p>
    <w:p w14:paraId="72A5ADDA" w14:textId="5DA6275D" w:rsidR="00DF3F6B" w:rsidRPr="00257CD4" w:rsidRDefault="00A07BE9" w:rsidP="005E54A9">
      <w:pPr>
        <w:pStyle w:val="Prrafodelista"/>
        <w:numPr>
          <w:ilvl w:val="2"/>
          <w:numId w:val="12"/>
        </w:numPr>
        <w:spacing w:line="276" w:lineRule="auto"/>
        <w:jc w:val="both"/>
        <w:rPr>
          <w:rFonts w:ascii="Open Sans" w:hAnsi="Open Sans" w:cs="Open Sans"/>
          <w:sz w:val="20"/>
          <w:szCs w:val="20"/>
        </w:rPr>
      </w:pPr>
      <w:r w:rsidRPr="00257CD4">
        <w:rPr>
          <w:rFonts w:ascii="Open Sans" w:hAnsi="Open Sans" w:cs="Open Sans"/>
          <w:sz w:val="20"/>
          <w:szCs w:val="20"/>
        </w:rPr>
        <w:t xml:space="preserve"> </w:t>
      </w:r>
      <w:r w:rsidR="005E54A9" w:rsidRPr="00257CD4">
        <w:rPr>
          <w:rFonts w:ascii="Open Sans" w:hAnsi="Open Sans" w:cs="Open Sans"/>
          <w:sz w:val="20"/>
          <w:szCs w:val="20"/>
        </w:rPr>
        <w:t>Administración Autonómica. Filtración de ex</w:t>
      </w:r>
      <w:r w:rsidR="006858FC" w:rsidRPr="00257CD4">
        <w:rPr>
          <w:rFonts w:ascii="Open Sans" w:hAnsi="Open Sans" w:cs="Open Sans"/>
          <w:sz w:val="20"/>
          <w:szCs w:val="20"/>
        </w:rPr>
        <w:t>a</w:t>
      </w:r>
      <w:r w:rsidR="005E54A9" w:rsidRPr="00257CD4">
        <w:rPr>
          <w:rFonts w:ascii="Open Sans" w:hAnsi="Open Sans" w:cs="Open Sans"/>
          <w:sz w:val="20"/>
          <w:szCs w:val="20"/>
        </w:rPr>
        <w:t>men</w:t>
      </w:r>
      <w:r w:rsidR="00D1080F" w:rsidRPr="00257CD4">
        <w:rPr>
          <w:rFonts w:ascii="Open Sans" w:hAnsi="Open Sans" w:cs="Open Sans"/>
          <w:sz w:val="20"/>
          <w:szCs w:val="20"/>
        </w:rPr>
        <w:ptab w:relativeTo="margin" w:alignment="right" w:leader="dot"/>
      </w:r>
      <w:r w:rsidR="003F536E" w:rsidRPr="00257CD4">
        <w:rPr>
          <w:rFonts w:ascii="Open Sans" w:hAnsi="Open Sans" w:cs="Open Sans"/>
          <w:sz w:val="20"/>
          <w:szCs w:val="20"/>
        </w:rPr>
        <w:t>8</w:t>
      </w:r>
      <w:r w:rsidR="00C374F5">
        <w:rPr>
          <w:rFonts w:ascii="Open Sans" w:hAnsi="Open Sans" w:cs="Open Sans"/>
          <w:sz w:val="20"/>
          <w:szCs w:val="20"/>
        </w:rPr>
        <w:t>5</w:t>
      </w:r>
    </w:p>
    <w:p w14:paraId="6F6AA969" w14:textId="38969411" w:rsidR="006858FC" w:rsidRPr="00257CD4" w:rsidRDefault="00A07BE9" w:rsidP="006858FC">
      <w:pPr>
        <w:pStyle w:val="Prrafodelista"/>
        <w:numPr>
          <w:ilvl w:val="2"/>
          <w:numId w:val="12"/>
        </w:numPr>
        <w:spacing w:line="276" w:lineRule="auto"/>
        <w:jc w:val="both"/>
        <w:rPr>
          <w:rFonts w:ascii="Open Sans" w:hAnsi="Open Sans" w:cs="Open Sans"/>
          <w:sz w:val="20"/>
          <w:szCs w:val="20"/>
        </w:rPr>
      </w:pPr>
      <w:r w:rsidRPr="00257CD4">
        <w:rPr>
          <w:rFonts w:ascii="Open Sans" w:hAnsi="Open Sans" w:cs="Open Sans"/>
          <w:sz w:val="20"/>
          <w:szCs w:val="20"/>
        </w:rPr>
        <w:t xml:space="preserve"> </w:t>
      </w:r>
      <w:r w:rsidR="00D1080F" w:rsidRPr="00257CD4">
        <w:rPr>
          <w:rFonts w:ascii="Open Sans" w:hAnsi="Open Sans" w:cs="Open Sans"/>
          <w:sz w:val="20"/>
          <w:szCs w:val="20"/>
        </w:rPr>
        <w:t xml:space="preserve">Ayuntamiento. </w:t>
      </w:r>
      <w:r w:rsidR="006858FC" w:rsidRPr="00257CD4">
        <w:rPr>
          <w:rFonts w:ascii="Open Sans" w:hAnsi="Open Sans" w:cs="Open Sans"/>
          <w:sz w:val="20"/>
          <w:szCs w:val="20"/>
        </w:rPr>
        <w:t>Oposiciones a Policía Local</w:t>
      </w:r>
      <w:r w:rsidR="00D1080F" w:rsidRPr="00257CD4">
        <w:rPr>
          <w:rFonts w:ascii="Open Sans" w:hAnsi="Open Sans" w:cs="Open Sans"/>
          <w:sz w:val="20"/>
          <w:szCs w:val="20"/>
        </w:rPr>
        <w:ptab w:relativeTo="margin" w:alignment="right" w:leader="dot"/>
      </w:r>
      <w:r w:rsidR="003F536E" w:rsidRPr="00257CD4">
        <w:rPr>
          <w:rFonts w:ascii="Open Sans" w:hAnsi="Open Sans" w:cs="Open Sans"/>
          <w:sz w:val="20"/>
          <w:szCs w:val="20"/>
        </w:rPr>
        <w:t>8</w:t>
      </w:r>
      <w:r w:rsidR="00C374F5">
        <w:rPr>
          <w:rFonts w:ascii="Open Sans" w:hAnsi="Open Sans" w:cs="Open Sans"/>
          <w:sz w:val="20"/>
          <w:szCs w:val="20"/>
        </w:rPr>
        <w:t>6</w:t>
      </w:r>
    </w:p>
    <w:p w14:paraId="2CB693E8" w14:textId="3B98AC09" w:rsidR="006858FC" w:rsidRPr="00257CD4" w:rsidRDefault="00A07BE9" w:rsidP="006858FC">
      <w:pPr>
        <w:pStyle w:val="Prrafodelista"/>
        <w:numPr>
          <w:ilvl w:val="2"/>
          <w:numId w:val="12"/>
        </w:numPr>
        <w:spacing w:line="276" w:lineRule="auto"/>
        <w:jc w:val="both"/>
        <w:rPr>
          <w:rFonts w:ascii="Open Sans" w:hAnsi="Open Sans" w:cs="Open Sans"/>
          <w:sz w:val="20"/>
          <w:szCs w:val="20"/>
        </w:rPr>
      </w:pPr>
      <w:r w:rsidRPr="00257CD4">
        <w:rPr>
          <w:rFonts w:ascii="Open Sans" w:hAnsi="Open Sans" w:cs="Open Sans"/>
          <w:sz w:val="20"/>
          <w:szCs w:val="20"/>
        </w:rPr>
        <w:t xml:space="preserve"> </w:t>
      </w:r>
      <w:r w:rsidR="00D1080F" w:rsidRPr="00257CD4">
        <w:rPr>
          <w:rFonts w:ascii="Open Sans" w:hAnsi="Open Sans" w:cs="Open Sans"/>
          <w:sz w:val="20"/>
          <w:szCs w:val="20"/>
        </w:rPr>
        <w:t>Ayuntamiento</w:t>
      </w:r>
      <w:r w:rsidR="006858FC" w:rsidRPr="00257CD4">
        <w:rPr>
          <w:rFonts w:ascii="Open Sans" w:hAnsi="Open Sans" w:cs="Open Sans"/>
          <w:sz w:val="20"/>
          <w:szCs w:val="20"/>
        </w:rPr>
        <w:t xml:space="preserve">. Irregularidades en adjudicación de puestos de trabajo </w:t>
      </w:r>
      <w:r w:rsidR="00D1080F" w:rsidRPr="00257CD4">
        <w:rPr>
          <w:rFonts w:ascii="Open Sans" w:hAnsi="Open Sans" w:cs="Open Sans"/>
          <w:sz w:val="20"/>
          <w:szCs w:val="20"/>
        </w:rPr>
        <w:t>…..</w:t>
      </w:r>
      <w:r w:rsidR="00D1080F" w:rsidRPr="00257CD4">
        <w:rPr>
          <w:rFonts w:ascii="Open Sans" w:hAnsi="Open Sans" w:cs="Open Sans"/>
          <w:sz w:val="20"/>
          <w:szCs w:val="20"/>
        </w:rPr>
        <w:ptab w:relativeTo="margin" w:alignment="right" w:leader="dot"/>
      </w:r>
      <w:r w:rsidR="003F536E" w:rsidRPr="00257CD4">
        <w:rPr>
          <w:rFonts w:ascii="Open Sans" w:hAnsi="Open Sans" w:cs="Open Sans"/>
          <w:sz w:val="20"/>
          <w:szCs w:val="20"/>
        </w:rPr>
        <w:t>8</w:t>
      </w:r>
      <w:r w:rsidR="00C374F5">
        <w:rPr>
          <w:rFonts w:ascii="Open Sans" w:hAnsi="Open Sans" w:cs="Open Sans"/>
          <w:sz w:val="20"/>
          <w:szCs w:val="20"/>
        </w:rPr>
        <w:t>7</w:t>
      </w:r>
      <w:r w:rsidR="00D1080F" w:rsidRPr="00257CD4">
        <w:rPr>
          <w:rFonts w:ascii="Open Sans" w:hAnsi="Open Sans" w:cs="Open Sans"/>
          <w:sz w:val="20"/>
          <w:szCs w:val="20"/>
        </w:rPr>
        <w:ptab w:relativeTo="margin" w:alignment="right" w:leader="dot"/>
      </w:r>
    </w:p>
    <w:p w14:paraId="54960C10" w14:textId="5EB54D37" w:rsidR="006858FC" w:rsidRPr="00257CD4" w:rsidRDefault="00944536" w:rsidP="006858FC">
      <w:pPr>
        <w:pStyle w:val="Prrafodelista"/>
        <w:numPr>
          <w:ilvl w:val="1"/>
          <w:numId w:val="12"/>
        </w:numPr>
        <w:spacing w:line="276" w:lineRule="auto"/>
        <w:jc w:val="both"/>
        <w:rPr>
          <w:rFonts w:ascii="Open Sans" w:hAnsi="Open Sans" w:cs="Open Sans"/>
          <w:sz w:val="20"/>
          <w:szCs w:val="20"/>
        </w:rPr>
      </w:pPr>
      <w:r w:rsidRPr="00257CD4">
        <w:rPr>
          <w:rFonts w:ascii="Open Sans" w:hAnsi="Open Sans" w:cs="Open Sans"/>
          <w:sz w:val="20"/>
          <w:szCs w:val="20"/>
        </w:rPr>
        <w:t xml:space="preserve"> </w:t>
      </w:r>
      <w:r w:rsidR="00C3618B" w:rsidRPr="00257CD4">
        <w:rPr>
          <w:rFonts w:ascii="Open Sans" w:hAnsi="Open Sans" w:cs="Open Sans"/>
          <w:sz w:val="20"/>
          <w:szCs w:val="20"/>
        </w:rPr>
        <w:t>Líneas de actuación en 2020</w:t>
      </w:r>
      <w:r w:rsidR="00C3618B" w:rsidRPr="00257CD4">
        <w:rPr>
          <w:rFonts w:ascii="Open Sans" w:hAnsi="Open Sans" w:cs="Open Sans"/>
          <w:sz w:val="20"/>
          <w:szCs w:val="20"/>
        </w:rPr>
        <w:ptab w:relativeTo="margin" w:alignment="right" w:leader="dot"/>
      </w:r>
      <w:r w:rsidR="003F536E" w:rsidRPr="00257CD4">
        <w:rPr>
          <w:rFonts w:ascii="Open Sans" w:hAnsi="Open Sans" w:cs="Open Sans"/>
          <w:sz w:val="20"/>
          <w:szCs w:val="20"/>
        </w:rPr>
        <w:t>8</w:t>
      </w:r>
      <w:r w:rsidR="00C374F5">
        <w:rPr>
          <w:rFonts w:ascii="Open Sans" w:hAnsi="Open Sans" w:cs="Open Sans"/>
          <w:sz w:val="20"/>
          <w:szCs w:val="20"/>
        </w:rPr>
        <w:t>7</w:t>
      </w:r>
    </w:p>
    <w:p w14:paraId="3C10AA4C" w14:textId="3FBF33F0" w:rsidR="006858FC" w:rsidRPr="00257CD4" w:rsidRDefault="007032E5" w:rsidP="006858FC">
      <w:pPr>
        <w:pStyle w:val="Prrafodelista"/>
        <w:numPr>
          <w:ilvl w:val="2"/>
          <w:numId w:val="12"/>
        </w:numPr>
        <w:spacing w:line="276" w:lineRule="auto"/>
        <w:jc w:val="both"/>
        <w:rPr>
          <w:rFonts w:ascii="Open Sans" w:hAnsi="Open Sans" w:cs="Open Sans"/>
          <w:sz w:val="20"/>
          <w:szCs w:val="20"/>
        </w:rPr>
      </w:pPr>
      <w:r w:rsidRPr="00257CD4">
        <w:rPr>
          <w:rFonts w:ascii="Open Sans" w:hAnsi="Open Sans" w:cs="Open Sans"/>
          <w:sz w:val="20"/>
          <w:szCs w:val="20"/>
        </w:rPr>
        <w:t>Disfunciones detectadas en los contratos de centrales de medios publicitarios en diversos organismos</w:t>
      </w:r>
      <w:r w:rsidRPr="00257CD4">
        <w:rPr>
          <w:rFonts w:ascii="Open Sans" w:hAnsi="Open Sans" w:cs="Open Sans"/>
          <w:sz w:val="20"/>
          <w:szCs w:val="20"/>
        </w:rPr>
        <w:ptab w:relativeTo="margin" w:alignment="right" w:leader="dot"/>
      </w:r>
      <w:r w:rsidR="003F536E" w:rsidRPr="00257CD4">
        <w:rPr>
          <w:rFonts w:ascii="Open Sans" w:hAnsi="Open Sans" w:cs="Open Sans"/>
          <w:sz w:val="20"/>
          <w:szCs w:val="20"/>
        </w:rPr>
        <w:t>8</w:t>
      </w:r>
      <w:r w:rsidR="00C374F5">
        <w:rPr>
          <w:rFonts w:ascii="Open Sans" w:hAnsi="Open Sans" w:cs="Open Sans"/>
          <w:sz w:val="20"/>
          <w:szCs w:val="20"/>
        </w:rPr>
        <w:t>8</w:t>
      </w:r>
    </w:p>
    <w:p w14:paraId="21A88783" w14:textId="7FEBBB50" w:rsidR="006858FC" w:rsidRPr="00257CD4" w:rsidRDefault="006858FC" w:rsidP="006858FC">
      <w:pPr>
        <w:pStyle w:val="Prrafodelista"/>
        <w:numPr>
          <w:ilvl w:val="2"/>
          <w:numId w:val="12"/>
        </w:numPr>
        <w:spacing w:line="276" w:lineRule="auto"/>
        <w:jc w:val="both"/>
        <w:rPr>
          <w:rFonts w:ascii="Open Sans" w:hAnsi="Open Sans" w:cs="Open Sans"/>
          <w:sz w:val="20"/>
          <w:szCs w:val="20"/>
        </w:rPr>
      </w:pPr>
      <w:r w:rsidRPr="00257CD4">
        <w:rPr>
          <w:rFonts w:ascii="Open Sans" w:hAnsi="Open Sans" w:cs="Open Sans"/>
          <w:sz w:val="20"/>
          <w:szCs w:val="20"/>
        </w:rPr>
        <w:t>Empresa Pública Local.</w:t>
      </w:r>
      <w:r w:rsidR="00B35A8B" w:rsidRPr="00257CD4">
        <w:rPr>
          <w:rFonts w:ascii="Open Sans" w:hAnsi="Open Sans" w:cs="Open Sans"/>
          <w:sz w:val="20"/>
          <w:szCs w:val="20"/>
        </w:rPr>
        <w:t xml:space="preserve"> Fraude en relación con un convenio suscrito </w:t>
      </w:r>
      <w:r w:rsidR="00B35A8B" w:rsidRPr="00257CD4">
        <w:rPr>
          <w:rFonts w:ascii="Open Sans" w:hAnsi="Open Sans" w:cs="Open Sans"/>
          <w:sz w:val="20"/>
          <w:szCs w:val="20"/>
        </w:rPr>
        <w:ptab w:relativeTo="margin" w:alignment="right" w:leader="dot"/>
      </w:r>
      <w:r w:rsidR="003F536E" w:rsidRPr="00257CD4">
        <w:rPr>
          <w:rFonts w:ascii="Open Sans" w:hAnsi="Open Sans" w:cs="Open Sans"/>
          <w:sz w:val="20"/>
          <w:szCs w:val="20"/>
        </w:rPr>
        <w:t>8</w:t>
      </w:r>
      <w:r w:rsidR="00C374F5">
        <w:rPr>
          <w:rFonts w:ascii="Open Sans" w:hAnsi="Open Sans" w:cs="Open Sans"/>
          <w:sz w:val="20"/>
          <w:szCs w:val="20"/>
        </w:rPr>
        <w:t>8</w:t>
      </w:r>
    </w:p>
    <w:p w14:paraId="3CE99A65" w14:textId="24D295FD" w:rsidR="006858FC" w:rsidRPr="00257CD4" w:rsidRDefault="006858FC" w:rsidP="006858FC">
      <w:pPr>
        <w:pStyle w:val="Prrafodelista"/>
        <w:numPr>
          <w:ilvl w:val="2"/>
          <w:numId w:val="12"/>
        </w:numPr>
        <w:spacing w:line="276" w:lineRule="auto"/>
        <w:jc w:val="both"/>
        <w:rPr>
          <w:rFonts w:ascii="Open Sans" w:hAnsi="Open Sans" w:cs="Open Sans"/>
          <w:sz w:val="20"/>
          <w:szCs w:val="20"/>
        </w:rPr>
      </w:pPr>
      <w:r w:rsidRPr="00257CD4">
        <w:rPr>
          <w:rFonts w:ascii="Open Sans" w:hAnsi="Open Sans" w:cs="Open Sans"/>
          <w:sz w:val="20"/>
          <w:szCs w:val="20"/>
        </w:rPr>
        <w:t>Empresa Pública Local.</w:t>
      </w:r>
      <w:r w:rsidR="006C2B7D" w:rsidRPr="00257CD4">
        <w:rPr>
          <w:rFonts w:ascii="Open Sans" w:hAnsi="Open Sans" w:cs="Open Sans"/>
          <w:sz w:val="20"/>
          <w:szCs w:val="20"/>
        </w:rPr>
        <w:t xml:space="preserve"> Fraude en la contratación de la producción de una serie programas de televisión</w:t>
      </w:r>
      <w:r w:rsidR="006C2B7D" w:rsidRPr="00257CD4">
        <w:rPr>
          <w:rFonts w:ascii="Open Sans" w:hAnsi="Open Sans" w:cs="Open Sans"/>
          <w:sz w:val="20"/>
          <w:szCs w:val="20"/>
        </w:rPr>
        <w:ptab w:relativeTo="margin" w:alignment="right" w:leader="dot"/>
      </w:r>
      <w:r w:rsidR="003F536E" w:rsidRPr="00257CD4">
        <w:rPr>
          <w:rFonts w:ascii="Open Sans" w:hAnsi="Open Sans" w:cs="Open Sans"/>
          <w:sz w:val="20"/>
          <w:szCs w:val="20"/>
        </w:rPr>
        <w:t>8</w:t>
      </w:r>
      <w:r w:rsidR="00C374F5">
        <w:rPr>
          <w:rFonts w:ascii="Open Sans" w:hAnsi="Open Sans" w:cs="Open Sans"/>
          <w:sz w:val="20"/>
          <w:szCs w:val="20"/>
        </w:rPr>
        <w:t>9</w:t>
      </w:r>
    </w:p>
    <w:p w14:paraId="50D0354C" w14:textId="7096E65A" w:rsidR="006858FC" w:rsidRPr="00257CD4" w:rsidRDefault="006858FC" w:rsidP="006858FC">
      <w:pPr>
        <w:pStyle w:val="Prrafodelista"/>
        <w:numPr>
          <w:ilvl w:val="2"/>
          <w:numId w:val="12"/>
        </w:numPr>
        <w:spacing w:line="276" w:lineRule="auto"/>
        <w:jc w:val="both"/>
        <w:rPr>
          <w:rFonts w:ascii="Open Sans" w:hAnsi="Open Sans" w:cs="Open Sans"/>
          <w:sz w:val="20"/>
          <w:szCs w:val="20"/>
        </w:rPr>
      </w:pPr>
      <w:r w:rsidRPr="00257CD4">
        <w:rPr>
          <w:rFonts w:ascii="Open Sans" w:hAnsi="Open Sans" w:cs="Open Sans"/>
          <w:sz w:val="20"/>
          <w:szCs w:val="20"/>
        </w:rPr>
        <w:t>Sector Público Autonómico</w:t>
      </w:r>
      <w:r w:rsidR="006C2B7D" w:rsidRPr="00257CD4">
        <w:rPr>
          <w:rFonts w:ascii="Open Sans" w:hAnsi="Open Sans" w:cs="Open Sans"/>
          <w:sz w:val="20"/>
          <w:szCs w:val="20"/>
        </w:rPr>
        <w:t>. Impago del uso de un espacio público</w:t>
      </w:r>
      <w:r w:rsidR="006C2B7D" w:rsidRPr="00257CD4">
        <w:rPr>
          <w:rFonts w:ascii="Open Sans" w:hAnsi="Open Sans" w:cs="Open Sans"/>
          <w:sz w:val="20"/>
          <w:szCs w:val="20"/>
        </w:rPr>
        <w:ptab w:relativeTo="margin" w:alignment="right" w:leader="dot"/>
      </w:r>
      <w:r w:rsidR="00C374F5">
        <w:rPr>
          <w:rFonts w:ascii="Open Sans" w:hAnsi="Open Sans" w:cs="Open Sans"/>
          <w:sz w:val="20"/>
          <w:szCs w:val="20"/>
        </w:rPr>
        <w:t>90</w:t>
      </w:r>
    </w:p>
    <w:p w14:paraId="15536A79" w14:textId="40FF6B25" w:rsidR="006858FC" w:rsidRPr="00257CD4" w:rsidRDefault="00B11BFA" w:rsidP="006858FC">
      <w:pPr>
        <w:pStyle w:val="Prrafodelista"/>
        <w:numPr>
          <w:ilvl w:val="1"/>
          <w:numId w:val="12"/>
        </w:numPr>
        <w:spacing w:line="276" w:lineRule="auto"/>
        <w:jc w:val="both"/>
        <w:rPr>
          <w:rFonts w:ascii="Open Sans" w:hAnsi="Open Sans" w:cs="Open Sans"/>
          <w:sz w:val="20"/>
          <w:szCs w:val="20"/>
        </w:rPr>
      </w:pPr>
      <w:r>
        <w:rPr>
          <w:rFonts w:ascii="Open Sans" w:hAnsi="Open Sans" w:cs="Open Sans"/>
          <w:sz w:val="20"/>
          <w:szCs w:val="20"/>
        </w:rPr>
        <w:t xml:space="preserve"> </w:t>
      </w:r>
      <w:r w:rsidR="006C2B7D" w:rsidRPr="00257CD4">
        <w:rPr>
          <w:rFonts w:ascii="Open Sans" w:hAnsi="Open Sans" w:cs="Open Sans"/>
          <w:sz w:val="20"/>
          <w:szCs w:val="20"/>
        </w:rPr>
        <w:t>Colaboración con otras instituciones</w:t>
      </w:r>
      <w:r w:rsidR="004C6841" w:rsidRPr="00257CD4">
        <w:rPr>
          <w:rFonts w:ascii="Open Sans" w:hAnsi="Open Sans" w:cs="Open Sans"/>
          <w:sz w:val="20"/>
          <w:szCs w:val="20"/>
        </w:rPr>
        <w:ptab w:relativeTo="margin" w:alignment="right" w:leader="dot"/>
      </w:r>
      <w:r w:rsidR="00955327" w:rsidRPr="00257CD4">
        <w:rPr>
          <w:rFonts w:ascii="Open Sans" w:hAnsi="Open Sans" w:cs="Open Sans"/>
          <w:sz w:val="20"/>
          <w:szCs w:val="20"/>
        </w:rPr>
        <w:t>9</w:t>
      </w:r>
      <w:r w:rsidR="00C374F5">
        <w:rPr>
          <w:rFonts w:ascii="Open Sans" w:hAnsi="Open Sans" w:cs="Open Sans"/>
          <w:sz w:val="20"/>
          <w:szCs w:val="20"/>
        </w:rPr>
        <w:t>1</w:t>
      </w:r>
    </w:p>
    <w:p w14:paraId="5210CA54" w14:textId="21BE32AD" w:rsidR="00BA1E57" w:rsidRPr="00257CD4" w:rsidRDefault="00B11BFA" w:rsidP="006858FC">
      <w:pPr>
        <w:pStyle w:val="Prrafodelista"/>
        <w:numPr>
          <w:ilvl w:val="1"/>
          <w:numId w:val="12"/>
        </w:numPr>
        <w:spacing w:line="276" w:lineRule="auto"/>
        <w:jc w:val="both"/>
        <w:rPr>
          <w:rFonts w:ascii="Open Sans" w:hAnsi="Open Sans" w:cs="Open Sans"/>
          <w:sz w:val="20"/>
          <w:szCs w:val="20"/>
        </w:rPr>
      </w:pPr>
      <w:r>
        <w:rPr>
          <w:rFonts w:ascii="Open Sans" w:hAnsi="Open Sans" w:cs="Open Sans"/>
          <w:sz w:val="20"/>
          <w:szCs w:val="20"/>
        </w:rPr>
        <w:t xml:space="preserve"> </w:t>
      </w:r>
      <w:r w:rsidR="00944536" w:rsidRPr="00257CD4">
        <w:rPr>
          <w:rFonts w:ascii="Open Sans" w:hAnsi="Open Sans" w:cs="Open Sans"/>
          <w:sz w:val="20"/>
          <w:szCs w:val="20"/>
        </w:rPr>
        <w:t>S</w:t>
      </w:r>
      <w:r w:rsidR="004C6841" w:rsidRPr="00257CD4">
        <w:rPr>
          <w:rFonts w:ascii="Open Sans" w:hAnsi="Open Sans" w:cs="Open Sans"/>
          <w:sz w:val="20"/>
          <w:szCs w:val="20"/>
        </w:rPr>
        <w:t xml:space="preserve">istemas de </w:t>
      </w:r>
      <w:r w:rsidR="00BC62B3" w:rsidRPr="00257CD4">
        <w:rPr>
          <w:rFonts w:ascii="Open Sans" w:hAnsi="Open Sans" w:cs="Open Sans"/>
          <w:sz w:val="20"/>
          <w:szCs w:val="20"/>
        </w:rPr>
        <w:t>I</w:t>
      </w:r>
      <w:r w:rsidR="004C6841" w:rsidRPr="00257CD4">
        <w:rPr>
          <w:rFonts w:ascii="Open Sans" w:hAnsi="Open Sans" w:cs="Open Sans"/>
          <w:sz w:val="20"/>
          <w:szCs w:val="20"/>
        </w:rPr>
        <w:t>nformación</w:t>
      </w:r>
      <w:r w:rsidR="004C6841" w:rsidRPr="00257CD4">
        <w:rPr>
          <w:rFonts w:ascii="Open Sans" w:hAnsi="Open Sans" w:cs="Open Sans"/>
          <w:sz w:val="20"/>
          <w:szCs w:val="20"/>
        </w:rPr>
        <w:ptab w:relativeTo="margin" w:alignment="right" w:leader="dot"/>
      </w:r>
      <w:r w:rsidR="00955327" w:rsidRPr="00257CD4">
        <w:rPr>
          <w:rFonts w:ascii="Open Sans" w:hAnsi="Open Sans" w:cs="Open Sans"/>
          <w:sz w:val="20"/>
          <w:szCs w:val="20"/>
        </w:rPr>
        <w:t>9</w:t>
      </w:r>
      <w:r w:rsidR="00C374F5">
        <w:rPr>
          <w:rFonts w:ascii="Open Sans" w:hAnsi="Open Sans" w:cs="Open Sans"/>
          <w:sz w:val="20"/>
          <w:szCs w:val="20"/>
        </w:rPr>
        <w:t>2</w:t>
      </w:r>
    </w:p>
    <w:p w14:paraId="1CE7671C" w14:textId="77777777" w:rsidR="00934176" w:rsidRPr="00257CD4" w:rsidRDefault="00934176" w:rsidP="00934176">
      <w:pPr>
        <w:pStyle w:val="Prrafodelista"/>
        <w:spacing w:line="276" w:lineRule="auto"/>
        <w:ind w:left="357"/>
        <w:jc w:val="both"/>
        <w:rPr>
          <w:rFonts w:ascii="Open Sans" w:hAnsi="Open Sans" w:cs="Open Sans"/>
          <w:sz w:val="20"/>
          <w:szCs w:val="20"/>
        </w:rPr>
      </w:pPr>
    </w:p>
    <w:p w14:paraId="692EE5E9" w14:textId="0F15F6BC" w:rsidR="00BA1E57" w:rsidRPr="00257CD4" w:rsidRDefault="00A46175" w:rsidP="00637696">
      <w:pPr>
        <w:pStyle w:val="Prrafodelista"/>
        <w:numPr>
          <w:ilvl w:val="0"/>
          <w:numId w:val="14"/>
        </w:numPr>
        <w:spacing w:line="276" w:lineRule="auto"/>
        <w:jc w:val="both"/>
        <w:rPr>
          <w:rFonts w:ascii="Open Sans" w:hAnsi="Open Sans" w:cs="Open Sans"/>
          <w:b/>
          <w:sz w:val="20"/>
          <w:szCs w:val="20"/>
        </w:rPr>
      </w:pPr>
      <w:r w:rsidRPr="00257CD4">
        <w:rPr>
          <w:rFonts w:ascii="Open Sans" w:hAnsi="Open Sans" w:cs="Open Sans"/>
          <w:b/>
          <w:sz w:val="20"/>
          <w:szCs w:val="20"/>
        </w:rPr>
        <w:t xml:space="preserve">Asuntos </w:t>
      </w:r>
      <w:r w:rsidR="004F2FD1" w:rsidRPr="00257CD4">
        <w:rPr>
          <w:rFonts w:ascii="Open Sans" w:hAnsi="Open Sans" w:cs="Open Sans"/>
          <w:b/>
          <w:sz w:val="20"/>
          <w:szCs w:val="20"/>
        </w:rPr>
        <w:t>j</w:t>
      </w:r>
      <w:r w:rsidRPr="00257CD4">
        <w:rPr>
          <w:rFonts w:ascii="Open Sans" w:hAnsi="Open Sans" w:cs="Open Sans"/>
          <w:b/>
          <w:sz w:val="20"/>
          <w:szCs w:val="20"/>
        </w:rPr>
        <w:t>urídicos</w:t>
      </w:r>
      <w:r w:rsidR="00C56FE1" w:rsidRPr="00257CD4">
        <w:rPr>
          <w:rFonts w:ascii="Open Sans" w:hAnsi="Open Sans" w:cs="Open Sans"/>
          <w:b/>
          <w:sz w:val="20"/>
          <w:szCs w:val="20"/>
        </w:rPr>
        <w:ptab w:relativeTo="margin" w:alignment="right" w:leader="dot"/>
      </w:r>
      <w:r w:rsidR="00F722B5" w:rsidRPr="00257CD4">
        <w:rPr>
          <w:rFonts w:ascii="Open Sans" w:hAnsi="Open Sans" w:cs="Open Sans"/>
          <w:b/>
          <w:sz w:val="20"/>
          <w:szCs w:val="20"/>
        </w:rPr>
        <w:t>9</w:t>
      </w:r>
      <w:r w:rsidR="00C374F5">
        <w:rPr>
          <w:rFonts w:ascii="Open Sans" w:hAnsi="Open Sans" w:cs="Open Sans"/>
          <w:b/>
          <w:sz w:val="20"/>
          <w:szCs w:val="20"/>
        </w:rPr>
        <w:t>3</w:t>
      </w:r>
    </w:p>
    <w:p w14:paraId="4736FCFA" w14:textId="18AACE39" w:rsidR="00BA1E57" w:rsidRPr="00257CD4" w:rsidRDefault="00B11BFA" w:rsidP="00637696">
      <w:pPr>
        <w:pStyle w:val="Prrafodelista"/>
        <w:numPr>
          <w:ilvl w:val="1"/>
          <w:numId w:val="14"/>
        </w:numPr>
        <w:spacing w:line="276" w:lineRule="auto"/>
        <w:jc w:val="both"/>
        <w:rPr>
          <w:rFonts w:ascii="Open Sans" w:hAnsi="Open Sans" w:cs="Open Sans"/>
          <w:sz w:val="20"/>
          <w:szCs w:val="20"/>
        </w:rPr>
      </w:pPr>
      <w:r>
        <w:rPr>
          <w:rFonts w:ascii="Open Sans" w:hAnsi="Open Sans" w:cs="Open Sans"/>
          <w:sz w:val="20"/>
          <w:szCs w:val="20"/>
        </w:rPr>
        <w:t xml:space="preserve"> </w:t>
      </w:r>
      <w:r w:rsidR="00A46175" w:rsidRPr="00257CD4">
        <w:rPr>
          <w:rFonts w:ascii="Open Sans" w:hAnsi="Open Sans" w:cs="Open Sans"/>
          <w:sz w:val="20"/>
          <w:szCs w:val="20"/>
        </w:rPr>
        <w:t xml:space="preserve">Funciones </w:t>
      </w:r>
      <w:r w:rsidR="00C56FE1" w:rsidRPr="00257CD4">
        <w:rPr>
          <w:rFonts w:ascii="Open Sans" w:hAnsi="Open Sans" w:cs="Open Sans"/>
          <w:sz w:val="20"/>
          <w:szCs w:val="20"/>
        </w:rPr>
        <w:ptab w:relativeTo="margin" w:alignment="right" w:leader="dot"/>
      </w:r>
      <w:r w:rsidR="00F722B5" w:rsidRPr="00257CD4">
        <w:rPr>
          <w:rFonts w:ascii="Open Sans" w:hAnsi="Open Sans" w:cs="Open Sans"/>
          <w:sz w:val="20"/>
          <w:szCs w:val="20"/>
        </w:rPr>
        <w:t>9</w:t>
      </w:r>
      <w:r w:rsidR="002E5FE9">
        <w:rPr>
          <w:rFonts w:ascii="Open Sans" w:hAnsi="Open Sans" w:cs="Open Sans"/>
          <w:sz w:val="20"/>
          <w:szCs w:val="20"/>
        </w:rPr>
        <w:t>3</w:t>
      </w:r>
    </w:p>
    <w:p w14:paraId="2393DACA" w14:textId="6BB61D19" w:rsidR="00BA1E57" w:rsidRPr="00257CD4" w:rsidRDefault="00B11BFA" w:rsidP="00637696">
      <w:pPr>
        <w:pStyle w:val="Prrafodelista"/>
        <w:numPr>
          <w:ilvl w:val="1"/>
          <w:numId w:val="14"/>
        </w:numPr>
        <w:spacing w:line="276" w:lineRule="auto"/>
        <w:jc w:val="both"/>
        <w:rPr>
          <w:rFonts w:ascii="Open Sans" w:hAnsi="Open Sans" w:cs="Open Sans"/>
          <w:sz w:val="20"/>
          <w:szCs w:val="20"/>
        </w:rPr>
      </w:pPr>
      <w:r>
        <w:rPr>
          <w:rFonts w:ascii="Open Sans" w:hAnsi="Open Sans" w:cs="Open Sans"/>
          <w:sz w:val="20"/>
          <w:szCs w:val="20"/>
        </w:rPr>
        <w:t xml:space="preserve"> </w:t>
      </w:r>
      <w:r w:rsidR="00A46175" w:rsidRPr="00257CD4">
        <w:rPr>
          <w:rFonts w:ascii="Open Sans" w:hAnsi="Open Sans" w:cs="Open Sans"/>
          <w:sz w:val="20"/>
          <w:szCs w:val="20"/>
        </w:rPr>
        <w:t xml:space="preserve">Las normas de actuación </w:t>
      </w:r>
      <w:r w:rsidR="00C56FE1" w:rsidRPr="00257CD4">
        <w:rPr>
          <w:rFonts w:ascii="Open Sans" w:hAnsi="Open Sans" w:cs="Open Sans"/>
          <w:sz w:val="20"/>
          <w:szCs w:val="20"/>
        </w:rPr>
        <w:ptab w:relativeTo="margin" w:alignment="right" w:leader="dot"/>
      </w:r>
      <w:r w:rsidR="00F722B5" w:rsidRPr="00257CD4">
        <w:rPr>
          <w:rFonts w:ascii="Open Sans" w:hAnsi="Open Sans" w:cs="Open Sans"/>
          <w:sz w:val="20"/>
          <w:szCs w:val="20"/>
        </w:rPr>
        <w:t>9</w:t>
      </w:r>
      <w:r w:rsidR="002E5FE9">
        <w:rPr>
          <w:rFonts w:ascii="Open Sans" w:hAnsi="Open Sans" w:cs="Open Sans"/>
          <w:sz w:val="20"/>
          <w:szCs w:val="20"/>
        </w:rPr>
        <w:t>4</w:t>
      </w:r>
    </w:p>
    <w:p w14:paraId="7A3D344C" w14:textId="4BF0997E" w:rsidR="00BA1E57" w:rsidRPr="00257CD4" w:rsidRDefault="00A46175" w:rsidP="00637696">
      <w:pPr>
        <w:pStyle w:val="Prrafodelista"/>
        <w:numPr>
          <w:ilvl w:val="2"/>
          <w:numId w:val="14"/>
        </w:numPr>
        <w:spacing w:line="276" w:lineRule="auto"/>
        <w:jc w:val="both"/>
        <w:rPr>
          <w:rFonts w:ascii="Open Sans" w:hAnsi="Open Sans" w:cs="Open Sans"/>
          <w:sz w:val="20"/>
          <w:szCs w:val="20"/>
        </w:rPr>
      </w:pPr>
      <w:r w:rsidRPr="00257CD4">
        <w:rPr>
          <w:rFonts w:ascii="Open Sans" w:hAnsi="Open Sans" w:cs="Open Sans"/>
          <w:sz w:val="20"/>
          <w:szCs w:val="20"/>
        </w:rPr>
        <w:t xml:space="preserve">La </w:t>
      </w:r>
      <w:r w:rsidR="007C64AC" w:rsidRPr="00257CD4">
        <w:rPr>
          <w:rFonts w:ascii="Open Sans" w:hAnsi="Open Sans" w:cs="Open Sans"/>
          <w:sz w:val="20"/>
          <w:szCs w:val="20"/>
        </w:rPr>
        <w:t>L</w:t>
      </w:r>
      <w:r w:rsidRPr="00257CD4">
        <w:rPr>
          <w:rFonts w:ascii="Open Sans" w:hAnsi="Open Sans" w:cs="Open Sans"/>
          <w:sz w:val="20"/>
          <w:szCs w:val="20"/>
        </w:rPr>
        <w:t xml:space="preserve">ey fundacional </w:t>
      </w:r>
      <w:r w:rsidR="00C56FE1" w:rsidRPr="00257CD4">
        <w:rPr>
          <w:rFonts w:ascii="Open Sans" w:hAnsi="Open Sans" w:cs="Open Sans"/>
          <w:sz w:val="20"/>
          <w:szCs w:val="20"/>
        </w:rPr>
        <w:ptab w:relativeTo="margin" w:alignment="right" w:leader="dot"/>
      </w:r>
      <w:r w:rsidR="00F722B5" w:rsidRPr="00257CD4">
        <w:rPr>
          <w:rFonts w:ascii="Open Sans" w:hAnsi="Open Sans" w:cs="Open Sans"/>
          <w:sz w:val="20"/>
          <w:szCs w:val="20"/>
        </w:rPr>
        <w:t>9</w:t>
      </w:r>
      <w:r w:rsidR="002E5FE9">
        <w:rPr>
          <w:rFonts w:ascii="Open Sans" w:hAnsi="Open Sans" w:cs="Open Sans"/>
          <w:sz w:val="20"/>
          <w:szCs w:val="20"/>
        </w:rPr>
        <w:t>4</w:t>
      </w:r>
    </w:p>
    <w:p w14:paraId="190C3B4D" w14:textId="11C37A4C" w:rsidR="00A46175" w:rsidRPr="00257CD4" w:rsidRDefault="00A46175" w:rsidP="00637696">
      <w:pPr>
        <w:pStyle w:val="Prrafodelista"/>
        <w:numPr>
          <w:ilvl w:val="2"/>
          <w:numId w:val="14"/>
        </w:numPr>
        <w:spacing w:line="276" w:lineRule="auto"/>
        <w:jc w:val="both"/>
        <w:rPr>
          <w:rFonts w:ascii="Open Sans" w:hAnsi="Open Sans" w:cs="Open Sans"/>
          <w:sz w:val="20"/>
          <w:szCs w:val="20"/>
        </w:rPr>
      </w:pPr>
      <w:r w:rsidRPr="00257CD4">
        <w:rPr>
          <w:rFonts w:ascii="Open Sans" w:hAnsi="Open Sans" w:cs="Open Sans"/>
          <w:sz w:val="20"/>
          <w:szCs w:val="20"/>
        </w:rPr>
        <w:t xml:space="preserve">La modificación de la </w:t>
      </w:r>
      <w:r w:rsidR="007C64AC" w:rsidRPr="00257CD4">
        <w:rPr>
          <w:rFonts w:ascii="Open Sans" w:hAnsi="Open Sans" w:cs="Open Sans"/>
          <w:sz w:val="20"/>
          <w:szCs w:val="20"/>
        </w:rPr>
        <w:t>L</w:t>
      </w:r>
      <w:r w:rsidRPr="00257CD4">
        <w:rPr>
          <w:rFonts w:ascii="Open Sans" w:hAnsi="Open Sans" w:cs="Open Sans"/>
          <w:sz w:val="20"/>
          <w:szCs w:val="20"/>
        </w:rPr>
        <w:t xml:space="preserve">ey fundacional </w:t>
      </w:r>
      <w:r w:rsidR="00C56FE1" w:rsidRPr="00257CD4">
        <w:rPr>
          <w:rFonts w:ascii="Open Sans" w:hAnsi="Open Sans" w:cs="Open Sans"/>
          <w:sz w:val="20"/>
          <w:szCs w:val="20"/>
        </w:rPr>
        <w:ptab w:relativeTo="margin" w:alignment="right" w:leader="dot"/>
      </w:r>
      <w:r w:rsidR="00BB5098" w:rsidRPr="00257CD4">
        <w:rPr>
          <w:rFonts w:ascii="Open Sans" w:hAnsi="Open Sans" w:cs="Open Sans"/>
          <w:sz w:val="20"/>
          <w:szCs w:val="20"/>
        </w:rPr>
        <w:t>9</w:t>
      </w:r>
      <w:r w:rsidR="002E5FE9">
        <w:rPr>
          <w:rFonts w:ascii="Open Sans" w:hAnsi="Open Sans" w:cs="Open Sans"/>
          <w:sz w:val="20"/>
          <w:szCs w:val="20"/>
        </w:rPr>
        <w:t>7</w:t>
      </w:r>
    </w:p>
    <w:p w14:paraId="054BBDD6" w14:textId="5336DB17" w:rsidR="00BA1E57" w:rsidRPr="00257CD4" w:rsidRDefault="002027E9" w:rsidP="00637696">
      <w:pPr>
        <w:pStyle w:val="Prrafodelista"/>
        <w:numPr>
          <w:ilvl w:val="3"/>
          <w:numId w:val="14"/>
        </w:numPr>
        <w:spacing w:line="276" w:lineRule="auto"/>
        <w:jc w:val="both"/>
        <w:rPr>
          <w:rFonts w:ascii="Open Sans" w:hAnsi="Open Sans" w:cs="Open Sans"/>
          <w:sz w:val="20"/>
          <w:szCs w:val="20"/>
        </w:rPr>
      </w:pPr>
      <w:r w:rsidRPr="00257CD4">
        <w:rPr>
          <w:rFonts w:ascii="Open Sans" w:hAnsi="Open Sans" w:cs="Open Sans"/>
          <w:sz w:val="20"/>
          <w:szCs w:val="20"/>
        </w:rPr>
        <w:t xml:space="preserve"> </w:t>
      </w:r>
      <w:r w:rsidR="00BA1E57" w:rsidRPr="00257CD4">
        <w:rPr>
          <w:rFonts w:ascii="Open Sans" w:hAnsi="Open Sans" w:cs="Open Sans"/>
          <w:sz w:val="20"/>
          <w:szCs w:val="20"/>
        </w:rPr>
        <w:t>Funciones de la Agencia.</w:t>
      </w:r>
      <w:r w:rsidR="00BA1E57" w:rsidRPr="00257CD4">
        <w:rPr>
          <w:rFonts w:ascii="Open Sans" w:hAnsi="Open Sans" w:cs="Open Sans"/>
          <w:sz w:val="20"/>
          <w:szCs w:val="20"/>
        </w:rPr>
        <w:ptab w:relativeTo="margin" w:alignment="right" w:leader="dot"/>
      </w:r>
      <w:r w:rsidR="00BB5098" w:rsidRPr="00257CD4">
        <w:rPr>
          <w:rFonts w:ascii="Open Sans" w:hAnsi="Open Sans" w:cs="Open Sans"/>
          <w:sz w:val="20"/>
          <w:szCs w:val="20"/>
        </w:rPr>
        <w:t>9</w:t>
      </w:r>
      <w:r w:rsidR="002E5FE9">
        <w:rPr>
          <w:rFonts w:ascii="Open Sans" w:hAnsi="Open Sans" w:cs="Open Sans"/>
          <w:sz w:val="20"/>
          <w:szCs w:val="20"/>
        </w:rPr>
        <w:t>8</w:t>
      </w:r>
    </w:p>
    <w:p w14:paraId="45BE6B72" w14:textId="660A1F7B" w:rsidR="00BA1E57" w:rsidRPr="00257CD4" w:rsidRDefault="002027E9" w:rsidP="00637696">
      <w:pPr>
        <w:pStyle w:val="Prrafodelista"/>
        <w:numPr>
          <w:ilvl w:val="3"/>
          <w:numId w:val="14"/>
        </w:numPr>
        <w:spacing w:line="276" w:lineRule="auto"/>
        <w:jc w:val="both"/>
        <w:rPr>
          <w:rFonts w:ascii="Open Sans" w:hAnsi="Open Sans" w:cs="Open Sans"/>
          <w:sz w:val="20"/>
          <w:szCs w:val="20"/>
        </w:rPr>
      </w:pPr>
      <w:r w:rsidRPr="00257CD4">
        <w:rPr>
          <w:rFonts w:ascii="Open Sans" w:hAnsi="Open Sans" w:cs="Open Sans"/>
          <w:sz w:val="20"/>
          <w:szCs w:val="20"/>
        </w:rPr>
        <w:t xml:space="preserve"> </w:t>
      </w:r>
      <w:r w:rsidR="00BA1E57" w:rsidRPr="00257CD4">
        <w:rPr>
          <w:rFonts w:ascii="Open Sans" w:hAnsi="Open Sans" w:cs="Open Sans"/>
          <w:sz w:val="20"/>
          <w:szCs w:val="20"/>
        </w:rPr>
        <w:t xml:space="preserve">Relaciones con </w:t>
      </w:r>
      <w:r w:rsidR="0063751F" w:rsidRPr="00257CD4">
        <w:rPr>
          <w:rFonts w:ascii="Open Sans" w:hAnsi="Open Sans" w:cs="Open Sans"/>
          <w:sz w:val="20"/>
          <w:szCs w:val="20"/>
        </w:rPr>
        <w:t xml:space="preserve">el Consell y </w:t>
      </w:r>
      <w:r w:rsidR="00BA1E57" w:rsidRPr="00257CD4">
        <w:rPr>
          <w:rFonts w:ascii="Open Sans" w:hAnsi="Open Sans" w:cs="Open Sans"/>
          <w:sz w:val="20"/>
          <w:szCs w:val="20"/>
        </w:rPr>
        <w:t xml:space="preserve">las </w:t>
      </w:r>
      <w:r w:rsidR="007C64AC" w:rsidRPr="00257CD4">
        <w:rPr>
          <w:rFonts w:ascii="Open Sans" w:hAnsi="Open Sans" w:cs="Open Sans"/>
          <w:sz w:val="20"/>
          <w:szCs w:val="20"/>
        </w:rPr>
        <w:t>c</w:t>
      </w:r>
      <w:r w:rsidR="00BA1E57" w:rsidRPr="00257CD4">
        <w:rPr>
          <w:rFonts w:ascii="Open Sans" w:hAnsi="Open Sans" w:cs="Open Sans"/>
          <w:sz w:val="20"/>
          <w:szCs w:val="20"/>
        </w:rPr>
        <w:t>onsellerias</w:t>
      </w:r>
      <w:r w:rsidR="00BA1E57" w:rsidRPr="00257CD4">
        <w:rPr>
          <w:rFonts w:ascii="Open Sans" w:hAnsi="Open Sans" w:cs="Open Sans"/>
          <w:sz w:val="20"/>
          <w:szCs w:val="20"/>
        </w:rPr>
        <w:ptab w:relativeTo="margin" w:alignment="right" w:leader="dot"/>
      </w:r>
      <w:r w:rsidR="00F722B5" w:rsidRPr="00257CD4">
        <w:rPr>
          <w:rFonts w:ascii="Open Sans" w:hAnsi="Open Sans" w:cs="Open Sans"/>
          <w:sz w:val="20"/>
          <w:szCs w:val="20"/>
        </w:rPr>
        <w:t>10</w:t>
      </w:r>
      <w:r w:rsidR="002E5FE9">
        <w:rPr>
          <w:rFonts w:ascii="Open Sans" w:hAnsi="Open Sans" w:cs="Open Sans"/>
          <w:sz w:val="20"/>
          <w:szCs w:val="20"/>
        </w:rPr>
        <w:t>1</w:t>
      </w:r>
    </w:p>
    <w:p w14:paraId="352CD0CD" w14:textId="573EE916" w:rsidR="00BA1E57" w:rsidRPr="00257CD4" w:rsidRDefault="002027E9" w:rsidP="00637696">
      <w:pPr>
        <w:pStyle w:val="Prrafodelista"/>
        <w:numPr>
          <w:ilvl w:val="3"/>
          <w:numId w:val="14"/>
        </w:numPr>
        <w:spacing w:line="276" w:lineRule="auto"/>
        <w:jc w:val="both"/>
        <w:rPr>
          <w:rFonts w:ascii="Open Sans" w:hAnsi="Open Sans" w:cs="Open Sans"/>
          <w:sz w:val="20"/>
          <w:szCs w:val="20"/>
        </w:rPr>
      </w:pPr>
      <w:r w:rsidRPr="00257CD4">
        <w:rPr>
          <w:rFonts w:ascii="Open Sans" w:hAnsi="Open Sans" w:cs="Open Sans"/>
          <w:sz w:val="20"/>
          <w:szCs w:val="20"/>
        </w:rPr>
        <w:t xml:space="preserve"> </w:t>
      </w:r>
      <w:r w:rsidR="0063751F" w:rsidRPr="00257CD4">
        <w:rPr>
          <w:rFonts w:ascii="Open Sans" w:hAnsi="Open Sans" w:cs="Open Sans"/>
          <w:sz w:val="20"/>
          <w:szCs w:val="20"/>
        </w:rPr>
        <w:t>S</w:t>
      </w:r>
      <w:r w:rsidR="00BA1E57" w:rsidRPr="00257CD4">
        <w:rPr>
          <w:rFonts w:ascii="Open Sans" w:hAnsi="Open Sans" w:cs="Open Sans"/>
          <w:sz w:val="20"/>
          <w:szCs w:val="20"/>
        </w:rPr>
        <w:t xml:space="preserve">ituación administrativa de servicios especiales </w:t>
      </w:r>
      <w:r w:rsidR="0063751F" w:rsidRPr="00257CD4">
        <w:rPr>
          <w:rFonts w:ascii="Open Sans" w:hAnsi="Open Sans" w:cs="Open Sans"/>
          <w:sz w:val="20"/>
          <w:szCs w:val="20"/>
        </w:rPr>
        <w:ptab w:relativeTo="margin" w:alignment="right" w:leader="dot"/>
      </w:r>
      <w:r w:rsidR="00F722B5" w:rsidRPr="00257CD4">
        <w:rPr>
          <w:rFonts w:ascii="Open Sans" w:hAnsi="Open Sans" w:cs="Open Sans"/>
          <w:sz w:val="20"/>
          <w:szCs w:val="20"/>
        </w:rPr>
        <w:t>10</w:t>
      </w:r>
      <w:r w:rsidR="002E5FE9">
        <w:rPr>
          <w:rFonts w:ascii="Open Sans" w:hAnsi="Open Sans" w:cs="Open Sans"/>
          <w:sz w:val="20"/>
          <w:szCs w:val="20"/>
        </w:rPr>
        <w:t>2</w:t>
      </w:r>
    </w:p>
    <w:p w14:paraId="135320E4" w14:textId="1E8AA3B5" w:rsidR="00BA1E57" w:rsidRPr="00257CD4" w:rsidRDefault="002027E9" w:rsidP="00637696">
      <w:pPr>
        <w:pStyle w:val="Prrafodelista"/>
        <w:numPr>
          <w:ilvl w:val="3"/>
          <w:numId w:val="14"/>
        </w:numPr>
        <w:spacing w:line="276" w:lineRule="auto"/>
        <w:jc w:val="both"/>
        <w:rPr>
          <w:rFonts w:ascii="Open Sans" w:hAnsi="Open Sans" w:cs="Open Sans"/>
          <w:sz w:val="20"/>
          <w:szCs w:val="20"/>
        </w:rPr>
      </w:pPr>
      <w:r w:rsidRPr="00257CD4">
        <w:rPr>
          <w:rFonts w:ascii="Open Sans" w:hAnsi="Open Sans" w:cs="Open Sans"/>
          <w:sz w:val="20"/>
          <w:szCs w:val="20"/>
        </w:rPr>
        <w:t xml:space="preserve"> </w:t>
      </w:r>
      <w:r w:rsidR="0063751F" w:rsidRPr="00257CD4">
        <w:rPr>
          <w:rFonts w:ascii="Open Sans" w:hAnsi="Open Sans" w:cs="Open Sans"/>
          <w:sz w:val="20"/>
          <w:szCs w:val="20"/>
        </w:rPr>
        <w:t>D</w:t>
      </w:r>
      <w:r w:rsidR="00BA1E57" w:rsidRPr="00257CD4">
        <w:rPr>
          <w:rFonts w:ascii="Open Sans" w:hAnsi="Open Sans" w:cs="Open Sans"/>
          <w:sz w:val="20"/>
          <w:szCs w:val="20"/>
        </w:rPr>
        <w:t xml:space="preserve">isposición adicional primera de la Ley de Presupuestos </w:t>
      </w:r>
      <w:r w:rsidR="003A7CAA" w:rsidRPr="00257CD4">
        <w:rPr>
          <w:rFonts w:ascii="Open Sans" w:hAnsi="Open Sans" w:cs="Open Sans"/>
          <w:sz w:val="20"/>
          <w:szCs w:val="20"/>
        </w:rPr>
        <w:ptab w:relativeTo="margin" w:alignment="right" w:leader="dot"/>
      </w:r>
      <w:r w:rsidR="00F722B5" w:rsidRPr="00257CD4">
        <w:rPr>
          <w:rFonts w:ascii="Open Sans" w:hAnsi="Open Sans" w:cs="Open Sans"/>
          <w:sz w:val="20"/>
          <w:szCs w:val="20"/>
        </w:rPr>
        <w:t>1</w:t>
      </w:r>
      <w:r w:rsidR="00BB5098" w:rsidRPr="00257CD4">
        <w:rPr>
          <w:rFonts w:ascii="Open Sans" w:hAnsi="Open Sans" w:cs="Open Sans"/>
          <w:sz w:val="20"/>
          <w:szCs w:val="20"/>
        </w:rPr>
        <w:t>0</w:t>
      </w:r>
      <w:r w:rsidR="002E5FE9">
        <w:rPr>
          <w:rFonts w:ascii="Open Sans" w:hAnsi="Open Sans" w:cs="Open Sans"/>
          <w:sz w:val="20"/>
          <w:szCs w:val="20"/>
        </w:rPr>
        <w:t>4</w:t>
      </w:r>
    </w:p>
    <w:p w14:paraId="77218B30" w14:textId="58FB5276" w:rsidR="003A7CAA" w:rsidRPr="00257CD4" w:rsidRDefault="003A7CAA" w:rsidP="00637696">
      <w:pPr>
        <w:pStyle w:val="Prrafodelista"/>
        <w:numPr>
          <w:ilvl w:val="2"/>
          <w:numId w:val="14"/>
        </w:numPr>
        <w:spacing w:line="276" w:lineRule="auto"/>
        <w:jc w:val="both"/>
        <w:rPr>
          <w:rFonts w:ascii="Open Sans" w:hAnsi="Open Sans" w:cs="Open Sans"/>
          <w:sz w:val="20"/>
          <w:szCs w:val="20"/>
        </w:rPr>
      </w:pPr>
      <w:r w:rsidRPr="00257CD4">
        <w:rPr>
          <w:rFonts w:ascii="Open Sans" w:hAnsi="Open Sans" w:cs="Open Sans"/>
          <w:sz w:val="20"/>
          <w:szCs w:val="20"/>
        </w:rPr>
        <w:t>Reglamento de funcionamiento y régimen interior de la Agencia</w:t>
      </w:r>
      <w:r w:rsidRPr="00257CD4">
        <w:rPr>
          <w:rFonts w:ascii="Open Sans" w:hAnsi="Open Sans" w:cs="Open Sans"/>
          <w:sz w:val="20"/>
          <w:szCs w:val="20"/>
        </w:rPr>
        <w:ptab w:relativeTo="margin" w:alignment="right" w:leader="dot"/>
      </w:r>
      <w:r w:rsidR="00F722B5" w:rsidRPr="00257CD4">
        <w:rPr>
          <w:rFonts w:ascii="Open Sans" w:hAnsi="Open Sans" w:cs="Open Sans"/>
          <w:sz w:val="20"/>
          <w:szCs w:val="20"/>
        </w:rPr>
        <w:t>1</w:t>
      </w:r>
      <w:r w:rsidR="00BB5098" w:rsidRPr="00257CD4">
        <w:rPr>
          <w:rFonts w:ascii="Open Sans" w:hAnsi="Open Sans" w:cs="Open Sans"/>
          <w:sz w:val="20"/>
          <w:szCs w:val="20"/>
        </w:rPr>
        <w:t>0</w:t>
      </w:r>
      <w:r w:rsidR="002E5FE9">
        <w:rPr>
          <w:rFonts w:ascii="Open Sans" w:hAnsi="Open Sans" w:cs="Open Sans"/>
          <w:sz w:val="20"/>
          <w:szCs w:val="20"/>
        </w:rPr>
        <w:t>6</w:t>
      </w:r>
    </w:p>
    <w:p w14:paraId="5CE5B1C3" w14:textId="13F0BF91" w:rsidR="003A7CAA" w:rsidRPr="00257CD4" w:rsidRDefault="003A7CAA" w:rsidP="00637696">
      <w:pPr>
        <w:pStyle w:val="Prrafodelista"/>
        <w:numPr>
          <w:ilvl w:val="3"/>
          <w:numId w:val="14"/>
        </w:numPr>
        <w:spacing w:line="276" w:lineRule="auto"/>
        <w:jc w:val="both"/>
        <w:rPr>
          <w:rFonts w:ascii="Open Sans" w:hAnsi="Open Sans" w:cs="Open Sans"/>
          <w:sz w:val="20"/>
          <w:szCs w:val="20"/>
        </w:rPr>
      </w:pPr>
      <w:r w:rsidRPr="00257CD4">
        <w:rPr>
          <w:rFonts w:ascii="Open Sans" w:hAnsi="Open Sans" w:cs="Open Sans"/>
          <w:sz w:val="20"/>
          <w:szCs w:val="20"/>
        </w:rPr>
        <w:t>Trámites hasta su aprobación definitiva y entrada en vigor</w:t>
      </w:r>
      <w:r w:rsidRPr="00257CD4">
        <w:rPr>
          <w:rFonts w:ascii="Open Sans" w:hAnsi="Open Sans" w:cs="Open Sans"/>
          <w:sz w:val="20"/>
          <w:szCs w:val="20"/>
        </w:rPr>
        <w:ptab w:relativeTo="margin" w:alignment="right" w:leader="dot"/>
      </w:r>
      <w:r w:rsidR="00F722B5" w:rsidRPr="00257CD4">
        <w:rPr>
          <w:rFonts w:ascii="Open Sans" w:hAnsi="Open Sans" w:cs="Open Sans"/>
          <w:sz w:val="20"/>
          <w:szCs w:val="20"/>
        </w:rPr>
        <w:t>1</w:t>
      </w:r>
      <w:r w:rsidR="00BB5098" w:rsidRPr="00257CD4">
        <w:rPr>
          <w:rFonts w:ascii="Open Sans" w:hAnsi="Open Sans" w:cs="Open Sans"/>
          <w:sz w:val="20"/>
          <w:szCs w:val="20"/>
        </w:rPr>
        <w:t>0</w:t>
      </w:r>
      <w:r w:rsidR="002E5FE9">
        <w:rPr>
          <w:rFonts w:ascii="Open Sans" w:hAnsi="Open Sans" w:cs="Open Sans"/>
          <w:sz w:val="20"/>
          <w:szCs w:val="20"/>
        </w:rPr>
        <w:t>6</w:t>
      </w:r>
    </w:p>
    <w:p w14:paraId="72E17375" w14:textId="79933AE7" w:rsidR="003A7CAA" w:rsidRPr="00257CD4" w:rsidRDefault="003A7CAA" w:rsidP="00803DB0">
      <w:pPr>
        <w:pStyle w:val="Prrafodelista"/>
        <w:numPr>
          <w:ilvl w:val="3"/>
          <w:numId w:val="14"/>
        </w:numPr>
        <w:spacing w:line="276" w:lineRule="auto"/>
        <w:ind w:left="2098" w:hanging="737"/>
        <w:jc w:val="both"/>
        <w:rPr>
          <w:rFonts w:ascii="Open Sans" w:hAnsi="Open Sans" w:cs="Open Sans"/>
          <w:sz w:val="20"/>
          <w:szCs w:val="20"/>
        </w:rPr>
      </w:pPr>
      <w:r w:rsidRPr="00257CD4">
        <w:rPr>
          <w:rFonts w:ascii="Open Sans" w:hAnsi="Open Sans" w:cs="Open Sans"/>
          <w:sz w:val="20"/>
          <w:szCs w:val="20"/>
        </w:rPr>
        <w:t>Contenido definitivo del Reglamento de funcionamiento y régimen interior</w:t>
      </w:r>
      <w:r w:rsidRPr="00257CD4">
        <w:rPr>
          <w:rFonts w:ascii="Open Sans" w:hAnsi="Open Sans" w:cs="Open Sans"/>
          <w:sz w:val="20"/>
          <w:szCs w:val="20"/>
        </w:rPr>
        <w:ptab w:relativeTo="margin" w:alignment="right" w:leader="dot"/>
      </w:r>
      <w:r w:rsidR="00F722B5" w:rsidRPr="00257CD4">
        <w:rPr>
          <w:rFonts w:ascii="Open Sans" w:hAnsi="Open Sans" w:cs="Open Sans"/>
          <w:sz w:val="20"/>
          <w:szCs w:val="20"/>
        </w:rPr>
        <w:t>1</w:t>
      </w:r>
      <w:r w:rsidR="00BB5098" w:rsidRPr="00257CD4">
        <w:rPr>
          <w:rFonts w:ascii="Open Sans" w:hAnsi="Open Sans" w:cs="Open Sans"/>
          <w:sz w:val="20"/>
          <w:szCs w:val="20"/>
        </w:rPr>
        <w:t>0</w:t>
      </w:r>
      <w:r w:rsidR="002E5FE9">
        <w:rPr>
          <w:rFonts w:ascii="Open Sans" w:hAnsi="Open Sans" w:cs="Open Sans"/>
          <w:sz w:val="20"/>
          <w:szCs w:val="20"/>
        </w:rPr>
        <w:t>9</w:t>
      </w:r>
    </w:p>
    <w:p w14:paraId="4E1745BD" w14:textId="17CFB294" w:rsidR="007F5ACB" w:rsidRPr="00257CD4" w:rsidRDefault="00AB0843" w:rsidP="00637696">
      <w:pPr>
        <w:pStyle w:val="Prrafodelista"/>
        <w:numPr>
          <w:ilvl w:val="2"/>
          <w:numId w:val="14"/>
        </w:numPr>
        <w:spacing w:line="276" w:lineRule="auto"/>
        <w:jc w:val="both"/>
        <w:rPr>
          <w:rFonts w:ascii="Open Sans" w:hAnsi="Open Sans" w:cs="Open Sans"/>
          <w:sz w:val="20"/>
          <w:szCs w:val="20"/>
        </w:rPr>
      </w:pPr>
      <w:r w:rsidRPr="00257CD4">
        <w:rPr>
          <w:rFonts w:ascii="Open Sans" w:hAnsi="Open Sans" w:cs="Open Sans"/>
          <w:sz w:val="20"/>
          <w:szCs w:val="20"/>
        </w:rPr>
        <w:t xml:space="preserve"> Ámbito de actuación material de la Agencia</w:t>
      </w:r>
      <w:r w:rsidRPr="00257CD4">
        <w:rPr>
          <w:rFonts w:ascii="Open Sans" w:hAnsi="Open Sans" w:cs="Open Sans"/>
          <w:sz w:val="20"/>
          <w:szCs w:val="20"/>
        </w:rPr>
        <w:ptab w:relativeTo="margin" w:alignment="right" w:leader="dot"/>
      </w:r>
      <w:r w:rsidR="00F722B5" w:rsidRPr="00257CD4">
        <w:rPr>
          <w:rFonts w:ascii="Open Sans" w:hAnsi="Open Sans" w:cs="Open Sans"/>
          <w:sz w:val="20"/>
          <w:szCs w:val="20"/>
        </w:rPr>
        <w:t>1</w:t>
      </w:r>
      <w:r w:rsidR="00457ACE">
        <w:rPr>
          <w:rFonts w:ascii="Open Sans" w:hAnsi="Open Sans" w:cs="Open Sans"/>
          <w:sz w:val="20"/>
          <w:szCs w:val="20"/>
        </w:rPr>
        <w:t>09</w:t>
      </w:r>
    </w:p>
    <w:p w14:paraId="2281C44A" w14:textId="72749479" w:rsidR="00FD5832" w:rsidRPr="00257CD4" w:rsidRDefault="00AB0843" w:rsidP="00C34875">
      <w:pPr>
        <w:pStyle w:val="Prrafodelista"/>
        <w:numPr>
          <w:ilvl w:val="2"/>
          <w:numId w:val="14"/>
        </w:numPr>
        <w:spacing w:line="276" w:lineRule="auto"/>
        <w:jc w:val="both"/>
        <w:rPr>
          <w:rFonts w:ascii="Open Sans" w:hAnsi="Open Sans" w:cs="Open Sans"/>
          <w:sz w:val="20"/>
          <w:szCs w:val="20"/>
        </w:rPr>
      </w:pPr>
      <w:r w:rsidRPr="00257CD4">
        <w:rPr>
          <w:rFonts w:ascii="Open Sans" w:hAnsi="Open Sans" w:cs="Open Sans"/>
          <w:sz w:val="20"/>
          <w:szCs w:val="20"/>
        </w:rPr>
        <w:t>Directiva (UE) del Parlamento Europeo y del Consej</w:t>
      </w:r>
      <w:r w:rsidR="00BE47E2" w:rsidRPr="00257CD4">
        <w:rPr>
          <w:rFonts w:ascii="Open Sans" w:hAnsi="Open Sans" w:cs="Open Sans"/>
          <w:sz w:val="20"/>
          <w:szCs w:val="20"/>
        </w:rPr>
        <w:t>o</w:t>
      </w:r>
      <w:r w:rsidR="00BE47E2" w:rsidRPr="00257CD4">
        <w:rPr>
          <w:rFonts w:ascii="Open Sans" w:hAnsi="Open Sans" w:cs="Open Sans"/>
          <w:sz w:val="20"/>
          <w:szCs w:val="20"/>
        </w:rPr>
        <w:ptab w:relativeTo="margin" w:alignment="right" w:leader="dot"/>
      </w:r>
      <w:r w:rsidR="00BE47E2" w:rsidRPr="00257CD4">
        <w:rPr>
          <w:rFonts w:ascii="Open Sans" w:hAnsi="Open Sans" w:cs="Open Sans"/>
          <w:sz w:val="20"/>
          <w:szCs w:val="20"/>
        </w:rPr>
        <w:t>1</w:t>
      </w:r>
      <w:r w:rsidR="00457ACE">
        <w:rPr>
          <w:rFonts w:ascii="Open Sans" w:hAnsi="Open Sans" w:cs="Open Sans"/>
          <w:sz w:val="20"/>
          <w:szCs w:val="20"/>
        </w:rPr>
        <w:t>10</w:t>
      </w:r>
    </w:p>
    <w:p w14:paraId="12767F46" w14:textId="4487315B" w:rsidR="003A7CAA" w:rsidRPr="00257CD4" w:rsidRDefault="00B11BFA" w:rsidP="00637696">
      <w:pPr>
        <w:pStyle w:val="Prrafodelista"/>
        <w:numPr>
          <w:ilvl w:val="1"/>
          <w:numId w:val="14"/>
        </w:numPr>
        <w:spacing w:line="276" w:lineRule="auto"/>
        <w:jc w:val="both"/>
        <w:rPr>
          <w:rFonts w:ascii="Open Sans" w:hAnsi="Open Sans" w:cs="Open Sans"/>
          <w:sz w:val="20"/>
          <w:szCs w:val="20"/>
        </w:rPr>
      </w:pPr>
      <w:r>
        <w:rPr>
          <w:rFonts w:ascii="Open Sans" w:hAnsi="Open Sans" w:cs="Open Sans"/>
          <w:sz w:val="20"/>
          <w:szCs w:val="20"/>
        </w:rPr>
        <w:lastRenderedPageBreak/>
        <w:t xml:space="preserve"> </w:t>
      </w:r>
      <w:r w:rsidR="003A7CAA" w:rsidRPr="00257CD4">
        <w:rPr>
          <w:rFonts w:ascii="Open Sans" w:hAnsi="Open Sans" w:cs="Open Sans"/>
          <w:sz w:val="20"/>
          <w:szCs w:val="20"/>
        </w:rPr>
        <w:t>Protección de las personas denunciantes</w:t>
      </w:r>
      <w:r w:rsidR="003A7CAA" w:rsidRPr="00257CD4">
        <w:rPr>
          <w:rFonts w:ascii="Open Sans" w:hAnsi="Open Sans" w:cs="Open Sans"/>
          <w:sz w:val="20"/>
          <w:szCs w:val="20"/>
        </w:rPr>
        <w:ptab w:relativeTo="margin" w:alignment="right" w:leader="dot"/>
      </w:r>
      <w:r w:rsidR="00BE47E2" w:rsidRPr="00257CD4">
        <w:rPr>
          <w:rFonts w:ascii="Open Sans" w:hAnsi="Open Sans" w:cs="Open Sans"/>
          <w:sz w:val="20"/>
          <w:szCs w:val="20"/>
        </w:rPr>
        <w:t>1</w:t>
      </w:r>
      <w:r w:rsidR="00CE78B2" w:rsidRPr="00257CD4">
        <w:rPr>
          <w:rFonts w:ascii="Open Sans" w:hAnsi="Open Sans" w:cs="Open Sans"/>
          <w:sz w:val="20"/>
          <w:szCs w:val="20"/>
        </w:rPr>
        <w:t>1</w:t>
      </w:r>
      <w:r w:rsidR="00457ACE">
        <w:rPr>
          <w:rFonts w:ascii="Open Sans" w:hAnsi="Open Sans" w:cs="Open Sans"/>
          <w:sz w:val="20"/>
          <w:szCs w:val="20"/>
        </w:rPr>
        <w:t>5</w:t>
      </w:r>
    </w:p>
    <w:p w14:paraId="66FD5B19" w14:textId="3C1A1CA7" w:rsidR="00E6334C" w:rsidRPr="00257CD4" w:rsidRDefault="00E6334C" w:rsidP="00637696">
      <w:pPr>
        <w:pStyle w:val="Prrafodelista"/>
        <w:numPr>
          <w:ilvl w:val="2"/>
          <w:numId w:val="14"/>
        </w:numPr>
        <w:spacing w:line="276" w:lineRule="auto"/>
        <w:jc w:val="both"/>
        <w:rPr>
          <w:rFonts w:ascii="Open Sans" w:hAnsi="Open Sans" w:cs="Open Sans"/>
          <w:sz w:val="20"/>
          <w:szCs w:val="20"/>
        </w:rPr>
      </w:pPr>
      <w:r w:rsidRPr="00257CD4">
        <w:rPr>
          <w:rFonts w:ascii="Open Sans" w:hAnsi="Open Sans" w:cs="Open Sans"/>
          <w:sz w:val="20"/>
          <w:szCs w:val="20"/>
        </w:rPr>
        <w:t xml:space="preserve">Introducción </w:t>
      </w:r>
      <w:r w:rsidRPr="00257CD4">
        <w:rPr>
          <w:rFonts w:ascii="Open Sans" w:hAnsi="Open Sans" w:cs="Open Sans"/>
          <w:sz w:val="20"/>
          <w:szCs w:val="20"/>
        </w:rPr>
        <w:ptab w:relativeTo="margin" w:alignment="right" w:leader="dot"/>
      </w:r>
      <w:r w:rsidR="00BE47E2" w:rsidRPr="00257CD4">
        <w:rPr>
          <w:rFonts w:ascii="Open Sans" w:hAnsi="Open Sans" w:cs="Open Sans"/>
          <w:sz w:val="20"/>
          <w:szCs w:val="20"/>
        </w:rPr>
        <w:t>1</w:t>
      </w:r>
      <w:r w:rsidR="00CE78B2" w:rsidRPr="00257CD4">
        <w:rPr>
          <w:rFonts w:ascii="Open Sans" w:hAnsi="Open Sans" w:cs="Open Sans"/>
          <w:sz w:val="20"/>
          <w:szCs w:val="20"/>
        </w:rPr>
        <w:t>1</w:t>
      </w:r>
      <w:r w:rsidR="00457ACE">
        <w:rPr>
          <w:rFonts w:ascii="Open Sans" w:hAnsi="Open Sans" w:cs="Open Sans"/>
          <w:sz w:val="20"/>
          <w:szCs w:val="20"/>
        </w:rPr>
        <w:t>5</w:t>
      </w:r>
    </w:p>
    <w:p w14:paraId="209CB08A" w14:textId="7579ED6F" w:rsidR="003A7CAA" w:rsidRPr="00257CD4" w:rsidRDefault="00AB0843" w:rsidP="00637696">
      <w:pPr>
        <w:pStyle w:val="Prrafodelista"/>
        <w:numPr>
          <w:ilvl w:val="2"/>
          <w:numId w:val="14"/>
        </w:numPr>
        <w:spacing w:line="276" w:lineRule="auto"/>
        <w:jc w:val="both"/>
        <w:rPr>
          <w:rFonts w:ascii="Open Sans" w:hAnsi="Open Sans" w:cs="Open Sans"/>
          <w:sz w:val="20"/>
          <w:szCs w:val="20"/>
        </w:rPr>
      </w:pPr>
      <w:r w:rsidRPr="00257CD4">
        <w:rPr>
          <w:rFonts w:ascii="Open Sans" w:hAnsi="Open Sans" w:cs="Open Sans"/>
          <w:sz w:val="20"/>
          <w:szCs w:val="20"/>
        </w:rPr>
        <w:t>Derechos de las personas denunciantes</w:t>
      </w:r>
      <w:r w:rsidR="003A7CAA" w:rsidRPr="00257CD4">
        <w:rPr>
          <w:rFonts w:ascii="Open Sans" w:hAnsi="Open Sans" w:cs="Open Sans"/>
          <w:sz w:val="20"/>
          <w:szCs w:val="20"/>
        </w:rPr>
        <w:ptab w:relativeTo="margin" w:alignment="right" w:leader="dot"/>
      </w:r>
      <w:r w:rsidR="00BE47E2" w:rsidRPr="00257CD4">
        <w:rPr>
          <w:rFonts w:ascii="Open Sans" w:hAnsi="Open Sans" w:cs="Open Sans"/>
          <w:sz w:val="20"/>
          <w:szCs w:val="20"/>
        </w:rPr>
        <w:t>1</w:t>
      </w:r>
      <w:r w:rsidR="00CE78B2" w:rsidRPr="00257CD4">
        <w:rPr>
          <w:rFonts w:ascii="Open Sans" w:hAnsi="Open Sans" w:cs="Open Sans"/>
          <w:sz w:val="20"/>
          <w:szCs w:val="20"/>
        </w:rPr>
        <w:t>1</w:t>
      </w:r>
      <w:r w:rsidR="00CF5FA3">
        <w:rPr>
          <w:rFonts w:ascii="Open Sans" w:hAnsi="Open Sans" w:cs="Open Sans"/>
          <w:sz w:val="20"/>
          <w:szCs w:val="20"/>
        </w:rPr>
        <w:t>5</w:t>
      </w:r>
    </w:p>
    <w:p w14:paraId="362D6B89" w14:textId="6CDED039" w:rsidR="00E6334C" w:rsidRPr="00257CD4" w:rsidRDefault="00E6334C" w:rsidP="00637696">
      <w:pPr>
        <w:pStyle w:val="Prrafodelista"/>
        <w:numPr>
          <w:ilvl w:val="3"/>
          <w:numId w:val="14"/>
        </w:numPr>
        <w:spacing w:line="276" w:lineRule="auto"/>
        <w:jc w:val="both"/>
        <w:rPr>
          <w:rFonts w:ascii="Open Sans" w:hAnsi="Open Sans" w:cs="Open Sans"/>
          <w:sz w:val="20"/>
          <w:szCs w:val="20"/>
        </w:rPr>
      </w:pPr>
      <w:r w:rsidRPr="00257CD4">
        <w:rPr>
          <w:rFonts w:ascii="Open Sans" w:hAnsi="Open Sans" w:cs="Open Sans"/>
          <w:sz w:val="20"/>
          <w:szCs w:val="20"/>
        </w:rPr>
        <w:t xml:space="preserve"> Asesoría legal, confidencialidad, anonimato </w:t>
      </w:r>
      <w:r w:rsidRPr="00257CD4">
        <w:rPr>
          <w:rFonts w:ascii="Open Sans" w:hAnsi="Open Sans" w:cs="Open Sans"/>
          <w:sz w:val="20"/>
          <w:szCs w:val="20"/>
        </w:rPr>
        <w:ptab w:relativeTo="margin" w:alignment="right" w:leader="dot"/>
      </w:r>
      <w:r w:rsidR="00BE47E2" w:rsidRPr="00257CD4">
        <w:rPr>
          <w:rFonts w:ascii="Open Sans" w:hAnsi="Open Sans" w:cs="Open Sans"/>
          <w:sz w:val="20"/>
          <w:szCs w:val="20"/>
        </w:rPr>
        <w:t>1</w:t>
      </w:r>
      <w:r w:rsidR="00CE78B2" w:rsidRPr="00257CD4">
        <w:rPr>
          <w:rFonts w:ascii="Open Sans" w:hAnsi="Open Sans" w:cs="Open Sans"/>
          <w:sz w:val="20"/>
          <w:szCs w:val="20"/>
        </w:rPr>
        <w:t>1</w:t>
      </w:r>
      <w:r w:rsidR="00CF5FA3">
        <w:rPr>
          <w:rFonts w:ascii="Open Sans" w:hAnsi="Open Sans" w:cs="Open Sans"/>
          <w:sz w:val="20"/>
          <w:szCs w:val="20"/>
        </w:rPr>
        <w:t>5</w:t>
      </w:r>
    </w:p>
    <w:p w14:paraId="0783329A" w14:textId="63B2E4C6" w:rsidR="00E6334C" w:rsidRPr="00257CD4" w:rsidRDefault="002027E9" w:rsidP="00637696">
      <w:pPr>
        <w:pStyle w:val="Prrafodelista"/>
        <w:numPr>
          <w:ilvl w:val="3"/>
          <w:numId w:val="14"/>
        </w:numPr>
        <w:spacing w:line="276" w:lineRule="auto"/>
        <w:jc w:val="both"/>
        <w:rPr>
          <w:rFonts w:ascii="Open Sans" w:hAnsi="Open Sans" w:cs="Open Sans"/>
          <w:sz w:val="20"/>
          <w:szCs w:val="20"/>
        </w:rPr>
      </w:pPr>
      <w:r w:rsidRPr="00257CD4">
        <w:rPr>
          <w:rFonts w:ascii="Open Sans" w:hAnsi="Open Sans" w:cs="Open Sans"/>
          <w:sz w:val="20"/>
          <w:szCs w:val="20"/>
        </w:rPr>
        <w:t xml:space="preserve"> </w:t>
      </w:r>
      <w:r w:rsidR="00E6334C" w:rsidRPr="00257CD4">
        <w:rPr>
          <w:rFonts w:ascii="Open Sans" w:hAnsi="Open Sans" w:cs="Open Sans"/>
          <w:sz w:val="20"/>
          <w:szCs w:val="20"/>
        </w:rPr>
        <w:t>Otros derechos de las personas denunciantes</w:t>
      </w:r>
      <w:r w:rsidR="00E6334C" w:rsidRPr="00257CD4">
        <w:rPr>
          <w:rFonts w:ascii="Open Sans" w:hAnsi="Open Sans" w:cs="Open Sans"/>
          <w:sz w:val="20"/>
          <w:szCs w:val="20"/>
        </w:rPr>
        <w:ptab w:relativeTo="margin" w:alignment="right" w:leader="dot"/>
      </w:r>
      <w:r w:rsidR="00BE47E2" w:rsidRPr="00257CD4">
        <w:rPr>
          <w:rFonts w:ascii="Open Sans" w:hAnsi="Open Sans" w:cs="Open Sans"/>
          <w:sz w:val="20"/>
          <w:szCs w:val="20"/>
        </w:rPr>
        <w:t>1</w:t>
      </w:r>
      <w:r w:rsidR="00CE78B2" w:rsidRPr="00257CD4">
        <w:rPr>
          <w:rFonts w:ascii="Open Sans" w:hAnsi="Open Sans" w:cs="Open Sans"/>
          <w:sz w:val="20"/>
          <w:szCs w:val="20"/>
        </w:rPr>
        <w:t>1</w:t>
      </w:r>
      <w:r w:rsidR="00457ACE">
        <w:rPr>
          <w:rFonts w:ascii="Open Sans" w:hAnsi="Open Sans" w:cs="Open Sans"/>
          <w:sz w:val="20"/>
          <w:szCs w:val="20"/>
        </w:rPr>
        <w:t>8</w:t>
      </w:r>
    </w:p>
    <w:p w14:paraId="4F38EA87" w14:textId="40E9D7CE" w:rsidR="00E6334C" w:rsidRPr="00257CD4" w:rsidRDefault="002027E9" w:rsidP="00637696">
      <w:pPr>
        <w:pStyle w:val="Prrafodelista"/>
        <w:numPr>
          <w:ilvl w:val="3"/>
          <w:numId w:val="14"/>
        </w:numPr>
        <w:spacing w:line="276" w:lineRule="auto"/>
        <w:jc w:val="both"/>
        <w:rPr>
          <w:rFonts w:ascii="Open Sans" w:hAnsi="Open Sans" w:cs="Open Sans"/>
          <w:sz w:val="20"/>
          <w:szCs w:val="20"/>
        </w:rPr>
      </w:pPr>
      <w:r w:rsidRPr="00257CD4">
        <w:rPr>
          <w:rFonts w:ascii="Open Sans" w:hAnsi="Open Sans" w:cs="Open Sans"/>
          <w:sz w:val="20"/>
          <w:szCs w:val="20"/>
        </w:rPr>
        <w:t xml:space="preserve"> </w:t>
      </w:r>
      <w:r w:rsidR="00E6334C" w:rsidRPr="00257CD4">
        <w:rPr>
          <w:rFonts w:ascii="Open Sans" w:hAnsi="Open Sans" w:cs="Open Sans"/>
          <w:sz w:val="20"/>
          <w:szCs w:val="20"/>
        </w:rPr>
        <w:t>Deberes y responsabilidades de las personas denunciantes</w:t>
      </w:r>
      <w:r w:rsidR="00E6334C" w:rsidRPr="00257CD4">
        <w:rPr>
          <w:rFonts w:ascii="Open Sans" w:hAnsi="Open Sans" w:cs="Open Sans"/>
          <w:sz w:val="20"/>
          <w:szCs w:val="20"/>
        </w:rPr>
        <w:ptab w:relativeTo="margin" w:alignment="right" w:leader="dot"/>
      </w:r>
      <w:r w:rsidR="00BE47E2" w:rsidRPr="00257CD4">
        <w:rPr>
          <w:rFonts w:ascii="Open Sans" w:hAnsi="Open Sans" w:cs="Open Sans"/>
          <w:sz w:val="20"/>
          <w:szCs w:val="20"/>
        </w:rPr>
        <w:t>12</w:t>
      </w:r>
      <w:r w:rsidR="00457ACE">
        <w:rPr>
          <w:rFonts w:ascii="Open Sans" w:hAnsi="Open Sans" w:cs="Open Sans"/>
          <w:sz w:val="20"/>
          <w:szCs w:val="20"/>
        </w:rPr>
        <w:t>1</w:t>
      </w:r>
    </w:p>
    <w:p w14:paraId="558A19CE" w14:textId="7BC4647B" w:rsidR="003A7CAA" w:rsidRPr="00257CD4" w:rsidRDefault="00AB0843" w:rsidP="00637696">
      <w:pPr>
        <w:pStyle w:val="Prrafodelista"/>
        <w:numPr>
          <w:ilvl w:val="2"/>
          <w:numId w:val="14"/>
        </w:numPr>
        <w:spacing w:line="276" w:lineRule="auto"/>
        <w:jc w:val="both"/>
        <w:rPr>
          <w:rFonts w:ascii="Open Sans" w:hAnsi="Open Sans" w:cs="Open Sans"/>
          <w:sz w:val="20"/>
          <w:szCs w:val="20"/>
        </w:rPr>
      </w:pPr>
      <w:r w:rsidRPr="00257CD4">
        <w:rPr>
          <w:rFonts w:ascii="Open Sans" w:hAnsi="Open Sans" w:cs="Open Sans"/>
          <w:sz w:val="20"/>
          <w:szCs w:val="20"/>
        </w:rPr>
        <w:t>El estatuto de protección de la persona denunc</w:t>
      </w:r>
      <w:r w:rsidR="00B53B21" w:rsidRPr="00257CD4">
        <w:rPr>
          <w:rFonts w:ascii="Open Sans" w:hAnsi="Open Sans" w:cs="Open Sans"/>
          <w:sz w:val="20"/>
          <w:szCs w:val="20"/>
        </w:rPr>
        <w:t>i</w:t>
      </w:r>
      <w:r w:rsidRPr="00257CD4">
        <w:rPr>
          <w:rFonts w:ascii="Open Sans" w:hAnsi="Open Sans" w:cs="Open Sans"/>
          <w:sz w:val="20"/>
          <w:szCs w:val="20"/>
        </w:rPr>
        <w:t>ante</w:t>
      </w:r>
      <w:r w:rsidR="003A7CAA" w:rsidRPr="00257CD4">
        <w:rPr>
          <w:rFonts w:ascii="Open Sans" w:hAnsi="Open Sans" w:cs="Open Sans"/>
          <w:sz w:val="20"/>
          <w:szCs w:val="20"/>
        </w:rPr>
        <w:ptab w:relativeTo="margin" w:alignment="right" w:leader="dot"/>
      </w:r>
      <w:r w:rsidR="00BE47E2" w:rsidRPr="00257CD4">
        <w:rPr>
          <w:rFonts w:ascii="Open Sans" w:hAnsi="Open Sans" w:cs="Open Sans"/>
          <w:sz w:val="20"/>
          <w:szCs w:val="20"/>
        </w:rPr>
        <w:t>12</w:t>
      </w:r>
      <w:r w:rsidR="00457ACE">
        <w:rPr>
          <w:rFonts w:ascii="Open Sans" w:hAnsi="Open Sans" w:cs="Open Sans"/>
          <w:sz w:val="20"/>
          <w:szCs w:val="20"/>
        </w:rPr>
        <w:t>2</w:t>
      </w:r>
      <w:r w:rsidR="003A7CAA" w:rsidRPr="00257CD4">
        <w:rPr>
          <w:rFonts w:ascii="Open Sans" w:hAnsi="Open Sans" w:cs="Open Sans"/>
          <w:sz w:val="20"/>
          <w:szCs w:val="20"/>
        </w:rPr>
        <w:ptab w:relativeTo="margin" w:alignment="right" w:leader="dot"/>
      </w:r>
    </w:p>
    <w:p w14:paraId="2E0CC8BB" w14:textId="67B207AD" w:rsidR="003A7CAA" w:rsidRPr="00257CD4" w:rsidRDefault="003A7CAA" w:rsidP="00637696">
      <w:pPr>
        <w:pStyle w:val="Prrafodelista"/>
        <w:numPr>
          <w:ilvl w:val="2"/>
          <w:numId w:val="14"/>
        </w:numPr>
        <w:spacing w:line="276" w:lineRule="auto"/>
        <w:jc w:val="both"/>
        <w:rPr>
          <w:rFonts w:ascii="Open Sans" w:hAnsi="Open Sans" w:cs="Open Sans"/>
          <w:sz w:val="20"/>
          <w:szCs w:val="20"/>
        </w:rPr>
      </w:pPr>
      <w:r w:rsidRPr="00257CD4">
        <w:rPr>
          <w:rFonts w:ascii="Open Sans" w:hAnsi="Open Sans" w:cs="Open Sans"/>
          <w:sz w:val="20"/>
          <w:szCs w:val="20"/>
        </w:rPr>
        <w:t>Las represalias</w:t>
      </w:r>
      <w:r w:rsidRPr="00257CD4">
        <w:rPr>
          <w:rFonts w:ascii="Open Sans" w:hAnsi="Open Sans" w:cs="Open Sans"/>
          <w:sz w:val="20"/>
          <w:szCs w:val="20"/>
        </w:rPr>
        <w:ptab w:relativeTo="margin" w:alignment="right" w:leader="dot"/>
      </w:r>
      <w:r w:rsidR="00BE47E2" w:rsidRPr="00257CD4">
        <w:rPr>
          <w:rFonts w:ascii="Open Sans" w:hAnsi="Open Sans" w:cs="Open Sans"/>
          <w:sz w:val="20"/>
          <w:szCs w:val="20"/>
        </w:rPr>
        <w:t>1</w:t>
      </w:r>
      <w:r w:rsidR="00CE78B2" w:rsidRPr="00257CD4">
        <w:rPr>
          <w:rFonts w:ascii="Open Sans" w:hAnsi="Open Sans" w:cs="Open Sans"/>
          <w:sz w:val="20"/>
          <w:szCs w:val="20"/>
        </w:rPr>
        <w:t>2</w:t>
      </w:r>
      <w:r w:rsidR="00457ACE">
        <w:rPr>
          <w:rFonts w:ascii="Open Sans" w:hAnsi="Open Sans" w:cs="Open Sans"/>
          <w:sz w:val="20"/>
          <w:szCs w:val="20"/>
        </w:rPr>
        <w:t>4</w:t>
      </w:r>
    </w:p>
    <w:p w14:paraId="61677508" w14:textId="4D09794E" w:rsidR="00BC510D" w:rsidRPr="00257CD4" w:rsidRDefault="008637FD" w:rsidP="0091153C">
      <w:pPr>
        <w:pStyle w:val="Prrafodelista"/>
        <w:numPr>
          <w:ilvl w:val="2"/>
          <w:numId w:val="14"/>
        </w:numPr>
        <w:spacing w:after="0" w:line="276" w:lineRule="auto"/>
        <w:jc w:val="both"/>
        <w:rPr>
          <w:rFonts w:ascii="Open Sans" w:hAnsi="Open Sans" w:cs="Open Sans"/>
          <w:sz w:val="20"/>
          <w:szCs w:val="20"/>
        </w:rPr>
      </w:pPr>
      <w:r w:rsidRPr="00257CD4">
        <w:rPr>
          <w:rFonts w:ascii="Open Sans" w:hAnsi="Open Sans" w:cs="Open Sans"/>
          <w:sz w:val="20"/>
          <w:szCs w:val="20"/>
        </w:rPr>
        <w:t>S</w:t>
      </w:r>
      <w:r w:rsidR="00AB0843" w:rsidRPr="00257CD4">
        <w:rPr>
          <w:rFonts w:ascii="Open Sans" w:hAnsi="Open Sans" w:cs="Open Sans"/>
          <w:sz w:val="20"/>
          <w:szCs w:val="20"/>
        </w:rPr>
        <w:t xml:space="preserve">eguimiento de la protección de las personas </w:t>
      </w:r>
      <w:r w:rsidR="0069034C" w:rsidRPr="00257CD4">
        <w:rPr>
          <w:rFonts w:ascii="Open Sans" w:hAnsi="Open Sans" w:cs="Open Sans"/>
          <w:sz w:val="20"/>
          <w:szCs w:val="20"/>
        </w:rPr>
        <w:t>denunciantes</w:t>
      </w:r>
      <w:r w:rsidR="003D1E71" w:rsidRPr="00257CD4">
        <w:rPr>
          <w:rFonts w:ascii="Open Sans" w:hAnsi="Open Sans" w:cs="Open Sans"/>
          <w:sz w:val="20"/>
          <w:szCs w:val="20"/>
        </w:rPr>
        <w:ptab w:relativeTo="margin" w:alignment="right" w:leader="dot"/>
      </w:r>
      <w:r w:rsidR="00BE47E2" w:rsidRPr="00257CD4">
        <w:rPr>
          <w:rFonts w:ascii="Open Sans" w:hAnsi="Open Sans" w:cs="Open Sans"/>
          <w:sz w:val="20"/>
          <w:szCs w:val="20"/>
        </w:rPr>
        <w:t>1</w:t>
      </w:r>
      <w:r w:rsidR="00CE78B2" w:rsidRPr="00257CD4">
        <w:rPr>
          <w:rFonts w:ascii="Open Sans" w:hAnsi="Open Sans" w:cs="Open Sans"/>
          <w:sz w:val="20"/>
          <w:szCs w:val="20"/>
        </w:rPr>
        <w:t>2</w:t>
      </w:r>
      <w:r w:rsidR="00457ACE">
        <w:rPr>
          <w:rFonts w:ascii="Open Sans" w:hAnsi="Open Sans" w:cs="Open Sans"/>
          <w:sz w:val="20"/>
          <w:szCs w:val="20"/>
        </w:rPr>
        <w:t>5</w:t>
      </w:r>
    </w:p>
    <w:p w14:paraId="05086852" w14:textId="37416BFA" w:rsidR="0091153C" w:rsidRPr="00257CD4" w:rsidRDefault="0091153C" w:rsidP="0091153C">
      <w:pPr>
        <w:numPr>
          <w:ilvl w:val="3"/>
          <w:numId w:val="14"/>
        </w:numPr>
        <w:tabs>
          <w:tab w:val="left" w:pos="0"/>
        </w:tabs>
        <w:spacing w:after="0" w:line="276" w:lineRule="auto"/>
        <w:contextualSpacing/>
        <w:jc w:val="both"/>
        <w:rPr>
          <w:rFonts w:ascii="Open Sans" w:eastAsia="Times New Roman" w:hAnsi="Open Sans" w:cs="Open Sans"/>
          <w:sz w:val="20"/>
          <w:szCs w:val="20"/>
        </w:rPr>
      </w:pPr>
      <w:r w:rsidRPr="00257CD4">
        <w:rPr>
          <w:rFonts w:ascii="Open Sans" w:eastAsia="Times New Roman" w:hAnsi="Open Sans" w:cs="Open Sans"/>
          <w:sz w:val="20"/>
          <w:szCs w:val="20"/>
        </w:rPr>
        <w:t xml:space="preserve"> Actos de hostigamiento encuadrados dentro del acoso laboral</w:t>
      </w:r>
      <w:r w:rsidRPr="00257CD4">
        <w:rPr>
          <w:rFonts w:ascii="Open Sans" w:eastAsia="Times New Roman" w:hAnsi="Open Sans" w:cs="Open Sans"/>
          <w:sz w:val="20"/>
          <w:szCs w:val="20"/>
        </w:rPr>
        <w:ptab w:relativeTo="margin" w:alignment="right" w:leader="dot"/>
      </w:r>
      <w:r w:rsidRPr="00257CD4">
        <w:rPr>
          <w:rFonts w:ascii="Open Sans" w:eastAsia="Times New Roman" w:hAnsi="Open Sans" w:cs="Open Sans"/>
          <w:sz w:val="20"/>
          <w:szCs w:val="20"/>
        </w:rPr>
        <w:t>12</w:t>
      </w:r>
      <w:r w:rsidR="00457ACE">
        <w:rPr>
          <w:rFonts w:ascii="Open Sans" w:eastAsia="Times New Roman" w:hAnsi="Open Sans" w:cs="Open Sans"/>
          <w:sz w:val="20"/>
          <w:szCs w:val="20"/>
        </w:rPr>
        <w:t>7</w:t>
      </w:r>
    </w:p>
    <w:p w14:paraId="2E96C6FE" w14:textId="781C32E4" w:rsidR="0091153C" w:rsidRPr="00257CD4" w:rsidRDefault="0091153C" w:rsidP="0091153C">
      <w:pPr>
        <w:numPr>
          <w:ilvl w:val="3"/>
          <w:numId w:val="14"/>
        </w:numPr>
        <w:tabs>
          <w:tab w:val="left" w:pos="0"/>
        </w:tabs>
        <w:spacing w:after="0" w:line="276" w:lineRule="auto"/>
        <w:contextualSpacing/>
        <w:jc w:val="both"/>
        <w:rPr>
          <w:rFonts w:ascii="Open Sans" w:eastAsia="Times New Roman" w:hAnsi="Open Sans" w:cs="Open Sans"/>
          <w:sz w:val="20"/>
          <w:szCs w:val="20"/>
        </w:rPr>
      </w:pPr>
      <w:r w:rsidRPr="00257CD4">
        <w:rPr>
          <w:rFonts w:ascii="Open Sans" w:eastAsia="Times New Roman" w:hAnsi="Open Sans" w:cs="Open Sans"/>
          <w:sz w:val="20"/>
          <w:szCs w:val="20"/>
        </w:rPr>
        <w:t xml:space="preserve"> Comparecencias en los juzgados y tribunales</w:t>
      </w:r>
      <w:r w:rsidRPr="00257CD4">
        <w:rPr>
          <w:rFonts w:ascii="Open Sans" w:eastAsia="Times New Roman" w:hAnsi="Open Sans" w:cs="Open Sans"/>
          <w:sz w:val="20"/>
          <w:szCs w:val="20"/>
        </w:rPr>
        <w:ptab w:relativeTo="margin" w:alignment="right" w:leader="dot"/>
      </w:r>
      <w:r w:rsidRPr="00257CD4">
        <w:rPr>
          <w:rFonts w:ascii="Open Sans" w:eastAsia="Times New Roman" w:hAnsi="Open Sans" w:cs="Open Sans"/>
          <w:sz w:val="20"/>
          <w:szCs w:val="20"/>
        </w:rPr>
        <w:t>12</w:t>
      </w:r>
      <w:r w:rsidR="00457ACE">
        <w:rPr>
          <w:rFonts w:ascii="Open Sans" w:eastAsia="Times New Roman" w:hAnsi="Open Sans" w:cs="Open Sans"/>
          <w:sz w:val="20"/>
          <w:szCs w:val="20"/>
        </w:rPr>
        <w:t>8</w:t>
      </w:r>
    </w:p>
    <w:p w14:paraId="695CBBE5" w14:textId="66D9BA16" w:rsidR="0091153C" w:rsidRPr="00257CD4" w:rsidRDefault="0091153C" w:rsidP="0091153C">
      <w:pPr>
        <w:numPr>
          <w:ilvl w:val="3"/>
          <w:numId w:val="14"/>
        </w:numPr>
        <w:tabs>
          <w:tab w:val="left" w:pos="0"/>
        </w:tabs>
        <w:spacing w:after="0" w:line="276" w:lineRule="auto"/>
        <w:contextualSpacing/>
        <w:jc w:val="both"/>
        <w:rPr>
          <w:rFonts w:ascii="Open Sans" w:eastAsia="Times New Roman" w:hAnsi="Open Sans" w:cs="Open Sans"/>
          <w:sz w:val="20"/>
          <w:szCs w:val="20"/>
        </w:rPr>
      </w:pPr>
      <w:r w:rsidRPr="00257CD4">
        <w:rPr>
          <w:rFonts w:ascii="Open Sans" w:eastAsia="Times New Roman" w:hAnsi="Open Sans" w:cs="Open Sans"/>
          <w:sz w:val="20"/>
          <w:szCs w:val="20"/>
        </w:rPr>
        <w:t xml:space="preserve"> Repercusiones económicas por ejercicio del derecho de defensa</w:t>
      </w:r>
      <w:r w:rsidRPr="00257CD4">
        <w:rPr>
          <w:rFonts w:ascii="Open Sans" w:eastAsia="Times New Roman" w:hAnsi="Open Sans" w:cs="Open Sans"/>
          <w:sz w:val="20"/>
          <w:szCs w:val="20"/>
        </w:rPr>
        <w:ptab w:relativeTo="margin" w:alignment="right" w:leader="dot"/>
      </w:r>
      <w:r w:rsidRPr="00257CD4">
        <w:rPr>
          <w:rFonts w:ascii="Open Sans" w:eastAsia="Times New Roman" w:hAnsi="Open Sans" w:cs="Open Sans"/>
          <w:sz w:val="20"/>
          <w:szCs w:val="20"/>
        </w:rPr>
        <w:t>12</w:t>
      </w:r>
      <w:r w:rsidR="00457ACE">
        <w:rPr>
          <w:rFonts w:ascii="Open Sans" w:eastAsia="Times New Roman" w:hAnsi="Open Sans" w:cs="Open Sans"/>
          <w:sz w:val="20"/>
          <w:szCs w:val="20"/>
        </w:rPr>
        <w:t>9</w:t>
      </w:r>
    </w:p>
    <w:p w14:paraId="25A134E5" w14:textId="5D624945" w:rsidR="0091153C" w:rsidRPr="00257CD4" w:rsidRDefault="0091153C" w:rsidP="0091153C">
      <w:pPr>
        <w:numPr>
          <w:ilvl w:val="3"/>
          <w:numId w:val="14"/>
        </w:numPr>
        <w:tabs>
          <w:tab w:val="left" w:pos="0"/>
        </w:tabs>
        <w:spacing w:after="0" w:line="276" w:lineRule="auto"/>
        <w:contextualSpacing/>
        <w:jc w:val="both"/>
        <w:rPr>
          <w:rFonts w:ascii="Open Sans" w:eastAsia="Times New Roman" w:hAnsi="Open Sans" w:cs="Open Sans"/>
          <w:sz w:val="20"/>
          <w:szCs w:val="20"/>
        </w:rPr>
      </w:pPr>
      <w:r w:rsidRPr="00257CD4">
        <w:rPr>
          <w:rFonts w:ascii="Open Sans" w:eastAsia="Times New Roman" w:hAnsi="Open Sans" w:cs="Open Sans"/>
          <w:sz w:val="20"/>
          <w:szCs w:val="20"/>
        </w:rPr>
        <w:t xml:space="preserve"> Cambios de puestos de trabajo</w:t>
      </w:r>
      <w:r w:rsidRPr="00257CD4">
        <w:rPr>
          <w:rFonts w:ascii="Open Sans" w:eastAsia="Times New Roman" w:hAnsi="Open Sans" w:cs="Open Sans"/>
          <w:sz w:val="20"/>
          <w:szCs w:val="20"/>
        </w:rPr>
        <w:ptab w:relativeTo="margin" w:alignment="right" w:leader="dot"/>
      </w:r>
      <w:r w:rsidRPr="00257CD4">
        <w:rPr>
          <w:rFonts w:ascii="Open Sans" w:eastAsia="Times New Roman" w:hAnsi="Open Sans" w:cs="Open Sans"/>
          <w:sz w:val="20"/>
          <w:szCs w:val="20"/>
        </w:rPr>
        <w:t>1</w:t>
      </w:r>
      <w:r w:rsidR="00457ACE">
        <w:rPr>
          <w:rFonts w:ascii="Open Sans" w:eastAsia="Times New Roman" w:hAnsi="Open Sans" w:cs="Open Sans"/>
          <w:sz w:val="20"/>
          <w:szCs w:val="20"/>
        </w:rPr>
        <w:t>3</w:t>
      </w:r>
      <w:r w:rsidR="009B4ADD">
        <w:rPr>
          <w:rFonts w:ascii="Open Sans" w:eastAsia="Times New Roman" w:hAnsi="Open Sans" w:cs="Open Sans"/>
          <w:sz w:val="20"/>
          <w:szCs w:val="20"/>
        </w:rPr>
        <w:t>0</w:t>
      </w:r>
    </w:p>
    <w:p w14:paraId="3476F82E" w14:textId="14CFE85A" w:rsidR="0091153C" w:rsidRPr="00257CD4" w:rsidRDefault="0091153C" w:rsidP="0091153C">
      <w:pPr>
        <w:numPr>
          <w:ilvl w:val="3"/>
          <w:numId w:val="14"/>
        </w:numPr>
        <w:tabs>
          <w:tab w:val="left" w:pos="0"/>
        </w:tabs>
        <w:spacing w:after="0" w:line="276" w:lineRule="auto"/>
        <w:contextualSpacing/>
        <w:jc w:val="both"/>
        <w:rPr>
          <w:rFonts w:ascii="Open Sans" w:eastAsia="Times New Roman" w:hAnsi="Open Sans" w:cs="Open Sans"/>
          <w:sz w:val="20"/>
          <w:szCs w:val="20"/>
        </w:rPr>
      </w:pPr>
      <w:r w:rsidRPr="00257CD4">
        <w:rPr>
          <w:rFonts w:ascii="Open Sans" w:eastAsia="Times New Roman" w:hAnsi="Open Sans" w:cs="Open Sans"/>
          <w:sz w:val="20"/>
          <w:szCs w:val="20"/>
        </w:rPr>
        <w:t xml:space="preserve"> Consecuencias psicológicas</w:t>
      </w:r>
      <w:r w:rsidRPr="00257CD4">
        <w:rPr>
          <w:rFonts w:ascii="Open Sans" w:eastAsia="Times New Roman" w:hAnsi="Open Sans" w:cs="Open Sans"/>
          <w:sz w:val="20"/>
          <w:szCs w:val="20"/>
        </w:rPr>
        <w:ptab w:relativeTo="margin" w:alignment="right" w:leader="dot"/>
      </w:r>
      <w:r w:rsidRPr="00257CD4">
        <w:rPr>
          <w:rFonts w:ascii="Open Sans" w:eastAsia="Times New Roman" w:hAnsi="Open Sans" w:cs="Open Sans"/>
          <w:sz w:val="20"/>
          <w:szCs w:val="20"/>
        </w:rPr>
        <w:t>1</w:t>
      </w:r>
      <w:r w:rsidR="00834CAA" w:rsidRPr="00257CD4">
        <w:rPr>
          <w:rFonts w:ascii="Open Sans" w:eastAsia="Times New Roman" w:hAnsi="Open Sans" w:cs="Open Sans"/>
          <w:sz w:val="20"/>
          <w:szCs w:val="20"/>
        </w:rPr>
        <w:t>3</w:t>
      </w:r>
      <w:r w:rsidR="00457ACE">
        <w:rPr>
          <w:rFonts w:ascii="Open Sans" w:eastAsia="Times New Roman" w:hAnsi="Open Sans" w:cs="Open Sans"/>
          <w:sz w:val="20"/>
          <w:szCs w:val="20"/>
        </w:rPr>
        <w:t>1</w:t>
      </w:r>
    </w:p>
    <w:p w14:paraId="531BBF06" w14:textId="441C6314" w:rsidR="0091153C" w:rsidRPr="00257CD4" w:rsidRDefault="0091153C" w:rsidP="0091153C">
      <w:pPr>
        <w:numPr>
          <w:ilvl w:val="2"/>
          <w:numId w:val="14"/>
        </w:numPr>
        <w:tabs>
          <w:tab w:val="left" w:pos="0"/>
        </w:tabs>
        <w:spacing w:after="0" w:line="276" w:lineRule="auto"/>
        <w:contextualSpacing/>
        <w:jc w:val="both"/>
        <w:rPr>
          <w:rFonts w:ascii="Open Sans" w:eastAsia="Times New Roman" w:hAnsi="Open Sans" w:cs="Open Sans"/>
          <w:sz w:val="20"/>
          <w:szCs w:val="20"/>
        </w:rPr>
      </w:pPr>
      <w:r w:rsidRPr="00257CD4">
        <w:rPr>
          <w:rFonts w:ascii="Open Sans" w:eastAsia="Times New Roman" w:hAnsi="Open Sans" w:cs="Open Sans"/>
          <w:sz w:val="20"/>
          <w:szCs w:val="20"/>
        </w:rPr>
        <w:t>Resultados estadísticos de la protección a denunciantes</w:t>
      </w:r>
      <w:r w:rsidRPr="00257CD4">
        <w:rPr>
          <w:rFonts w:ascii="Open Sans" w:eastAsia="Times New Roman" w:hAnsi="Open Sans" w:cs="Open Sans"/>
          <w:sz w:val="20"/>
          <w:szCs w:val="20"/>
        </w:rPr>
        <w:ptab w:relativeTo="margin" w:alignment="right" w:leader="dot"/>
      </w:r>
      <w:r w:rsidRPr="00257CD4">
        <w:rPr>
          <w:rFonts w:ascii="Open Sans" w:eastAsia="Times New Roman" w:hAnsi="Open Sans" w:cs="Open Sans"/>
          <w:sz w:val="20"/>
          <w:szCs w:val="20"/>
        </w:rPr>
        <w:t>1</w:t>
      </w:r>
      <w:r w:rsidR="00834CAA" w:rsidRPr="00257CD4">
        <w:rPr>
          <w:rFonts w:ascii="Open Sans" w:eastAsia="Times New Roman" w:hAnsi="Open Sans" w:cs="Open Sans"/>
          <w:sz w:val="20"/>
          <w:szCs w:val="20"/>
        </w:rPr>
        <w:t>3</w:t>
      </w:r>
      <w:r w:rsidR="00457ACE">
        <w:rPr>
          <w:rFonts w:ascii="Open Sans" w:eastAsia="Times New Roman" w:hAnsi="Open Sans" w:cs="Open Sans"/>
          <w:sz w:val="20"/>
          <w:szCs w:val="20"/>
        </w:rPr>
        <w:t>2</w:t>
      </w:r>
    </w:p>
    <w:p w14:paraId="6A7C1980" w14:textId="20051F3F" w:rsidR="0091153C" w:rsidRPr="00257CD4" w:rsidRDefault="0091153C" w:rsidP="0091153C">
      <w:pPr>
        <w:numPr>
          <w:ilvl w:val="3"/>
          <w:numId w:val="14"/>
        </w:numPr>
        <w:tabs>
          <w:tab w:val="left" w:pos="0"/>
        </w:tabs>
        <w:spacing w:after="0" w:line="276" w:lineRule="auto"/>
        <w:ind w:left="2098" w:hanging="737"/>
        <w:contextualSpacing/>
        <w:jc w:val="both"/>
        <w:rPr>
          <w:rFonts w:ascii="Open Sans" w:eastAsia="Times New Roman" w:hAnsi="Open Sans" w:cs="Open Sans"/>
          <w:sz w:val="20"/>
          <w:szCs w:val="20"/>
        </w:rPr>
      </w:pPr>
      <w:r w:rsidRPr="00257CD4">
        <w:rPr>
          <w:rFonts w:ascii="Open Sans" w:eastAsia="Times New Roman" w:hAnsi="Open Sans" w:cs="Open Sans"/>
          <w:sz w:val="20"/>
          <w:szCs w:val="20"/>
        </w:rPr>
        <w:t>Da</w:t>
      </w:r>
      <w:r w:rsidR="00834CAA" w:rsidRPr="00257CD4">
        <w:rPr>
          <w:rFonts w:ascii="Open Sans" w:eastAsia="Times New Roman" w:hAnsi="Open Sans" w:cs="Open Sans"/>
          <w:sz w:val="20"/>
          <w:szCs w:val="20"/>
        </w:rPr>
        <w:t>tos sobre protección de personas denunciantes correspondientes al año 2019</w:t>
      </w:r>
      <w:r w:rsidRPr="00257CD4">
        <w:rPr>
          <w:rFonts w:ascii="Open Sans" w:eastAsia="Times New Roman" w:hAnsi="Open Sans" w:cs="Open Sans"/>
          <w:sz w:val="20"/>
          <w:szCs w:val="20"/>
        </w:rPr>
        <w:ptab w:relativeTo="margin" w:alignment="right" w:leader="dot"/>
      </w:r>
      <w:r w:rsidR="00834CAA" w:rsidRPr="00257CD4">
        <w:rPr>
          <w:rFonts w:ascii="Open Sans" w:eastAsia="Times New Roman" w:hAnsi="Open Sans" w:cs="Open Sans"/>
          <w:sz w:val="20"/>
          <w:szCs w:val="20"/>
        </w:rPr>
        <w:t>13</w:t>
      </w:r>
      <w:r w:rsidR="006D0F5F">
        <w:rPr>
          <w:rFonts w:ascii="Open Sans" w:eastAsia="Times New Roman" w:hAnsi="Open Sans" w:cs="Open Sans"/>
          <w:sz w:val="20"/>
          <w:szCs w:val="20"/>
        </w:rPr>
        <w:t>3</w:t>
      </w:r>
    </w:p>
    <w:p w14:paraId="35EB38EA" w14:textId="4D9630B5" w:rsidR="0091153C" w:rsidRPr="00257CD4" w:rsidRDefault="0091153C" w:rsidP="00834CAA">
      <w:pPr>
        <w:numPr>
          <w:ilvl w:val="3"/>
          <w:numId w:val="14"/>
        </w:numPr>
        <w:tabs>
          <w:tab w:val="left" w:pos="0"/>
        </w:tabs>
        <w:spacing w:after="0" w:line="276" w:lineRule="auto"/>
        <w:ind w:left="2098" w:hanging="737"/>
        <w:contextualSpacing/>
        <w:jc w:val="both"/>
        <w:rPr>
          <w:rFonts w:ascii="Open Sans" w:eastAsia="Times New Roman" w:hAnsi="Open Sans" w:cs="Open Sans"/>
          <w:sz w:val="20"/>
          <w:szCs w:val="20"/>
        </w:rPr>
      </w:pPr>
      <w:r w:rsidRPr="00257CD4">
        <w:rPr>
          <w:rFonts w:ascii="Open Sans" w:eastAsia="Times New Roman" w:hAnsi="Open Sans" w:cs="Open Sans"/>
          <w:sz w:val="20"/>
          <w:szCs w:val="20"/>
        </w:rPr>
        <w:t xml:space="preserve"> Da</w:t>
      </w:r>
      <w:r w:rsidR="00834CAA" w:rsidRPr="00257CD4">
        <w:rPr>
          <w:rFonts w:ascii="Open Sans" w:eastAsia="Times New Roman" w:hAnsi="Open Sans" w:cs="Open Sans"/>
          <w:sz w:val="20"/>
          <w:szCs w:val="20"/>
        </w:rPr>
        <w:t>tos sobre protección de personas denunciantes acumulados desde 2017 a 2019</w:t>
      </w:r>
      <w:r w:rsidR="00834CAA" w:rsidRPr="00257CD4">
        <w:rPr>
          <w:rFonts w:ascii="Open Sans" w:eastAsia="Times New Roman" w:hAnsi="Open Sans" w:cs="Open Sans"/>
          <w:sz w:val="20"/>
          <w:szCs w:val="20"/>
        </w:rPr>
        <w:ptab w:relativeTo="margin" w:alignment="right" w:leader="dot"/>
      </w:r>
      <w:r w:rsidR="00834CAA" w:rsidRPr="00257CD4">
        <w:rPr>
          <w:rFonts w:ascii="Open Sans" w:eastAsia="Times New Roman" w:hAnsi="Open Sans" w:cs="Open Sans"/>
          <w:sz w:val="20"/>
          <w:szCs w:val="20"/>
        </w:rPr>
        <w:t>13</w:t>
      </w:r>
      <w:r w:rsidR="006D0F5F">
        <w:rPr>
          <w:rFonts w:ascii="Open Sans" w:eastAsia="Times New Roman" w:hAnsi="Open Sans" w:cs="Open Sans"/>
          <w:sz w:val="20"/>
          <w:szCs w:val="20"/>
        </w:rPr>
        <w:t>5</w:t>
      </w:r>
    </w:p>
    <w:p w14:paraId="58A675EC" w14:textId="1502B0E1" w:rsidR="003D1E71" w:rsidRPr="00257CD4" w:rsidRDefault="0091153C" w:rsidP="00834CAA">
      <w:pPr>
        <w:numPr>
          <w:ilvl w:val="3"/>
          <w:numId w:val="14"/>
        </w:numPr>
        <w:tabs>
          <w:tab w:val="left" w:pos="0"/>
        </w:tabs>
        <w:spacing w:after="0" w:line="276" w:lineRule="auto"/>
        <w:ind w:left="2098" w:hanging="737"/>
        <w:contextualSpacing/>
        <w:jc w:val="both"/>
        <w:rPr>
          <w:rFonts w:ascii="Open Sans" w:hAnsi="Open Sans" w:cs="Open Sans"/>
          <w:sz w:val="20"/>
          <w:szCs w:val="20"/>
        </w:rPr>
      </w:pPr>
      <w:r w:rsidRPr="00257CD4">
        <w:rPr>
          <w:rFonts w:ascii="Open Sans" w:eastAsia="Times New Roman" w:hAnsi="Open Sans" w:cs="Open Sans"/>
          <w:sz w:val="20"/>
          <w:szCs w:val="20"/>
        </w:rPr>
        <w:t>Da</w:t>
      </w:r>
      <w:r w:rsidR="00834CAA" w:rsidRPr="00257CD4">
        <w:rPr>
          <w:rFonts w:ascii="Open Sans" w:eastAsia="Times New Roman" w:hAnsi="Open Sans" w:cs="Open Sans"/>
          <w:sz w:val="20"/>
          <w:szCs w:val="20"/>
        </w:rPr>
        <w:t xml:space="preserve">tos sobre los expedientes en los cuales se ha resuelto conceder el estatuto de la persona denunciante acumulados desde 2017 a </w:t>
      </w:r>
      <w:r w:rsidRPr="00257CD4">
        <w:rPr>
          <w:rFonts w:ascii="Open Sans" w:eastAsia="Times New Roman" w:hAnsi="Open Sans" w:cs="Open Sans"/>
          <w:sz w:val="20"/>
          <w:szCs w:val="20"/>
        </w:rPr>
        <w:t>2019</w:t>
      </w:r>
      <w:r w:rsidR="00834CAA" w:rsidRPr="00257CD4">
        <w:rPr>
          <w:rFonts w:ascii="Open Sans" w:eastAsia="Times New Roman" w:hAnsi="Open Sans" w:cs="Open Sans"/>
          <w:sz w:val="20"/>
          <w:szCs w:val="20"/>
        </w:rPr>
        <w:ptab w:relativeTo="margin" w:alignment="right" w:leader="dot"/>
      </w:r>
      <w:r w:rsidR="00834CAA" w:rsidRPr="00257CD4">
        <w:rPr>
          <w:rFonts w:ascii="Open Sans" w:eastAsia="Times New Roman" w:hAnsi="Open Sans" w:cs="Open Sans"/>
          <w:sz w:val="20"/>
          <w:szCs w:val="20"/>
        </w:rPr>
        <w:t>1</w:t>
      </w:r>
      <w:r w:rsidR="006D0F5F">
        <w:rPr>
          <w:rFonts w:ascii="Open Sans" w:eastAsia="Times New Roman" w:hAnsi="Open Sans" w:cs="Open Sans"/>
          <w:sz w:val="20"/>
          <w:szCs w:val="20"/>
        </w:rPr>
        <w:t>40</w:t>
      </w:r>
    </w:p>
    <w:p w14:paraId="0506BA9A" w14:textId="117D51D8" w:rsidR="00862D5B" w:rsidRPr="00257CD4" w:rsidRDefault="00B11BFA" w:rsidP="00637696">
      <w:pPr>
        <w:pStyle w:val="Prrafodelista"/>
        <w:numPr>
          <w:ilvl w:val="1"/>
          <w:numId w:val="14"/>
        </w:numPr>
        <w:spacing w:line="276" w:lineRule="auto"/>
        <w:jc w:val="both"/>
        <w:rPr>
          <w:rFonts w:ascii="Open Sans" w:hAnsi="Open Sans" w:cs="Open Sans"/>
          <w:sz w:val="20"/>
          <w:szCs w:val="20"/>
        </w:rPr>
      </w:pPr>
      <w:r>
        <w:rPr>
          <w:rFonts w:ascii="Open Sans" w:hAnsi="Open Sans" w:cs="Open Sans"/>
          <w:sz w:val="20"/>
          <w:szCs w:val="20"/>
        </w:rPr>
        <w:t xml:space="preserve"> </w:t>
      </w:r>
      <w:r w:rsidR="0069034C" w:rsidRPr="00257CD4">
        <w:rPr>
          <w:rFonts w:ascii="Open Sans" w:hAnsi="Open Sans" w:cs="Open Sans"/>
          <w:sz w:val="20"/>
          <w:szCs w:val="20"/>
        </w:rPr>
        <w:t>Potestad sancionadora</w:t>
      </w:r>
      <w:r w:rsidR="00873379" w:rsidRPr="00257CD4">
        <w:rPr>
          <w:rFonts w:ascii="Open Sans" w:hAnsi="Open Sans" w:cs="Open Sans"/>
          <w:sz w:val="20"/>
          <w:szCs w:val="20"/>
        </w:rPr>
        <w:ptab w:relativeTo="margin" w:alignment="right" w:leader="dot"/>
      </w:r>
      <w:r w:rsidR="00BE47E2" w:rsidRPr="00257CD4">
        <w:rPr>
          <w:rFonts w:ascii="Open Sans" w:hAnsi="Open Sans" w:cs="Open Sans"/>
          <w:sz w:val="20"/>
          <w:szCs w:val="20"/>
        </w:rPr>
        <w:t>14</w:t>
      </w:r>
      <w:r w:rsidR="006D0F5F">
        <w:rPr>
          <w:rFonts w:ascii="Open Sans" w:hAnsi="Open Sans" w:cs="Open Sans"/>
          <w:sz w:val="20"/>
          <w:szCs w:val="20"/>
        </w:rPr>
        <w:t>1</w:t>
      </w:r>
    </w:p>
    <w:p w14:paraId="6E314D94" w14:textId="0FB98085" w:rsidR="00873379" w:rsidRPr="00257CD4" w:rsidRDefault="00B11BFA" w:rsidP="00637696">
      <w:pPr>
        <w:pStyle w:val="Prrafodelista"/>
        <w:numPr>
          <w:ilvl w:val="1"/>
          <w:numId w:val="14"/>
        </w:numPr>
        <w:spacing w:line="276" w:lineRule="auto"/>
        <w:jc w:val="both"/>
        <w:rPr>
          <w:rFonts w:ascii="Open Sans" w:hAnsi="Open Sans" w:cs="Open Sans"/>
          <w:sz w:val="20"/>
          <w:szCs w:val="20"/>
        </w:rPr>
      </w:pPr>
      <w:r>
        <w:rPr>
          <w:rFonts w:ascii="Open Sans" w:hAnsi="Open Sans" w:cs="Open Sans"/>
          <w:sz w:val="20"/>
          <w:szCs w:val="20"/>
        </w:rPr>
        <w:t xml:space="preserve"> </w:t>
      </w:r>
      <w:r w:rsidR="00873379" w:rsidRPr="00257CD4">
        <w:rPr>
          <w:rFonts w:ascii="Open Sans" w:hAnsi="Open Sans" w:cs="Open Sans"/>
          <w:sz w:val="20"/>
          <w:szCs w:val="20"/>
        </w:rPr>
        <w:t>Convenios y otras colaboraciones</w:t>
      </w:r>
      <w:r w:rsidR="00873379" w:rsidRPr="00257CD4">
        <w:rPr>
          <w:rFonts w:ascii="Open Sans" w:hAnsi="Open Sans" w:cs="Open Sans"/>
          <w:sz w:val="20"/>
          <w:szCs w:val="20"/>
        </w:rPr>
        <w:ptab w:relativeTo="margin" w:alignment="right" w:leader="dot"/>
      </w:r>
      <w:r w:rsidR="00BE47E2" w:rsidRPr="00257CD4">
        <w:rPr>
          <w:rFonts w:ascii="Open Sans" w:hAnsi="Open Sans" w:cs="Open Sans"/>
          <w:sz w:val="20"/>
          <w:szCs w:val="20"/>
        </w:rPr>
        <w:t>1</w:t>
      </w:r>
      <w:r w:rsidR="00DF1A6B" w:rsidRPr="00257CD4">
        <w:rPr>
          <w:rFonts w:ascii="Open Sans" w:hAnsi="Open Sans" w:cs="Open Sans"/>
          <w:sz w:val="20"/>
          <w:szCs w:val="20"/>
        </w:rPr>
        <w:t>4</w:t>
      </w:r>
      <w:r w:rsidR="006D0F5F">
        <w:rPr>
          <w:rFonts w:ascii="Open Sans" w:hAnsi="Open Sans" w:cs="Open Sans"/>
          <w:sz w:val="20"/>
          <w:szCs w:val="20"/>
        </w:rPr>
        <w:t>3</w:t>
      </w:r>
    </w:p>
    <w:p w14:paraId="747A2A56" w14:textId="5A8438DE" w:rsidR="00873379" w:rsidRPr="00257CD4" w:rsidRDefault="00B11BFA" w:rsidP="00637696">
      <w:pPr>
        <w:pStyle w:val="Prrafodelista"/>
        <w:numPr>
          <w:ilvl w:val="1"/>
          <w:numId w:val="14"/>
        </w:numPr>
        <w:spacing w:line="276" w:lineRule="auto"/>
        <w:jc w:val="both"/>
        <w:rPr>
          <w:rFonts w:ascii="Open Sans" w:hAnsi="Open Sans" w:cs="Open Sans"/>
          <w:sz w:val="20"/>
          <w:szCs w:val="20"/>
        </w:rPr>
      </w:pPr>
      <w:r>
        <w:rPr>
          <w:rFonts w:ascii="Open Sans" w:hAnsi="Open Sans" w:cs="Open Sans"/>
          <w:sz w:val="20"/>
          <w:szCs w:val="20"/>
        </w:rPr>
        <w:t xml:space="preserve"> </w:t>
      </w:r>
      <w:r w:rsidR="00AB0843" w:rsidRPr="00257CD4">
        <w:rPr>
          <w:rFonts w:ascii="Open Sans" w:hAnsi="Open Sans" w:cs="Open Sans"/>
          <w:sz w:val="20"/>
          <w:szCs w:val="20"/>
        </w:rPr>
        <w:t>Asesoramiento jurídico, secretaría</w:t>
      </w:r>
      <w:r w:rsidR="0069034C" w:rsidRPr="00257CD4">
        <w:rPr>
          <w:rFonts w:ascii="Open Sans" w:hAnsi="Open Sans" w:cs="Open Sans"/>
          <w:sz w:val="20"/>
          <w:szCs w:val="20"/>
        </w:rPr>
        <w:t xml:space="preserve"> de </w:t>
      </w:r>
      <w:r w:rsidR="00AB0843" w:rsidRPr="00257CD4">
        <w:rPr>
          <w:rFonts w:ascii="Open Sans" w:hAnsi="Open Sans" w:cs="Open Sans"/>
          <w:sz w:val="20"/>
          <w:szCs w:val="20"/>
        </w:rPr>
        <w:t>mesa de negociación y procedimientos contenciosos</w:t>
      </w:r>
      <w:r w:rsidR="00873379" w:rsidRPr="00257CD4">
        <w:rPr>
          <w:rFonts w:ascii="Open Sans" w:hAnsi="Open Sans" w:cs="Open Sans"/>
          <w:sz w:val="20"/>
          <w:szCs w:val="20"/>
        </w:rPr>
        <w:t xml:space="preserve"> </w:t>
      </w:r>
      <w:r w:rsidR="00873379" w:rsidRPr="00257CD4">
        <w:rPr>
          <w:rFonts w:ascii="Open Sans" w:hAnsi="Open Sans" w:cs="Open Sans"/>
          <w:sz w:val="20"/>
          <w:szCs w:val="20"/>
        </w:rPr>
        <w:ptab w:relativeTo="margin" w:alignment="right" w:leader="dot"/>
      </w:r>
      <w:r w:rsidR="00BE47E2" w:rsidRPr="00257CD4">
        <w:rPr>
          <w:rFonts w:ascii="Open Sans" w:hAnsi="Open Sans" w:cs="Open Sans"/>
          <w:sz w:val="20"/>
          <w:szCs w:val="20"/>
        </w:rPr>
        <w:t>1</w:t>
      </w:r>
      <w:r w:rsidR="00DF1A6B" w:rsidRPr="00257CD4">
        <w:rPr>
          <w:rFonts w:ascii="Open Sans" w:hAnsi="Open Sans" w:cs="Open Sans"/>
          <w:sz w:val="20"/>
          <w:szCs w:val="20"/>
        </w:rPr>
        <w:t>4</w:t>
      </w:r>
      <w:r w:rsidR="006D0F5F">
        <w:rPr>
          <w:rFonts w:ascii="Open Sans" w:hAnsi="Open Sans" w:cs="Open Sans"/>
          <w:sz w:val="20"/>
          <w:szCs w:val="20"/>
        </w:rPr>
        <w:t>4</w:t>
      </w:r>
    </w:p>
    <w:p w14:paraId="6C304D4C" w14:textId="77777777" w:rsidR="00934176" w:rsidRPr="00257CD4" w:rsidRDefault="00934176" w:rsidP="00934176">
      <w:pPr>
        <w:pStyle w:val="Prrafodelista"/>
        <w:spacing w:line="276" w:lineRule="auto"/>
        <w:ind w:left="357"/>
        <w:jc w:val="both"/>
        <w:rPr>
          <w:rFonts w:ascii="Open Sans" w:hAnsi="Open Sans" w:cs="Open Sans"/>
          <w:sz w:val="20"/>
          <w:szCs w:val="20"/>
        </w:rPr>
      </w:pPr>
    </w:p>
    <w:p w14:paraId="0DB723F3" w14:textId="2C7C0B30" w:rsidR="00873379" w:rsidRPr="00257CD4" w:rsidRDefault="00861BFD" w:rsidP="00637696">
      <w:pPr>
        <w:pStyle w:val="Prrafodelista"/>
        <w:numPr>
          <w:ilvl w:val="0"/>
          <w:numId w:val="14"/>
        </w:numPr>
        <w:spacing w:line="276" w:lineRule="auto"/>
        <w:jc w:val="both"/>
        <w:rPr>
          <w:rFonts w:ascii="Open Sans" w:hAnsi="Open Sans" w:cs="Open Sans"/>
          <w:b/>
          <w:sz w:val="20"/>
          <w:szCs w:val="20"/>
        </w:rPr>
      </w:pPr>
      <w:r w:rsidRPr="00257CD4">
        <w:rPr>
          <w:rFonts w:ascii="Open Sans" w:hAnsi="Open Sans" w:cs="Open Sans"/>
          <w:b/>
          <w:sz w:val="20"/>
          <w:szCs w:val="20"/>
        </w:rPr>
        <w:t xml:space="preserve">Actividad </w:t>
      </w:r>
      <w:r w:rsidR="004F2FD1" w:rsidRPr="00257CD4">
        <w:rPr>
          <w:rFonts w:ascii="Open Sans" w:hAnsi="Open Sans" w:cs="Open Sans"/>
          <w:b/>
          <w:sz w:val="20"/>
          <w:szCs w:val="20"/>
        </w:rPr>
        <w:t>i</w:t>
      </w:r>
      <w:r w:rsidRPr="00257CD4">
        <w:rPr>
          <w:rFonts w:ascii="Open Sans" w:hAnsi="Open Sans" w:cs="Open Sans"/>
          <w:b/>
          <w:sz w:val="20"/>
          <w:szCs w:val="20"/>
        </w:rPr>
        <w:t>nstitucional</w:t>
      </w:r>
      <w:r w:rsidRPr="00257CD4">
        <w:rPr>
          <w:rFonts w:ascii="Open Sans" w:hAnsi="Open Sans" w:cs="Open Sans"/>
          <w:b/>
          <w:sz w:val="20"/>
          <w:szCs w:val="20"/>
        </w:rPr>
        <w:ptab w:relativeTo="margin" w:alignment="right" w:leader="dot"/>
      </w:r>
      <w:r w:rsidR="00DC2E00" w:rsidRPr="00257CD4">
        <w:rPr>
          <w:rFonts w:ascii="Open Sans" w:hAnsi="Open Sans" w:cs="Open Sans"/>
          <w:b/>
          <w:sz w:val="20"/>
          <w:szCs w:val="20"/>
        </w:rPr>
        <w:t>1</w:t>
      </w:r>
      <w:r w:rsidR="00BC431A" w:rsidRPr="00257CD4">
        <w:rPr>
          <w:rFonts w:ascii="Open Sans" w:hAnsi="Open Sans" w:cs="Open Sans"/>
          <w:b/>
          <w:sz w:val="20"/>
          <w:szCs w:val="20"/>
        </w:rPr>
        <w:t>4</w:t>
      </w:r>
      <w:r w:rsidR="006D0F5F">
        <w:rPr>
          <w:rFonts w:ascii="Open Sans" w:hAnsi="Open Sans" w:cs="Open Sans"/>
          <w:b/>
          <w:sz w:val="20"/>
          <w:szCs w:val="20"/>
        </w:rPr>
        <w:t>8</w:t>
      </w:r>
    </w:p>
    <w:p w14:paraId="45EADABF" w14:textId="1D869297" w:rsidR="00873379" w:rsidRPr="00257CD4" w:rsidRDefault="00B11BFA" w:rsidP="00637696">
      <w:pPr>
        <w:pStyle w:val="Prrafodelista"/>
        <w:numPr>
          <w:ilvl w:val="1"/>
          <w:numId w:val="14"/>
        </w:numPr>
        <w:spacing w:line="276" w:lineRule="auto"/>
        <w:jc w:val="both"/>
        <w:rPr>
          <w:rFonts w:ascii="Open Sans" w:hAnsi="Open Sans" w:cs="Open Sans"/>
          <w:sz w:val="20"/>
          <w:szCs w:val="20"/>
        </w:rPr>
      </w:pPr>
      <w:r>
        <w:rPr>
          <w:rFonts w:ascii="Open Sans" w:hAnsi="Open Sans" w:cs="Open Sans"/>
          <w:sz w:val="20"/>
          <w:szCs w:val="20"/>
        </w:rPr>
        <w:t xml:space="preserve"> </w:t>
      </w:r>
      <w:r w:rsidR="00861BFD" w:rsidRPr="00257CD4">
        <w:rPr>
          <w:rFonts w:ascii="Open Sans" w:hAnsi="Open Sans" w:cs="Open Sans"/>
          <w:sz w:val="20"/>
          <w:szCs w:val="20"/>
        </w:rPr>
        <w:t>Introducción</w:t>
      </w:r>
      <w:r w:rsidR="00861BFD" w:rsidRPr="00257CD4">
        <w:rPr>
          <w:rFonts w:ascii="Open Sans" w:hAnsi="Open Sans" w:cs="Open Sans"/>
          <w:sz w:val="20"/>
          <w:szCs w:val="20"/>
        </w:rPr>
        <w:ptab w:relativeTo="margin" w:alignment="right" w:leader="dot"/>
      </w:r>
      <w:r w:rsidR="00DC2E00" w:rsidRPr="00257CD4">
        <w:rPr>
          <w:rFonts w:ascii="Open Sans" w:hAnsi="Open Sans" w:cs="Open Sans"/>
          <w:sz w:val="20"/>
          <w:szCs w:val="20"/>
        </w:rPr>
        <w:t>1</w:t>
      </w:r>
      <w:r w:rsidR="00BC431A" w:rsidRPr="00257CD4">
        <w:rPr>
          <w:rFonts w:ascii="Open Sans" w:hAnsi="Open Sans" w:cs="Open Sans"/>
          <w:sz w:val="20"/>
          <w:szCs w:val="20"/>
        </w:rPr>
        <w:t>4</w:t>
      </w:r>
      <w:r w:rsidR="00B60772">
        <w:rPr>
          <w:rFonts w:ascii="Open Sans" w:hAnsi="Open Sans" w:cs="Open Sans"/>
          <w:sz w:val="20"/>
          <w:szCs w:val="20"/>
        </w:rPr>
        <w:t>8</w:t>
      </w:r>
    </w:p>
    <w:p w14:paraId="5DD6B770" w14:textId="4EB25A96" w:rsidR="00873379" w:rsidRPr="00257CD4" w:rsidRDefault="00B11BFA" w:rsidP="00637696">
      <w:pPr>
        <w:pStyle w:val="Prrafodelista"/>
        <w:numPr>
          <w:ilvl w:val="1"/>
          <w:numId w:val="14"/>
        </w:numPr>
        <w:spacing w:line="276" w:lineRule="auto"/>
        <w:jc w:val="both"/>
        <w:rPr>
          <w:rFonts w:ascii="Open Sans" w:hAnsi="Open Sans" w:cs="Open Sans"/>
          <w:sz w:val="20"/>
          <w:szCs w:val="20"/>
        </w:rPr>
      </w:pPr>
      <w:r>
        <w:rPr>
          <w:rFonts w:ascii="Open Sans" w:hAnsi="Open Sans" w:cs="Open Sans"/>
          <w:sz w:val="20"/>
          <w:szCs w:val="20"/>
        </w:rPr>
        <w:t xml:space="preserve"> </w:t>
      </w:r>
      <w:r w:rsidR="00861BFD" w:rsidRPr="00257CD4">
        <w:rPr>
          <w:rFonts w:ascii="Open Sans" w:hAnsi="Open Sans" w:cs="Open Sans"/>
          <w:sz w:val="20"/>
          <w:szCs w:val="20"/>
        </w:rPr>
        <w:t xml:space="preserve">Actos organizados </w:t>
      </w:r>
      <w:r w:rsidR="00861BFD" w:rsidRPr="00257CD4">
        <w:rPr>
          <w:rFonts w:ascii="Open Sans" w:hAnsi="Open Sans" w:cs="Open Sans"/>
          <w:sz w:val="20"/>
          <w:szCs w:val="20"/>
        </w:rPr>
        <w:ptab w:relativeTo="margin" w:alignment="right" w:leader="dot"/>
      </w:r>
      <w:r w:rsidR="00DC2E00" w:rsidRPr="00257CD4">
        <w:rPr>
          <w:rFonts w:ascii="Open Sans" w:hAnsi="Open Sans" w:cs="Open Sans"/>
          <w:sz w:val="20"/>
          <w:szCs w:val="20"/>
        </w:rPr>
        <w:t>1</w:t>
      </w:r>
      <w:r w:rsidR="00BC431A" w:rsidRPr="00257CD4">
        <w:rPr>
          <w:rFonts w:ascii="Open Sans" w:hAnsi="Open Sans" w:cs="Open Sans"/>
          <w:sz w:val="20"/>
          <w:szCs w:val="20"/>
        </w:rPr>
        <w:t>4</w:t>
      </w:r>
      <w:r w:rsidR="00B60772">
        <w:rPr>
          <w:rFonts w:ascii="Open Sans" w:hAnsi="Open Sans" w:cs="Open Sans"/>
          <w:sz w:val="20"/>
          <w:szCs w:val="20"/>
        </w:rPr>
        <w:t>9</w:t>
      </w:r>
    </w:p>
    <w:p w14:paraId="11482CAA" w14:textId="00D9F7CD" w:rsidR="00873379" w:rsidRPr="00257CD4" w:rsidRDefault="0063751F" w:rsidP="00637696">
      <w:pPr>
        <w:pStyle w:val="Prrafodelista"/>
        <w:numPr>
          <w:ilvl w:val="2"/>
          <w:numId w:val="14"/>
        </w:numPr>
        <w:spacing w:line="276" w:lineRule="auto"/>
        <w:jc w:val="both"/>
        <w:rPr>
          <w:rFonts w:ascii="Open Sans" w:hAnsi="Open Sans" w:cs="Open Sans"/>
          <w:sz w:val="20"/>
          <w:szCs w:val="20"/>
        </w:rPr>
      </w:pPr>
      <w:r w:rsidRPr="00257CD4">
        <w:rPr>
          <w:rFonts w:ascii="Open Sans" w:hAnsi="Open Sans" w:cs="Open Sans"/>
          <w:sz w:val="20"/>
          <w:szCs w:val="20"/>
        </w:rPr>
        <w:t>C</w:t>
      </w:r>
      <w:r w:rsidR="00DE7ED5" w:rsidRPr="00257CD4">
        <w:rPr>
          <w:rFonts w:ascii="Open Sans" w:hAnsi="Open Sans" w:cs="Open Sans"/>
          <w:sz w:val="20"/>
          <w:szCs w:val="20"/>
        </w:rPr>
        <w:t xml:space="preserve">onsejo de Participación Ciudadana de la Agencia Valenciana Antifraude </w:t>
      </w:r>
      <w:r w:rsidR="00861BFD" w:rsidRPr="00257CD4">
        <w:rPr>
          <w:rFonts w:ascii="Open Sans" w:hAnsi="Open Sans" w:cs="Open Sans"/>
          <w:sz w:val="20"/>
          <w:szCs w:val="20"/>
        </w:rPr>
        <w:ptab w:relativeTo="margin" w:alignment="right" w:leader="dot"/>
      </w:r>
      <w:r w:rsidR="00DC2E00" w:rsidRPr="00257CD4">
        <w:rPr>
          <w:rFonts w:ascii="Open Sans" w:hAnsi="Open Sans" w:cs="Open Sans"/>
          <w:sz w:val="20"/>
          <w:szCs w:val="20"/>
        </w:rPr>
        <w:t>1</w:t>
      </w:r>
      <w:r w:rsidR="00B60772">
        <w:rPr>
          <w:rFonts w:ascii="Open Sans" w:hAnsi="Open Sans" w:cs="Open Sans"/>
          <w:sz w:val="20"/>
          <w:szCs w:val="20"/>
        </w:rPr>
        <w:t>50</w:t>
      </w:r>
    </w:p>
    <w:p w14:paraId="18E63B98" w14:textId="489C8960" w:rsidR="00873379" w:rsidRPr="00257CD4" w:rsidRDefault="00DE7ED5" w:rsidP="00637696">
      <w:pPr>
        <w:pStyle w:val="Prrafodelista"/>
        <w:numPr>
          <w:ilvl w:val="2"/>
          <w:numId w:val="14"/>
        </w:numPr>
        <w:spacing w:line="276" w:lineRule="auto"/>
        <w:jc w:val="both"/>
        <w:rPr>
          <w:rFonts w:ascii="Open Sans" w:hAnsi="Open Sans" w:cs="Open Sans"/>
          <w:sz w:val="20"/>
          <w:szCs w:val="20"/>
        </w:rPr>
      </w:pPr>
      <w:r w:rsidRPr="00257CD4">
        <w:rPr>
          <w:rFonts w:ascii="Open Sans" w:hAnsi="Open Sans" w:cs="Open Sans"/>
          <w:sz w:val="20"/>
          <w:szCs w:val="20"/>
        </w:rPr>
        <w:t>Mención honorífica de la Agencia Valenciana Antifraude</w:t>
      </w:r>
      <w:r w:rsidRPr="00257CD4">
        <w:rPr>
          <w:rFonts w:ascii="Open Sans" w:hAnsi="Open Sans" w:cs="Open Sans"/>
          <w:sz w:val="20"/>
          <w:szCs w:val="20"/>
        </w:rPr>
        <w:ptab w:relativeTo="margin" w:alignment="right" w:leader="dot"/>
      </w:r>
      <w:r w:rsidR="00DC2E00" w:rsidRPr="00257CD4">
        <w:rPr>
          <w:rFonts w:ascii="Open Sans" w:hAnsi="Open Sans" w:cs="Open Sans"/>
          <w:sz w:val="20"/>
          <w:szCs w:val="20"/>
        </w:rPr>
        <w:t>1</w:t>
      </w:r>
      <w:r w:rsidR="00BC431A" w:rsidRPr="00257CD4">
        <w:rPr>
          <w:rFonts w:ascii="Open Sans" w:hAnsi="Open Sans" w:cs="Open Sans"/>
          <w:sz w:val="20"/>
          <w:szCs w:val="20"/>
        </w:rPr>
        <w:t>5</w:t>
      </w:r>
      <w:r w:rsidR="00B60772">
        <w:rPr>
          <w:rFonts w:ascii="Open Sans" w:hAnsi="Open Sans" w:cs="Open Sans"/>
          <w:sz w:val="20"/>
          <w:szCs w:val="20"/>
        </w:rPr>
        <w:t>2</w:t>
      </w:r>
    </w:p>
    <w:p w14:paraId="45DA6BDD" w14:textId="4C408149" w:rsidR="006962FB" w:rsidRPr="00257CD4" w:rsidRDefault="006962FB" w:rsidP="00637696">
      <w:pPr>
        <w:pStyle w:val="Prrafodelista"/>
        <w:numPr>
          <w:ilvl w:val="2"/>
          <w:numId w:val="14"/>
        </w:numPr>
        <w:spacing w:line="276" w:lineRule="auto"/>
        <w:jc w:val="both"/>
        <w:rPr>
          <w:rFonts w:ascii="Open Sans" w:hAnsi="Open Sans" w:cs="Open Sans"/>
          <w:sz w:val="20"/>
          <w:szCs w:val="20"/>
        </w:rPr>
      </w:pPr>
      <w:r w:rsidRPr="00257CD4">
        <w:rPr>
          <w:rFonts w:ascii="Open Sans" w:hAnsi="Open Sans" w:cs="Open Sans"/>
          <w:sz w:val="20"/>
          <w:szCs w:val="20"/>
        </w:rPr>
        <w:t>Día Internacional de Naciones Unidas contra la Corrupción</w:t>
      </w:r>
      <w:r w:rsidRPr="00257CD4">
        <w:rPr>
          <w:rFonts w:ascii="Open Sans" w:hAnsi="Open Sans" w:cs="Open Sans"/>
          <w:sz w:val="20"/>
          <w:szCs w:val="20"/>
        </w:rPr>
        <w:ptab w:relativeTo="margin" w:alignment="right" w:leader="dot"/>
      </w:r>
      <w:r w:rsidRPr="00257CD4">
        <w:rPr>
          <w:rFonts w:ascii="Open Sans" w:hAnsi="Open Sans" w:cs="Open Sans"/>
          <w:sz w:val="20"/>
          <w:szCs w:val="20"/>
        </w:rPr>
        <w:t>1</w:t>
      </w:r>
      <w:r w:rsidR="00BC431A" w:rsidRPr="00257CD4">
        <w:rPr>
          <w:rFonts w:ascii="Open Sans" w:hAnsi="Open Sans" w:cs="Open Sans"/>
          <w:sz w:val="20"/>
          <w:szCs w:val="20"/>
        </w:rPr>
        <w:t>5</w:t>
      </w:r>
      <w:r w:rsidR="00B60772">
        <w:rPr>
          <w:rFonts w:ascii="Open Sans" w:hAnsi="Open Sans" w:cs="Open Sans"/>
          <w:sz w:val="20"/>
          <w:szCs w:val="20"/>
        </w:rPr>
        <w:t>3</w:t>
      </w:r>
    </w:p>
    <w:p w14:paraId="5388F4C8" w14:textId="2B49FB05" w:rsidR="00873379" w:rsidRPr="00257CD4" w:rsidRDefault="00B11BFA" w:rsidP="00637696">
      <w:pPr>
        <w:pStyle w:val="Prrafodelista"/>
        <w:numPr>
          <w:ilvl w:val="1"/>
          <w:numId w:val="14"/>
        </w:numPr>
        <w:spacing w:line="276" w:lineRule="auto"/>
        <w:jc w:val="both"/>
        <w:rPr>
          <w:rFonts w:ascii="Open Sans" w:hAnsi="Open Sans" w:cs="Open Sans"/>
          <w:sz w:val="20"/>
          <w:szCs w:val="20"/>
        </w:rPr>
      </w:pPr>
      <w:r>
        <w:rPr>
          <w:rFonts w:ascii="Open Sans" w:hAnsi="Open Sans" w:cs="Open Sans"/>
          <w:sz w:val="20"/>
          <w:szCs w:val="20"/>
        </w:rPr>
        <w:t xml:space="preserve"> </w:t>
      </w:r>
      <w:r w:rsidR="00DE7ED5" w:rsidRPr="00257CD4">
        <w:rPr>
          <w:rFonts w:ascii="Open Sans" w:hAnsi="Open Sans" w:cs="Open Sans"/>
          <w:sz w:val="20"/>
          <w:szCs w:val="20"/>
        </w:rPr>
        <w:t>La Red estatal de oficinas y agencias de lucha contra el fraude y la corrupción</w:t>
      </w:r>
      <w:r w:rsidR="00DE7ED5" w:rsidRPr="00257CD4">
        <w:rPr>
          <w:rFonts w:ascii="Open Sans" w:hAnsi="Open Sans" w:cs="Open Sans"/>
          <w:sz w:val="20"/>
          <w:szCs w:val="20"/>
        </w:rPr>
        <w:ptab w:relativeTo="margin" w:alignment="right" w:leader="dot"/>
      </w:r>
      <w:r w:rsidR="00DC2E00" w:rsidRPr="00257CD4">
        <w:rPr>
          <w:rFonts w:ascii="Open Sans" w:hAnsi="Open Sans" w:cs="Open Sans"/>
          <w:sz w:val="20"/>
          <w:szCs w:val="20"/>
        </w:rPr>
        <w:t>1</w:t>
      </w:r>
      <w:r w:rsidR="00BC431A" w:rsidRPr="00257CD4">
        <w:rPr>
          <w:rFonts w:ascii="Open Sans" w:hAnsi="Open Sans" w:cs="Open Sans"/>
          <w:sz w:val="20"/>
          <w:szCs w:val="20"/>
        </w:rPr>
        <w:t>5</w:t>
      </w:r>
      <w:r w:rsidR="00B60772">
        <w:rPr>
          <w:rFonts w:ascii="Open Sans" w:hAnsi="Open Sans" w:cs="Open Sans"/>
          <w:sz w:val="20"/>
          <w:szCs w:val="20"/>
        </w:rPr>
        <w:t>4</w:t>
      </w:r>
    </w:p>
    <w:p w14:paraId="48239032" w14:textId="502FB014" w:rsidR="00873379" w:rsidRPr="00257CD4" w:rsidRDefault="00B11BFA" w:rsidP="00637696">
      <w:pPr>
        <w:pStyle w:val="Prrafodelista"/>
        <w:numPr>
          <w:ilvl w:val="1"/>
          <w:numId w:val="14"/>
        </w:numPr>
        <w:spacing w:line="276" w:lineRule="auto"/>
        <w:jc w:val="both"/>
        <w:rPr>
          <w:rFonts w:ascii="Open Sans" w:hAnsi="Open Sans" w:cs="Open Sans"/>
          <w:sz w:val="20"/>
          <w:szCs w:val="20"/>
        </w:rPr>
      </w:pPr>
      <w:r>
        <w:rPr>
          <w:rFonts w:ascii="Open Sans" w:hAnsi="Open Sans" w:cs="Open Sans"/>
          <w:sz w:val="20"/>
          <w:szCs w:val="20"/>
        </w:rPr>
        <w:t xml:space="preserve"> </w:t>
      </w:r>
      <w:r w:rsidR="00861BFD" w:rsidRPr="00257CD4">
        <w:rPr>
          <w:rFonts w:ascii="Open Sans" w:hAnsi="Open Sans" w:cs="Open Sans"/>
          <w:sz w:val="20"/>
          <w:szCs w:val="20"/>
        </w:rPr>
        <w:t xml:space="preserve">Actividad </w:t>
      </w:r>
      <w:r w:rsidR="00DE7ED5" w:rsidRPr="00257CD4">
        <w:rPr>
          <w:rFonts w:ascii="Open Sans" w:hAnsi="Open Sans" w:cs="Open Sans"/>
          <w:sz w:val="20"/>
          <w:szCs w:val="20"/>
        </w:rPr>
        <w:t xml:space="preserve">nacional e </w:t>
      </w:r>
      <w:r w:rsidR="00861BFD" w:rsidRPr="00257CD4">
        <w:rPr>
          <w:rFonts w:ascii="Open Sans" w:hAnsi="Open Sans" w:cs="Open Sans"/>
          <w:sz w:val="20"/>
          <w:szCs w:val="20"/>
        </w:rPr>
        <w:t>Internacional</w:t>
      </w:r>
      <w:r w:rsidR="00861BFD" w:rsidRPr="00257CD4">
        <w:rPr>
          <w:rFonts w:ascii="Open Sans" w:hAnsi="Open Sans" w:cs="Open Sans"/>
          <w:sz w:val="20"/>
          <w:szCs w:val="20"/>
        </w:rPr>
        <w:ptab w:relativeTo="margin" w:alignment="right" w:leader="dot"/>
      </w:r>
      <w:r w:rsidR="006962FB" w:rsidRPr="00257CD4">
        <w:rPr>
          <w:rFonts w:ascii="Open Sans" w:hAnsi="Open Sans" w:cs="Open Sans"/>
          <w:sz w:val="20"/>
          <w:szCs w:val="20"/>
        </w:rPr>
        <w:t>1</w:t>
      </w:r>
      <w:r w:rsidR="00BC431A" w:rsidRPr="00257CD4">
        <w:rPr>
          <w:rFonts w:ascii="Open Sans" w:hAnsi="Open Sans" w:cs="Open Sans"/>
          <w:sz w:val="20"/>
          <w:szCs w:val="20"/>
        </w:rPr>
        <w:t>5</w:t>
      </w:r>
      <w:r w:rsidR="00B60772">
        <w:rPr>
          <w:rFonts w:ascii="Open Sans" w:hAnsi="Open Sans" w:cs="Open Sans"/>
          <w:sz w:val="20"/>
          <w:szCs w:val="20"/>
        </w:rPr>
        <w:t>8</w:t>
      </w:r>
    </w:p>
    <w:p w14:paraId="175FAB74" w14:textId="28B1E30A" w:rsidR="00873379" w:rsidRPr="00257CD4" w:rsidRDefault="00DE7ED5" w:rsidP="00637696">
      <w:pPr>
        <w:pStyle w:val="Prrafodelista"/>
        <w:numPr>
          <w:ilvl w:val="2"/>
          <w:numId w:val="14"/>
        </w:numPr>
        <w:spacing w:line="276" w:lineRule="auto"/>
        <w:jc w:val="both"/>
        <w:rPr>
          <w:rFonts w:ascii="Open Sans" w:hAnsi="Open Sans" w:cs="Open Sans"/>
          <w:sz w:val="20"/>
          <w:szCs w:val="20"/>
        </w:rPr>
      </w:pPr>
      <w:r w:rsidRPr="00257CD4">
        <w:rPr>
          <w:rFonts w:ascii="Open Sans" w:hAnsi="Open Sans" w:cs="Open Sans"/>
          <w:sz w:val="20"/>
          <w:szCs w:val="20"/>
        </w:rPr>
        <w:t>Firma de convenios de colaboración</w:t>
      </w:r>
      <w:r w:rsidRPr="00257CD4">
        <w:rPr>
          <w:rFonts w:ascii="Open Sans" w:hAnsi="Open Sans" w:cs="Open Sans"/>
          <w:sz w:val="20"/>
          <w:szCs w:val="20"/>
        </w:rPr>
        <w:ptab w:relativeTo="margin" w:alignment="right" w:leader="dot"/>
      </w:r>
      <w:r w:rsidR="006962FB" w:rsidRPr="00257CD4">
        <w:rPr>
          <w:rFonts w:ascii="Open Sans" w:hAnsi="Open Sans" w:cs="Open Sans"/>
          <w:sz w:val="20"/>
          <w:szCs w:val="20"/>
        </w:rPr>
        <w:t>1</w:t>
      </w:r>
      <w:r w:rsidR="00BC431A" w:rsidRPr="00257CD4">
        <w:rPr>
          <w:rFonts w:ascii="Open Sans" w:hAnsi="Open Sans" w:cs="Open Sans"/>
          <w:sz w:val="20"/>
          <w:szCs w:val="20"/>
        </w:rPr>
        <w:t>5</w:t>
      </w:r>
      <w:r w:rsidR="00B60772">
        <w:rPr>
          <w:rFonts w:ascii="Open Sans" w:hAnsi="Open Sans" w:cs="Open Sans"/>
          <w:sz w:val="20"/>
          <w:szCs w:val="20"/>
        </w:rPr>
        <w:t>8</w:t>
      </w:r>
    </w:p>
    <w:p w14:paraId="4C413A16" w14:textId="348B921D" w:rsidR="00873379" w:rsidRPr="00257CD4" w:rsidRDefault="007226BA" w:rsidP="00637696">
      <w:pPr>
        <w:pStyle w:val="Prrafodelista"/>
        <w:numPr>
          <w:ilvl w:val="2"/>
          <w:numId w:val="14"/>
        </w:numPr>
        <w:spacing w:line="276" w:lineRule="auto"/>
        <w:jc w:val="both"/>
        <w:rPr>
          <w:rFonts w:ascii="Open Sans" w:hAnsi="Open Sans" w:cs="Open Sans"/>
          <w:sz w:val="20"/>
          <w:szCs w:val="20"/>
        </w:rPr>
      </w:pPr>
      <w:r w:rsidRPr="00257CD4">
        <w:rPr>
          <w:rFonts w:ascii="Open Sans" w:hAnsi="Open Sans" w:cs="Open Sans"/>
          <w:sz w:val="20"/>
          <w:szCs w:val="20"/>
        </w:rPr>
        <w:t>Comisión Nacional de los Mercados y de la Competencia</w:t>
      </w:r>
      <w:r w:rsidR="00861BFD" w:rsidRPr="00257CD4">
        <w:rPr>
          <w:rFonts w:ascii="Open Sans" w:hAnsi="Open Sans" w:cs="Open Sans"/>
          <w:sz w:val="20"/>
          <w:szCs w:val="20"/>
        </w:rPr>
        <w:ptab w:relativeTo="margin" w:alignment="right" w:leader="dot"/>
      </w:r>
      <w:r w:rsidR="006962FB" w:rsidRPr="00257CD4">
        <w:rPr>
          <w:rFonts w:ascii="Open Sans" w:hAnsi="Open Sans" w:cs="Open Sans"/>
          <w:sz w:val="20"/>
          <w:szCs w:val="20"/>
        </w:rPr>
        <w:t>1</w:t>
      </w:r>
      <w:r w:rsidR="00BC431A" w:rsidRPr="00257CD4">
        <w:rPr>
          <w:rFonts w:ascii="Open Sans" w:hAnsi="Open Sans" w:cs="Open Sans"/>
          <w:sz w:val="20"/>
          <w:szCs w:val="20"/>
        </w:rPr>
        <w:t>5</w:t>
      </w:r>
      <w:r w:rsidR="00B60772">
        <w:rPr>
          <w:rFonts w:ascii="Open Sans" w:hAnsi="Open Sans" w:cs="Open Sans"/>
          <w:sz w:val="20"/>
          <w:szCs w:val="20"/>
        </w:rPr>
        <w:t>9</w:t>
      </w:r>
    </w:p>
    <w:p w14:paraId="7D5E39A0" w14:textId="3842BF41" w:rsidR="00873379" w:rsidRPr="00257CD4" w:rsidRDefault="007226BA" w:rsidP="00637696">
      <w:pPr>
        <w:pStyle w:val="Prrafodelista"/>
        <w:numPr>
          <w:ilvl w:val="2"/>
          <w:numId w:val="14"/>
        </w:numPr>
        <w:spacing w:line="276" w:lineRule="auto"/>
        <w:jc w:val="both"/>
        <w:rPr>
          <w:rFonts w:ascii="Open Sans" w:hAnsi="Open Sans" w:cs="Open Sans"/>
          <w:sz w:val="20"/>
          <w:szCs w:val="20"/>
        </w:rPr>
      </w:pPr>
      <w:r w:rsidRPr="00257CD4">
        <w:rPr>
          <w:rFonts w:ascii="Open Sans" w:hAnsi="Open Sans" w:cs="Open Sans"/>
          <w:sz w:val="20"/>
          <w:szCs w:val="20"/>
        </w:rPr>
        <w:t>Organización internacional EPAC/EACN</w:t>
      </w:r>
      <w:r w:rsidR="00861BFD" w:rsidRPr="00257CD4">
        <w:rPr>
          <w:rFonts w:ascii="Open Sans" w:hAnsi="Open Sans" w:cs="Open Sans"/>
          <w:sz w:val="20"/>
          <w:szCs w:val="20"/>
        </w:rPr>
        <w:ptab w:relativeTo="margin" w:alignment="right" w:leader="dot"/>
      </w:r>
      <w:r w:rsidR="006962FB" w:rsidRPr="00257CD4">
        <w:rPr>
          <w:rFonts w:ascii="Open Sans" w:hAnsi="Open Sans" w:cs="Open Sans"/>
          <w:sz w:val="20"/>
          <w:szCs w:val="20"/>
        </w:rPr>
        <w:t>1</w:t>
      </w:r>
      <w:r w:rsidR="00BC431A" w:rsidRPr="00257CD4">
        <w:rPr>
          <w:rFonts w:ascii="Open Sans" w:hAnsi="Open Sans" w:cs="Open Sans"/>
          <w:sz w:val="20"/>
          <w:szCs w:val="20"/>
        </w:rPr>
        <w:t>5</w:t>
      </w:r>
      <w:r w:rsidR="00B60772">
        <w:rPr>
          <w:rFonts w:ascii="Open Sans" w:hAnsi="Open Sans" w:cs="Open Sans"/>
          <w:sz w:val="20"/>
          <w:szCs w:val="20"/>
        </w:rPr>
        <w:t>9</w:t>
      </w:r>
    </w:p>
    <w:p w14:paraId="22D5B4F3" w14:textId="25EFA0DA" w:rsidR="00873379" w:rsidRPr="00257CD4" w:rsidRDefault="007226BA" w:rsidP="00637696">
      <w:pPr>
        <w:pStyle w:val="Prrafodelista"/>
        <w:numPr>
          <w:ilvl w:val="2"/>
          <w:numId w:val="14"/>
        </w:numPr>
        <w:spacing w:line="276" w:lineRule="auto"/>
        <w:jc w:val="both"/>
        <w:rPr>
          <w:rFonts w:ascii="Open Sans" w:hAnsi="Open Sans" w:cs="Open Sans"/>
          <w:sz w:val="20"/>
          <w:szCs w:val="20"/>
        </w:rPr>
      </w:pPr>
      <w:r w:rsidRPr="00257CD4">
        <w:rPr>
          <w:rFonts w:ascii="Open Sans" w:hAnsi="Open Sans" w:cs="Open Sans"/>
          <w:sz w:val="20"/>
          <w:szCs w:val="20"/>
        </w:rPr>
        <w:t>Organización internacional NEIWA</w:t>
      </w:r>
      <w:r w:rsidRPr="00257CD4">
        <w:rPr>
          <w:rFonts w:ascii="Open Sans" w:hAnsi="Open Sans" w:cs="Open Sans"/>
          <w:sz w:val="20"/>
          <w:szCs w:val="20"/>
        </w:rPr>
        <w:ptab w:relativeTo="margin" w:alignment="right" w:leader="dot"/>
      </w:r>
      <w:r w:rsidR="006962FB" w:rsidRPr="00257CD4">
        <w:rPr>
          <w:rFonts w:ascii="Open Sans" w:hAnsi="Open Sans" w:cs="Open Sans"/>
          <w:sz w:val="20"/>
          <w:szCs w:val="20"/>
        </w:rPr>
        <w:t>1</w:t>
      </w:r>
      <w:r w:rsidR="00BC431A" w:rsidRPr="00257CD4">
        <w:rPr>
          <w:rFonts w:ascii="Open Sans" w:hAnsi="Open Sans" w:cs="Open Sans"/>
          <w:sz w:val="20"/>
          <w:szCs w:val="20"/>
        </w:rPr>
        <w:t>6</w:t>
      </w:r>
      <w:r w:rsidR="00291609">
        <w:rPr>
          <w:rFonts w:ascii="Open Sans" w:hAnsi="Open Sans" w:cs="Open Sans"/>
          <w:sz w:val="20"/>
          <w:szCs w:val="20"/>
        </w:rPr>
        <w:t>3</w:t>
      </w:r>
    </w:p>
    <w:p w14:paraId="7B8B91A2" w14:textId="48E5DDA4" w:rsidR="00873379" w:rsidRPr="00257CD4" w:rsidRDefault="007226BA" w:rsidP="00637696">
      <w:pPr>
        <w:pStyle w:val="Prrafodelista"/>
        <w:numPr>
          <w:ilvl w:val="2"/>
          <w:numId w:val="14"/>
        </w:numPr>
        <w:spacing w:line="276" w:lineRule="auto"/>
        <w:jc w:val="both"/>
        <w:rPr>
          <w:rFonts w:ascii="Open Sans" w:hAnsi="Open Sans" w:cs="Open Sans"/>
          <w:sz w:val="20"/>
          <w:szCs w:val="20"/>
        </w:rPr>
      </w:pPr>
      <w:r w:rsidRPr="00257CD4">
        <w:rPr>
          <w:rFonts w:ascii="Open Sans" w:hAnsi="Open Sans" w:cs="Open Sans"/>
          <w:sz w:val="20"/>
          <w:szCs w:val="20"/>
        </w:rPr>
        <w:t>Relaciones con autoridades gubernamentales de México</w:t>
      </w:r>
      <w:r w:rsidRPr="00257CD4">
        <w:rPr>
          <w:rFonts w:ascii="Open Sans" w:hAnsi="Open Sans" w:cs="Open Sans"/>
          <w:sz w:val="20"/>
          <w:szCs w:val="20"/>
        </w:rPr>
        <w:ptab w:relativeTo="margin" w:alignment="right" w:leader="dot"/>
      </w:r>
      <w:r w:rsidR="006962FB" w:rsidRPr="00257CD4">
        <w:rPr>
          <w:rFonts w:ascii="Open Sans" w:hAnsi="Open Sans" w:cs="Open Sans"/>
          <w:sz w:val="20"/>
          <w:szCs w:val="20"/>
        </w:rPr>
        <w:t>1</w:t>
      </w:r>
      <w:r w:rsidR="00BC431A" w:rsidRPr="00257CD4">
        <w:rPr>
          <w:rFonts w:ascii="Open Sans" w:hAnsi="Open Sans" w:cs="Open Sans"/>
          <w:sz w:val="20"/>
          <w:szCs w:val="20"/>
        </w:rPr>
        <w:t>6</w:t>
      </w:r>
      <w:r w:rsidR="00291609">
        <w:rPr>
          <w:rFonts w:ascii="Open Sans" w:hAnsi="Open Sans" w:cs="Open Sans"/>
          <w:sz w:val="20"/>
          <w:szCs w:val="20"/>
        </w:rPr>
        <w:t>4</w:t>
      </w:r>
    </w:p>
    <w:p w14:paraId="345EFF5E" w14:textId="5082D11F" w:rsidR="00873379" w:rsidRPr="00257CD4" w:rsidRDefault="00B11BFA" w:rsidP="00637696">
      <w:pPr>
        <w:pStyle w:val="Prrafodelista"/>
        <w:numPr>
          <w:ilvl w:val="1"/>
          <w:numId w:val="14"/>
        </w:numPr>
        <w:spacing w:line="276" w:lineRule="auto"/>
        <w:jc w:val="both"/>
        <w:rPr>
          <w:rFonts w:ascii="Open Sans" w:hAnsi="Open Sans" w:cs="Open Sans"/>
          <w:sz w:val="20"/>
          <w:szCs w:val="20"/>
        </w:rPr>
      </w:pPr>
      <w:r>
        <w:rPr>
          <w:rFonts w:ascii="Open Sans" w:hAnsi="Open Sans" w:cs="Open Sans"/>
          <w:sz w:val="20"/>
          <w:szCs w:val="20"/>
        </w:rPr>
        <w:t xml:space="preserve"> </w:t>
      </w:r>
      <w:r w:rsidR="00861BFD" w:rsidRPr="00257CD4">
        <w:rPr>
          <w:rFonts w:ascii="Open Sans" w:hAnsi="Open Sans" w:cs="Open Sans"/>
          <w:sz w:val="20"/>
          <w:szCs w:val="20"/>
        </w:rPr>
        <w:t>Asistencia a actos</w:t>
      </w:r>
      <w:r w:rsidR="00861BFD" w:rsidRPr="00257CD4">
        <w:rPr>
          <w:rFonts w:ascii="Open Sans" w:hAnsi="Open Sans" w:cs="Open Sans"/>
          <w:sz w:val="20"/>
          <w:szCs w:val="20"/>
        </w:rPr>
        <w:ptab w:relativeTo="margin" w:alignment="right" w:leader="dot"/>
      </w:r>
      <w:r w:rsidR="006962FB" w:rsidRPr="00257CD4">
        <w:rPr>
          <w:rFonts w:ascii="Open Sans" w:hAnsi="Open Sans" w:cs="Open Sans"/>
          <w:sz w:val="20"/>
          <w:szCs w:val="20"/>
        </w:rPr>
        <w:t>1</w:t>
      </w:r>
      <w:r w:rsidR="00BC431A" w:rsidRPr="00257CD4">
        <w:rPr>
          <w:rFonts w:ascii="Open Sans" w:hAnsi="Open Sans" w:cs="Open Sans"/>
          <w:sz w:val="20"/>
          <w:szCs w:val="20"/>
        </w:rPr>
        <w:t>6</w:t>
      </w:r>
      <w:r w:rsidR="00291609">
        <w:rPr>
          <w:rFonts w:ascii="Open Sans" w:hAnsi="Open Sans" w:cs="Open Sans"/>
          <w:sz w:val="20"/>
          <w:szCs w:val="20"/>
        </w:rPr>
        <w:t>4</w:t>
      </w:r>
    </w:p>
    <w:p w14:paraId="3B779B61" w14:textId="459D74A4" w:rsidR="00873379" w:rsidRPr="00257CD4" w:rsidRDefault="00B11BFA" w:rsidP="00637696">
      <w:pPr>
        <w:pStyle w:val="Prrafodelista"/>
        <w:numPr>
          <w:ilvl w:val="1"/>
          <w:numId w:val="14"/>
        </w:numPr>
        <w:spacing w:line="276" w:lineRule="auto"/>
        <w:jc w:val="both"/>
        <w:rPr>
          <w:rFonts w:ascii="Open Sans" w:hAnsi="Open Sans" w:cs="Open Sans"/>
          <w:sz w:val="20"/>
          <w:szCs w:val="20"/>
        </w:rPr>
      </w:pPr>
      <w:r>
        <w:rPr>
          <w:rFonts w:ascii="Open Sans" w:hAnsi="Open Sans" w:cs="Open Sans"/>
          <w:sz w:val="20"/>
          <w:szCs w:val="20"/>
        </w:rPr>
        <w:t xml:space="preserve"> </w:t>
      </w:r>
      <w:r w:rsidR="00861BFD" w:rsidRPr="00257CD4">
        <w:rPr>
          <w:rFonts w:ascii="Open Sans" w:hAnsi="Open Sans" w:cs="Open Sans"/>
          <w:sz w:val="20"/>
          <w:szCs w:val="20"/>
        </w:rPr>
        <w:t>Conferencias impartidas</w:t>
      </w:r>
      <w:r w:rsidR="00861BFD" w:rsidRPr="00257CD4">
        <w:rPr>
          <w:rFonts w:ascii="Open Sans" w:hAnsi="Open Sans" w:cs="Open Sans"/>
          <w:sz w:val="20"/>
          <w:szCs w:val="20"/>
        </w:rPr>
        <w:ptab w:relativeTo="margin" w:alignment="right" w:leader="dot"/>
      </w:r>
      <w:r w:rsidR="006962FB" w:rsidRPr="00257CD4">
        <w:rPr>
          <w:rFonts w:ascii="Open Sans" w:hAnsi="Open Sans" w:cs="Open Sans"/>
          <w:sz w:val="20"/>
          <w:szCs w:val="20"/>
        </w:rPr>
        <w:t>1</w:t>
      </w:r>
      <w:r w:rsidR="00BC431A" w:rsidRPr="00257CD4">
        <w:rPr>
          <w:rFonts w:ascii="Open Sans" w:hAnsi="Open Sans" w:cs="Open Sans"/>
          <w:sz w:val="20"/>
          <w:szCs w:val="20"/>
        </w:rPr>
        <w:t>6</w:t>
      </w:r>
      <w:r w:rsidR="00E340E8">
        <w:rPr>
          <w:rFonts w:ascii="Open Sans" w:hAnsi="Open Sans" w:cs="Open Sans"/>
          <w:sz w:val="20"/>
          <w:szCs w:val="20"/>
        </w:rPr>
        <w:t>5</w:t>
      </w:r>
    </w:p>
    <w:p w14:paraId="7690B718" w14:textId="4490A460" w:rsidR="00873379" w:rsidRPr="00257CD4" w:rsidRDefault="00B11BFA" w:rsidP="00637696">
      <w:pPr>
        <w:pStyle w:val="Prrafodelista"/>
        <w:numPr>
          <w:ilvl w:val="1"/>
          <w:numId w:val="14"/>
        </w:numPr>
        <w:spacing w:line="276" w:lineRule="auto"/>
        <w:jc w:val="both"/>
        <w:rPr>
          <w:rFonts w:ascii="Open Sans" w:hAnsi="Open Sans" w:cs="Open Sans"/>
          <w:sz w:val="20"/>
          <w:szCs w:val="20"/>
        </w:rPr>
      </w:pPr>
      <w:r>
        <w:rPr>
          <w:rFonts w:ascii="Open Sans" w:hAnsi="Open Sans" w:cs="Open Sans"/>
          <w:sz w:val="20"/>
          <w:szCs w:val="20"/>
        </w:rPr>
        <w:t xml:space="preserve"> </w:t>
      </w:r>
      <w:r w:rsidR="00861BFD" w:rsidRPr="00257CD4">
        <w:rPr>
          <w:rFonts w:ascii="Open Sans" w:hAnsi="Open Sans" w:cs="Open Sans"/>
          <w:sz w:val="20"/>
          <w:szCs w:val="20"/>
        </w:rPr>
        <w:t xml:space="preserve">Entrevistas </w:t>
      </w:r>
      <w:r w:rsidR="002A5CF7" w:rsidRPr="00257CD4">
        <w:rPr>
          <w:rFonts w:ascii="Open Sans" w:hAnsi="Open Sans" w:cs="Open Sans"/>
          <w:sz w:val="20"/>
          <w:szCs w:val="20"/>
        </w:rPr>
        <w:t xml:space="preserve">y </w:t>
      </w:r>
      <w:r w:rsidR="00821C90">
        <w:rPr>
          <w:rFonts w:ascii="Open Sans" w:hAnsi="Open Sans" w:cs="Open Sans"/>
          <w:sz w:val="20"/>
          <w:szCs w:val="20"/>
        </w:rPr>
        <w:t>r</w:t>
      </w:r>
      <w:r w:rsidR="00861BFD" w:rsidRPr="00257CD4">
        <w:rPr>
          <w:rFonts w:ascii="Open Sans" w:hAnsi="Open Sans" w:cs="Open Sans"/>
          <w:sz w:val="20"/>
          <w:szCs w:val="20"/>
        </w:rPr>
        <w:t>euniones</w:t>
      </w:r>
      <w:r w:rsidR="00861BFD" w:rsidRPr="00257CD4">
        <w:rPr>
          <w:rFonts w:ascii="Open Sans" w:hAnsi="Open Sans" w:cs="Open Sans"/>
          <w:sz w:val="20"/>
          <w:szCs w:val="20"/>
        </w:rPr>
        <w:ptab w:relativeTo="margin" w:alignment="right" w:leader="dot"/>
      </w:r>
      <w:r w:rsidR="006962FB" w:rsidRPr="00257CD4">
        <w:rPr>
          <w:rFonts w:ascii="Open Sans" w:hAnsi="Open Sans" w:cs="Open Sans"/>
          <w:sz w:val="20"/>
          <w:szCs w:val="20"/>
        </w:rPr>
        <w:t>1</w:t>
      </w:r>
      <w:r w:rsidR="00BC431A" w:rsidRPr="00257CD4">
        <w:rPr>
          <w:rFonts w:ascii="Open Sans" w:hAnsi="Open Sans" w:cs="Open Sans"/>
          <w:sz w:val="20"/>
          <w:szCs w:val="20"/>
        </w:rPr>
        <w:t>6</w:t>
      </w:r>
      <w:r w:rsidR="00E340E8">
        <w:rPr>
          <w:rFonts w:ascii="Open Sans" w:hAnsi="Open Sans" w:cs="Open Sans"/>
          <w:sz w:val="20"/>
          <w:szCs w:val="20"/>
        </w:rPr>
        <w:t>8</w:t>
      </w:r>
    </w:p>
    <w:p w14:paraId="28CD1246" w14:textId="7BFEC6D2" w:rsidR="00873379" w:rsidRPr="00257CD4" w:rsidRDefault="00B11BFA" w:rsidP="00637696">
      <w:pPr>
        <w:pStyle w:val="Prrafodelista"/>
        <w:numPr>
          <w:ilvl w:val="1"/>
          <w:numId w:val="14"/>
        </w:numPr>
        <w:spacing w:line="276" w:lineRule="auto"/>
        <w:jc w:val="both"/>
        <w:rPr>
          <w:rFonts w:ascii="Open Sans" w:hAnsi="Open Sans" w:cs="Open Sans"/>
          <w:sz w:val="20"/>
          <w:szCs w:val="20"/>
        </w:rPr>
      </w:pPr>
      <w:r>
        <w:rPr>
          <w:rFonts w:ascii="Open Sans" w:hAnsi="Open Sans" w:cs="Open Sans"/>
          <w:sz w:val="20"/>
          <w:szCs w:val="20"/>
        </w:rPr>
        <w:t xml:space="preserve"> </w:t>
      </w:r>
      <w:r w:rsidR="00861BFD" w:rsidRPr="00257CD4">
        <w:rPr>
          <w:rFonts w:ascii="Open Sans" w:hAnsi="Open Sans" w:cs="Open Sans"/>
          <w:sz w:val="20"/>
          <w:szCs w:val="20"/>
        </w:rPr>
        <w:t>Página web de la Agencia y redes sociales</w:t>
      </w:r>
      <w:r w:rsidR="00861BFD" w:rsidRPr="00257CD4">
        <w:rPr>
          <w:rFonts w:ascii="Open Sans" w:hAnsi="Open Sans" w:cs="Open Sans"/>
          <w:sz w:val="20"/>
          <w:szCs w:val="20"/>
        </w:rPr>
        <w:ptab w:relativeTo="margin" w:alignment="right" w:leader="dot"/>
      </w:r>
      <w:r w:rsidR="00E340E8">
        <w:rPr>
          <w:rFonts w:ascii="Open Sans" w:hAnsi="Open Sans" w:cs="Open Sans"/>
          <w:sz w:val="20"/>
          <w:szCs w:val="20"/>
        </w:rPr>
        <w:t>171</w:t>
      </w:r>
    </w:p>
    <w:p w14:paraId="5E42D953" w14:textId="781E5F38" w:rsidR="000A6A2E" w:rsidRPr="00257CD4" w:rsidRDefault="00B11BFA" w:rsidP="00637696">
      <w:pPr>
        <w:pStyle w:val="Prrafodelista"/>
        <w:numPr>
          <w:ilvl w:val="1"/>
          <w:numId w:val="14"/>
        </w:numPr>
        <w:spacing w:line="276" w:lineRule="auto"/>
        <w:jc w:val="both"/>
        <w:rPr>
          <w:rFonts w:ascii="Open Sans" w:hAnsi="Open Sans" w:cs="Open Sans"/>
          <w:sz w:val="20"/>
          <w:szCs w:val="20"/>
        </w:rPr>
      </w:pPr>
      <w:r>
        <w:rPr>
          <w:rFonts w:ascii="Open Sans" w:hAnsi="Open Sans" w:cs="Open Sans"/>
          <w:sz w:val="20"/>
          <w:szCs w:val="20"/>
        </w:rPr>
        <w:lastRenderedPageBreak/>
        <w:t xml:space="preserve"> </w:t>
      </w:r>
      <w:r w:rsidR="006719F8" w:rsidRPr="00257CD4">
        <w:rPr>
          <w:rFonts w:ascii="Open Sans" w:hAnsi="Open Sans" w:cs="Open Sans"/>
          <w:sz w:val="20"/>
          <w:szCs w:val="20"/>
        </w:rPr>
        <w:t>M</w:t>
      </w:r>
      <w:r w:rsidR="00861BFD" w:rsidRPr="00257CD4">
        <w:rPr>
          <w:rFonts w:ascii="Open Sans" w:hAnsi="Open Sans" w:cs="Open Sans"/>
          <w:sz w:val="20"/>
          <w:szCs w:val="20"/>
        </w:rPr>
        <w:t>edios de comunicación</w:t>
      </w:r>
      <w:r w:rsidR="00861BFD" w:rsidRPr="00257CD4">
        <w:rPr>
          <w:rFonts w:ascii="Open Sans" w:hAnsi="Open Sans" w:cs="Open Sans"/>
          <w:sz w:val="20"/>
          <w:szCs w:val="20"/>
        </w:rPr>
        <w:ptab w:relativeTo="margin" w:alignment="right" w:leader="dot"/>
      </w:r>
      <w:r w:rsidR="006962FB" w:rsidRPr="00257CD4">
        <w:rPr>
          <w:rFonts w:ascii="Open Sans" w:hAnsi="Open Sans" w:cs="Open Sans"/>
          <w:sz w:val="20"/>
          <w:szCs w:val="20"/>
        </w:rPr>
        <w:t>1</w:t>
      </w:r>
      <w:r w:rsidR="00BC431A" w:rsidRPr="00257CD4">
        <w:rPr>
          <w:rFonts w:ascii="Open Sans" w:hAnsi="Open Sans" w:cs="Open Sans"/>
          <w:sz w:val="20"/>
          <w:szCs w:val="20"/>
        </w:rPr>
        <w:t>71</w:t>
      </w:r>
    </w:p>
    <w:p w14:paraId="25EB6925" w14:textId="4037EE24" w:rsidR="000E7209" w:rsidRPr="00257CD4" w:rsidRDefault="00B11BFA" w:rsidP="00637696">
      <w:pPr>
        <w:pStyle w:val="Prrafodelista"/>
        <w:numPr>
          <w:ilvl w:val="1"/>
          <w:numId w:val="14"/>
        </w:numPr>
        <w:spacing w:line="276" w:lineRule="auto"/>
        <w:jc w:val="both"/>
        <w:rPr>
          <w:rFonts w:ascii="Open Sans" w:hAnsi="Open Sans" w:cs="Open Sans"/>
          <w:sz w:val="20"/>
          <w:szCs w:val="20"/>
        </w:rPr>
      </w:pPr>
      <w:bookmarkStart w:id="3" w:name="_Hlk35867337"/>
      <w:r>
        <w:rPr>
          <w:rFonts w:ascii="Open Sans" w:hAnsi="Open Sans" w:cs="Open Sans"/>
          <w:sz w:val="20"/>
          <w:szCs w:val="20"/>
        </w:rPr>
        <w:t xml:space="preserve"> </w:t>
      </w:r>
      <w:r w:rsidR="004764B3" w:rsidRPr="00257CD4">
        <w:rPr>
          <w:rFonts w:ascii="Open Sans" w:hAnsi="Open Sans" w:cs="Open Sans"/>
          <w:sz w:val="20"/>
          <w:szCs w:val="20"/>
        </w:rPr>
        <w:t>Relaciones con l</w:t>
      </w:r>
      <w:r w:rsidR="00792177" w:rsidRPr="00257CD4">
        <w:rPr>
          <w:rFonts w:ascii="Open Sans" w:hAnsi="Open Sans" w:cs="Open Sans"/>
          <w:sz w:val="20"/>
          <w:szCs w:val="20"/>
        </w:rPr>
        <w:t>a</w:t>
      </w:r>
      <w:r w:rsidR="004764B3" w:rsidRPr="00257CD4">
        <w:rPr>
          <w:rFonts w:ascii="Open Sans" w:hAnsi="Open Sans" w:cs="Open Sans"/>
          <w:sz w:val="20"/>
          <w:szCs w:val="20"/>
        </w:rPr>
        <w:t>s Corts Valencianes</w:t>
      </w:r>
      <w:r w:rsidR="004764B3" w:rsidRPr="00257CD4">
        <w:rPr>
          <w:rFonts w:ascii="Open Sans" w:hAnsi="Open Sans" w:cs="Open Sans"/>
          <w:sz w:val="20"/>
          <w:szCs w:val="20"/>
        </w:rPr>
        <w:ptab w:relativeTo="margin" w:alignment="right" w:leader="dot"/>
      </w:r>
      <w:r w:rsidR="006962FB" w:rsidRPr="00257CD4">
        <w:rPr>
          <w:rFonts w:ascii="Open Sans" w:hAnsi="Open Sans" w:cs="Open Sans"/>
          <w:sz w:val="20"/>
          <w:szCs w:val="20"/>
        </w:rPr>
        <w:t>1</w:t>
      </w:r>
      <w:r w:rsidR="00BC431A" w:rsidRPr="00257CD4">
        <w:rPr>
          <w:rFonts w:ascii="Open Sans" w:hAnsi="Open Sans" w:cs="Open Sans"/>
          <w:sz w:val="20"/>
          <w:szCs w:val="20"/>
        </w:rPr>
        <w:t>7</w:t>
      </w:r>
      <w:r w:rsidR="00C86A56">
        <w:rPr>
          <w:rFonts w:ascii="Open Sans" w:hAnsi="Open Sans" w:cs="Open Sans"/>
          <w:sz w:val="20"/>
          <w:szCs w:val="20"/>
        </w:rPr>
        <w:t>6</w:t>
      </w:r>
    </w:p>
    <w:p w14:paraId="0B753A0A" w14:textId="55F9468A" w:rsidR="004764B3" w:rsidRPr="00257CD4" w:rsidRDefault="004764B3" w:rsidP="00637696">
      <w:pPr>
        <w:pStyle w:val="Prrafodelista"/>
        <w:numPr>
          <w:ilvl w:val="2"/>
          <w:numId w:val="14"/>
        </w:numPr>
        <w:spacing w:line="276" w:lineRule="auto"/>
        <w:jc w:val="both"/>
        <w:rPr>
          <w:rFonts w:ascii="Open Sans" w:hAnsi="Open Sans" w:cs="Open Sans"/>
          <w:sz w:val="20"/>
          <w:szCs w:val="20"/>
        </w:rPr>
      </w:pPr>
      <w:r w:rsidRPr="00257CD4">
        <w:rPr>
          <w:rFonts w:ascii="Open Sans" w:hAnsi="Open Sans" w:cs="Open Sans"/>
          <w:sz w:val="20"/>
          <w:szCs w:val="20"/>
        </w:rPr>
        <w:t xml:space="preserve"> Preguntas parlamentarias dirigidas a la Agencia</w:t>
      </w:r>
      <w:r w:rsidRPr="00257CD4">
        <w:rPr>
          <w:rFonts w:ascii="Open Sans" w:hAnsi="Open Sans" w:cs="Open Sans"/>
          <w:sz w:val="20"/>
          <w:szCs w:val="20"/>
        </w:rPr>
        <w:ptab w:relativeTo="margin" w:alignment="right" w:leader="dot"/>
      </w:r>
      <w:bookmarkEnd w:id="3"/>
      <w:r w:rsidR="006962FB" w:rsidRPr="00257CD4">
        <w:rPr>
          <w:rFonts w:ascii="Open Sans" w:hAnsi="Open Sans" w:cs="Open Sans"/>
          <w:sz w:val="20"/>
          <w:szCs w:val="20"/>
        </w:rPr>
        <w:t>1</w:t>
      </w:r>
      <w:r w:rsidR="00BC431A" w:rsidRPr="00257CD4">
        <w:rPr>
          <w:rFonts w:ascii="Open Sans" w:hAnsi="Open Sans" w:cs="Open Sans"/>
          <w:sz w:val="20"/>
          <w:szCs w:val="20"/>
        </w:rPr>
        <w:t>7</w:t>
      </w:r>
      <w:r w:rsidR="00C86A56">
        <w:rPr>
          <w:rFonts w:ascii="Open Sans" w:hAnsi="Open Sans" w:cs="Open Sans"/>
          <w:sz w:val="20"/>
          <w:szCs w:val="20"/>
        </w:rPr>
        <w:t>6</w:t>
      </w:r>
    </w:p>
    <w:p w14:paraId="443926C6" w14:textId="361A88BF" w:rsidR="00694598" w:rsidRPr="00257CD4" w:rsidRDefault="00DA280C" w:rsidP="00694598">
      <w:pPr>
        <w:pStyle w:val="Prrafodelista"/>
        <w:numPr>
          <w:ilvl w:val="2"/>
          <w:numId w:val="14"/>
        </w:numPr>
        <w:spacing w:line="276" w:lineRule="auto"/>
        <w:jc w:val="both"/>
        <w:rPr>
          <w:rFonts w:ascii="Open Sans" w:hAnsi="Open Sans" w:cs="Open Sans"/>
          <w:sz w:val="20"/>
          <w:szCs w:val="20"/>
        </w:rPr>
      </w:pPr>
      <w:r w:rsidRPr="00257CD4">
        <w:rPr>
          <w:rFonts w:ascii="Open Sans" w:hAnsi="Open Sans" w:cs="Open Sans"/>
          <w:sz w:val="20"/>
          <w:szCs w:val="20"/>
        </w:rPr>
        <w:t xml:space="preserve"> </w:t>
      </w:r>
      <w:r w:rsidR="004764B3" w:rsidRPr="00257CD4">
        <w:rPr>
          <w:rFonts w:ascii="Open Sans" w:hAnsi="Open Sans" w:cs="Open Sans"/>
          <w:sz w:val="20"/>
          <w:szCs w:val="20"/>
        </w:rPr>
        <w:t>Comparecencias del director ante comisiones parlamentarias</w:t>
      </w:r>
      <w:r w:rsidR="004764B3" w:rsidRPr="00257CD4">
        <w:rPr>
          <w:rFonts w:ascii="Open Sans" w:hAnsi="Open Sans" w:cs="Open Sans"/>
          <w:sz w:val="20"/>
          <w:szCs w:val="20"/>
        </w:rPr>
        <w:ptab w:relativeTo="margin" w:alignment="right" w:leader="dot"/>
      </w:r>
      <w:r w:rsidR="006962FB" w:rsidRPr="00257CD4">
        <w:rPr>
          <w:rFonts w:ascii="Open Sans" w:hAnsi="Open Sans" w:cs="Open Sans"/>
          <w:sz w:val="20"/>
          <w:szCs w:val="20"/>
        </w:rPr>
        <w:t>1</w:t>
      </w:r>
      <w:r w:rsidR="00BC431A" w:rsidRPr="00257CD4">
        <w:rPr>
          <w:rFonts w:ascii="Open Sans" w:hAnsi="Open Sans" w:cs="Open Sans"/>
          <w:sz w:val="20"/>
          <w:szCs w:val="20"/>
        </w:rPr>
        <w:t>7</w:t>
      </w:r>
      <w:r w:rsidR="00C86A56">
        <w:rPr>
          <w:rFonts w:ascii="Open Sans" w:hAnsi="Open Sans" w:cs="Open Sans"/>
          <w:sz w:val="20"/>
          <w:szCs w:val="20"/>
        </w:rPr>
        <w:t>7</w:t>
      </w:r>
    </w:p>
    <w:p w14:paraId="6FDFE28D" w14:textId="2AC67AD4" w:rsidR="00934176" w:rsidRPr="00257CD4" w:rsidRDefault="004764B3" w:rsidP="00934176">
      <w:pPr>
        <w:pStyle w:val="Prrafodelista"/>
        <w:numPr>
          <w:ilvl w:val="1"/>
          <w:numId w:val="14"/>
        </w:numPr>
        <w:spacing w:line="276" w:lineRule="auto"/>
        <w:jc w:val="both"/>
        <w:rPr>
          <w:rFonts w:ascii="Open Sans" w:hAnsi="Open Sans" w:cs="Open Sans"/>
          <w:sz w:val="20"/>
          <w:szCs w:val="20"/>
        </w:rPr>
      </w:pPr>
      <w:r w:rsidRPr="00257CD4">
        <w:rPr>
          <w:rFonts w:ascii="Open Sans" w:hAnsi="Open Sans" w:cs="Open Sans"/>
          <w:sz w:val="20"/>
          <w:szCs w:val="20"/>
        </w:rPr>
        <w:t xml:space="preserve"> Publicaciones en boletines oficiales</w:t>
      </w:r>
      <w:r w:rsidRPr="00257CD4">
        <w:rPr>
          <w:rFonts w:ascii="Open Sans" w:hAnsi="Open Sans" w:cs="Open Sans"/>
          <w:sz w:val="20"/>
          <w:szCs w:val="20"/>
        </w:rPr>
        <w:ptab w:relativeTo="margin" w:alignment="right" w:leader="dot"/>
      </w:r>
      <w:r w:rsidR="006962FB" w:rsidRPr="00257CD4">
        <w:rPr>
          <w:rFonts w:ascii="Open Sans" w:hAnsi="Open Sans" w:cs="Open Sans"/>
          <w:sz w:val="20"/>
          <w:szCs w:val="20"/>
        </w:rPr>
        <w:t>1</w:t>
      </w:r>
      <w:r w:rsidR="00BC431A" w:rsidRPr="00257CD4">
        <w:rPr>
          <w:rFonts w:ascii="Open Sans" w:hAnsi="Open Sans" w:cs="Open Sans"/>
          <w:sz w:val="20"/>
          <w:szCs w:val="20"/>
        </w:rPr>
        <w:t>7</w:t>
      </w:r>
      <w:r w:rsidR="00C86A56">
        <w:rPr>
          <w:rFonts w:ascii="Open Sans" w:hAnsi="Open Sans" w:cs="Open Sans"/>
          <w:sz w:val="20"/>
          <w:szCs w:val="20"/>
        </w:rPr>
        <w:t>7</w:t>
      </w:r>
    </w:p>
    <w:p w14:paraId="2F46706B" w14:textId="77777777" w:rsidR="00934176" w:rsidRPr="00257CD4" w:rsidRDefault="00934176" w:rsidP="00934176">
      <w:pPr>
        <w:pStyle w:val="Prrafodelista"/>
        <w:spacing w:line="276" w:lineRule="auto"/>
        <w:ind w:left="357"/>
        <w:jc w:val="both"/>
        <w:rPr>
          <w:rFonts w:ascii="Open Sans" w:hAnsi="Open Sans" w:cs="Open Sans"/>
          <w:sz w:val="20"/>
          <w:szCs w:val="20"/>
        </w:rPr>
      </w:pPr>
    </w:p>
    <w:p w14:paraId="45983372" w14:textId="1546750F" w:rsidR="000A6A2E" w:rsidRPr="00257CD4" w:rsidRDefault="00A46175" w:rsidP="00637696">
      <w:pPr>
        <w:pStyle w:val="Prrafodelista"/>
        <w:numPr>
          <w:ilvl w:val="0"/>
          <w:numId w:val="14"/>
        </w:numPr>
        <w:spacing w:line="276" w:lineRule="auto"/>
        <w:jc w:val="both"/>
        <w:rPr>
          <w:rFonts w:ascii="Open Sans" w:hAnsi="Open Sans" w:cs="Open Sans"/>
          <w:b/>
          <w:sz w:val="20"/>
          <w:szCs w:val="20"/>
        </w:rPr>
      </w:pPr>
      <w:r w:rsidRPr="00257CD4">
        <w:rPr>
          <w:rFonts w:ascii="Open Sans" w:hAnsi="Open Sans" w:cs="Open Sans"/>
          <w:b/>
          <w:sz w:val="20"/>
          <w:szCs w:val="20"/>
        </w:rPr>
        <w:t xml:space="preserve">Administración, </w:t>
      </w:r>
      <w:r w:rsidR="00863A86" w:rsidRPr="00257CD4">
        <w:rPr>
          <w:rFonts w:ascii="Open Sans" w:hAnsi="Open Sans" w:cs="Open Sans"/>
          <w:b/>
          <w:sz w:val="20"/>
          <w:szCs w:val="20"/>
        </w:rPr>
        <w:t>o</w:t>
      </w:r>
      <w:r w:rsidRPr="00257CD4">
        <w:rPr>
          <w:rFonts w:ascii="Open Sans" w:hAnsi="Open Sans" w:cs="Open Sans"/>
          <w:b/>
          <w:sz w:val="20"/>
          <w:szCs w:val="20"/>
        </w:rPr>
        <w:t xml:space="preserve">rganización y </w:t>
      </w:r>
      <w:r w:rsidR="00AB08BA" w:rsidRPr="00257CD4">
        <w:rPr>
          <w:rFonts w:ascii="Open Sans" w:hAnsi="Open Sans" w:cs="Open Sans"/>
          <w:b/>
          <w:sz w:val="20"/>
          <w:szCs w:val="20"/>
        </w:rPr>
        <w:t>r</w:t>
      </w:r>
      <w:r w:rsidRPr="00257CD4">
        <w:rPr>
          <w:rFonts w:ascii="Open Sans" w:hAnsi="Open Sans" w:cs="Open Sans"/>
          <w:b/>
          <w:sz w:val="20"/>
          <w:szCs w:val="20"/>
        </w:rPr>
        <w:t xml:space="preserve">ecursos </w:t>
      </w:r>
      <w:r w:rsidR="00000A80" w:rsidRPr="00257CD4">
        <w:rPr>
          <w:rFonts w:ascii="Open Sans" w:hAnsi="Open Sans" w:cs="Open Sans"/>
          <w:b/>
          <w:sz w:val="20"/>
          <w:szCs w:val="20"/>
        </w:rPr>
        <w:ptab w:relativeTo="margin" w:alignment="right" w:leader="dot"/>
      </w:r>
      <w:r w:rsidR="005C38E0" w:rsidRPr="00257CD4">
        <w:rPr>
          <w:rFonts w:ascii="Open Sans" w:hAnsi="Open Sans" w:cs="Open Sans"/>
          <w:b/>
          <w:sz w:val="20"/>
          <w:szCs w:val="20"/>
        </w:rPr>
        <w:t>1</w:t>
      </w:r>
      <w:r w:rsidR="00D455F3" w:rsidRPr="00257CD4">
        <w:rPr>
          <w:rFonts w:ascii="Open Sans" w:hAnsi="Open Sans" w:cs="Open Sans"/>
          <w:b/>
          <w:sz w:val="20"/>
          <w:szCs w:val="20"/>
        </w:rPr>
        <w:t>8</w:t>
      </w:r>
      <w:r w:rsidR="00D15B66">
        <w:rPr>
          <w:rFonts w:ascii="Open Sans" w:hAnsi="Open Sans" w:cs="Open Sans"/>
          <w:b/>
          <w:sz w:val="20"/>
          <w:szCs w:val="20"/>
        </w:rPr>
        <w:t>3</w:t>
      </w:r>
    </w:p>
    <w:p w14:paraId="7AFA84A3" w14:textId="3CB7AC3A" w:rsidR="000A6A2E" w:rsidRPr="00257CD4" w:rsidRDefault="00B11BFA" w:rsidP="00694598">
      <w:pPr>
        <w:pStyle w:val="Prrafodelista"/>
        <w:numPr>
          <w:ilvl w:val="1"/>
          <w:numId w:val="14"/>
        </w:numPr>
        <w:spacing w:line="276" w:lineRule="auto"/>
        <w:jc w:val="both"/>
        <w:rPr>
          <w:rFonts w:ascii="Open Sans" w:hAnsi="Open Sans" w:cs="Open Sans"/>
          <w:sz w:val="20"/>
          <w:szCs w:val="20"/>
        </w:rPr>
      </w:pPr>
      <w:r>
        <w:rPr>
          <w:rFonts w:ascii="Open Sans" w:hAnsi="Open Sans" w:cs="Open Sans"/>
          <w:sz w:val="20"/>
          <w:szCs w:val="20"/>
        </w:rPr>
        <w:t xml:space="preserve"> </w:t>
      </w:r>
      <w:r w:rsidR="00694598" w:rsidRPr="00257CD4">
        <w:rPr>
          <w:rFonts w:ascii="Open Sans" w:hAnsi="Open Sans" w:cs="Open Sans"/>
          <w:sz w:val="20"/>
          <w:szCs w:val="20"/>
        </w:rPr>
        <w:t>Estructura organizativa</w:t>
      </w:r>
      <w:r w:rsidR="00000A80" w:rsidRPr="00257CD4">
        <w:rPr>
          <w:rFonts w:ascii="Open Sans" w:hAnsi="Open Sans" w:cs="Open Sans"/>
          <w:sz w:val="20"/>
          <w:szCs w:val="20"/>
        </w:rPr>
        <w:ptab w:relativeTo="margin" w:alignment="right" w:leader="dot"/>
      </w:r>
      <w:r w:rsidR="005C38E0" w:rsidRPr="00257CD4">
        <w:rPr>
          <w:rFonts w:ascii="Open Sans" w:hAnsi="Open Sans" w:cs="Open Sans"/>
          <w:sz w:val="20"/>
          <w:szCs w:val="20"/>
        </w:rPr>
        <w:t>1</w:t>
      </w:r>
      <w:r w:rsidR="00D455F3" w:rsidRPr="00257CD4">
        <w:rPr>
          <w:rFonts w:ascii="Open Sans" w:hAnsi="Open Sans" w:cs="Open Sans"/>
          <w:sz w:val="20"/>
          <w:szCs w:val="20"/>
        </w:rPr>
        <w:t>8</w:t>
      </w:r>
      <w:r w:rsidR="00D15B66">
        <w:rPr>
          <w:rFonts w:ascii="Open Sans" w:hAnsi="Open Sans" w:cs="Open Sans"/>
          <w:sz w:val="20"/>
          <w:szCs w:val="20"/>
        </w:rPr>
        <w:t>3</w:t>
      </w:r>
    </w:p>
    <w:p w14:paraId="7A49D0D6" w14:textId="586058AF" w:rsidR="00694598" w:rsidRPr="00257CD4" w:rsidRDefault="00694598" w:rsidP="00694598">
      <w:pPr>
        <w:pStyle w:val="Prrafodelista"/>
        <w:numPr>
          <w:ilvl w:val="1"/>
          <w:numId w:val="34"/>
        </w:numPr>
        <w:spacing w:line="276" w:lineRule="auto"/>
        <w:ind w:left="1009"/>
        <w:jc w:val="both"/>
        <w:rPr>
          <w:rFonts w:ascii="Open Sans" w:hAnsi="Open Sans" w:cs="Open Sans"/>
          <w:sz w:val="20"/>
          <w:szCs w:val="20"/>
        </w:rPr>
      </w:pPr>
      <w:r w:rsidRPr="00257CD4">
        <w:rPr>
          <w:rFonts w:ascii="Open Sans" w:hAnsi="Open Sans" w:cs="Open Sans"/>
          <w:sz w:val="20"/>
          <w:szCs w:val="20"/>
        </w:rPr>
        <w:t>1. Organigrama</w:t>
      </w:r>
      <w:r w:rsidR="005C38E0" w:rsidRPr="00257CD4">
        <w:rPr>
          <w:rFonts w:ascii="Open Sans" w:hAnsi="Open Sans" w:cs="Open Sans"/>
          <w:sz w:val="20"/>
          <w:szCs w:val="20"/>
        </w:rPr>
        <w:ptab w:relativeTo="margin" w:alignment="right" w:leader="dot"/>
      </w:r>
      <w:r w:rsidR="005C38E0" w:rsidRPr="00257CD4">
        <w:rPr>
          <w:rFonts w:ascii="Open Sans" w:hAnsi="Open Sans" w:cs="Open Sans"/>
          <w:sz w:val="20"/>
          <w:szCs w:val="20"/>
        </w:rPr>
        <w:t>1</w:t>
      </w:r>
      <w:r w:rsidR="00D455F3" w:rsidRPr="00257CD4">
        <w:rPr>
          <w:rFonts w:ascii="Open Sans" w:hAnsi="Open Sans" w:cs="Open Sans"/>
          <w:sz w:val="20"/>
          <w:szCs w:val="20"/>
        </w:rPr>
        <w:t>8</w:t>
      </w:r>
      <w:r w:rsidR="00D15B66">
        <w:rPr>
          <w:rFonts w:ascii="Open Sans" w:hAnsi="Open Sans" w:cs="Open Sans"/>
          <w:sz w:val="20"/>
          <w:szCs w:val="20"/>
        </w:rPr>
        <w:t>3</w:t>
      </w:r>
    </w:p>
    <w:p w14:paraId="29DB3F6D" w14:textId="748C52D8" w:rsidR="002C1BFB" w:rsidRPr="00257CD4" w:rsidRDefault="00694598" w:rsidP="002C1BFB">
      <w:pPr>
        <w:pStyle w:val="Prrafodelista"/>
        <w:numPr>
          <w:ilvl w:val="1"/>
          <w:numId w:val="35"/>
        </w:numPr>
        <w:spacing w:line="276" w:lineRule="auto"/>
        <w:ind w:left="1009"/>
        <w:jc w:val="both"/>
        <w:rPr>
          <w:rFonts w:ascii="Open Sans" w:hAnsi="Open Sans" w:cs="Open Sans"/>
          <w:sz w:val="20"/>
          <w:szCs w:val="20"/>
        </w:rPr>
      </w:pPr>
      <w:r w:rsidRPr="00257CD4">
        <w:rPr>
          <w:rFonts w:ascii="Open Sans" w:hAnsi="Open Sans" w:cs="Open Sans"/>
          <w:sz w:val="20"/>
          <w:szCs w:val="20"/>
        </w:rPr>
        <w:t>2. Relaciones de puestos de trabajo</w:t>
      </w:r>
      <w:r w:rsidR="005C38E0" w:rsidRPr="00257CD4">
        <w:rPr>
          <w:rFonts w:ascii="Open Sans" w:hAnsi="Open Sans" w:cs="Open Sans"/>
          <w:sz w:val="20"/>
          <w:szCs w:val="20"/>
        </w:rPr>
        <w:ptab w:relativeTo="margin" w:alignment="right" w:leader="dot"/>
      </w:r>
      <w:r w:rsidR="005C38E0" w:rsidRPr="00257CD4">
        <w:rPr>
          <w:rFonts w:ascii="Open Sans" w:hAnsi="Open Sans" w:cs="Open Sans"/>
          <w:sz w:val="20"/>
          <w:szCs w:val="20"/>
        </w:rPr>
        <w:t>1</w:t>
      </w:r>
      <w:r w:rsidR="00D455F3" w:rsidRPr="00257CD4">
        <w:rPr>
          <w:rFonts w:ascii="Open Sans" w:hAnsi="Open Sans" w:cs="Open Sans"/>
          <w:sz w:val="20"/>
          <w:szCs w:val="20"/>
        </w:rPr>
        <w:t>8</w:t>
      </w:r>
      <w:r w:rsidR="00D15B66">
        <w:rPr>
          <w:rFonts w:ascii="Open Sans" w:hAnsi="Open Sans" w:cs="Open Sans"/>
          <w:sz w:val="20"/>
          <w:szCs w:val="20"/>
        </w:rPr>
        <w:t>5</w:t>
      </w:r>
    </w:p>
    <w:p w14:paraId="0C0520EF" w14:textId="223013BB" w:rsidR="00FD5832" w:rsidRPr="00257CD4" w:rsidRDefault="00694598" w:rsidP="00C34875">
      <w:pPr>
        <w:pStyle w:val="Prrafodelista"/>
        <w:numPr>
          <w:ilvl w:val="1"/>
          <w:numId w:val="37"/>
        </w:numPr>
        <w:spacing w:line="276" w:lineRule="auto"/>
        <w:ind w:left="1009"/>
        <w:jc w:val="both"/>
        <w:rPr>
          <w:rFonts w:ascii="Open Sans" w:hAnsi="Open Sans" w:cs="Open Sans"/>
          <w:sz w:val="20"/>
          <w:szCs w:val="20"/>
        </w:rPr>
      </w:pPr>
      <w:r w:rsidRPr="00257CD4">
        <w:rPr>
          <w:rFonts w:ascii="Open Sans" w:hAnsi="Open Sans" w:cs="Open Sans"/>
          <w:sz w:val="20"/>
          <w:szCs w:val="20"/>
        </w:rPr>
        <w:t>3. Los procesos de selección de personal,</w:t>
      </w:r>
      <w:r w:rsidR="00000A80" w:rsidRPr="00257CD4">
        <w:rPr>
          <w:rFonts w:ascii="Open Sans" w:hAnsi="Open Sans" w:cs="Open Sans"/>
          <w:sz w:val="20"/>
          <w:szCs w:val="20"/>
        </w:rPr>
        <w:ptab w:relativeTo="margin" w:alignment="right" w:leader="dot"/>
      </w:r>
      <w:r w:rsidR="005C38E0" w:rsidRPr="00257CD4">
        <w:rPr>
          <w:rFonts w:ascii="Open Sans" w:hAnsi="Open Sans" w:cs="Open Sans"/>
          <w:sz w:val="20"/>
          <w:szCs w:val="20"/>
        </w:rPr>
        <w:t>1</w:t>
      </w:r>
      <w:r w:rsidR="00EB4EB7" w:rsidRPr="00257CD4">
        <w:rPr>
          <w:rFonts w:ascii="Open Sans" w:hAnsi="Open Sans" w:cs="Open Sans"/>
          <w:sz w:val="20"/>
          <w:szCs w:val="20"/>
        </w:rPr>
        <w:t>8</w:t>
      </w:r>
      <w:r w:rsidR="007E3168">
        <w:rPr>
          <w:rFonts w:ascii="Open Sans" w:hAnsi="Open Sans" w:cs="Open Sans"/>
          <w:sz w:val="20"/>
          <w:szCs w:val="20"/>
        </w:rPr>
        <w:t>8</w:t>
      </w:r>
    </w:p>
    <w:p w14:paraId="30FA8701" w14:textId="6D56FC0B" w:rsidR="002C1BFB" w:rsidRPr="00257CD4" w:rsidRDefault="00B11BFA" w:rsidP="00864B32">
      <w:pPr>
        <w:pStyle w:val="Prrafodelista"/>
        <w:numPr>
          <w:ilvl w:val="1"/>
          <w:numId w:val="14"/>
        </w:numPr>
        <w:spacing w:after="0" w:line="276" w:lineRule="auto"/>
        <w:jc w:val="both"/>
        <w:rPr>
          <w:rFonts w:ascii="Open Sans" w:hAnsi="Open Sans" w:cs="Open Sans"/>
          <w:sz w:val="20"/>
          <w:szCs w:val="20"/>
        </w:rPr>
      </w:pPr>
      <w:r>
        <w:rPr>
          <w:rFonts w:ascii="Open Sans" w:hAnsi="Open Sans" w:cs="Open Sans"/>
          <w:sz w:val="20"/>
          <w:szCs w:val="20"/>
        </w:rPr>
        <w:t xml:space="preserve"> </w:t>
      </w:r>
      <w:r w:rsidR="002C1BFB" w:rsidRPr="00257CD4">
        <w:rPr>
          <w:rFonts w:ascii="Open Sans" w:hAnsi="Open Sans" w:cs="Open Sans"/>
          <w:sz w:val="20"/>
          <w:szCs w:val="20"/>
        </w:rPr>
        <w:t>Gestión económica y contratación de la Agencia</w:t>
      </w:r>
      <w:r w:rsidR="002C1BFB" w:rsidRPr="00257CD4">
        <w:rPr>
          <w:rFonts w:ascii="Open Sans" w:hAnsi="Open Sans" w:cs="Open Sans"/>
          <w:sz w:val="20"/>
          <w:szCs w:val="20"/>
        </w:rPr>
        <w:ptab w:relativeTo="margin" w:alignment="right" w:leader="dot"/>
      </w:r>
      <w:r w:rsidR="00F33456" w:rsidRPr="00257CD4">
        <w:rPr>
          <w:rFonts w:ascii="Open Sans" w:hAnsi="Open Sans" w:cs="Open Sans"/>
          <w:sz w:val="20"/>
          <w:szCs w:val="20"/>
        </w:rPr>
        <w:t>19</w:t>
      </w:r>
      <w:r w:rsidR="007E3168">
        <w:rPr>
          <w:rFonts w:ascii="Open Sans" w:hAnsi="Open Sans" w:cs="Open Sans"/>
          <w:sz w:val="20"/>
          <w:szCs w:val="20"/>
        </w:rPr>
        <w:t>4</w:t>
      </w:r>
    </w:p>
    <w:p w14:paraId="161A05CF" w14:textId="4A1AC64F" w:rsidR="002C1BFB" w:rsidRPr="00257CD4" w:rsidRDefault="002C1BFB" w:rsidP="00864B32">
      <w:pPr>
        <w:pStyle w:val="Prrafodelista"/>
        <w:numPr>
          <w:ilvl w:val="1"/>
          <w:numId w:val="34"/>
        </w:numPr>
        <w:spacing w:after="0" w:line="276" w:lineRule="auto"/>
        <w:ind w:left="1009"/>
        <w:jc w:val="both"/>
        <w:rPr>
          <w:rFonts w:ascii="Open Sans" w:hAnsi="Open Sans" w:cs="Open Sans"/>
          <w:sz w:val="20"/>
          <w:szCs w:val="20"/>
        </w:rPr>
      </w:pPr>
      <w:r w:rsidRPr="00257CD4">
        <w:rPr>
          <w:rFonts w:ascii="Open Sans" w:hAnsi="Open Sans" w:cs="Open Sans"/>
          <w:sz w:val="20"/>
          <w:szCs w:val="20"/>
        </w:rPr>
        <w:t>1. Ejecución presupuestaria</w:t>
      </w:r>
      <w:r w:rsidR="00E321C8" w:rsidRPr="00257CD4">
        <w:rPr>
          <w:rFonts w:ascii="Open Sans" w:hAnsi="Open Sans" w:cs="Open Sans"/>
          <w:sz w:val="20"/>
          <w:szCs w:val="20"/>
        </w:rPr>
        <w:t xml:space="preserve"> 2019</w:t>
      </w:r>
      <w:r w:rsidR="005C38E0" w:rsidRPr="00257CD4">
        <w:rPr>
          <w:rFonts w:ascii="Open Sans" w:hAnsi="Open Sans" w:cs="Open Sans"/>
          <w:sz w:val="20"/>
          <w:szCs w:val="20"/>
        </w:rPr>
        <w:ptab w:relativeTo="margin" w:alignment="right" w:leader="dot"/>
      </w:r>
      <w:r w:rsidR="00F33456" w:rsidRPr="00257CD4">
        <w:rPr>
          <w:rFonts w:ascii="Open Sans" w:hAnsi="Open Sans" w:cs="Open Sans"/>
          <w:sz w:val="20"/>
          <w:szCs w:val="20"/>
        </w:rPr>
        <w:t>19</w:t>
      </w:r>
      <w:r w:rsidR="007E3168">
        <w:rPr>
          <w:rFonts w:ascii="Open Sans" w:hAnsi="Open Sans" w:cs="Open Sans"/>
          <w:sz w:val="20"/>
          <w:szCs w:val="20"/>
        </w:rPr>
        <w:t>5</w:t>
      </w:r>
    </w:p>
    <w:p w14:paraId="4FC77ED6" w14:textId="4DAE804D" w:rsidR="005C38E0" w:rsidRPr="00257CD4" w:rsidRDefault="002C1BFB" w:rsidP="005C38E0">
      <w:pPr>
        <w:pStyle w:val="Prrafodelista"/>
        <w:numPr>
          <w:ilvl w:val="1"/>
          <w:numId w:val="35"/>
        </w:numPr>
        <w:spacing w:after="0" w:line="276" w:lineRule="auto"/>
        <w:ind w:left="1037"/>
        <w:jc w:val="both"/>
        <w:rPr>
          <w:rFonts w:ascii="Open Sans" w:hAnsi="Open Sans" w:cs="Open Sans"/>
          <w:sz w:val="20"/>
          <w:szCs w:val="20"/>
        </w:rPr>
      </w:pPr>
      <w:r w:rsidRPr="00257CD4">
        <w:rPr>
          <w:rFonts w:ascii="Open Sans" w:hAnsi="Open Sans" w:cs="Open Sans"/>
          <w:sz w:val="20"/>
          <w:szCs w:val="20"/>
        </w:rPr>
        <w:t>2. Contratación</w:t>
      </w:r>
      <w:r w:rsidR="005C38E0" w:rsidRPr="00257CD4">
        <w:rPr>
          <w:rFonts w:ascii="Open Sans" w:hAnsi="Open Sans" w:cs="Open Sans"/>
          <w:sz w:val="20"/>
          <w:szCs w:val="20"/>
        </w:rPr>
        <w:ptab w:relativeTo="margin" w:alignment="right" w:leader="dot"/>
      </w:r>
      <w:r w:rsidR="00F33456" w:rsidRPr="00257CD4">
        <w:rPr>
          <w:rFonts w:ascii="Open Sans" w:hAnsi="Open Sans" w:cs="Open Sans"/>
          <w:sz w:val="20"/>
          <w:szCs w:val="20"/>
        </w:rPr>
        <w:t>20</w:t>
      </w:r>
      <w:r w:rsidR="007E3168">
        <w:rPr>
          <w:rFonts w:ascii="Open Sans" w:hAnsi="Open Sans" w:cs="Open Sans"/>
          <w:sz w:val="20"/>
          <w:szCs w:val="20"/>
        </w:rPr>
        <w:t>3</w:t>
      </w:r>
    </w:p>
    <w:p w14:paraId="3DBCEE89" w14:textId="3D101D12" w:rsidR="00934176" w:rsidRPr="00257CD4" w:rsidRDefault="00B11BFA" w:rsidP="00D256F0">
      <w:pPr>
        <w:pStyle w:val="Prrafodelista"/>
        <w:numPr>
          <w:ilvl w:val="1"/>
          <w:numId w:val="35"/>
        </w:numPr>
        <w:spacing w:after="0" w:line="276" w:lineRule="auto"/>
        <w:jc w:val="both"/>
        <w:rPr>
          <w:rFonts w:ascii="Open Sans" w:hAnsi="Open Sans" w:cs="Open Sans"/>
          <w:sz w:val="20"/>
          <w:szCs w:val="20"/>
        </w:rPr>
      </w:pPr>
      <w:r>
        <w:rPr>
          <w:rFonts w:ascii="Open Sans" w:hAnsi="Open Sans" w:cs="Open Sans"/>
          <w:sz w:val="20"/>
          <w:szCs w:val="20"/>
        </w:rPr>
        <w:t xml:space="preserve"> </w:t>
      </w:r>
      <w:r w:rsidR="00864B32" w:rsidRPr="00257CD4">
        <w:rPr>
          <w:rFonts w:ascii="Open Sans" w:hAnsi="Open Sans" w:cs="Open Sans"/>
          <w:sz w:val="20"/>
          <w:szCs w:val="20"/>
        </w:rPr>
        <w:t>Fiscalización externa de la Agencia. Ejercicio 2019</w:t>
      </w:r>
      <w:r w:rsidR="005C38E0" w:rsidRPr="00257CD4">
        <w:rPr>
          <w:rFonts w:ascii="Open Sans" w:hAnsi="Open Sans" w:cs="Open Sans"/>
          <w:sz w:val="20"/>
          <w:szCs w:val="20"/>
        </w:rPr>
        <w:ptab w:relativeTo="margin" w:alignment="right" w:leader="dot"/>
      </w:r>
      <w:r w:rsidR="005C38E0" w:rsidRPr="00257CD4">
        <w:rPr>
          <w:rFonts w:ascii="Open Sans" w:hAnsi="Open Sans" w:cs="Open Sans"/>
          <w:sz w:val="20"/>
          <w:szCs w:val="20"/>
        </w:rPr>
        <w:t>2</w:t>
      </w:r>
      <w:r w:rsidR="00F33456" w:rsidRPr="00257CD4">
        <w:rPr>
          <w:rFonts w:ascii="Open Sans" w:hAnsi="Open Sans" w:cs="Open Sans"/>
          <w:sz w:val="20"/>
          <w:szCs w:val="20"/>
        </w:rPr>
        <w:t>0</w:t>
      </w:r>
      <w:r w:rsidR="007E3168">
        <w:rPr>
          <w:rFonts w:ascii="Open Sans" w:hAnsi="Open Sans" w:cs="Open Sans"/>
          <w:sz w:val="20"/>
          <w:szCs w:val="20"/>
        </w:rPr>
        <w:t>7</w:t>
      </w:r>
    </w:p>
    <w:p w14:paraId="15578D60" w14:textId="77777777" w:rsidR="00834CAA" w:rsidRPr="00257CD4" w:rsidRDefault="00834CAA" w:rsidP="00834CAA">
      <w:pPr>
        <w:pStyle w:val="Prrafodelista"/>
        <w:spacing w:after="0" w:line="276" w:lineRule="auto"/>
        <w:ind w:left="357"/>
        <w:jc w:val="both"/>
        <w:rPr>
          <w:rFonts w:ascii="Open Sans" w:hAnsi="Open Sans" w:cs="Open Sans"/>
          <w:sz w:val="20"/>
          <w:szCs w:val="20"/>
        </w:rPr>
      </w:pPr>
    </w:p>
    <w:p w14:paraId="21415BE9" w14:textId="30CD48A4" w:rsidR="004D292C" w:rsidRPr="00257CD4" w:rsidRDefault="00A46175" w:rsidP="004D292C">
      <w:pPr>
        <w:pStyle w:val="Prrafodelista"/>
        <w:numPr>
          <w:ilvl w:val="0"/>
          <w:numId w:val="35"/>
        </w:numPr>
        <w:spacing w:after="0" w:line="276" w:lineRule="auto"/>
        <w:jc w:val="both"/>
        <w:rPr>
          <w:rFonts w:ascii="Open Sans" w:hAnsi="Open Sans" w:cs="Open Sans"/>
          <w:b/>
          <w:sz w:val="20"/>
          <w:szCs w:val="20"/>
        </w:rPr>
      </w:pPr>
      <w:r w:rsidRPr="00257CD4">
        <w:rPr>
          <w:rFonts w:ascii="Open Sans" w:hAnsi="Open Sans" w:cs="Open Sans"/>
          <w:b/>
          <w:sz w:val="20"/>
          <w:szCs w:val="20"/>
        </w:rPr>
        <w:t xml:space="preserve"> Conclusiones y reflexiones </w:t>
      </w:r>
      <w:r w:rsidR="00000A80" w:rsidRPr="00257CD4">
        <w:rPr>
          <w:rFonts w:ascii="Open Sans" w:hAnsi="Open Sans" w:cs="Open Sans"/>
          <w:b/>
          <w:sz w:val="20"/>
          <w:szCs w:val="20"/>
        </w:rPr>
        <w:ptab w:relativeTo="margin" w:alignment="right" w:leader="dot"/>
      </w:r>
      <w:r w:rsidR="005C38E0" w:rsidRPr="00257CD4">
        <w:rPr>
          <w:rFonts w:ascii="Open Sans" w:hAnsi="Open Sans" w:cs="Open Sans"/>
          <w:b/>
          <w:sz w:val="20"/>
          <w:szCs w:val="20"/>
        </w:rPr>
        <w:t>2</w:t>
      </w:r>
      <w:r w:rsidR="00AE2855" w:rsidRPr="00257CD4">
        <w:rPr>
          <w:rFonts w:ascii="Open Sans" w:hAnsi="Open Sans" w:cs="Open Sans"/>
          <w:b/>
          <w:sz w:val="20"/>
          <w:szCs w:val="20"/>
        </w:rPr>
        <w:t>0</w:t>
      </w:r>
      <w:r w:rsidR="007E3168">
        <w:rPr>
          <w:rFonts w:ascii="Open Sans" w:hAnsi="Open Sans" w:cs="Open Sans"/>
          <w:b/>
          <w:sz w:val="20"/>
          <w:szCs w:val="20"/>
        </w:rPr>
        <w:t>8</w:t>
      </w:r>
    </w:p>
    <w:p w14:paraId="50FEF01E" w14:textId="18BB2F47" w:rsidR="004D292C" w:rsidRPr="00257CD4" w:rsidRDefault="004D292C" w:rsidP="00DA280C">
      <w:pPr>
        <w:pStyle w:val="Prrafodelista"/>
        <w:numPr>
          <w:ilvl w:val="1"/>
          <w:numId w:val="35"/>
        </w:numPr>
        <w:spacing w:after="0" w:line="276" w:lineRule="auto"/>
        <w:ind w:left="397" w:hanging="397"/>
        <w:jc w:val="both"/>
        <w:rPr>
          <w:rFonts w:ascii="Open Sans" w:hAnsi="Open Sans" w:cs="Open Sans"/>
          <w:sz w:val="20"/>
          <w:szCs w:val="20"/>
        </w:rPr>
      </w:pPr>
      <w:r w:rsidRPr="00257CD4">
        <w:rPr>
          <w:rFonts w:ascii="Open Sans" w:hAnsi="Open Sans" w:cs="Open Sans"/>
          <w:sz w:val="20"/>
          <w:szCs w:val="20"/>
        </w:rPr>
        <w:t xml:space="preserve"> </w:t>
      </w:r>
      <w:r w:rsidR="001C2A13" w:rsidRPr="00257CD4">
        <w:rPr>
          <w:rFonts w:ascii="Open Sans" w:hAnsi="Open Sans" w:cs="Open Sans"/>
          <w:sz w:val="20"/>
          <w:szCs w:val="20"/>
        </w:rPr>
        <w:t>Sobre la quiebra de la objetividad e imparcialidad en el ejercicio de funciones públicas</w:t>
      </w:r>
      <w:r w:rsidR="00000A80" w:rsidRPr="00257CD4">
        <w:rPr>
          <w:rFonts w:ascii="Open Sans" w:hAnsi="Open Sans" w:cs="Open Sans"/>
          <w:sz w:val="20"/>
          <w:szCs w:val="20"/>
        </w:rPr>
        <w:ptab w:relativeTo="margin" w:alignment="right" w:leader="dot"/>
      </w:r>
      <w:r w:rsidR="005C38E0" w:rsidRPr="00257CD4">
        <w:rPr>
          <w:rFonts w:ascii="Open Sans" w:hAnsi="Open Sans" w:cs="Open Sans"/>
          <w:sz w:val="20"/>
          <w:szCs w:val="20"/>
        </w:rPr>
        <w:t>2</w:t>
      </w:r>
      <w:r w:rsidR="00AE2855" w:rsidRPr="00257CD4">
        <w:rPr>
          <w:rFonts w:ascii="Open Sans" w:hAnsi="Open Sans" w:cs="Open Sans"/>
          <w:sz w:val="20"/>
          <w:szCs w:val="20"/>
        </w:rPr>
        <w:t>0</w:t>
      </w:r>
      <w:r w:rsidR="007E3168">
        <w:rPr>
          <w:rFonts w:ascii="Open Sans" w:hAnsi="Open Sans" w:cs="Open Sans"/>
          <w:sz w:val="20"/>
          <w:szCs w:val="20"/>
        </w:rPr>
        <w:t>8</w:t>
      </w:r>
    </w:p>
    <w:p w14:paraId="48CB16D4" w14:textId="2F0B6953" w:rsidR="004D292C" w:rsidRPr="00257CD4" w:rsidRDefault="004D292C" w:rsidP="004D292C">
      <w:pPr>
        <w:pStyle w:val="Prrafodelista"/>
        <w:numPr>
          <w:ilvl w:val="1"/>
          <w:numId w:val="35"/>
        </w:numPr>
        <w:spacing w:after="0" w:line="276" w:lineRule="auto"/>
        <w:jc w:val="both"/>
        <w:rPr>
          <w:rFonts w:ascii="Open Sans" w:hAnsi="Open Sans" w:cs="Open Sans"/>
          <w:sz w:val="20"/>
          <w:szCs w:val="20"/>
        </w:rPr>
      </w:pPr>
      <w:r w:rsidRPr="00257CD4">
        <w:rPr>
          <w:rFonts w:ascii="Open Sans" w:hAnsi="Open Sans" w:cs="Open Sans"/>
          <w:sz w:val="20"/>
          <w:szCs w:val="20"/>
        </w:rPr>
        <w:t xml:space="preserve"> </w:t>
      </w:r>
      <w:r w:rsidR="00A46175" w:rsidRPr="00257CD4">
        <w:rPr>
          <w:rFonts w:ascii="Open Sans" w:hAnsi="Open Sans" w:cs="Open Sans"/>
          <w:sz w:val="20"/>
          <w:szCs w:val="20"/>
        </w:rPr>
        <w:t xml:space="preserve">Sobre la </w:t>
      </w:r>
      <w:r w:rsidR="001C2A13" w:rsidRPr="00257CD4">
        <w:rPr>
          <w:rFonts w:ascii="Open Sans" w:hAnsi="Open Sans" w:cs="Open Sans"/>
          <w:sz w:val="20"/>
          <w:szCs w:val="20"/>
        </w:rPr>
        <w:t>necesaria planificación institucional</w:t>
      </w:r>
      <w:r w:rsidR="00AE3640" w:rsidRPr="00257CD4">
        <w:rPr>
          <w:rFonts w:ascii="Open Sans" w:hAnsi="Open Sans" w:cs="Open Sans"/>
          <w:sz w:val="20"/>
          <w:szCs w:val="20"/>
        </w:rPr>
        <w:ptab w:relativeTo="margin" w:alignment="right" w:leader="dot"/>
      </w:r>
      <w:r w:rsidR="005C38E0" w:rsidRPr="00257CD4">
        <w:rPr>
          <w:rFonts w:ascii="Open Sans" w:hAnsi="Open Sans" w:cs="Open Sans"/>
          <w:sz w:val="20"/>
          <w:szCs w:val="20"/>
        </w:rPr>
        <w:t>2</w:t>
      </w:r>
      <w:r w:rsidR="00AE2855" w:rsidRPr="00257CD4">
        <w:rPr>
          <w:rFonts w:ascii="Open Sans" w:hAnsi="Open Sans" w:cs="Open Sans"/>
          <w:sz w:val="20"/>
          <w:szCs w:val="20"/>
        </w:rPr>
        <w:t>1</w:t>
      </w:r>
      <w:r w:rsidR="00C7034C">
        <w:rPr>
          <w:rFonts w:ascii="Open Sans" w:hAnsi="Open Sans" w:cs="Open Sans"/>
          <w:sz w:val="20"/>
          <w:szCs w:val="20"/>
        </w:rPr>
        <w:t>1</w:t>
      </w:r>
    </w:p>
    <w:p w14:paraId="5FC8AC09" w14:textId="65D8A449" w:rsidR="004D292C" w:rsidRPr="00257CD4" w:rsidRDefault="004D292C" w:rsidP="004D292C">
      <w:pPr>
        <w:pStyle w:val="Prrafodelista"/>
        <w:numPr>
          <w:ilvl w:val="1"/>
          <w:numId w:val="35"/>
        </w:numPr>
        <w:spacing w:after="0" w:line="276" w:lineRule="auto"/>
        <w:jc w:val="both"/>
        <w:rPr>
          <w:rFonts w:ascii="Open Sans" w:hAnsi="Open Sans" w:cs="Open Sans"/>
          <w:sz w:val="20"/>
          <w:szCs w:val="20"/>
        </w:rPr>
      </w:pPr>
      <w:r w:rsidRPr="00257CD4">
        <w:rPr>
          <w:rFonts w:ascii="Open Sans" w:hAnsi="Open Sans" w:cs="Open Sans"/>
          <w:sz w:val="20"/>
          <w:szCs w:val="20"/>
        </w:rPr>
        <w:t xml:space="preserve"> </w:t>
      </w:r>
      <w:r w:rsidR="00A46175" w:rsidRPr="00257CD4">
        <w:rPr>
          <w:rFonts w:ascii="Open Sans" w:hAnsi="Open Sans" w:cs="Open Sans"/>
          <w:sz w:val="20"/>
          <w:szCs w:val="20"/>
        </w:rPr>
        <w:t xml:space="preserve">Sobre </w:t>
      </w:r>
      <w:r w:rsidR="001C2A13" w:rsidRPr="00257CD4">
        <w:rPr>
          <w:rFonts w:ascii="Open Sans" w:hAnsi="Open Sans" w:cs="Open Sans"/>
          <w:sz w:val="20"/>
          <w:szCs w:val="20"/>
        </w:rPr>
        <w:t>la necesaria integridad en todo el ciclo de contratación pública</w:t>
      </w:r>
      <w:r w:rsidRPr="00257CD4">
        <w:rPr>
          <w:rFonts w:ascii="Open Sans" w:hAnsi="Open Sans" w:cs="Open Sans"/>
          <w:sz w:val="20"/>
          <w:szCs w:val="20"/>
        </w:rPr>
        <w:ptab w:relativeTo="margin" w:alignment="right" w:leader="dot"/>
      </w:r>
      <w:r w:rsidR="005C38E0" w:rsidRPr="00257CD4">
        <w:rPr>
          <w:rFonts w:ascii="Open Sans" w:hAnsi="Open Sans" w:cs="Open Sans"/>
          <w:sz w:val="20"/>
          <w:szCs w:val="20"/>
        </w:rPr>
        <w:t>2</w:t>
      </w:r>
      <w:r w:rsidR="00AE2855" w:rsidRPr="00257CD4">
        <w:rPr>
          <w:rFonts w:ascii="Open Sans" w:hAnsi="Open Sans" w:cs="Open Sans"/>
          <w:sz w:val="20"/>
          <w:szCs w:val="20"/>
        </w:rPr>
        <w:t>1</w:t>
      </w:r>
      <w:r w:rsidR="00C7034C">
        <w:rPr>
          <w:rFonts w:ascii="Open Sans" w:hAnsi="Open Sans" w:cs="Open Sans"/>
          <w:sz w:val="20"/>
          <w:szCs w:val="20"/>
        </w:rPr>
        <w:t>2</w:t>
      </w:r>
    </w:p>
    <w:p w14:paraId="0203252F" w14:textId="41A5218A" w:rsidR="004D292C" w:rsidRPr="00257CD4" w:rsidRDefault="004D292C" w:rsidP="00DA280C">
      <w:pPr>
        <w:pStyle w:val="Prrafodelista"/>
        <w:numPr>
          <w:ilvl w:val="1"/>
          <w:numId w:val="35"/>
        </w:numPr>
        <w:spacing w:after="0" w:line="276" w:lineRule="auto"/>
        <w:ind w:left="397" w:hanging="397"/>
        <w:jc w:val="both"/>
        <w:rPr>
          <w:rFonts w:ascii="Open Sans" w:hAnsi="Open Sans" w:cs="Open Sans"/>
          <w:sz w:val="20"/>
          <w:szCs w:val="20"/>
        </w:rPr>
      </w:pPr>
      <w:r w:rsidRPr="00257CD4">
        <w:rPr>
          <w:rFonts w:ascii="Open Sans" w:hAnsi="Open Sans" w:cs="Open Sans"/>
          <w:sz w:val="20"/>
          <w:szCs w:val="20"/>
        </w:rPr>
        <w:t xml:space="preserve"> </w:t>
      </w:r>
      <w:r w:rsidR="007C64AC" w:rsidRPr="00257CD4">
        <w:rPr>
          <w:rFonts w:ascii="Open Sans" w:hAnsi="Open Sans" w:cs="Open Sans"/>
          <w:sz w:val="20"/>
          <w:szCs w:val="20"/>
        </w:rPr>
        <w:t>Sobre la estrategia de integridad pública en las empresas públicas, el caso de la EMT</w:t>
      </w:r>
      <w:bookmarkStart w:id="4" w:name="_Hlk35846363"/>
      <w:r w:rsidRPr="00257CD4">
        <w:rPr>
          <w:rFonts w:ascii="Open Sans" w:hAnsi="Open Sans" w:cs="Open Sans"/>
          <w:sz w:val="20"/>
          <w:szCs w:val="20"/>
        </w:rPr>
        <w:ptab w:relativeTo="margin" w:alignment="right" w:leader="dot"/>
      </w:r>
      <w:r w:rsidR="005C38E0" w:rsidRPr="00257CD4">
        <w:rPr>
          <w:rFonts w:ascii="Open Sans" w:hAnsi="Open Sans" w:cs="Open Sans"/>
          <w:sz w:val="20"/>
          <w:szCs w:val="20"/>
        </w:rPr>
        <w:t>2</w:t>
      </w:r>
      <w:r w:rsidR="00AE2855" w:rsidRPr="00257CD4">
        <w:rPr>
          <w:rFonts w:ascii="Open Sans" w:hAnsi="Open Sans" w:cs="Open Sans"/>
          <w:sz w:val="20"/>
          <w:szCs w:val="20"/>
        </w:rPr>
        <w:t>1</w:t>
      </w:r>
      <w:r w:rsidR="00C7034C">
        <w:rPr>
          <w:rFonts w:ascii="Open Sans" w:hAnsi="Open Sans" w:cs="Open Sans"/>
          <w:sz w:val="20"/>
          <w:szCs w:val="20"/>
        </w:rPr>
        <w:t>3</w:t>
      </w:r>
    </w:p>
    <w:p w14:paraId="26F4F882" w14:textId="022664E0" w:rsidR="004D292C" w:rsidRPr="00257CD4" w:rsidRDefault="004D292C" w:rsidP="004D292C">
      <w:pPr>
        <w:pStyle w:val="Prrafodelista"/>
        <w:numPr>
          <w:ilvl w:val="1"/>
          <w:numId w:val="35"/>
        </w:numPr>
        <w:spacing w:after="0" w:line="276" w:lineRule="auto"/>
        <w:jc w:val="both"/>
        <w:rPr>
          <w:rFonts w:ascii="Open Sans" w:hAnsi="Open Sans" w:cs="Open Sans"/>
          <w:sz w:val="20"/>
          <w:szCs w:val="20"/>
        </w:rPr>
      </w:pPr>
      <w:r w:rsidRPr="00257CD4">
        <w:rPr>
          <w:rFonts w:ascii="Open Sans" w:hAnsi="Open Sans" w:cs="Open Sans"/>
          <w:sz w:val="20"/>
          <w:szCs w:val="20"/>
        </w:rPr>
        <w:t xml:space="preserve"> </w:t>
      </w:r>
      <w:r w:rsidR="0063751F" w:rsidRPr="00257CD4">
        <w:rPr>
          <w:rFonts w:ascii="Open Sans" w:hAnsi="Open Sans" w:cs="Open Sans"/>
          <w:sz w:val="20"/>
          <w:szCs w:val="20"/>
        </w:rPr>
        <w:t>Sobre los recursos humanos de las administraciones públicas y su sector público.</w:t>
      </w:r>
      <w:r w:rsidR="0063751F" w:rsidRPr="00257CD4">
        <w:rPr>
          <w:rFonts w:ascii="Open Sans" w:hAnsi="Open Sans" w:cs="Open Sans"/>
          <w:sz w:val="20"/>
          <w:szCs w:val="20"/>
        </w:rPr>
        <w:ptab w:relativeTo="margin" w:alignment="right" w:leader="dot"/>
      </w:r>
      <w:r w:rsidR="005C38E0" w:rsidRPr="00257CD4">
        <w:rPr>
          <w:rFonts w:ascii="Open Sans" w:hAnsi="Open Sans" w:cs="Open Sans"/>
          <w:sz w:val="20"/>
          <w:szCs w:val="20"/>
        </w:rPr>
        <w:t>2</w:t>
      </w:r>
      <w:r w:rsidR="00AE2855" w:rsidRPr="00257CD4">
        <w:rPr>
          <w:rFonts w:ascii="Open Sans" w:hAnsi="Open Sans" w:cs="Open Sans"/>
          <w:sz w:val="20"/>
          <w:szCs w:val="20"/>
        </w:rPr>
        <w:t>1</w:t>
      </w:r>
      <w:r w:rsidR="00C7034C">
        <w:rPr>
          <w:rFonts w:ascii="Open Sans" w:hAnsi="Open Sans" w:cs="Open Sans"/>
          <w:sz w:val="20"/>
          <w:szCs w:val="20"/>
        </w:rPr>
        <w:t>6</w:t>
      </w:r>
    </w:p>
    <w:p w14:paraId="0BDEBFE0" w14:textId="7E65A559" w:rsidR="004D292C" w:rsidRPr="00257CD4" w:rsidRDefault="004D292C" w:rsidP="00DA280C">
      <w:pPr>
        <w:pStyle w:val="Prrafodelista"/>
        <w:numPr>
          <w:ilvl w:val="1"/>
          <w:numId w:val="35"/>
        </w:numPr>
        <w:spacing w:after="0" w:line="276" w:lineRule="auto"/>
        <w:ind w:left="397" w:hanging="397"/>
        <w:jc w:val="both"/>
        <w:rPr>
          <w:rFonts w:ascii="Open Sans" w:hAnsi="Open Sans" w:cs="Open Sans"/>
          <w:sz w:val="20"/>
          <w:szCs w:val="20"/>
        </w:rPr>
      </w:pPr>
      <w:r w:rsidRPr="00257CD4">
        <w:rPr>
          <w:rFonts w:ascii="Open Sans" w:hAnsi="Open Sans" w:cs="Open Sans"/>
          <w:sz w:val="20"/>
          <w:szCs w:val="20"/>
        </w:rPr>
        <w:t xml:space="preserve"> </w:t>
      </w:r>
      <w:r w:rsidR="0063751F" w:rsidRPr="00257CD4">
        <w:rPr>
          <w:rFonts w:ascii="Open Sans" w:hAnsi="Open Sans" w:cs="Open Sans"/>
          <w:sz w:val="20"/>
          <w:szCs w:val="20"/>
        </w:rPr>
        <w:t>Sobre medidas para el resarcimiento de daños y perjuicios causados al bien común</w:t>
      </w:r>
      <w:r w:rsidR="00AE3640" w:rsidRPr="00257CD4">
        <w:rPr>
          <w:rFonts w:ascii="Open Sans" w:hAnsi="Open Sans" w:cs="Open Sans"/>
          <w:sz w:val="20"/>
          <w:szCs w:val="20"/>
        </w:rPr>
        <w:ptab w:relativeTo="margin" w:alignment="right" w:leader="dot"/>
      </w:r>
      <w:bookmarkEnd w:id="4"/>
      <w:r w:rsidR="005C38E0" w:rsidRPr="00257CD4">
        <w:rPr>
          <w:rFonts w:ascii="Open Sans" w:hAnsi="Open Sans" w:cs="Open Sans"/>
          <w:sz w:val="20"/>
          <w:szCs w:val="20"/>
        </w:rPr>
        <w:ptab w:relativeTo="margin" w:alignment="right" w:leader="dot"/>
      </w:r>
      <w:r w:rsidR="005C38E0" w:rsidRPr="00257CD4">
        <w:rPr>
          <w:rFonts w:ascii="Open Sans" w:hAnsi="Open Sans" w:cs="Open Sans"/>
          <w:sz w:val="20"/>
          <w:szCs w:val="20"/>
        </w:rPr>
        <w:t>2</w:t>
      </w:r>
      <w:r w:rsidR="00AE2855" w:rsidRPr="00257CD4">
        <w:rPr>
          <w:rFonts w:ascii="Open Sans" w:hAnsi="Open Sans" w:cs="Open Sans"/>
          <w:sz w:val="20"/>
          <w:szCs w:val="20"/>
        </w:rPr>
        <w:t>1</w:t>
      </w:r>
      <w:r w:rsidR="00C7034C">
        <w:rPr>
          <w:rFonts w:ascii="Open Sans" w:hAnsi="Open Sans" w:cs="Open Sans"/>
          <w:sz w:val="20"/>
          <w:szCs w:val="20"/>
        </w:rPr>
        <w:t>8</w:t>
      </w:r>
    </w:p>
    <w:p w14:paraId="36727D1D" w14:textId="676119D8" w:rsidR="004D292C" w:rsidRPr="00257CD4" w:rsidRDefault="004D292C" w:rsidP="004D292C">
      <w:pPr>
        <w:pStyle w:val="Prrafodelista"/>
        <w:numPr>
          <w:ilvl w:val="1"/>
          <w:numId w:val="35"/>
        </w:numPr>
        <w:spacing w:after="0" w:line="276" w:lineRule="auto"/>
        <w:jc w:val="both"/>
        <w:rPr>
          <w:rFonts w:ascii="Open Sans" w:hAnsi="Open Sans" w:cs="Open Sans"/>
          <w:sz w:val="20"/>
          <w:szCs w:val="20"/>
        </w:rPr>
      </w:pPr>
      <w:r w:rsidRPr="00257CD4">
        <w:rPr>
          <w:rFonts w:ascii="Open Sans" w:hAnsi="Open Sans" w:cs="Open Sans"/>
          <w:sz w:val="20"/>
          <w:szCs w:val="20"/>
        </w:rPr>
        <w:t xml:space="preserve"> </w:t>
      </w:r>
      <w:r w:rsidR="008E4794" w:rsidRPr="00257CD4">
        <w:rPr>
          <w:rFonts w:ascii="Open Sans" w:hAnsi="Open Sans" w:cs="Open Sans"/>
          <w:sz w:val="20"/>
          <w:szCs w:val="20"/>
        </w:rPr>
        <w:t>Sobre la transparencia de los gastos de grupos parlamentarios y subvenciones a los p</w:t>
      </w:r>
      <w:r w:rsidR="007C64AC" w:rsidRPr="00257CD4">
        <w:rPr>
          <w:rFonts w:ascii="Open Sans" w:hAnsi="Open Sans" w:cs="Open Sans"/>
          <w:sz w:val="20"/>
          <w:szCs w:val="20"/>
        </w:rPr>
        <w:t>artidos pol</w:t>
      </w:r>
      <w:r w:rsidR="00F11CF5" w:rsidRPr="00257CD4">
        <w:rPr>
          <w:rFonts w:ascii="Open Sans" w:hAnsi="Open Sans" w:cs="Open Sans"/>
          <w:sz w:val="20"/>
          <w:szCs w:val="20"/>
        </w:rPr>
        <w:t>ític</w:t>
      </w:r>
      <w:r w:rsidR="007C64AC" w:rsidRPr="00257CD4">
        <w:rPr>
          <w:rFonts w:ascii="Open Sans" w:hAnsi="Open Sans" w:cs="Open Sans"/>
          <w:sz w:val="20"/>
          <w:szCs w:val="20"/>
        </w:rPr>
        <w:t>os</w:t>
      </w:r>
      <w:r w:rsidR="00782E4E" w:rsidRPr="00257CD4">
        <w:rPr>
          <w:rFonts w:ascii="Open Sans" w:hAnsi="Open Sans" w:cs="Open Sans"/>
          <w:sz w:val="20"/>
          <w:szCs w:val="20"/>
        </w:rPr>
        <w:ptab w:relativeTo="margin" w:alignment="right" w:leader="dot"/>
      </w:r>
      <w:r w:rsidR="005C38E0" w:rsidRPr="00257CD4">
        <w:rPr>
          <w:rFonts w:ascii="Open Sans" w:hAnsi="Open Sans" w:cs="Open Sans"/>
          <w:sz w:val="20"/>
          <w:szCs w:val="20"/>
        </w:rPr>
        <w:t>2</w:t>
      </w:r>
      <w:r w:rsidR="00C7034C">
        <w:rPr>
          <w:rFonts w:ascii="Open Sans" w:hAnsi="Open Sans" w:cs="Open Sans"/>
          <w:sz w:val="20"/>
          <w:szCs w:val="20"/>
        </w:rPr>
        <w:t>21</w:t>
      </w:r>
    </w:p>
    <w:p w14:paraId="6E23F478" w14:textId="377B4857" w:rsidR="000A6A2E" w:rsidRPr="00257CD4" w:rsidRDefault="004D292C" w:rsidP="004D292C">
      <w:pPr>
        <w:pStyle w:val="Prrafodelista"/>
        <w:numPr>
          <w:ilvl w:val="1"/>
          <w:numId w:val="35"/>
        </w:numPr>
        <w:spacing w:after="0" w:line="276" w:lineRule="auto"/>
        <w:jc w:val="both"/>
        <w:rPr>
          <w:rFonts w:ascii="Open Sans" w:hAnsi="Open Sans" w:cs="Open Sans"/>
          <w:sz w:val="20"/>
          <w:szCs w:val="20"/>
        </w:rPr>
      </w:pPr>
      <w:r w:rsidRPr="00257CD4">
        <w:rPr>
          <w:rFonts w:ascii="Open Sans" w:hAnsi="Open Sans" w:cs="Open Sans"/>
          <w:color w:val="000000" w:themeColor="text1"/>
          <w:sz w:val="20"/>
          <w:szCs w:val="20"/>
        </w:rPr>
        <w:t xml:space="preserve"> </w:t>
      </w:r>
      <w:r w:rsidR="0063751F" w:rsidRPr="00257CD4">
        <w:rPr>
          <w:rFonts w:ascii="Open Sans" w:hAnsi="Open Sans" w:cs="Open Sans"/>
          <w:color w:val="000000" w:themeColor="text1"/>
          <w:sz w:val="20"/>
          <w:szCs w:val="20"/>
        </w:rPr>
        <w:t>Sobre la necesidad de transponer en España la Directiva</w:t>
      </w:r>
      <w:r w:rsidR="007C64AC" w:rsidRPr="00257CD4">
        <w:rPr>
          <w:rFonts w:ascii="Open Sans" w:hAnsi="Open Sans" w:cs="Open Sans"/>
          <w:color w:val="000000" w:themeColor="text1"/>
          <w:sz w:val="20"/>
          <w:szCs w:val="20"/>
        </w:rPr>
        <w:t xml:space="preserve"> </w:t>
      </w:r>
      <w:r w:rsidR="0039426D" w:rsidRPr="00257CD4">
        <w:rPr>
          <w:rFonts w:ascii="Open Sans" w:hAnsi="Open Sans" w:cs="Open Sans"/>
          <w:color w:val="000000" w:themeColor="text1"/>
          <w:sz w:val="20"/>
          <w:szCs w:val="20"/>
        </w:rPr>
        <w:t xml:space="preserve">(UE) </w:t>
      </w:r>
      <w:r w:rsidR="007C64AC" w:rsidRPr="00257CD4">
        <w:rPr>
          <w:rFonts w:ascii="Open Sans" w:hAnsi="Open Sans" w:cs="Open Sans"/>
          <w:color w:val="000000" w:themeColor="text1"/>
          <w:sz w:val="20"/>
          <w:szCs w:val="20"/>
        </w:rPr>
        <w:t>2019/</w:t>
      </w:r>
      <w:r w:rsidR="0063751F" w:rsidRPr="00257CD4">
        <w:rPr>
          <w:rFonts w:ascii="Open Sans" w:hAnsi="Open Sans" w:cs="Open Sans"/>
          <w:color w:val="000000" w:themeColor="text1"/>
          <w:sz w:val="20"/>
          <w:szCs w:val="20"/>
        </w:rPr>
        <w:t>1937</w:t>
      </w:r>
      <w:r w:rsidR="00F36189" w:rsidRPr="00257CD4">
        <w:rPr>
          <w:rFonts w:ascii="Open Sans" w:hAnsi="Open Sans" w:cs="Open Sans"/>
          <w:color w:val="000000" w:themeColor="text1"/>
          <w:sz w:val="20"/>
          <w:szCs w:val="20"/>
        </w:rPr>
        <w:t>, de 23 de octubre de 2019</w:t>
      </w:r>
      <w:r w:rsidR="00AE3640" w:rsidRPr="00257CD4">
        <w:rPr>
          <w:rFonts w:ascii="Open Sans" w:hAnsi="Open Sans" w:cs="Open Sans"/>
          <w:sz w:val="20"/>
          <w:szCs w:val="20"/>
        </w:rPr>
        <w:ptab w:relativeTo="margin" w:alignment="right" w:leader="dot"/>
      </w:r>
      <w:r w:rsidR="005C38E0" w:rsidRPr="00257CD4">
        <w:rPr>
          <w:rFonts w:ascii="Open Sans" w:hAnsi="Open Sans" w:cs="Open Sans"/>
          <w:sz w:val="20"/>
          <w:szCs w:val="20"/>
        </w:rPr>
        <w:t>2</w:t>
      </w:r>
      <w:r w:rsidR="00AE2855" w:rsidRPr="00257CD4">
        <w:rPr>
          <w:rFonts w:ascii="Open Sans" w:hAnsi="Open Sans" w:cs="Open Sans"/>
          <w:sz w:val="20"/>
          <w:szCs w:val="20"/>
        </w:rPr>
        <w:t>2</w:t>
      </w:r>
      <w:r w:rsidR="00C7034C">
        <w:rPr>
          <w:rFonts w:ascii="Open Sans" w:hAnsi="Open Sans" w:cs="Open Sans"/>
          <w:sz w:val="20"/>
          <w:szCs w:val="20"/>
        </w:rPr>
        <w:t>4</w:t>
      </w:r>
    </w:p>
    <w:p w14:paraId="7403240A" w14:textId="77777777" w:rsidR="00AD140C" w:rsidRPr="00257CD4" w:rsidRDefault="00AD140C" w:rsidP="00AD140C">
      <w:pPr>
        <w:pStyle w:val="Prrafodelista"/>
        <w:spacing w:after="0" w:line="276" w:lineRule="auto"/>
        <w:ind w:left="357"/>
        <w:jc w:val="both"/>
        <w:rPr>
          <w:rFonts w:ascii="Open Sans" w:hAnsi="Open Sans" w:cs="Open Sans"/>
          <w:sz w:val="20"/>
          <w:szCs w:val="20"/>
        </w:rPr>
      </w:pPr>
    </w:p>
    <w:p w14:paraId="2406E808" w14:textId="582EF719" w:rsidR="005A2CA0" w:rsidRPr="00257CD4" w:rsidRDefault="005A2CA0" w:rsidP="0063751F">
      <w:pPr>
        <w:spacing w:line="276" w:lineRule="auto"/>
        <w:jc w:val="both"/>
        <w:rPr>
          <w:rFonts w:ascii="Open Sans" w:hAnsi="Open Sans" w:cs="Open Sans"/>
          <w:b/>
          <w:sz w:val="20"/>
          <w:szCs w:val="20"/>
        </w:rPr>
      </w:pPr>
      <w:r w:rsidRPr="00257CD4">
        <w:rPr>
          <w:rFonts w:ascii="Open Sans" w:hAnsi="Open Sans" w:cs="Open Sans"/>
          <w:b/>
          <w:sz w:val="20"/>
          <w:szCs w:val="20"/>
        </w:rPr>
        <w:t>Anexo I</w:t>
      </w:r>
      <w:r w:rsidR="00A46175" w:rsidRPr="00257CD4">
        <w:rPr>
          <w:rFonts w:ascii="Open Sans" w:hAnsi="Open Sans" w:cs="Open Sans"/>
          <w:b/>
          <w:sz w:val="20"/>
          <w:szCs w:val="20"/>
        </w:rPr>
        <w:t>. Re</w:t>
      </w:r>
      <w:r w:rsidR="007C64AC" w:rsidRPr="00257CD4">
        <w:rPr>
          <w:rFonts w:ascii="Open Sans" w:hAnsi="Open Sans" w:cs="Open Sans"/>
          <w:b/>
          <w:sz w:val="20"/>
          <w:szCs w:val="20"/>
        </w:rPr>
        <w:t>gl</w:t>
      </w:r>
      <w:r w:rsidR="00694861" w:rsidRPr="00257CD4">
        <w:rPr>
          <w:rFonts w:ascii="Open Sans" w:hAnsi="Open Sans" w:cs="Open Sans"/>
          <w:b/>
          <w:sz w:val="20"/>
          <w:szCs w:val="20"/>
        </w:rPr>
        <w:t>a</w:t>
      </w:r>
      <w:r w:rsidR="007C64AC" w:rsidRPr="00257CD4">
        <w:rPr>
          <w:rFonts w:ascii="Open Sans" w:hAnsi="Open Sans" w:cs="Open Sans"/>
          <w:b/>
          <w:sz w:val="20"/>
          <w:szCs w:val="20"/>
        </w:rPr>
        <w:t>mento de 27 de junio de 2019 de funcionamiento y régimen interior</w:t>
      </w:r>
      <w:r w:rsidR="00A46175" w:rsidRPr="00257CD4">
        <w:rPr>
          <w:rFonts w:ascii="Open Sans" w:hAnsi="Open Sans" w:cs="Open Sans"/>
          <w:b/>
          <w:sz w:val="20"/>
          <w:szCs w:val="20"/>
        </w:rPr>
        <w:t xml:space="preserve"> de la Agencia de Prevención y </w:t>
      </w:r>
      <w:r w:rsidR="00EE5B9D" w:rsidRPr="00257CD4">
        <w:rPr>
          <w:rFonts w:ascii="Open Sans" w:hAnsi="Open Sans" w:cs="Open Sans"/>
          <w:b/>
          <w:sz w:val="20"/>
          <w:szCs w:val="20"/>
        </w:rPr>
        <w:t>L</w:t>
      </w:r>
      <w:r w:rsidR="00A46175" w:rsidRPr="00257CD4">
        <w:rPr>
          <w:rFonts w:ascii="Open Sans" w:hAnsi="Open Sans" w:cs="Open Sans"/>
          <w:b/>
          <w:sz w:val="20"/>
          <w:szCs w:val="20"/>
        </w:rPr>
        <w:t>ucha contra el Fraude y la Corrupción de la Comunitat Valenciana</w:t>
      </w:r>
      <w:r w:rsidR="00AD140C" w:rsidRPr="00257CD4">
        <w:rPr>
          <w:rFonts w:ascii="Open Sans" w:hAnsi="Open Sans" w:cs="Open Sans"/>
          <w:b/>
          <w:sz w:val="20"/>
          <w:szCs w:val="20"/>
        </w:rPr>
        <w:ptab w:relativeTo="margin" w:alignment="right" w:leader="dot"/>
      </w:r>
      <w:r w:rsidR="005C38E0" w:rsidRPr="00257CD4">
        <w:rPr>
          <w:rFonts w:ascii="Open Sans" w:hAnsi="Open Sans" w:cs="Open Sans"/>
          <w:b/>
          <w:sz w:val="20"/>
          <w:szCs w:val="20"/>
        </w:rPr>
        <w:t>2</w:t>
      </w:r>
      <w:r w:rsidR="00AE2855" w:rsidRPr="00257CD4">
        <w:rPr>
          <w:rFonts w:ascii="Open Sans" w:hAnsi="Open Sans" w:cs="Open Sans"/>
          <w:b/>
          <w:sz w:val="20"/>
          <w:szCs w:val="20"/>
        </w:rPr>
        <w:t>2</w:t>
      </w:r>
      <w:r w:rsidR="00C7034C">
        <w:rPr>
          <w:rFonts w:ascii="Open Sans" w:hAnsi="Open Sans" w:cs="Open Sans"/>
          <w:b/>
          <w:sz w:val="20"/>
          <w:szCs w:val="20"/>
        </w:rPr>
        <w:t>8</w:t>
      </w:r>
    </w:p>
    <w:p w14:paraId="594F2E65" w14:textId="77777777" w:rsidR="002027E9" w:rsidRPr="00257CD4" w:rsidRDefault="002027E9" w:rsidP="0063751F">
      <w:pPr>
        <w:spacing w:line="276" w:lineRule="auto"/>
        <w:jc w:val="both"/>
        <w:rPr>
          <w:rFonts w:ascii="Open Sans" w:hAnsi="Open Sans" w:cs="Open Sans"/>
          <w:b/>
          <w:sz w:val="20"/>
          <w:szCs w:val="20"/>
        </w:rPr>
      </w:pPr>
    </w:p>
    <w:p w14:paraId="38004B61" w14:textId="1CCA5366" w:rsidR="00A46175" w:rsidRPr="00257CD4" w:rsidRDefault="005A2CA0" w:rsidP="0063751F">
      <w:pPr>
        <w:spacing w:line="276" w:lineRule="auto"/>
        <w:jc w:val="both"/>
        <w:rPr>
          <w:rFonts w:ascii="Open Sans" w:hAnsi="Open Sans" w:cs="Open Sans"/>
          <w:b/>
          <w:sz w:val="20"/>
          <w:szCs w:val="20"/>
        </w:rPr>
      </w:pPr>
      <w:r w:rsidRPr="00257CD4">
        <w:rPr>
          <w:rFonts w:ascii="Open Sans" w:hAnsi="Open Sans" w:cs="Open Sans"/>
          <w:b/>
          <w:sz w:val="20"/>
          <w:szCs w:val="20"/>
        </w:rPr>
        <w:t>Anexo II</w:t>
      </w:r>
      <w:r w:rsidR="00694861" w:rsidRPr="00257CD4">
        <w:rPr>
          <w:rFonts w:ascii="Open Sans" w:hAnsi="Open Sans" w:cs="Open Sans"/>
          <w:b/>
          <w:sz w:val="20"/>
          <w:szCs w:val="20"/>
        </w:rPr>
        <w:t>.</w:t>
      </w:r>
      <w:r w:rsidR="00A46175" w:rsidRPr="00257CD4">
        <w:rPr>
          <w:rFonts w:ascii="Open Sans" w:hAnsi="Open Sans" w:cs="Open Sans"/>
          <w:b/>
          <w:sz w:val="20"/>
          <w:szCs w:val="20"/>
        </w:rPr>
        <w:t xml:space="preserve"> Directiva</w:t>
      </w:r>
      <w:r w:rsidR="00694861" w:rsidRPr="00257CD4">
        <w:rPr>
          <w:rFonts w:ascii="Open Sans" w:hAnsi="Open Sans" w:cs="Open Sans"/>
          <w:b/>
          <w:sz w:val="20"/>
          <w:szCs w:val="20"/>
        </w:rPr>
        <w:t xml:space="preserve"> (UE)</w:t>
      </w:r>
      <w:r w:rsidR="00A46175" w:rsidRPr="00257CD4">
        <w:rPr>
          <w:rFonts w:ascii="Open Sans" w:hAnsi="Open Sans" w:cs="Open Sans"/>
          <w:b/>
          <w:sz w:val="20"/>
          <w:szCs w:val="20"/>
        </w:rPr>
        <w:t xml:space="preserve"> 2019/1937 del Parlamento Europeo y del Consejo</w:t>
      </w:r>
      <w:r w:rsidR="00694861" w:rsidRPr="00257CD4">
        <w:rPr>
          <w:rFonts w:ascii="Open Sans" w:hAnsi="Open Sans" w:cs="Open Sans"/>
          <w:b/>
          <w:sz w:val="20"/>
          <w:szCs w:val="20"/>
        </w:rPr>
        <w:t>,</w:t>
      </w:r>
      <w:r w:rsidR="00A46175" w:rsidRPr="00257CD4">
        <w:rPr>
          <w:rFonts w:ascii="Open Sans" w:hAnsi="Open Sans" w:cs="Open Sans"/>
          <w:b/>
          <w:sz w:val="20"/>
          <w:szCs w:val="20"/>
        </w:rPr>
        <w:t xml:space="preserve"> de 23 de octubre de 2019</w:t>
      </w:r>
      <w:r w:rsidR="00DA280C" w:rsidRPr="00257CD4">
        <w:rPr>
          <w:rFonts w:ascii="Open Sans" w:hAnsi="Open Sans" w:cs="Open Sans"/>
          <w:b/>
          <w:sz w:val="20"/>
          <w:szCs w:val="20"/>
        </w:rPr>
        <w:t xml:space="preserve">, </w:t>
      </w:r>
      <w:r w:rsidR="002027E9" w:rsidRPr="00257CD4">
        <w:rPr>
          <w:rFonts w:ascii="Open Sans" w:hAnsi="Open Sans" w:cs="Open Sans"/>
          <w:b/>
          <w:sz w:val="20"/>
          <w:szCs w:val="20"/>
        </w:rPr>
        <w:t>relativa a la protección de las personas que informen sobre infracciones del Derecho de la Unión</w:t>
      </w:r>
      <w:r w:rsidR="0051643D" w:rsidRPr="00257CD4">
        <w:rPr>
          <w:rFonts w:ascii="Open Sans" w:hAnsi="Open Sans" w:cs="Open Sans"/>
          <w:b/>
          <w:sz w:val="20"/>
          <w:szCs w:val="20"/>
        </w:rPr>
        <w:ptab w:relativeTo="margin" w:alignment="right" w:leader="dot"/>
      </w:r>
      <w:r w:rsidR="005C38E0" w:rsidRPr="00257CD4">
        <w:rPr>
          <w:rFonts w:ascii="Open Sans" w:hAnsi="Open Sans" w:cs="Open Sans"/>
          <w:b/>
          <w:sz w:val="20"/>
          <w:szCs w:val="20"/>
        </w:rPr>
        <w:t>2</w:t>
      </w:r>
      <w:r w:rsidR="00AE2855" w:rsidRPr="00257CD4">
        <w:rPr>
          <w:rFonts w:ascii="Open Sans" w:hAnsi="Open Sans" w:cs="Open Sans"/>
          <w:b/>
          <w:sz w:val="20"/>
          <w:szCs w:val="20"/>
        </w:rPr>
        <w:t>6</w:t>
      </w:r>
      <w:r w:rsidR="00C7034C">
        <w:rPr>
          <w:rFonts w:ascii="Open Sans" w:hAnsi="Open Sans" w:cs="Open Sans"/>
          <w:b/>
          <w:sz w:val="20"/>
          <w:szCs w:val="20"/>
        </w:rPr>
        <w:t>5</w:t>
      </w:r>
    </w:p>
    <w:p w14:paraId="29C76582" w14:textId="554412EE" w:rsidR="00A32227" w:rsidRPr="00A07BE9" w:rsidRDefault="00A46175">
      <w:pPr>
        <w:rPr>
          <w:rFonts w:ascii="Open Sans" w:hAnsi="Open Sans" w:cs="Open Sans"/>
          <w:sz w:val="21"/>
          <w:szCs w:val="21"/>
        </w:rPr>
      </w:pPr>
      <w:r w:rsidRPr="00A07BE9">
        <w:rPr>
          <w:rFonts w:ascii="Open Sans" w:hAnsi="Open Sans" w:cs="Open Sans"/>
          <w:sz w:val="21"/>
          <w:szCs w:val="21"/>
        </w:rPr>
        <w:br w:type="page"/>
      </w:r>
    </w:p>
    <w:p w14:paraId="17B06B6E" w14:textId="22B2E9B0" w:rsidR="00270D4B" w:rsidRPr="00A07BE9" w:rsidRDefault="00270D4B">
      <w:pPr>
        <w:rPr>
          <w:rFonts w:ascii="Open Sans" w:hAnsi="Open Sans" w:cs="Open Sans"/>
          <w:b/>
          <w:color w:val="9D2235"/>
          <w:sz w:val="60"/>
          <w:szCs w:val="60"/>
        </w:rPr>
      </w:pPr>
    </w:p>
    <w:p w14:paraId="618DF1FC" w14:textId="5CD2A27D" w:rsidR="00CC4CD5" w:rsidRPr="00A07BE9" w:rsidRDefault="00CC4CD5" w:rsidP="00CC4CD5">
      <w:pPr>
        <w:jc w:val="both"/>
        <w:rPr>
          <w:rFonts w:ascii="Open Sans" w:hAnsi="Open Sans" w:cs="Open Sans"/>
          <w:b/>
          <w:color w:val="9D2235"/>
          <w:sz w:val="60"/>
          <w:szCs w:val="60"/>
        </w:rPr>
      </w:pPr>
      <w:r w:rsidRPr="00A07BE9">
        <w:rPr>
          <w:rFonts w:ascii="Open Sans" w:hAnsi="Open Sans" w:cs="Open Sans"/>
          <w:b/>
          <w:color w:val="9D2235"/>
          <w:sz w:val="60"/>
          <w:szCs w:val="60"/>
        </w:rPr>
        <w:t>Índice de tablas</w:t>
      </w:r>
    </w:p>
    <w:p w14:paraId="1D892E82" w14:textId="77777777" w:rsidR="00D8434E" w:rsidRPr="00257CD4" w:rsidRDefault="00D8434E" w:rsidP="00863CE0">
      <w:pPr>
        <w:pStyle w:val="Prrafodelista"/>
        <w:spacing w:after="0" w:line="276" w:lineRule="auto"/>
        <w:ind w:left="0"/>
        <w:jc w:val="both"/>
        <w:rPr>
          <w:rFonts w:ascii="Open Sans" w:hAnsi="Open Sans" w:cs="Open Sans"/>
          <w:b/>
          <w:bCs/>
          <w:sz w:val="20"/>
          <w:szCs w:val="20"/>
        </w:rPr>
      </w:pPr>
    </w:p>
    <w:p w14:paraId="32CA0286" w14:textId="052F396C" w:rsidR="00A32227" w:rsidRPr="00257CD4" w:rsidRDefault="00A32227" w:rsidP="00863CE0">
      <w:pPr>
        <w:pStyle w:val="Prrafodelista"/>
        <w:spacing w:after="0" w:line="276" w:lineRule="auto"/>
        <w:ind w:left="0"/>
        <w:jc w:val="both"/>
        <w:rPr>
          <w:rFonts w:ascii="Open Sans" w:hAnsi="Open Sans" w:cs="Open Sans"/>
          <w:sz w:val="20"/>
          <w:szCs w:val="20"/>
        </w:rPr>
      </w:pPr>
      <w:r w:rsidRPr="00257CD4">
        <w:rPr>
          <w:rFonts w:ascii="Open Sans" w:hAnsi="Open Sans" w:cs="Open Sans"/>
          <w:b/>
          <w:bCs/>
          <w:sz w:val="20"/>
          <w:szCs w:val="20"/>
        </w:rPr>
        <w:t xml:space="preserve">Tabla 1. </w:t>
      </w:r>
      <w:r w:rsidR="00B24FF6" w:rsidRPr="00257CD4">
        <w:rPr>
          <w:rFonts w:ascii="Open Sans" w:hAnsi="Open Sans" w:cs="Open Sans"/>
          <w:sz w:val="20"/>
          <w:szCs w:val="20"/>
        </w:rPr>
        <w:t>Líneas estratégicas</w:t>
      </w:r>
      <w:r w:rsidRPr="00257CD4">
        <w:rPr>
          <w:rFonts w:ascii="Open Sans" w:hAnsi="Open Sans" w:cs="Open Sans"/>
          <w:sz w:val="20"/>
          <w:szCs w:val="20"/>
        </w:rPr>
        <w:t xml:space="preserve"> </w:t>
      </w:r>
      <w:r w:rsidR="00863CE0" w:rsidRPr="00257CD4">
        <w:rPr>
          <w:rFonts w:ascii="Open Sans" w:hAnsi="Open Sans" w:cs="Open Sans"/>
          <w:sz w:val="20"/>
          <w:szCs w:val="20"/>
        </w:rPr>
        <w:ptab w:relativeTo="margin" w:alignment="right" w:leader="dot"/>
      </w:r>
      <w:r w:rsidR="00771F5E" w:rsidRPr="00257CD4">
        <w:rPr>
          <w:rFonts w:ascii="Open Sans" w:hAnsi="Open Sans" w:cs="Open Sans"/>
          <w:sz w:val="20"/>
          <w:szCs w:val="20"/>
        </w:rPr>
        <w:t>23</w:t>
      </w:r>
    </w:p>
    <w:p w14:paraId="0ACFAB98" w14:textId="5757B1DE" w:rsidR="00A32227" w:rsidRPr="00257CD4" w:rsidRDefault="00A32227" w:rsidP="00863CE0">
      <w:pPr>
        <w:spacing w:after="0" w:line="276" w:lineRule="auto"/>
        <w:jc w:val="both"/>
        <w:rPr>
          <w:rFonts w:ascii="Open Sans" w:hAnsi="Open Sans" w:cs="Open Sans"/>
          <w:sz w:val="20"/>
          <w:szCs w:val="20"/>
        </w:rPr>
      </w:pPr>
      <w:r w:rsidRPr="00257CD4">
        <w:rPr>
          <w:rFonts w:ascii="Open Sans" w:hAnsi="Open Sans" w:cs="Open Sans"/>
          <w:b/>
          <w:bCs/>
          <w:sz w:val="20"/>
          <w:szCs w:val="20"/>
        </w:rPr>
        <w:t xml:space="preserve">Tabla 2. </w:t>
      </w:r>
      <w:r w:rsidR="00B24FF6" w:rsidRPr="00257CD4">
        <w:rPr>
          <w:rFonts w:ascii="Open Sans" w:hAnsi="Open Sans" w:cs="Open Sans"/>
          <w:sz w:val="20"/>
          <w:szCs w:val="20"/>
        </w:rPr>
        <w:t>Formación de la A</w:t>
      </w:r>
      <w:r w:rsidR="004B5FFE" w:rsidRPr="00257CD4">
        <w:rPr>
          <w:rFonts w:ascii="Open Sans" w:hAnsi="Open Sans" w:cs="Open Sans"/>
          <w:sz w:val="20"/>
          <w:szCs w:val="20"/>
        </w:rPr>
        <w:t xml:space="preserve">gencia </w:t>
      </w:r>
      <w:r w:rsidR="00B24FF6" w:rsidRPr="00257CD4">
        <w:rPr>
          <w:rFonts w:ascii="Open Sans" w:hAnsi="Open Sans" w:cs="Open Sans"/>
          <w:sz w:val="20"/>
          <w:szCs w:val="20"/>
        </w:rPr>
        <w:t>2019</w:t>
      </w:r>
      <w:r w:rsidR="00863CE0" w:rsidRPr="00257CD4">
        <w:rPr>
          <w:rFonts w:ascii="Open Sans" w:hAnsi="Open Sans" w:cs="Open Sans"/>
          <w:sz w:val="20"/>
          <w:szCs w:val="20"/>
        </w:rPr>
        <w:ptab w:relativeTo="margin" w:alignment="right" w:leader="dot"/>
      </w:r>
      <w:r w:rsidR="00771F5E" w:rsidRPr="00257CD4">
        <w:rPr>
          <w:rFonts w:ascii="Open Sans" w:hAnsi="Open Sans" w:cs="Open Sans"/>
          <w:sz w:val="20"/>
          <w:szCs w:val="20"/>
        </w:rPr>
        <w:t>3</w:t>
      </w:r>
      <w:r w:rsidR="004F6A7A" w:rsidRPr="00257CD4">
        <w:rPr>
          <w:rFonts w:ascii="Open Sans" w:hAnsi="Open Sans" w:cs="Open Sans"/>
          <w:sz w:val="20"/>
          <w:szCs w:val="20"/>
        </w:rPr>
        <w:t>1</w:t>
      </w:r>
    </w:p>
    <w:p w14:paraId="5BF6A2AF" w14:textId="56F70970" w:rsidR="00A32227" w:rsidRPr="00257CD4" w:rsidRDefault="00A32227" w:rsidP="00863CE0">
      <w:pPr>
        <w:spacing w:after="0" w:line="276" w:lineRule="auto"/>
        <w:jc w:val="both"/>
        <w:rPr>
          <w:rFonts w:ascii="Open Sans" w:hAnsi="Open Sans" w:cs="Open Sans"/>
          <w:sz w:val="20"/>
          <w:szCs w:val="20"/>
        </w:rPr>
      </w:pPr>
      <w:r w:rsidRPr="00257CD4">
        <w:rPr>
          <w:rFonts w:ascii="Open Sans" w:hAnsi="Open Sans" w:cs="Open Sans"/>
          <w:b/>
          <w:bCs/>
          <w:sz w:val="20"/>
          <w:szCs w:val="20"/>
        </w:rPr>
        <w:t>Tabla 3.</w:t>
      </w:r>
      <w:r w:rsidRPr="00257CD4">
        <w:rPr>
          <w:rFonts w:ascii="Open Sans" w:hAnsi="Open Sans" w:cs="Open Sans"/>
          <w:sz w:val="20"/>
          <w:szCs w:val="20"/>
        </w:rPr>
        <w:t xml:space="preserve"> </w:t>
      </w:r>
      <w:r w:rsidR="00B24FF6" w:rsidRPr="00257CD4">
        <w:rPr>
          <w:rFonts w:ascii="Open Sans" w:hAnsi="Open Sans" w:cs="Open Sans"/>
          <w:sz w:val="20"/>
          <w:szCs w:val="20"/>
        </w:rPr>
        <w:t>Formación interna de la A</w:t>
      </w:r>
      <w:r w:rsidR="004B5FFE" w:rsidRPr="00257CD4">
        <w:rPr>
          <w:rFonts w:ascii="Open Sans" w:hAnsi="Open Sans" w:cs="Open Sans"/>
          <w:sz w:val="20"/>
          <w:szCs w:val="20"/>
        </w:rPr>
        <w:t>gencia</w:t>
      </w:r>
      <w:r w:rsidR="00B24FF6" w:rsidRPr="00257CD4">
        <w:rPr>
          <w:rFonts w:ascii="Open Sans" w:hAnsi="Open Sans" w:cs="Open Sans"/>
          <w:sz w:val="20"/>
          <w:szCs w:val="20"/>
        </w:rPr>
        <w:t xml:space="preserve"> 2019</w:t>
      </w:r>
      <w:r w:rsidRPr="00257CD4">
        <w:rPr>
          <w:rFonts w:ascii="Open Sans" w:hAnsi="Open Sans" w:cs="Open Sans"/>
          <w:sz w:val="20"/>
          <w:szCs w:val="20"/>
        </w:rPr>
        <w:t xml:space="preserve"> </w:t>
      </w:r>
      <w:r w:rsidR="00863CE0" w:rsidRPr="00257CD4">
        <w:rPr>
          <w:rFonts w:ascii="Open Sans" w:hAnsi="Open Sans" w:cs="Open Sans"/>
          <w:sz w:val="20"/>
          <w:szCs w:val="20"/>
        </w:rPr>
        <w:ptab w:relativeTo="margin" w:alignment="right" w:leader="dot"/>
      </w:r>
      <w:r w:rsidR="00771F5E" w:rsidRPr="00257CD4">
        <w:rPr>
          <w:rFonts w:ascii="Open Sans" w:hAnsi="Open Sans" w:cs="Open Sans"/>
          <w:sz w:val="20"/>
          <w:szCs w:val="20"/>
        </w:rPr>
        <w:t>3</w:t>
      </w:r>
      <w:r w:rsidR="0080074E" w:rsidRPr="00257CD4">
        <w:rPr>
          <w:rFonts w:ascii="Open Sans" w:hAnsi="Open Sans" w:cs="Open Sans"/>
          <w:sz w:val="20"/>
          <w:szCs w:val="20"/>
        </w:rPr>
        <w:t>5</w:t>
      </w:r>
    </w:p>
    <w:p w14:paraId="1FCC03D2" w14:textId="0FD9026D" w:rsidR="00A32227" w:rsidRPr="00257CD4" w:rsidRDefault="00A32227" w:rsidP="004063ED">
      <w:pPr>
        <w:spacing w:after="0" w:line="276" w:lineRule="auto"/>
        <w:ind w:left="794" w:hanging="794"/>
        <w:jc w:val="both"/>
        <w:rPr>
          <w:rFonts w:ascii="Open Sans" w:hAnsi="Open Sans" w:cs="Open Sans"/>
          <w:sz w:val="20"/>
          <w:szCs w:val="20"/>
        </w:rPr>
      </w:pPr>
      <w:r w:rsidRPr="00257CD4">
        <w:rPr>
          <w:rFonts w:ascii="Open Sans" w:hAnsi="Open Sans" w:cs="Open Sans"/>
          <w:b/>
          <w:bCs/>
          <w:sz w:val="20"/>
          <w:szCs w:val="20"/>
        </w:rPr>
        <w:t>Tabla 4.</w:t>
      </w:r>
      <w:r w:rsidRPr="00257CD4">
        <w:rPr>
          <w:rFonts w:ascii="Open Sans" w:hAnsi="Open Sans" w:cs="Open Sans"/>
          <w:sz w:val="20"/>
          <w:szCs w:val="20"/>
        </w:rPr>
        <w:t xml:space="preserve"> </w:t>
      </w:r>
      <w:r w:rsidR="00B0639C" w:rsidRPr="00257CD4">
        <w:rPr>
          <w:rFonts w:ascii="Open Sans" w:hAnsi="Open Sans" w:cs="Open Sans"/>
          <w:sz w:val="20"/>
          <w:szCs w:val="20"/>
        </w:rPr>
        <w:t>Activid</w:t>
      </w:r>
      <w:r w:rsidR="00801280" w:rsidRPr="00257CD4">
        <w:rPr>
          <w:rFonts w:ascii="Open Sans" w:hAnsi="Open Sans" w:cs="Open Sans"/>
          <w:sz w:val="20"/>
          <w:szCs w:val="20"/>
        </w:rPr>
        <w:t>ad de Docuforum, versión actualizada “Corrupción: organismo nocivo”, en las Universidades de la Comunitat Valenciana, 2019</w:t>
      </w:r>
      <w:r w:rsidRPr="00257CD4">
        <w:rPr>
          <w:rFonts w:ascii="Open Sans" w:hAnsi="Open Sans" w:cs="Open Sans"/>
          <w:color w:val="FF0000"/>
          <w:sz w:val="20"/>
          <w:szCs w:val="20"/>
        </w:rPr>
        <w:t xml:space="preserve"> </w:t>
      </w:r>
      <w:r w:rsidR="00863CE0" w:rsidRPr="00257CD4">
        <w:rPr>
          <w:rFonts w:ascii="Open Sans" w:hAnsi="Open Sans" w:cs="Open Sans"/>
          <w:sz w:val="20"/>
          <w:szCs w:val="20"/>
        </w:rPr>
        <w:ptab w:relativeTo="margin" w:alignment="right" w:leader="dot"/>
      </w:r>
      <w:r w:rsidR="00771F5E" w:rsidRPr="00257CD4">
        <w:rPr>
          <w:rFonts w:ascii="Open Sans" w:hAnsi="Open Sans" w:cs="Open Sans"/>
          <w:sz w:val="20"/>
          <w:szCs w:val="20"/>
        </w:rPr>
        <w:t>4</w:t>
      </w:r>
      <w:r w:rsidR="00884961">
        <w:rPr>
          <w:rFonts w:ascii="Open Sans" w:hAnsi="Open Sans" w:cs="Open Sans"/>
          <w:sz w:val="20"/>
          <w:szCs w:val="20"/>
        </w:rPr>
        <w:t>6</w:t>
      </w:r>
    </w:p>
    <w:p w14:paraId="70BB4682" w14:textId="323ED69E" w:rsidR="00A32227" w:rsidRPr="00257CD4" w:rsidRDefault="00A32227" w:rsidP="00863CE0">
      <w:pPr>
        <w:spacing w:after="0" w:line="276" w:lineRule="auto"/>
        <w:jc w:val="both"/>
        <w:rPr>
          <w:rFonts w:ascii="Open Sans" w:hAnsi="Open Sans" w:cs="Open Sans"/>
          <w:sz w:val="20"/>
          <w:szCs w:val="20"/>
        </w:rPr>
      </w:pPr>
      <w:r w:rsidRPr="00257CD4">
        <w:rPr>
          <w:rFonts w:ascii="Open Sans" w:hAnsi="Open Sans" w:cs="Open Sans"/>
          <w:b/>
          <w:bCs/>
          <w:sz w:val="20"/>
          <w:szCs w:val="20"/>
        </w:rPr>
        <w:t>Tabla 5.</w:t>
      </w:r>
      <w:r w:rsidRPr="00257CD4">
        <w:rPr>
          <w:rFonts w:ascii="Open Sans" w:hAnsi="Open Sans" w:cs="Open Sans"/>
          <w:sz w:val="20"/>
          <w:szCs w:val="20"/>
        </w:rPr>
        <w:t xml:space="preserve"> </w:t>
      </w:r>
      <w:r w:rsidR="00B40E04" w:rsidRPr="00257CD4">
        <w:rPr>
          <w:rFonts w:ascii="Open Sans" w:hAnsi="Open Sans" w:cs="Open Sans"/>
          <w:sz w:val="20"/>
          <w:szCs w:val="20"/>
        </w:rPr>
        <w:t>Denuncias presentadas por ámbito subjetivo</w:t>
      </w:r>
      <w:r w:rsidRPr="00257CD4">
        <w:rPr>
          <w:rFonts w:ascii="Open Sans" w:hAnsi="Open Sans" w:cs="Open Sans"/>
          <w:sz w:val="20"/>
          <w:szCs w:val="20"/>
        </w:rPr>
        <w:t xml:space="preserve"> </w:t>
      </w:r>
      <w:r w:rsidR="00863CE0" w:rsidRPr="00257CD4">
        <w:rPr>
          <w:rFonts w:ascii="Open Sans" w:hAnsi="Open Sans" w:cs="Open Sans"/>
          <w:sz w:val="20"/>
          <w:szCs w:val="20"/>
        </w:rPr>
        <w:ptab w:relativeTo="margin" w:alignment="right" w:leader="dot"/>
      </w:r>
      <w:r w:rsidR="00771F5E" w:rsidRPr="00257CD4">
        <w:rPr>
          <w:rFonts w:ascii="Open Sans" w:hAnsi="Open Sans" w:cs="Open Sans"/>
          <w:sz w:val="20"/>
          <w:szCs w:val="20"/>
        </w:rPr>
        <w:t>5</w:t>
      </w:r>
      <w:r w:rsidR="00884961">
        <w:rPr>
          <w:rFonts w:ascii="Open Sans" w:hAnsi="Open Sans" w:cs="Open Sans"/>
          <w:sz w:val="20"/>
          <w:szCs w:val="20"/>
        </w:rPr>
        <w:t>7</w:t>
      </w:r>
    </w:p>
    <w:p w14:paraId="5B8CE468" w14:textId="154D5817" w:rsidR="00A32227" w:rsidRPr="00257CD4" w:rsidRDefault="00A32227" w:rsidP="00863CE0">
      <w:pPr>
        <w:pStyle w:val="Prrafodelista"/>
        <w:spacing w:after="0" w:line="276" w:lineRule="auto"/>
        <w:ind w:left="0"/>
        <w:jc w:val="both"/>
        <w:rPr>
          <w:rFonts w:ascii="Open Sans" w:hAnsi="Open Sans" w:cs="Open Sans"/>
          <w:sz w:val="20"/>
          <w:szCs w:val="20"/>
        </w:rPr>
      </w:pPr>
      <w:r w:rsidRPr="00257CD4">
        <w:rPr>
          <w:rFonts w:ascii="Open Sans" w:hAnsi="Open Sans" w:cs="Open Sans"/>
          <w:b/>
          <w:bCs/>
          <w:sz w:val="20"/>
          <w:szCs w:val="20"/>
        </w:rPr>
        <w:t>Tabla 6.</w:t>
      </w:r>
      <w:r w:rsidRPr="00257CD4">
        <w:rPr>
          <w:rFonts w:ascii="Open Sans" w:hAnsi="Open Sans" w:cs="Open Sans"/>
          <w:sz w:val="20"/>
          <w:szCs w:val="20"/>
        </w:rPr>
        <w:t xml:space="preserve"> </w:t>
      </w:r>
      <w:r w:rsidR="00B40E04" w:rsidRPr="00257CD4">
        <w:rPr>
          <w:rFonts w:ascii="Open Sans" w:hAnsi="Open Sans" w:cs="Open Sans"/>
          <w:sz w:val="20"/>
          <w:szCs w:val="20"/>
        </w:rPr>
        <w:t>Denuncias presentadas según el canal de comunicación</w:t>
      </w:r>
      <w:r w:rsidRPr="00257CD4">
        <w:rPr>
          <w:rFonts w:ascii="Open Sans" w:hAnsi="Open Sans" w:cs="Open Sans"/>
          <w:sz w:val="20"/>
          <w:szCs w:val="20"/>
        </w:rPr>
        <w:t xml:space="preserve"> </w:t>
      </w:r>
      <w:r w:rsidR="00863CE0" w:rsidRPr="00257CD4">
        <w:rPr>
          <w:rFonts w:ascii="Open Sans" w:hAnsi="Open Sans" w:cs="Open Sans"/>
          <w:sz w:val="20"/>
          <w:szCs w:val="20"/>
        </w:rPr>
        <w:ptab w:relativeTo="margin" w:alignment="right" w:leader="dot"/>
      </w:r>
      <w:r w:rsidR="00A00829" w:rsidRPr="00257CD4">
        <w:rPr>
          <w:rFonts w:ascii="Open Sans" w:hAnsi="Open Sans" w:cs="Open Sans"/>
          <w:sz w:val="20"/>
          <w:szCs w:val="20"/>
        </w:rPr>
        <w:t>5</w:t>
      </w:r>
      <w:r w:rsidR="008C56BD">
        <w:rPr>
          <w:rFonts w:ascii="Open Sans" w:hAnsi="Open Sans" w:cs="Open Sans"/>
          <w:sz w:val="20"/>
          <w:szCs w:val="20"/>
        </w:rPr>
        <w:t>9</w:t>
      </w:r>
    </w:p>
    <w:p w14:paraId="47235B4C" w14:textId="104696C6" w:rsidR="00A32227" w:rsidRPr="00257CD4" w:rsidRDefault="00A32227" w:rsidP="00863CE0">
      <w:pPr>
        <w:pStyle w:val="Prrafodelista"/>
        <w:spacing w:after="0" w:line="276" w:lineRule="auto"/>
        <w:ind w:left="0"/>
        <w:jc w:val="both"/>
        <w:rPr>
          <w:rFonts w:ascii="Open Sans" w:hAnsi="Open Sans" w:cs="Open Sans"/>
          <w:sz w:val="20"/>
          <w:szCs w:val="20"/>
        </w:rPr>
      </w:pPr>
      <w:r w:rsidRPr="00257CD4">
        <w:rPr>
          <w:rFonts w:ascii="Open Sans" w:hAnsi="Open Sans" w:cs="Open Sans"/>
          <w:b/>
          <w:bCs/>
          <w:sz w:val="20"/>
          <w:szCs w:val="20"/>
        </w:rPr>
        <w:t>Tabla 7.</w:t>
      </w:r>
      <w:r w:rsidRPr="00257CD4">
        <w:rPr>
          <w:rFonts w:ascii="Open Sans" w:hAnsi="Open Sans" w:cs="Open Sans"/>
          <w:sz w:val="20"/>
          <w:szCs w:val="20"/>
        </w:rPr>
        <w:t xml:space="preserve"> </w:t>
      </w:r>
      <w:r w:rsidR="00B40E04" w:rsidRPr="00257CD4">
        <w:rPr>
          <w:rFonts w:ascii="Open Sans" w:hAnsi="Open Sans" w:cs="Open Sans"/>
          <w:sz w:val="20"/>
          <w:szCs w:val="20"/>
        </w:rPr>
        <w:t xml:space="preserve">Denuncias presentadas según </w:t>
      </w:r>
      <w:r w:rsidR="00EC46CF" w:rsidRPr="00257CD4">
        <w:rPr>
          <w:rFonts w:ascii="Open Sans" w:hAnsi="Open Sans" w:cs="Open Sans"/>
          <w:sz w:val="20"/>
          <w:szCs w:val="20"/>
        </w:rPr>
        <w:t>el territorio</w:t>
      </w:r>
      <w:r w:rsidR="00863CE0" w:rsidRPr="00257CD4">
        <w:rPr>
          <w:rFonts w:ascii="Open Sans" w:hAnsi="Open Sans" w:cs="Open Sans"/>
          <w:sz w:val="20"/>
          <w:szCs w:val="20"/>
        </w:rPr>
        <w:ptab w:relativeTo="margin" w:alignment="right" w:leader="dot"/>
      </w:r>
      <w:r w:rsidR="008C56BD">
        <w:rPr>
          <w:rFonts w:ascii="Open Sans" w:hAnsi="Open Sans" w:cs="Open Sans"/>
          <w:sz w:val="20"/>
          <w:szCs w:val="20"/>
        </w:rPr>
        <w:t>60</w:t>
      </w:r>
    </w:p>
    <w:p w14:paraId="32725391" w14:textId="1209AD5A" w:rsidR="00A32227" w:rsidRPr="00257CD4" w:rsidRDefault="00A32227" w:rsidP="00863CE0">
      <w:pPr>
        <w:pStyle w:val="Prrafodelista"/>
        <w:spacing w:after="0" w:line="276" w:lineRule="auto"/>
        <w:ind w:left="0"/>
        <w:jc w:val="both"/>
        <w:rPr>
          <w:rFonts w:ascii="Open Sans" w:hAnsi="Open Sans" w:cs="Open Sans"/>
          <w:sz w:val="20"/>
          <w:szCs w:val="20"/>
        </w:rPr>
      </w:pPr>
      <w:r w:rsidRPr="00257CD4">
        <w:rPr>
          <w:rFonts w:ascii="Open Sans" w:hAnsi="Open Sans" w:cs="Open Sans"/>
          <w:b/>
          <w:bCs/>
          <w:sz w:val="20"/>
          <w:szCs w:val="20"/>
        </w:rPr>
        <w:t>Tabla 8.</w:t>
      </w:r>
      <w:r w:rsidRPr="00257CD4">
        <w:rPr>
          <w:rFonts w:ascii="Open Sans" w:hAnsi="Open Sans" w:cs="Open Sans"/>
          <w:sz w:val="20"/>
          <w:szCs w:val="20"/>
        </w:rPr>
        <w:t xml:space="preserve"> </w:t>
      </w:r>
      <w:r w:rsidR="00B40E04" w:rsidRPr="00257CD4">
        <w:rPr>
          <w:rFonts w:ascii="Open Sans" w:hAnsi="Open Sans" w:cs="Open Sans"/>
          <w:sz w:val="20"/>
          <w:szCs w:val="20"/>
        </w:rPr>
        <w:t>Denuncias presentadas según el ámbito material</w:t>
      </w:r>
      <w:r w:rsidRPr="00257CD4">
        <w:rPr>
          <w:rFonts w:ascii="Open Sans" w:hAnsi="Open Sans" w:cs="Open Sans"/>
          <w:sz w:val="20"/>
          <w:szCs w:val="20"/>
        </w:rPr>
        <w:t xml:space="preserve"> </w:t>
      </w:r>
      <w:r w:rsidR="00863CE0" w:rsidRPr="00257CD4">
        <w:rPr>
          <w:rFonts w:ascii="Open Sans" w:hAnsi="Open Sans" w:cs="Open Sans"/>
          <w:sz w:val="20"/>
          <w:szCs w:val="20"/>
        </w:rPr>
        <w:ptab w:relativeTo="margin" w:alignment="right" w:leader="dot"/>
      </w:r>
      <w:r w:rsidR="00A00829" w:rsidRPr="00257CD4">
        <w:rPr>
          <w:rFonts w:ascii="Open Sans" w:hAnsi="Open Sans" w:cs="Open Sans"/>
          <w:sz w:val="20"/>
          <w:szCs w:val="20"/>
        </w:rPr>
        <w:t>6</w:t>
      </w:r>
      <w:r w:rsidR="008C56BD">
        <w:rPr>
          <w:rFonts w:ascii="Open Sans" w:hAnsi="Open Sans" w:cs="Open Sans"/>
          <w:sz w:val="20"/>
          <w:szCs w:val="20"/>
        </w:rPr>
        <w:t>2</w:t>
      </w:r>
    </w:p>
    <w:p w14:paraId="66FCBD29" w14:textId="3A6A133D" w:rsidR="00A32227" w:rsidRPr="00257CD4" w:rsidRDefault="00A32227" w:rsidP="002027E9">
      <w:pPr>
        <w:pStyle w:val="Prrafodelista"/>
        <w:spacing w:after="0" w:line="276" w:lineRule="auto"/>
        <w:ind w:left="794" w:hanging="794"/>
        <w:jc w:val="both"/>
        <w:rPr>
          <w:rFonts w:ascii="Open Sans" w:hAnsi="Open Sans" w:cs="Open Sans"/>
          <w:sz w:val="20"/>
          <w:szCs w:val="20"/>
        </w:rPr>
      </w:pPr>
      <w:r w:rsidRPr="00257CD4">
        <w:rPr>
          <w:rFonts w:ascii="Open Sans" w:hAnsi="Open Sans" w:cs="Open Sans"/>
          <w:b/>
          <w:bCs/>
          <w:sz w:val="20"/>
          <w:szCs w:val="20"/>
        </w:rPr>
        <w:t>Tabla 9.</w:t>
      </w:r>
      <w:r w:rsidRPr="00257CD4">
        <w:rPr>
          <w:rFonts w:ascii="Open Sans" w:hAnsi="Open Sans" w:cs="Open Sans"/>
          <w:sz w:val="20"/>
          <w:szCs w:val="20"/>
        </w:rPr>
        <w:t xml:space="preserve"> </w:t>
      </w:r>
      <w:r w:rsidR="006E2C41" w:rsidRPr="00257CD4">
        <w:rPr>
          <w:rFonts w:ascii="Open Sans" w:hAnsi="Open Sans" w:cs="Open Sans"/>
          <w:sz w:val="20"/>
          <w:szCs w:val="20"/>
        </w:rPr>
        <w:t>D</w:t>
      </w:r>
      <w:r w:rsidRPr="00257CD4">
        <w:rPr>
          <w:rFonts w:ascii="Open Sans" w:hAnsi="Open Sans" w:cs="Open Sans"/>
          <w:sz w:val="20"/>
          <w:szCs w:val="20"/>
        </w:rPr>
        <w:t xml:space="preserve">enuncias </w:t>
      </w:r>
      <w:r w:rsidR="00A654A9" w:rsidRPr="00257CD4">
        <w:rPr>
          <w:rFonts w:ascii="Open Sans" w:hAnsi="Open Sans" w:cs="Open Sans"/>
          <w:sz w:val="20"/>
          <w:szCs w:val="20"/>
        </w:rPr>
        <w:t xml:space="preserve">presentadas </w:t>
      </w:r>
      <w:r w:rsidRPr="00257CD4">
        <w:rPr>
          <w:rFonts w:ascii="Open Sans" w:hAnsi="Open Sans" w:cs="Open Sans"/>
          <w:sz w:val="20"/>
          <w:szCs w:val="20"/>
        </w:rPr>
        <w:t xml:space="preserve">según </w:t>
      </w:r>
      <w:r w:rsidR="001A1C66" w:rsidRPr="00257CD4">
        <w:rPr>
          <w:rFonts w:ascii="Open Sans" w:hAnsi="Open Sans" w:cs="Open Sans"/>
          <w:sz w:val="20"/>
          <w:szCs w:val="20"/>
        </w:rPr>
        <w:t>la tipología, condición o naturaleza del comunicante</w:t>
      </w:r>
      <w:r w:rsidR="004063ED" w:rsidRPr="00257CD4">
        <w:rPr>
          <w:rFonts w:ascii="Open Sans" w:hAnsi="Open Sans" w:cs="Open Sans"/>
          <w:sz w:val="20"/>
          <w:szCs w:val="20"/>
        </w:rPr>
        <w:t xml:space="preserve"> </w:t>
      </w:r>
      <w:r w:rsidR="00863CE0" w:rsidRPr="00257CD4">
        <w:rPr>
          <w:rFonts w:ascii="Open Sans" w:hAnsi="Open Sans" w:cs="Open Sans"/>
          <w:sz w:val="20"/>
          <w:szCs w:val="20"/>
        </w:rPr>
        <w:ptab w:relativeTo="margin" w:alignment="right" w:leader="dot"/>
      </w:r>
      <w:r w:rsidR="00A00829" w:rsidRPr="00257CD4">
        <w:rPr>
          <w:rFonts w:ascii="Open Sans" w:hAnsi="Open Sans" w:cs="Open Sans"/>
          <w:sz w:val="20"/>
          <w:szCs w:val="20"/>
        </w:rPr>
        <w:t>6</w:t>
      </w:r>
      <w:r w:rsidR="008C56BD">
        <w:rPr>
          <w:rFonts w:ascii="Open Sans" w:hAnsi="Open Sans" w:cs="Open Sans"/>
          <w:sz w:val="20"/>
          <w:szCs w:val="20"/>
        </w:rPr>
        <w:t>4</w:t>
      </w:r>
    </w:p>
    <w:p w14:paraId="08F1C5C9" w14:textId="114A3473" w:rsidR="00A32227" w:rsidRPr="00257CD4" w:rsidRDefault="00A32227" w:rsidP="00863CE0">
      <w:pPr>
        <w:pStyle w:val="Prrafodelista"/>
        <w:spacing w:after="0" w:line="276" w:lineRule="auto"/>
        <w:ind w:left="0"/>
        <w:jc w:val="both"/>
        <w:rPr>
          <w:rFonts w:ascii="Open Sans" w:hAnsi="Open Sans" w:cs="Open Sans"/>
          <w:sz w:val="20"/>
          <w:szCs w:val="20"/>
        </w:rPr>
      </w:pPr>
      <w:r w:rsidRPr="00257CD4">
        <w:rPr>
          <w:rFonts w:ascii="Open Sans" w:hAnsi="Open Sans" w:cs="Open Sans"/>
          <w:b/>
          <w:bCs/>
          <w:sz w:val="20"/>
          <w:szCs w:val="20"/>
        </w:rPr>
        <w:t>Tabla 10.</w:t>
      </w:r>
      <w:r w:rsidRPr="00257CD4">
        <w:rPr>
          <w:rFonts w:ascii="Open Sans" w:hAnsi="Open Sans" w:cs="Open Sans"/>
          <w:sz w:val="20"/>
          <w:szCs w:val="20"/>
        </w:rPr>
        <w:t xml:space="preserve"> </w:t>
      </w:r>
      <w:r w:rsidR="00A654A9" w:rsidRPr="00257CD4">
        <w:rPr>
          <w:rFonts w:ascii="Open Sans" w:hAnsi="Open Sans" w:cs="Open Sans"/>
          <w:sz w:val="20"/>
          <w:szCs w:val="20"/>
        </w:rPr>
        <w:t>Denuncias de personas físicas clasificadas por género</w:t>
      </w:r>
      <w:r w:rsidRPr="00257CD4">
        <w:rPr>
          <w:rFonts w:ascii="Open Sans" w:hAnsi="Open Sans" w:cs="Open Sans"/>
          <w:sz w:val="20"/>
          <w:szCs w:val="20"/>
        </w:rPr>
        <w:t xml:space="preserve"> </w:t>
      </w:r>
      <w:r w:rsidR="00863CE0" w:rsidRPr="00257CD4">
        <w:rPr>
          <w:rFonts w:ascii="Open Sans" w:hAnsi="Open Sans" w:cs="Open Sans"/>
          <w:sz w:val="20"/>
          <w:szCs w:val="20"/>
        </w:rPr>
        <w:ptab w:relativeTo="margin" w:alignment="right" w:leader="dot"/>
      </w:r>
      <w:r w:rsidR="00FE278B" w:rsidRPr="00257CD4">
        <w:rPr>
          <w:rFonts w:ascii="Open Sans" w:hAnsi="Open Sans" w:cs="Open Sans"/>
          <w:sz w:val="20"/>
          <w:szCs w:val="20"/>
        </w:rPr>
        <w:t>6</w:t>
      </w:r>
      <w:r w:rsidR="008C56BD">
        <w:rPr>
          <w:rFonts w:ascii="Open Sans" w:hAnsi="Open Sans" w:cs="Open Sans"/>
          <w:sz w:val="20"/>
          <w:szCs w:val="20"/>
        </w:rPr>
        <w:t>5</w:t>
      </w:r>
    </w:p>
    <w:p w14:paraId="3E3D551C" w14:textId="0F142AE8" w:rsidR="00A32227" w:rsidRPr="00257CD4" w:rsidRDefault="00A32227" w:rsidP="00863CE0">
      <w:pPr>
        <w:pStyle w:val="Prrafodelista"/>
        <w:spacing w:after="0" w:line="276" w:lineRule="auto"/>
        <w:ind w:left="0"/>
        <w:jc w:val="both"/>
        <w:rPr>
          <w:rFonts w:ascii="Open Sans" w:hAnsi="Open Sans" w:cs="Open Sans"/>
          <w:sz w:val="20"/>
          <w:szCs w:val="20"/>
        </w:rPr>
      </w:pPr>
      <w:r w:rsidRPr="00257CD4">
        <w:rPr>
          <w:rFonts w:ascii="Open Sans" w:hAnsi="Open Sans" w:cs="Open Sans"/>
          <w:b/>
          <w:bCs/>
          <w:sz w:val="20"/>
          <w:szCs w:val="20"/>
        </w:rPr>
        <w:t>Tabla 11.</w:t>
      </w:r>
      <w:r w:rsidRPr="00257CD4">
        <w:rPr>
          <w:rFonts w:ascii="Open Sans" w:hAnsi="Open Sans" w:cs="Open Sans"/>
          <w:sz w:val="20"/>
          <w:szCs w:val="20"/>
        </w:rPr>
        <w:t xml:space="preserve"> </w:t>
      </w:r>
      <w:r w:rsidR="00A654A9" w:rsidRPr="00257CD4">
        <w:rPr>
          <w:rFonts w:ascii="Open Sans" w:hAnsi="Open Sans" w:cs="Open Sans"/>
          <w:sz w:val="20"/>
          <w:szCs w:val="20"/>
        </w:rPr>
        <w:t>Estado de situación de los expedientes de análisis e investigación</w:t>
      </w:r>
      <w:r w:rsidRPr="00257CD4">
        <w:rPr>
          <w:rFonts w:ascii="Open Sans" w:hAnsi="Open Sans" w:cs="Open Sans"/>
          <w:sz w:val="20"/>
          <w:szCs w:val="20"/>
        </w:rPr>
        <w:t xml:space="preserve"> </w:t>
      </w:r>
      <w:r w:rsidR="00863CE0" w:rsidRPr="00257CD4">
        <w:rPr>
          <w:rFonts w:ascii="Open Sans" w:hAnsi="Open Sans" w:cs="Open Sans"/>
          <w:sz w:val="20"/>
          <w:szCs w:val="20"/>
        </w:rPr>
        <w:ptab w:relativeTo="margin" w:alignment="right" w:leader="dot"/>
      </w:r>
      <w:r w:rsidR="00A00829" w:rsidRPr="00257CD4">
        <w:rPr>
          <w:rFonts w:ascii="Open Sans" w:hAnsi="Open Sans" w:cs="Open Sans"/>
          <w:sz w:val="20"/>
          <w:szCs w:val="20"/>
        </w:rPr>
        <w:t>6</w:t>
      </w:r>
      <w:r w:rsidR="008C56BD">
        <w:rPr>
          <w:rFonts w:ascii="Open Sans" w:hAnsi="Open Sans" w:cs="Open Sans"/>
          <w:sz w:val="20"/>
          <w:szCs w:val="20"/>
        </w:rPr>
        <w:t>9</w:t>
      </w:r>
    </w:p>
    <w:p w14:paraId="11D47456" w14:textId="749A43F2" w:rsidR="001E295B" w:rsidRPr="00257CD4" w:rsidRDefault="00A32227" w:rsidP="00863CE0">
      <w:pPr>
        <w:pStyle w:val="Prrafodelista"/>
        <w:spacing w:after="0" w:line="276" w:lineRule="auto"/>
        <w:ind w:left="0"/>
        <w:jc w:val="both"/>
        <w:rPr>
          <w:rFonts w:ascii="Open Sans" w:hAnsi="Open Sans" w:cs="Open Sans"/>
          <w:sz w:val="20"/>
          <w:szCs w:val="20"/>
        </w:rPr>
      </w:pPr>
      <w:r w:rsidRPr="00257CD4">
        <w:rPr>
          <w:rFonts w:ascii="Open Sans" w:hAnsi="Open Sans" w:cs="Open Sans"/>
          <w:b/>
          <w:bCs/>
          <w:sz w:val="20"/>
          <w:szCs w:val="20"/>
        </w:rPr>
        <w:t>Tabla 12.</w:t>
      </w:r>
      <w:r w:rsidRPr="00257CD4">
        <w:rPr>
          <w:rFonts w:ascii="Open Sans" w:hAnsi="Open Sans" w:cs="Open Sans"/>
          <w:sz w:val="20"/>
          <w:szCs w:val="20"/>
        </w:rPr>
        <w:t xml:space="preserve"> </w:t>
      </w:r>
      <w:r w:rsidR="00A654A9" w:rsidRPr="00257CD4">
        <w:rPr>
          <w:rFonts w:ascii="Open Sans" w:hAnsi="Open Sans" w:cs="Open Sans"/>
          <w:sz w:val="20"/>
          <w:szCs w:val="20"/>
        </w:rPr>
        <w:t>Tabla resumen de expedientes tramitad</w:t>
      </w:r>
      <w:r w:rsidR="005308FD" w:rsidRPr="00257CD4">
        <w:rPr>
          <w:rFonts w:ascii="Open Sans" w:hAnsi="Open Sans" w:cs="Open Sans"/>
          <w:sz w:val="20"/>
          <w:szCs w:val="20"/>
        </w:rPr>
        <w:t>o</w:t>
      </w:r>
      <w:r w:rsidR="00A654A9" w:rsidRPr="00257CD4">
        <w:rPr>
          <w:rFonts w:ascii="Open Sans" w:hAnsi="Open Sans" w:cs="Open Sans"/>
          <w:sz w:val="20"/>
          <w:szCs w:val="20"/>
        </w:rPr>
        <w:t>s en 2019</w:t>
      </w:r>
      <w:r w:rsidRPr="00257CD4">
        <w:rPr>
          <w:rFonts w:ascii="Open Sans" w:hAnsi="Open Sans" w:cs="Open Sans"/>
          <w:sz w:val="20"/>
          <w:szCs w:val="20"/>
        </w:rPr>
        <w:t xml:space="preserve"> </w:t>
      </w:r>
      <w:r w:rsidR="00863CE0" w:rsidRPr="00257CD4">
        <w:rPr>
          <w:rFonts w:ascii="Open Sans" w:hAnsi="Open Sans" w:cs="Open Sans"/>
          <w:sz w:val="20"/>
          <w:szCs w:val="20"/>
        </w:rPr>
        <w:ptab w:relativeTo="margin" w:alignment="right" w:leader="dot"/>
      </w:r>
      <w:r w:rsidR="008C56BD">
        <w:rPr>
          <w:rFonts w:ascii="Open Sans" w:hAnsi="Open Sans" w:cs="Open Sans"/>
          <w:sz w:val="20"/>
          <w:szCs w:val="20"/>
        </w:rPr>
        <w:t>70</w:t>
      </w:r>
    </w:p>
    <w:p w14:paraId="42391B89" w14:textId="116BC75D" w:rsidR="00A32227" w:rsidRPr="00257CD4" w:rsidRDefault="00A32227" w:rsidP="00863CE0">
      <w:pPr>
        <w:pStyle w:val="Prrafodelista"/>
        <w:spacing w:after="0" w:line="276" w:lineRule="auto"/>
        <w:ind w:left="0"/>
        <w:jc w:val="both"/>
        <w:rPr>
          <w:rFonts w:ascii="Open Sans" w:hAnsi="Open Sans" w:cs="Open Sans"/>
          <w:sz w:val="20"/>
          <w:szCs w:val="20"/>
        </w:rPr>
      </w:pPr>
      <w:r w:rsidRPr="00257CD4">
        <w:rPr>
          <w:rFonts w:ascii="Open Sans" w:hAnsi="Open Sans" w:cs="Open Sans"/>
          <w:b/>
          <w:bCs/>
          <w:sz w:val="20"/>
          <w:szCs w:val="20"/>
        </w:rPr>
        <w:t>Tabla 1</w:t>
      </w:r>
      <w:r w:rsidR="001E295B" w:rsidRPr="00257CD4">
        <w:rPr>
          <w:rFonts w:ascii="Open Sans" w:hAnsi="Open Sans" w:cs="Open Sans"/>
          <w:b/>
          <w:bCs/>
          <w:sz w:val="20"/>
          <w:szCs w:val="20"/>
        </w:rPr>
        <w:t>3</w:t>
      </w:r>
      <w:r w:rsidRPr="00257CD4">
        <w:rPr>
          <w:rFonts w:ascii="Open Sans" w:hAnsi="Open Sans" w:cs="Open Sans"/>
          <w:b/>
          <w:bCs/>
          <w:sz w:val="20"/>
          <w:szCs w:val="20"/>
        </w:rPr>
        <w:t>.</w:t>
      </w:r>
      <w:r w:rsidRPr="00257CD4">
        <w:rPr>
          <w:rFonts w:ascii="Open Sans" w:hAnsi="Open Sans" w:cs="Open Sans"/>
          <w:sz w:val="20"/>
          <w:szCs w:val="20"/>
        </w:rPr>
        <w:t xml:space="preserve"> </w:t>
      </w:r>
      <w:r w:rsidR="00A654A9" w:rsidRPr="00257CD4">
        <w:rPr>
          <w:rFonts w:ascii="Open Sans" w:hAnsi="Open Sans" w:cs="Open Sans"/>
          <w:sz w:val="20"/>
          <w:szCs w:val="20"/>
        </w:rPr>
        <w:t>Actos con participación de la Agencia</w:t>
      </w:r>
      <w:r w:rsidRPr="00257CD4">
        <w:rPr>
          <w:rFonts w:ascii="Open Sans" w:hAnsi="Open Sans" w:cs="Open Sans"/>
          <w:sz w:val="20"/>
          <w:szCs w:val="20"/>
        </w:rPr>
        <w:t xml:space="preserve"> </w:t>
      </w:r>
      <w:r w:rsidR="00863CE0" w:rsidRPr="00257CD4">
        <w:rPr>
          <w:rFonts w:ascii="Open Sans" w:hAnsi="Open Sans" w:cs="Open Sans"/>
          <w:sz w:val="20"/>
          <w:szCs w:val="20"/>
        </w:rPr>
        <w:ptab w:relativeTo="margin" w:alignment="right" w:leader="dot"/>
      </w:r>
      <w:r w:rsidR="00A2227E">
        <w:rPr>
          <w:rFonts w:ascii="Open Sans" w:hAnsi="Open Sans" w:cs="Open Sans"/>
          <w:sz w:val="20"/>
          <w:szCs w:val="20"/>
        </w:rPr>
        <w:t>16</w:t>
      </w:r>
      <w:r w:rsidR="001C41EC">
        <w:rPr>
          <w:rFonts w:ascii="Open Sans" w:hAnsi="Open Sans" w:cs="Open Sans"/>
          <w:sz w:val="20"/>
          <w:szCs w:val="20"/>
        </w:rPr>
        <w:t>5</w:t>
      </w:r>
    </w:p>
    <w:p w14:paraId="23E2279F" w14:textId="23DEAB37" w:rsidR="00A32227" w:rsidRPr="00257CD4" w:rsidRDefault="00A32227" w:rsidP="00863CE0">
      <w:pPr>
        <w:pStyle w:val="Prrafodelista"/>
        <w:spacing w:after="0" w:line="276" w:lineRule="auto"/>
        <w:ind w:left="0"/>
        <w:jc w:val="both"/>
        <w:rPr>
          <w:rFonts w:ascii="Open Sans" w:hAnsi="Open Sans" w:cs="Open Sans"/>
          <w:sz w:val="20"/>
          <w:szCs w:val="20"/>
        </w:rPr>
      </w:pPr>
      <w:r w:rsidRPr="00257CD4">
        <w:rPr>
          <w:rFonts w:ascii="Open Sans" w:hAnsi="Open Sans" w:cs="Open Sans"/>
          <w:b/>
          <w:bCs/>
          <w:sz w:val="20"/>
          <w:szCs w:val="20"/>
        </w:rPr>
        <w:t>Tabla 1</w:t>
      </w:r>
      <w:r w:rsidR="001E295B" w:rsidRPr="00257CD4">
        <w:rPr>
          <w:rFonts w:ascii="Open Sans" w:hAnsi="Open Sans" w:cs="Open Sans"/>
          <w:b/>
          <w:bCs/>
          <w:sz w:val="20"/>
          <w:szCs w:val="20"/>
        </w:rPr>
        <w:t>4</w:t>
      </w:r>
      <w:r w:rsidRPr="00257CD4">
        <w:rPr>
          <w:rFonts w:ascii="Open Sans" w:hAnsi="Open Sans" w:cs="Open Sans"/>
          <w:sz w:val="20"/>
          <w:szCs w:val="20"/>
        </w:rPr>
        <w:t xml:space="preserve">. </w:t>
      </w:r>
      <w:r w:rsidR="00A70476" w:rsidRPr="00257CD4">
        <w:rPr>
          <w:rFonts w:ascii="Open Sans" w:hAnsi="Open Sans" w:cs="Open Sans"/>
          <w:sz w:val="20"/>
          <w:szCs w:val="20"/>
        </w:rPr>
        <w:t xml:space="preserve">Conferencias impartidas por la </w:t>
      </w:r>
      <w:r w:rsidRPr="00257CD4">
        <w:rPr>
          <w:rFonts w:ascii="Open Sans" w:hAnsi="Open Sans" w:cs="Open Sans"/>
          <w:sz w:val="20"/>
          <w:szCs w:val="20"/>
        </w:rPr>
        <w:t xml:space="preserve">Agencia </w:t>
      </w:r>
      <w:r w:rsidR="00863CE0" w:rsidRPr="00257CD4">
        <w:rPr>
          <w:rFonts w:ascii="Open Sans" w:hAnsi="Open Sans" w:cs="Open Sans"/>
          <w:sz w:val="20"/>
          <w:szCs w:val="20"/>
        </w:rPr>
        <w:ptab w:relativeTo="margin" w:alignment="right" w:leader="dot"/>
      </w:r>
      <w:r w:rsidR="00F906FF" w:rsidRPr="00257CD4">
        <w:rPr>
          <w:rFonts w:ascii="Open Sans" w:hAnsi="Open Sans" w:cs="Open Sans"/>
          <w:sz w:val="20"/>
          <w:szCs w:val="20"/>
        </w:rPr>
        <w:t>1</w:t>
      </w:r>
      <w:r w:rsidR="00A2227E">
        <w:rPr>
          <w:rFonts w:ascii="Open Sans" w:hAnsi="Open Sans" w:cs="Open Sans"/>
          <w:sz w:val="20"/>
          <w:szCs w:val="20"/>
        </w:rPr>
        <w:t>6</w:t>
      </w:r>
      <w:r w:rsidR="001C41EC">
        <w:rPr>
          <w:rFonts w:ascii="Open Sans" w:hAnsi="Open Sans" w:cs="Open Sans"/>
          <w:sz w:val="20"/>
          <w:szCs w:val="20"/>
        </w:rPr>
        <w:t>5</w:t>
      </w:r>
    </w:p>
    <w:p w14:paraId="3616B1DD" w14:textId="34F9F77B" w:rsidR="00A32227" w:rsidRPr="00257CD4" w:rsidRDefault="00A32227" w:rsidP="00863CE0">
      <w:pPr>
        <w:pStyle w:val="Prrafodelista"/>
        <w:spacing w:after="0" w:line="276" w:lineRule="auto"/>
        <w:ind w:left="0"/>
        <w:jc w:val="both"/>
        <w:rPr>
          <w:rFonts w:ascii="Open Sans" w:hAnsi="Open Sans" w:cs="Open Sans"/>
          <w:sz w:val="20"/>
          <w:szCs w:val="20"/>
        </w:rPr>
      </w:pPr>
      <w:r w:rsidRPr="00257CD4">
        <w:rPr>
          <w:rFonts w:ascii="Open Sans" w:hAnsi="Open Sans" w:cs="Open Sans"/>
          <w:b/>
          <w:bCs/>
          <w:sz w:val="20"/>
          <w:szCs w:val="20"/>
        </w:rPr>
        <w:t>Tabla 1</w:t>
      </w:r>
      <w:r w:rsidR="001E295B" w:rsidRPr="00257CD4">
        <w:rPr>
          <w:rFonts w:ascii="Open Sans" w:hAnsi="Open Sans" w:cs="Open Sans"/>
          <w:b/>
          <w:bCs/>
          <w:sz w:val="20"/>
          <w:szCs w:val="20"/>
        </w:rPr>
        <w:t>5</w:t>
      </w:r>
      <w:r w:rsidRPr="00257CD4">
        <w:rPr>
          <w:rFonts w:ascii="Open Sans" w:hAnsi="Open Sans" w:cs="Open Sans"/>
          <w:sz w:val="20"/>
          <w:szCs w:val="20"/>
        </w:rPr>
        <w:t xml:space="preserve">. </w:t>
      </w:r>
      <w:r w:rsidR="00A70476" w:rsidRPr="00257CD4">
        <w:rPr>
          <w:rFonts w:ascii="Open Sans" w:hAnsi="Open Sans" w:cs="Open Sans"/>
          <w:sz w:val="20"/>
          <w:szCs w:val="20"/>
        </w:rPr>
        <w:t>Entrevistas y reuniones mantenidas por el director de la Agencia</w:t>
      </w:r>
      <w:r w:rsidRPr="00257CD4">
        <w:rPr>
          <w:rFonts w:ascii="Open Sans" w:hAnsi="Open Sans" w:cs="Open Sans"/>
          <w:sz w:val="20"/>
          <w:szCs w:val="20"/>
        </w:rPr>
        <w:t xml:space="preserve"> </w:t>
      </w:r>
      <w:r w:rsidR="00863CE0" w:rsidRPr="00257CD4">
        <w:rPr>
          <w:rFonts w:ascii="Open Sans" w:hAnsi="Open Sans" w:cs="Open Sans"/>
          <w:sz w:val="20"/>
          <w:szCs w:val="20"/>
        </w:rPr>
        <w:ptab w:relativeTo="margin" w:alignment="right" w:leader="dot"/>
      </w:r>
      <w:r w:rsidR="00F906FF" w:rsidRPr="00257CD4">
        <w:rPr>
          <w:rFonts w:ascii="Open Sans" w:hAnsi="Open Sans" w:cs="Open Sans"/>
          <w:sz w:val="20"/>
          <w:szCs w:val="20"/>
        </w:rPr>
        <w:t>1</w:t>
      </w:r>
      <w:r w:rsidR="00A2227E">
        <w:rPr>
          <w:rFonts w:ascii="Open Sans" w:hAnsi="Open Sans" w:cs="Open Sans"/>
          <w:sz w:val="20"/>
          <w:szCs w:val="20"/>
        </w:rPr>
        <w:t>6</w:t>
      </w:r>
      <w:r w:rsidR="001C41EC">
        <w:rPr>
          <w:rFonts w:ascii="Open Sans" w:hAnsi="Open Sans" w:cs="Open Sans"/>
          <w:sz w:val="20"/>
          <w:szCs w:val="20"/>
        </w:rPr>
        <w:t>8</w:t>
      </w:r>
    </w:p>
    <w:p w14:paraId="1FB2407B" w14:textId="0619C560" w:rsidR="00A32227" w:rsidRPr="00257CD4" w:rsidRDefault="00A32227" w:rsidP="00863CE0">
      <w:pPr>
        <w:pStyle w:val="Prrafodelista"/>
        <w:spacing w:after="0" w:line="276" w:lineRule="auto"/>
        <w:ind w:left="0"/>
        <w:jc w:val="both"/>
        <w:rPr>
          <w:rFonts w:ascii="Open Sans" w:hAnsi="Open Sans" w:cs="Open Sans"/>
          <w:sz w:val="20"/>
          <w:szCs w:val="20"/>
        </w:rPr>
      </w:pPr>
      <w:r w:rsidRPr="00257CD4">
        <w:rPr>
          <w:rFonts w:ascii="Open Sans" w:hAnsi="Open Sans" w:cs="Open Sans"/>
          <w:b/>
          <w:bCs/>
          <w:sz w:val="20"/>
          <w:szCs w:val="20"/>
        </w:rPr>
        <w:t>Tabla 1</w:t>
      </w:r>
      <w:r w:rsidR="001E295B" w:rsidRPr="00257CD4">
        <w:rPr>
          <w:rFonts w:ascii="Open Sans" w:hAnsi="Open Sans" w:cs="Open Sans"/>
          <w:b/>
          <w:bCs/>
          <w:sz w:val="20"/>
          <w:szCs w:val="20"/>
        </w:rPr>
        <w:t>6</w:t>
      </w:r>
      <w:r w:rsidRPr="00257CD4">
        <w:rPr>
          <w:rFonts w:ascii="Open Sans" w:hAnsi="Open Sans" w:cs="Open Sans"/>
          <w:b/>
          <w:bCs/>
          <w:sz w:val="20"/>
          <w:szCs w:val="20"/>
        </w:rPr>
        <w:t>.</w:t>
      </w:r>
      <w:r w:rsidRPr="00257CD4">
        <w:rPr>
          <w:rFonts w:ascii="Open Sans" w:hAnsi="Open Sans" w:cs="Open Sans"/>
          <w:sz w:val="20"/>
          <w:szCs w:val="20"/>
        </w:rPr>
        <w:t xml:space="preserve"> </w:t>
      </w:r>
      <w:r w:rsidR="00A70476" w:rsidRPr="00257CD4">
        <w:rPr>
          <w:rFonts w:ascii="Open Sans" w:hAnsi="Open Sans" w:cs="Open Sans"/>
          <w:sz w:val="20"/>
          <w:szCs w:val="20"/>
        </w:rPr>
        <w:t>Entrevistas año 2019</w:t>
      </w:r>
      <w:r w:rsidRPr="00257CD4">
        <w:rPr>
          <w:rFonts w:ascii="Open Sans" w:hAnsi="Open Sans" w:cs="Open Sans"/>
          <w:sz w:val="20"/>
          <w:szCs w:val="20"/>
        </w:rPr>
        <w:t xml:space="preserve"> </w:t>
      </w:r>
      <w:r w:rsidR="00863CE0" w:rsidRPr="00257CD4">
        <w:rPr>
          <w:rFonts w:ascii="Open Sans" w:hAnsi="Open Sans" w:cs="Open Sans"/>
          <w:sz w:val="20"/>
          <w:szCs w:val="20"/>
        </w:rPr>
        <w:ptab w:relativeTo="margin" w:alignment="right" w:leader="dot"/>
      </w:r>
      <w:r w:rsidR="00C41CFD" w:rsidRPr="00257CD4">
        <w:rPr>
          <w:rFonts w:ascii="Open Sans" w:hAnsi="Open Sans" w:cs="Open Sans"/>
          <w:sz w:val="20"/>
          <w:szCs w:val="20"/>
        </w:rPr>
        <w:t>1</w:t>
      </w:r>
      <w:r w:rsidR="00A2227E">
        <w:rPr>
          <w:rFonts w:ascii="Open Sans" w:hAnsi="Open Sans" w:cs="Open Sans"/>
          <w:sz w:val="20"/>
          <w:szCs w:val="20"/>
        </w:rPr>
        <w:t>7</w:t>
      </w:r>
      <w:r w:rsidR="001C41EC">
        <w:rPr>
          <w:rFonts w:ascii="Open Sans" w:hAnsi="Open Sans" w:cs="Open Sans"/>
          <w:sz w:val="20"/>
          <w:szCs w:val="20"/>
        </w:rPr>
        <w:t>4</w:t>
      </w:r>
    </w:p>
    <w:p w14:paraId="14607651" w14:textId="361AD89F" w:rsidR="00A32227" w:rsidRPr="00257CD4" w:rsidRDefault="00A32227" w:rsidP="00863CE0">
      <w:pPr>
        <w:pStyle w:val="Prrafodelista"/>
        <w:spacing w:after="0" w:line="276" w:lineRule="auto"/>
        <w:ind w:left="0"/>
        <w:jc w:val="both"/>
        <w:rPr>
          <w:rFonts w:ascii="Open Sans" w:hAnsi="Open Sans" w:cs="Open Sans"/>
          <w:sz w:val="20"/>
          <w:szCs w:val="20"/>
        </w:rPr>
      </w:pPr>
      <w:r w:rsidRPr="00257CD4">
        <w:rPr>
          <w:rFonts w:ascii="Open Sans" w:hAnsi="Open Sans" w:cs="Open Sans"/>
          <w:b/>
          <w:bCs/>
          <w:sz w:val="20"/>
          <w:szCs w:val="20"/>
        </w:rPr>
        <w:t>Tabla 1</w:t>
      </w:r>
      <w:r w:rsidR="001E295B" w:rsidRPr="00257CD4">
        <w:rPr>
          <w:rFonts w:ascii="Open Sans" w:hAnsi="Open Sans" w:cs="Open Sans"/>
          <w:b/>
          <w:bCs/>
          <w:sz w:val="20"/>
          <w:szCs w:val="20"/>
        </w:rPr>
        <w:t>7</w:t>
      </w:r>
      <w:r w:rsidR="00B11BFA">
        <w:rPr>
          <w:rFonts w:ascii="Open Sans" w:hAnsi="Open Sans" w:cs="Open Sans"/>
          <w:b/>
          <w:bCs/>
          <w:sz w:val="20"/>
          <w:szCs w:val="20"/>
        </w:rPr>
        <w:t>.</w:t>
      </w:r>
      <w:r w:rsidRPr="00257CD4">
        <w:rPr>
          <w:rFonts w:ascii="Open Sans" w:hAnsi="Open Sans" w:cs="Open Sans"/>
          <w:sz w:val="20"/>
          <w:szCs w:val="20"/>
        </w:rPr>
        <w:t xml:space="preserve"> </w:t>
      </w:r>
      <w:r w:rsidR="00A70476" w:rsidRPr="00257CD4">
        <w:rPr>
          <w:rFonts w:ascii="Open Sans" w:hAnsi="Open Sans" w:cs="Open Sans"/>
          <w:sz w:val="20"/>
          <w:szCs w:val="20"/>
        </w:rPr>
        <w:t>Notas de prensa año 2019</w:t>
      </w:r>
      <w:r w:rsidR="00863CE0" w:rsidRPr="00257CD4">
        <w:rPr>
          <w:rFonts w:ascii="Open Sans" w:hAnsi="Open Sans" w:cs="Open Sans"/>
          <w:sz w:val="20"/>
          <w:szCs w:val="20"/>
        </w:rPr>
        <w:ptab w:relativeTo="margin" w:alignment="right" w:leader="dot"/>
      </w:r>
      <w:r w:rsidR="00C41CFD" w:rsidRPr="00257CD4">
        <w:rPr>
          <w:rFonts w:ascii="Open Sans" w:hAnsi="Open Sans" w:cs="Open Sans"/>
          <w:sz w:val="20"/>
          <w:szCs w:val="20"/>
        </w:rPr>
        <w:t>1</w:t>
      </w:r>
      <w:r w:rsidR="00A2227E">
        <w:rPr>
          <w:rFonts w:ascii="Open Sans" w:hAnsi="Open Sans" w:cs="Open Sans"/>
          <w:sz w:val="20"/>
          <w:szCs w:val="20"/>
        </w:rPr>
        <w:t>7</w:t>
      </w:r>
      <w:r w:rsidR="00D15B66">
        <w:rPr>
          <w:rFonts w:ascii="Open Sans" w:hAnsi="Open Sans" w:cs="Open Sans"/>
          <w:sz w:val="20"/>
          <w:szCs w:val="20"/>
        </w:rPr>
        <w:t>5</w:t>
      </w:r>
    </w:p>
    <w:p w14:paraId="53A7CDC7" w14:textId="51FDF989" w:rsidR="00A32227" w:rsidRPr="00257CD4" w:rsidRDefault="00A32227" w:rsidP="00863CE0">
      <w:pPr>
        <w:pStyle w:val="Prrafodelista"/>
        <w:spacing w:after="0" w:line="276" w:lineRule="auto"/>
        <w:ind w:left="0"/>
        <w:jc w:val="both"/>
        <w:rPr>
          <w:rFonts w:ascii="Open Sans" w:hAnsi="Open Sans" w:cs="Open Sans"/>
          <w:sz w:val="20"/>
          <w:szCs w:val="20"/>
        </w:rPr>
      </w:pPr>
      <w:r w:rsidRPr="00257CD4">
        <w:rPr>
          <w:rFonts w:ascii="Open Sans" w:hAnsi="Open Sans" w:cs="Open Sans"/>
          <w:b/>
          <w:bCs/>
          <w:sz w:val="20"/>
          <w:szCs w:val="20"/>
        </w:rPr>
        <w:t xml:space="preserve">Tabla </w:t>
      </w:r>
      <w:r w:rsidR="001E295B" w:rsidRPr="00257CD4">
        <w:rPr>
          <w:rFonts w:ascii="Open Sans" w:hAnsi="Open Sans" w:cs="Open Sans"/>
          <w:b/>
          <w:bCs/>
          <w:sz w:val="20"/>
          <w:szCs w:val="20"/>
        </w:rPr>
        <w:t>18</w:t>
      </w:r>
      <w:r w:rsidRPr="00257CD4">
        <w:rPr>
          <w:rFonts w:ascii="Open Sans" w:hAnsi="Open Sans" w:cs="Open Sans"/>
          <w:b/>
          <w:bCs/>
          <w:sz w:val="20"/>
          <w:szCs w:val="20"/>
        </w:rPr>
        <w:t xml:space="preserve">. </w:t>
      </w:r>
      <w:r w:rsidR="00A70476" w:rsidRPr="00257CD4">
        <w:rPr>
          <w:rFonts w:ascii="Open Sans" w:hAnsi="Open Sans" w:cs="Open Sans"/>
          <w:sz w:val="20"/>
          <w:szCs w:val="20"/>
        </w:rPr>
        <w:t>Publicaciones en boletines oficiales año 2019</w:t>
      </w:r>
      <w:r w:rsidRPr="00257CD4">
        <w:rPr>
          <w:rFonts w:ascii="Open Sans" w:hAnsi="Open Sans" w:cs="Open Sans"/>
          <w:sz w:val="20"/>
          <w:szCs w:val="20"/>
        </w:rPr>
        <w:t xml:space="preserve"> </w:t>
      </w:r>
      <w:r w:rsidR="00863CE0" w:rsidRPr="00257CD4">
        <w:rPr>
          <w:rFonts w:ascii="Open Sans" w:hAnsi="Open Sans" w:cs="Open Sans"/>
          <w:sz w:val="20"/>
          <w:szCs w:val="20"/>
        </w:rPr>
        <w:ptab w:relativeTo="margin" w:alignment="right" w:leader="dot"/>
      </w:r>
      <w:r w:rsidR="00C41CFD" w:rsidRPr="00257CD4">
        <w:rPr>
          <w:rFonts w:ascii="Open Sans" w:hAnsi="Open Sans" w:cs="Open Sans"/>
          <w:sz w:val="20"/>
          <w:szCs w:val="20"/>
        </w:rPr>
        <w:t>1</w:t>
      </w:r>
      <w:r w:rsidR="00A2227E">
        <w:rPr>
          <w:rFonts w:ascii="Open Sans" w:hAnsi="Open Sans" w:cs="Open Sans"/>
          <w:sz w:val="20"/>
          <w:szCs w:val="20"/>
        </w:rPr>
        <w:t>7</w:t>
      </w:r>
      <w:r w:rsidR="00D15B66">
        <w:rPr>
          <w:rFonts w:ascii="Open Sans" w:hAnsi="Open Sans" w:cs="Open Sans"/>
          <w:sz w:val="20"/>
          <w:szCs w:val="20"/>
        </w:rPr>
        <w:t>7</w:t>
      </w:r>
    </w:p>
    <w:p w14:paraId="33AE2D5E" w14:textId="51999EB0" w:rsidR="00AD140C" w:rsidRPr="00257CD4" w:rsidRDefault="00AD140C" w:rsidP="004063ED">
      <w:pPr>
        <w:pStyle w:val="Prrafodelista"/>
        <w:spacing w:after="0" w:line="276" w:lineRule="auto"/>
        <w:ind w:left="964" w:hanging="964"/>
        <w:jc w:val="both"/>
        <w:rPr>
          <w:rFonts w:ascii="Open Sans" w:hAnsi="Open Sans" w:cs="Open Sans"/>
          <w:sz w:val="20"/>
          <w:szCs w:val="20"/>
        </w:rPr>
      </w:pPr>
      <w:r w:rsidRPr="00257CD4">
        <w:rPr>
          <w:rFonts w:ascii="Open Sans" w:hAnsi="Open Sans" w:cs="Open Sans"/>
          <w:b/>
          <w:sz w:val="20"/>
          <w:szCs w:val="20"/>
        </w:rPr>
        <w:t>Tabla 19.</w:t>
      </w:r>
      <w:r w:rsidRPr="00257CD4">
        <w:rPr>
          <w:rFonts w:ascii="Open Sans" w:hAnsi="Open Sans" w:cs="Open Sans"/>
          <w:sz w:val="20"/>
          <w:szCs w:val="20"/>
        </w:rPr>
        <w:t xml:space="preserve"> Puestos de trabajo adscritos a las unidades administrativas en las que se organiza la Agencia</w:t>
      </w:r>
      <w:r w:rsidR="001F7C08" w:rsidRPr="00257CD4">
        <w:rPr>
          <w:rFonts w:ascii="Open Sans" w:hAnsi="Open Sans" w:cs="Open Sans"/>
          <w:sz w:val="20"/>
          <w:szCs w:val="20"/>
        </w:rPr>
        <w:ptab w:relativeTo="margin" w:alignment="right" w:leader="dot"/>
      </w:r>
      <w:r w:rsidR="00C41CFD" w:rsidRPr="00257CD4">
        <w:rPr>
          <w:rFonts w:ascii="Open Sans" w:hAnsi="Open Sans" w:cs="Open Sans"/>
          <w:sz w:val="20"/>
          <w:szCs w:val="20"/>
        </w:rPr>
        <w:t>1</w:t>
      </w:r>
      <w:r w:rsidR="00274807">
        <w:rPr>
          <w:rFonts w:ascii="Open Sans" w:hAnsi="Open Sans" w:cs="Open Sans"/>
          <w:sz w:val="20"/>
          <w:szCs w:val="20"/>
        </w:rPr>
        <w:t>8</w:t>
      </w:r>
      <w:r w:rsidR="005F2C30">
        <w:rPr>
          <w:rFonts w:ascii="Open Sans" w:hAnsi="Open Sans" w:cs="Open Sans"/>
          <w:sz w:val="20"/>
          <w:szCs w:val="20"/>
        </w:rPr>
        <w:t>6</w:t>
      </w:r>
    </w:p>
    <w:p w14:paraId="29213188" w14:textId="271AF2DD" w:rsidR="00AD140C" w:rsidRPr="00257CD4" w:rsidRDefault="00AD140C" w:rsidP="00863CE0">
      <w:pPr>
        <w:pStyle w:val="Prrafodelista"/>
        <w:spacing w:after="0" w:line="276" w:lineRule="auto"/>
        <w:ind w:left="0"/>
        <w:jc w:val="both"/>
        <w:rPr>
          <w:rFonts w:ascii="Open Sans" w:hAnsi="Open Sans" w:cs="Open Sans"/>
          <w:sz w:val="20"/>
          <w:szCs w:val="20"/>
        </w:rPr>
      </w:pPr>
      <w:r w:rsidRPr="00257CD4">
        <w:rPr>
          <w:rFonts w:ascii="Open Sans" w:hAnsi="Open Sans" w:cs="Open Sans"/>
          <w:b/>
          <w:sz w:val="20"/>
          <w:szCs w:val="20"/>
        </w:rPr>
        <w:t>Tabla 20.</w:t>
      </w:r>
      <w:r w:rsidRPr="00257CD4">
        <w:rPr>
          <w:rFonts w:ascii="Open Sans" w:hAnsi="Open Sans" w:cs="Open Sans"/>
          <w:sz w:val="20"/>
          <w:szCs w:val="20"/>
        </w:rPr>
        <w:t xml:space="preserve"> Procesos de provisión de puestos de trabajo durante el ejercicio 2019</w:t>
      </w:r>
      <w:r w:rsidR="001F7C08" w:rsidRPr="00257CD4">
        <w:rPr>
          <w:rFonts w:ascii="Open Sans" w:hAnsi="Open Sans" w:cs="Open Sans"/>
          <w:sz w:val="20"/>
          <w:szCs w:val="20"/>
        </w:rPr>
        <w:ptab w:relativeTo="margin" w:alignment="right" w:leader="dot"/>
      </w:r>
      <w:r w:rsidR="00C41CFD" w:rsidRPr="00257CD4">
        <w:rPr>
          <w:rFonts w:ascii="Open Sans" w:hAnsi="Open Sans" w:cs="Open Sans"/>
          <w:sz w:val="20"/>
          <w:szCs w:val="20"/>
        </w:rPr>
        <w:t>1</w:t>
      </w:r>
      <w:r w:rsidR="002516FB">
        <w:rPr>
          <w:rFonts w:ascii="Open Sans" w:hAnsi="Open Sans" w:cs="Open Sans"/>
          <w:sz w:val="20"/>
          <w:szCs w:val="20"/>
        </w:rPr>
        <w:t>8</w:t>
      </w:r>
      <w:r w:rsidR="005F2C30">
        <w:rPr>
          <w:rFonts w:ascii="Open Sans" w:hAnsi="Open Sans" w:cs="Open Sans"/>
          <w:sz w:val="20"/>
          <w:szCs w:val="20"/>
        </w:rPr>
        <w:t>9</w:t>
      </w:r>
    </w:p>
    <w:p w14:paraId="26534F1C" w14:textId="5CBEE17B" w:rsidR="00AD140C" w:rsidRPr="00257CD4" w:rsidRDefault="00AD140C" w:rsidP="004063ED">
      <w:pPr>
        <w:pStyle w:val="Prrafodelista"/>
        <w:spacing w:after="0" w:line="276" w:lineRule="auto"/>
        <w:ind w:left="964" w:hanging="964"/>
        <w:rPr>
          <w:rFonts w:ascii="Open Sans" w:hAnsi="Open Sans" w:cs="Open Sans"/>
          <w:sz w:val="20"/>
          <w:szCs w:val="20"/>
        </w:rPr>
      </w:pPr>
      <w:r w:rsidRPr="00257CD4">
        <w:rPr>
          <w:rFonts w:ascii="Open Sans" w:hAnsi="Open Sans" w:cs="Open Sans"/>
          <w:b/>
          <w:sz w:val="20"/>
          <w:szCs w:val="20"/>
        </w:rPr>
        <w:t>Tabla 21</w:t>
      </w:r>
      <w:r w:rsidR="00B11BFA">
        <w:rPr>
          <w:rFonts w:ascii="Open Sans" w:hAnsi="Open Sans" w:cs="Open Sans"/>
          <w:b/>
          <w:sz w:val="20"/>
          <w:szCs w:val="20"/>
        </w:rPr>
        <w:t>.</w:t>
      </w:r>
      <w:r w:rsidRPr="00257CD4">
        <w:rPr>
          <w:rFonts w:ascii="Open Sans" w:hAnsi="Open Sans" w:cs="Open Sans"/>
          <w:sz w:val="20"/>
          <w:szCs w:val="20"/>
        </w:rPr>
        <w:t xml:space="preserve"> Descri</w:t>
      </w:r>
      <w:r w:rsidR="001F7C08" w:rsidRPr="00257CD4">
        <w:rPr>
          <w:rFonts w:ascii="Open Sans" w:hAnsi="Open Sans" w:cs="Open Sans"/>
          <w:sz w:val="20"/>
          <w:szCs w:val="20"/>
        </w:rPr>
        <w:t>pción de unidades administrativas, puestos de trabajo, su clasificación y estado de ocupación a 31/12/2017</w:t>
      </w:r>
      <w:r w:rsidR="001F7C08" w:rsidRPr="00257CD4">
        <w:rPr>
          <w:rFonts w:ascii="Open Sans" w:hAnsi="Open Sans" w:cs="Open Sans"/>
          <w:sz w:val="20"/>
          <w:szCs w:val="20"/>
        </w:rPr>
        <w:ptab w:relativeTo="margin" w:alignment="right" w:leader="dot"/>
      </w:r>
      <w:r w:rsidR="00C41CFD" w:rsidRPr="00257CD4">
        <w:rPr>
          <w:rFonts w:ascii="Open Sans" w:hAnsi="Open Sans" w:cs="Open Sans"/>
          <w:sz w:val="20"/>
          <w:szCs w:val="20"/>
        </w:rPr>
        <w:t>1</w:t>
      </w:r>
      <w:r w:rsidR="002516FB">
        <w:rPr>
          <w:rFonts w:ascii="Open Sans" w:hAnsi="Open Sans" w:cs="Open Sans"/>
          <w:sz w:val="20"/>
          <w:szCs w:val="20"/>
        </w:rPr>
        <w:t>8</w:t>
      </w:r>
      <w:r w:rsidR="005F2C30">
        <w:rPr>
          <w:rFonts w:ascii="Open Sans" w:hAnsi="Open Sans" w:cs="Open Sans"/>
          <w:sz w:val="20"/>
          <w:szCs w:val="20"/>
        </w:rPr>
        <w:t>9</w:t>
      </w:r>
    </w:p>
    <w:p w14:paraId="7FCA63ED" w14:textId="150AE870" w:rsidR="001F7C08" w:rsidRPr="00257CD4" w:rsidRDefault="001F7C08" w:rsidP="004063ED">
      <w:pPr>
        <w:pStyle w:val="Prrafodelista"/>
        <w:spacing w:after="0" w:line="276" w:lineRule="auto"/>
        <w:ind w:left="964" w:hanging="964"/>
        <w:rPr>
          <w:rFonts w:ascii="Open Sans" w:hAnsi="Open Sans" w:cs="Open Sans"/>
          <w:sz w:val="20"/>
          <w:szCs w:val="20"/>
        </w:rPr>
      </w:pPr>
      <w:r w:rsidRPr="00257CD4">
        <w:rPr>
          <w:rFonts w:ascii="Open Sans" w:hAnsi="Open Sans" w:cs="Open Sans"/>
          <w:b/>
          <w:sz w:val="20"/>
          <w:szCs w:val="20"/>
        </w:rPr>
        <w:t>Tabla 22</w:t>
      </w:r>
      <w:r w:rsidR="00B11BFA">
        <w:rPr>
          <w:rFonts w:ascii="Open Sans" w:hAnsi="Open Sans" w:cs="Open Sans"/>
          <w:b/>
          <w:sz w:val="20"/>
          <w:szCs w:val="20"/>
        </w:rPr>
        <w:t>.</w:t>
      </w:r>
      <w:r w:rsidRPr="00257CD4">
        <w:rPr>
          <w:rFonts w:ascii="Open Sans" w:hAnsi="Open Sans" w:cs="Open Sans"/>
          <w:sz w:val="20"/>
          <w:szCs w:val="20"/>
        </w:rPr>
        <w:t xml:space="preserve"> Descripción de unidades administrativas, puestos de trabajo, su clasificación y estado de ocupación a 31/12/2018</w:t>
      </w:r>
      <w:r w:rsidRPr="00257CD4">
        <w:rPr>
          <w:rFonts w:ascii="Open Sans" w:hAnsi="Open Sans" w:cs="Open Sans"/>
          <w:sz w:val="20"/>
          <w:szCs w:val="20"/>
        </w:rPr>
        <w:ptab w:relativeTo="margin" w:alignment="right" w:leader="dot"/>
      </w:r>
      <w:r w:rsidR="00C41CFD" w:rsidRPr="00257CD4">
        <w:rPr>
          <w:rFonts w:ascii="Open Sans" w:hAnsi="Open Sans" w:cs="Open Sans"/>
          <w:sz w:val="20"/>
          <w:szCs w:val="20"/>
        </w:rPr>
        <w:t>1</w:t>
      </w:r>
      <w:r w:rsidR="005F2C30">
        <w:rPr>
          <w:rFonts w:ascii="Open Sans" w:hAnsi="Open Sans" w:cs="Open Sans"/>
          <w:sz w:val="20"/>
          <w:szCs w:val="20"/>
        </w:rPr>
        <w:t>90</w:t>
      </w:r>
    </w:p>
    <w:p w14:paraId="126876CF" w14:textId="37B275D1" w:rsidR="001F7C08" w:rsidRPr="00257CD4" w:rsidRDefault="001F7C08" w:rsidP="004063ED">
      <w:pPr>
        <w:pStyle w:val="Prrafodelista"/>
        <w:spacing w:after="0" w:line="276" w:lineRule="auto"/>
        <w:ind w:left="964" w:hanging="964"/>
        <w:rPr>
          <w:rFonts w:ascii="Open Sans" w:hAnsi="Open Sans" w:cs="Open Sans"/>
          <w:sz w:val="20"/>
          <w:szCs w:val="20"/>
        </w:rPr>
      </w:pPr>
      <w:r w:rsidRPr="00257CD4">
        <w:rPr>
          <w:rFonts w:ascii="Open Sans" w:hAnsi="Open Sans" w:cs="Open Sans"/>
          <w:b/>
          <w:sz w:val="20"/>
          <w:szCs w:val="20"/>
        </w:rPr>
        <w:t>Tabla 23</w:t>
      </w:r>
      <w:r w:rsidRPr="00257CD4">
        <w:rPr>
          <w:rFonts w:ascii="Open Sans" w:hAnsi="Open Sans" w:cs="Open Sans"/>
          <w:sz w:val="20"/>
          <w:szCs w:val="20"/>
        </w:rPr>
        <w:t>. Descripción de unidades administrativas, puestos de trabajo, su clasificación y estado de ocupación a 31/12/2019</w:t>
      </w:r>
      <w:r w:rsidRPr="00257CD4">
        <w:rPr>
          <w:rFonts w:ascii="Open Sans" w:hAnsi="Open Sans" w:cs="Open Sans"/>
          <w:sz w:val="20"/>
          <w:szCs w:val="20"/>
        </w:rPr>
        <w:ptab w:relativeTo="margin" w:alignment="right" w:leader="dot"/>
      </w:r>
      <w:r w:rsidR="002516FB">
        <w:rPr>
          <w:rFonts w:ascii="Open Sans" w:hAnsi="Open Sans" w:cs="Open Sans"/>
          <w:sz w:val="20"/>
          <w:szCs w:val="20"/>
        </w:rPr>
        <w:t>1</w:t>
      </w:r>
      <w:r w:rsidR="005F2C30">
        <w:rPr>
          <w:rFonts w:ascii="Open Sans" w:hAnsi="Open Sans" w:cs="Open Sans"/>
          <w:sz w:val="20"/>
          <w:szCs w:val="20"/>
        </w:rPr>
        <w:t>91</w:t>
      </w:r>
    </w:p>
    <w:p w14:paraId="51B69BC4" w14:textId="3DF5FB5C" w:rsidR="001F7C08" w:rsidRPr="00257CD4" w:rsidRDefault="001F7C08" w:rsidP="00FB04CF">
      <w:pPr>
        <w:pStyle w:val="Prrafodelista"/>
        <w:spacing w:after="0" w:line="276" w:lineRule="auto"/>
        <w:ind w:left="964" w:hanging="964"/>
        <w:jc w:val="both"/>
        <w:rPr>
          <w:rFonts w:ascii="Open Sans" w:hAnsi="Open Sans" w:cs="Open Sans"/>
          <w:sz w:val="20"/>
          <w:szCs w:val="20"/>
        </w:rPr>
      </w:pPr>
      <w:r w:rsidRPr="00257CD4">
        <w:rPr>
          <w:rFonts w:ascii="Open Sans" w:hAnsi="Open Sans" w:cs="Open Sans"/>
          <w:b/>
          <w:sz w:val="20"/>
          <w:szCs w:val="20"/>
        </w:rPr>
        <w:t>Tabla 24</w:t>
      </w:r>
      <w:r w:rsidRPr="00257CD4">
        <w:rPr>
          <w:rFonts w:ascii="Open Sans" w:hAnsi="Open Sans" w:cs="Open Sans"/>
          <w:sz w:val="20"/>
          <w:szCs w:val="20"/>
        </w:rPr>
        <w:t>. Administración de origen de los funcionarios de la Agencia, según procedencia</w:t>
      </w:r>
      <w:r w:rsidRPr="00257CD4">
        <w:rPr>
          <w:rFonts w:ascii="Open Sans" w:hAnsi="Open Sans" w:cs="Open Sans"/>
          <w:sz w:val="20"/>
          <w:szCs w:val="20"/>
        </w:rPr>
        <w:ptab w:relativeTo="margin" w:alignment="right" w:leader="dot"/>
      </w:r>
      <w:r w:rsidR="00BC50D2">
        <w:rPr>
          <w:rFonts w:ascii="Open Sans" w:hAnsi="Open Sans" w:cs="Open Sans"/>
          <w:sz w:val="20"/>
          <w:szCs w:val="20"/>
        </w:rPr>
        <w:t>1</w:t>
      </w:r>
      <w:r w:rsidR="005F2C30">
        <w:rPr>
          <w:rFonts w:ascii="Open Sans" w:hAnsi="Open Sans" w:cs="Open Sans"/>
          <w:sz w:val="20"/>
          <w:szCs w:val="20"/>
        </w:rPr>
        <w:t>9</w:t>
      </w:r>
      <w:r w:rsidR="00861477">
        <w:rPr>
          <w:rFonts w:ascii="Open Sans" w:hAnsi="Open Sans" w:cs="Open Sans"/>
          <w:sz w:val="20"/>
          <w:szCs w:val="20"/>
        </w:rPr>
        <w:t>3</w:t>
      </w:r>
    </w:p>
    <w:p w14:paraId="16F1C10E" w14:textId="6AC68446" w:rsidR="001F7C08" w:rsidRPr="00257CD4" w:rsidRDefault="001F7C08" w:rsidP="001F7C08">
      <w:pPr>
        <w:pStyle w:val="Prrafodelista"/>
        <w:spacing w:after="0" w:line="276" w:lineRule="auto"/>
        <w:ind w:left="0"/>
        <w:jc w:val="both"/>
        <w:rPr>
          <w:rFonts w:ascii="Open Sans" w:hAnsi="Open Sans" w:cs="Open Sans"/>
          <w:sz w:val="20"/>
          <w:szCs w:val="20"/>
        </w:rPr>
      </w:pPr>
      <w:r w:rsidRPr="00257CD4">
        <w:rPr>
          <w:rFonts w:ascii="Open Sans" w:hAnsi="Open Sans" w:cs="Open Sans"/>
          <w:b/>
          <w:sz w:val="20"/>
          <w:szCs w:val="20"/>
        </w:rPr>
        <w:t>Tabla 25</w:t>
      </w:r>
      <w:r w:rsidRPr="00257CD4">
        <w:rPr>
          <w:rFonts w:ascii="Open Sans" w:hAnsi="Open Sans" w:cs="Open Sans"/>
          <w:sz w:val="20"/>
          <w:szCs w:val="20"/>
        </w:rPr>
        <w:t>. Presupuesto de gastos ejercicio 2019</w:t>
      </w:r>
      <w:r w:rsidRPr="00257CD4">
        <w:rPr>
          <w:rFonts w:ascii="Open Sans" w:hAnsi="Open Sans" w:cs="Open Sans"/>
          <w:sz w:val="20"/>
          <w:szCs w:val="20"/>
        </w:rPr>
        <w:ptab w:relativeTo="margin" w:alignment="right" w:leader="dot"/>
      </w:r>
      <w:r w:rsidR="00BC50D2">
        <w:rPr>
          <w:rFonts w:ascii="Open Sans" w:hAnsi="Open Sans" w:cs="Open Sans"/>
          <w:sz w:val="20"/>
          <w:szCs w:val="20"/>
        </w:rPr>
        <w:t>19</w:t>
      </w:r>
      <w:r w:rsidR="00861477">
        <w:rPr>
          <w:rFonts w:ascii="Open Sans" w:hAnsi="Open Sans" w:cs="Open Sans"/>
          <w:sz w:val="20"/>
          <w:szCs w:val="20"/>
        </w:rPr>
        <w:t>5</w:t>
      </w:r>
    </w:p>
    <w:p w14:paraId="4C226433" w14:textId="4B855F89" w:rsidR="001F7C08" w:rsidRPr="00257CD4" w:rsidRDefault="001F7C08" w:rsidP="001F7C08">
      <w:pPr>
        <w:pStyle w:val="Prrafodelista"/>
        <w:spacing w:after="0" w:line="276" w:lineRule="auto"/>
        <w:ind w:left="0"/>
        <w:jc w:val="both"/>
        <w:rPr>
          <w:rFonts w:ascii="Open Sans" w:hAnsi="Open Sans" w:cs="Open Sans"/>
          <w:sz w:val="20"/>
          <w:szCs w:val="20"/>
        </w:rPr>
      </w:pPr>
      <w:r w:rsidRPr="00257CD4">
        <w:rPr>
          <w:rFonts w:ascii="Open Sans" w:hAnsi="Open Sans" w:cs="Open Sans"/>
          <w:b/>
          <w:sz w:val="20"/>
          <w:szCs w:val="20"/>
        </w:rPr>
        <w:t>Tabla 26.</w:t>
      </w:r>
      <w:r w:rsidRPr="00257CD4">
        <w:rPr>
          <w:rFonts w:ascii="Open Sans" w:hAnsi="Open Sans" w:cs="Open Sans"/>
          <w:sz w:val="20"/>
          <w:szCs w:val="20"/>
        </w:rPr>
        <w:t xml:space="preserve"> Presupuesto de ingresos ejercicio 2019</w:t>
      </w:r>
      <w:r w:rsidRPr="00257CD4">
        <w:rPr>
          <w:rFonts w:ascii="Open Sans" w:hAnsi="Open Sans" w:cs="Open Sans"/>
          <w:sz w:val="20"/>
          <w:szCs w:val="20"/>
        </w:rPr>
        <w:ptab w:relativeTo="margin" w:alignment="right" w:leader="dot"/>
      </w:r>
      <w:r w:rsidR="00BC50D2">
        <w:rPr>
          <w:rFonts w:ascii="Open Sans" w:hAnsi="Open Sans" w:cs="Open Sans"/>
          <w:sz w:val="20"/>
          <w:szCs w:val="20"/>
        </w:rPr>
        <w:t>19</w:t>
      </w:r>
      <w:r w:rsidR="00861477">
        <w:rPr>
          <w:rFonts w:ascii="Open Sans" w:hAnsi="Open Sans" w:cs="Open Sans"/>
          <w:sz w:val="20"/>
          <w:szCs w:val="20"/>
        </w:rPr>
        <w:t>5</w:t>
      </w:r>
    </w:p>
    <w:p w14:paraId="05365DE5" w14:textId="57BCA958" w:rsidR="001F7C08" w:rsidRPr="00257CD4" w:rsidRDefault="001F7C08" w:rsidP="001F7C08">
      <w:pPr>
        <w:pStyle w:val="Prrafodelista"/>
        <w:spacing w:after="0" w:line="276" w:lineRule="auto"/>
        <w:ind w:left="0"/>
        <w:jc w:val="both"/>
        <w:rPr>
          <w:rFonts w:ascii="Open Sans" w:hAnsi="Open Sans" w:cs="Open Sans"/>
          <w:sz w:val="20"/>
          <w:szCs w:val="20"/>
        </w:rPr>
      </w:pPr>
      <w:r w:rsidRPr="00257CD4">
        <w:rPr>
          <w:rFonts w:ascii="Open Sans" w:hAnsi="Open Sans" w:cs="Open Sans"/>
          <w:b/>
          <w:sz w:val="20"/>
          <w:szCs w:val="20"/>
        </w:rPr>
        <w:t>Tabla 27</w:t>
      </w:r>
      <w:r w:rsidR="00B11BFA">
        <w:rPr>
          <w:rFonts w:ascii="Open Sans" w:hAnsi="Open Sans" w:cs="Open Sans"/>
          <w:b/>
          <w:sz w:val="20"/>
          <w:szCs w:val="20"/>
        </w:rPr>
        <w:t>.</w:t>
      </w:r>
      <w:r w:rsidRPr="00257CD4">
        <w:rPr>
          <w:rFonts w:ascii="Open Sans" w:hAnsi="Open Sans" w:cs="Open Sans"/>
          <w:sz w:val="20"/>
          <w:szCs w:val="20"/>
        </w:rPr>
        <w:t xml:space="preserve"> Ejecución del presupuesto de </w:t>
      </w:r>
      <w:r w:rsidR="004D135D" w:rsidRPr="00257CD4">
        <w:rPr>
          <w:rFonts w:ascii="Open Sans" w:hAnsi="Open Sans" w:cs="Open Sans"/>
          <w:sz w:val="20"/>
          <w:szCs w:val="20"/>
        </w:rPr>
        <w:t>ingresos</w:t>
      </w:r>
      <w:r w:rsidRPr="00257CD4">
        <w:rPr>
          <w:rFonts w:ascii="Open Sans" w:hAnsi="Open Sans" w:cs="Open Sans"/>
          <w:sz w:val="20"/>
          <w:szCs w:val="20"/>
        </w:rPr>
        <w:t xml:space="preserve"> ejercicio 2019</w:t>
      </w:r>
      <w:r w:rsidRPr="00257CD4">
        <w:rPr>
          <w:rFonts w:ascii="Open Sans" w:hAnsi="Open Sans" w:cs="Open Sans"/>
          <w:sz w:val="20"/>
          <w:szCs w:val="20"/>
        </w:rPr>
        <w:ptab w:relativeTo="margin" w:alignment="right" w:leader="dot"/>
      </w:r>
      <w:r w:rsidR="00BC50D2">
        <w:rPr>
          <w:rFonts w:ascii="Open Sans" w:hAnsi="Open Sans" w:cs="Open Sans"/>
          <w:sz w:val="20"/>
          <w:szCs w:val="20"/>
        </w:rPr>
        <w:t>19</w:t>
      </w:r>
      <w:r w:rsidR="00861477">
        <w:rPr>
          <w:rFonts w:ascii="Open Sans" w:hAnsi="Open Sans" w:cs="Open Sans"/>
          <w:sz w:val="20"/>
          <w:szCs w:val="20"/>
        </w:rPr>
        <w:t>6</w:t>
      </w:r>
    </w:p>
    <w:p w14:paraId="30101706" w14:textId="3F81A04D" w:rsidR="004F5C13" w:rsidRPr="00257CD4" w:rsidRDefault="001F7C08" w:rsidP="001F7C08">
      <w:pPr>
        <w:pStyle w:val="Prrafodelista"/>
        <w:spacing w:after="0" w:line="276" w:lineRule="auto"/>
        <w:ind w:left="0"/>
        <w:jc w:val="both"/>
        <w:rPr>
          <w:rFonts w:ascii="Open Sans" w:hAnsi="Open Sans" w:cs="Open Sans"/>
          <w:sz w:val="20"/>
          <w:szCs w:val="20"/>
        </w:rPr>
      </w:pPr>
      <w:r w:rsidRPr="00257CD4">
        <w:rPr>
          <w:rFonts w:ascii="Open Sans" w:hAnsi="Open Sans" w:cs="Open Sans"/>
          <w:b/>
          <w:sz w:val="20"/>
          <w:szCs w:val="20"/>
        </w:rPr>
        <w:t>Tabla 28</w:t>
      </w:r>
      <w:r w:rsidRPr="003530AE">
        <w:rPr>
          <w:rFonts w:ascii="Open Sans" w:hAnsi="Open Sans" w:cs="Open Sans"/>
          <w:sz w:val="20"/>
          <w:szCs w:val="20"/>
        </w:rPr>
        <w:t>.</w:t>
      </w:r>
      <w:r w:rsidRPr="00257CD4">
        <w:rPr>
          <w:rFonts w:ascii="Open Sans" w:hAnsi="Open Sans" w:cs="Open Sans"/>
          <w:sz w:val="20"/>
          <w:szCs w:val="20"/>
        </w:rPr>
        <w:t xml:space="preserve"> </w:t>
      </w:r>
      <w:r w:rsidR="00EE41DA" w:rsidRPr="00257CD4">
        <w:rPr>
          <w:rFonts w:ascii="Open Sans" w:hAnsi="Open Sans" w:cs="Open Sans"/>
          <w:sz w:val="20"/>
          <w:szCs w:val="20"/>
        </w:rPr>
        <w:t xml:space="preserve">Ejecución del presupuesto de gastos ejercicio 2019 </w:t>
      </w:r>
      <w:r w:rsidR="00EE41DA" w:rsidRPr="00257CD4">
        <w:rPr>
          <w:rFonts w:ascii="Open Sans" w:hAnsi="Open Sans" w:cs="Open Sans"/>
          <w:sz w:val="20"/>
          <w:szCs w:val="20"/>
        </w:rPr>
        <w:ptab w:relativeTo="margin" w:alignment="right" w:leader="dot"/>
      </w:r>
      <w:r w:rsidR="00BC50D2">
        <w:rPr>
          <w:rFonts w:ascii="Open Sans" w:hAnsi="Open Sans" w:cs="Open Sans"/>
          <w:sz w:val="20"/>
          <w:szCs w:val="20"/>
        </w:rPr>
        <w:t>19</w:t>
      </w:r>
      <w:r w:rsidR="00861477">
        <w:rPr>
          <w:rFonts w:ascii="Open Sans" w:hAnsi="Open Sans" w:cs="Open Sans"/>
          <w:sz w:val="20"/>
          <w:szCs w:val="20"/>
        </w:rPr>
        <w:t>7</w:t>
      </w:r>
    </w:p>
    <w:p w14:paraId="3163581A" w14:textId="77777777" w:rsidR="00DC1D02" w:rsidRPr="00257CD4" w:rsidRDefault="00DC1D02" w:rsidP="001F7C08">
      <w:pPr>
        <w:pStyle w:val="Prrafodelista"/>
        <w:spacing w:after="0" w:line="276" w:lineRule="auto"/>
        <w:ind w:left="0"/>
        <w:jc w:val="both"/>
        <w:rPr>
          <w:rFonts w:ascii="Open Sans" w:hAnsi="Open Sans" w:cs="Open Sans"/>
          <w:sz w:val="20"/>
          <w:szCs w:val="20"/>
        </w:rPr>
      </w:pPr>
    </w:p>
    <w:p w14:paraId="5FF94AF5" w14:textId="7F141196" w:rsidR="001F7C08" w:rsidRPr="00257CD4" w:rsidRDefault="004F5C13" w:rsidP="004063ED">
      <w:pPr>
        <w:pStyle w:val="Prrafodelista"/>
        <w:spacing w:after="0" w:line="276" w:lineRule="auto"/>
        <w:ind w:left="964" w:hanging="964"/>
        <w:jc w:val="both"/>
        <w:rPr>
          <w:rFonts w:ascii="Open Sans" w:hAnsi="Open Sans" w:cs="Open Sans"/>
          <w:sz w:val="20"/>
          <w:szCs w:val="20"/>
        </w:rPr>
      </w:pPr>
      <w:r w:rsidRPr="00257CD4">
        <w:rPr>
          <w:rFonts w:ascii="Open Sans" w:hAnsi="Open Sans" w:cs="Open Sans"/>
          <w:b/>
          <w:sz w:val="20"/>
          <w:szCs w:val="20"/>
        </w:rPr>
        <w:lastRenderedPageBreak/>
        <w:t>Tabla 29</w:t>
      </w:r>
      <w:r w:rsidR="00813688" w:rsidRPr="00257CD4">
        <w:rPr>
          <w:rFonts w:ascii="Open Sans" w:hAnsi="Open Sans" w:cs="Open Sans"/>
          <w:b/>
          <w:sz w:val="20"/>
          <w:szCs w:val="20"/>
        </w:rPr>
        <w:t xml:space="preserve">. </w:t>
      </w:r>
      <w:r w:rsidR="001F7C08" w:rsidRPr="00257CD4">
        <w:rPr>
          <w:rFonts w:ascii="Open Sans" w:hAnsi="Open Sans" w:cs="Open Sans"/>
          <w:sz w:val="20"/>
          <w:szCs w:val="20"/>
        </w:rPr>
        <w:t>Comparativa estado ejecución a 31/12 del estado de ingresos correspondiente a los ejercicios 2019 y 2018</w:t>
      </w:r>
      <w:r w:rsidR="001F7C08" w:rsidRPr="00257CD4">
        <w:rPr>
          <w:rFonts w:ascii="Open Sans" w:hAnsi="Open Sans" w:cs="Open Sans"/>
          <w:sz w:val="20"/>
          <w:szCs w:val="20"/>
        </w:rPr>
        <w:ptab w:relativeTo="margin" w:alignment="right" w:leader="dot"/>
      </w:r>
      <w:r w:rsidR="00BC50D2">
        <w:rPr>
          <w:rFonts w:ascii="Open Sans" w:hAnsi="Open Sans" w:cs="Open Sans"/>
          <w:sz w:val="20"/>
          <w:szCs w:val="20"/>
        </w:rPr>
        <w:t>19</w:t>
      </w:r>
      <w:r w:rsidR="00861477">
        <w:rPr>
          <w:rFonts w:ascii="Open Sans" w:hAnsi="Open Sans" w:cs="Open Sans"/>
          <w:sz w:val="20"/>
          <w:szCs w:val="20"/>
        </w:rPr>
        <w:t>8</w:t>
      </w:r>
    </w:p>
    <w:p w14:paraId="371CE4D8" w14:textId="039D1096" w:rsidR="001F7C08" w:rsidRPr="00257CD4" w:rsidRDefault="001F7C08" w:rsidP="004063ED">
      <w:pPr>
        <w:pStyle w:val="Prrafodelista"/>
        <w:spacing w:after="0" w:line="276" w:lineRule="auto"/>
        <w:ind w:left="964" w:hanging="964"/>
        <w:jc w:val="both"/>
        <w:rPr>
          <w:rFonts w:ascii="Open Sans" w:hAnsi="Open Sans" w:cs="Open Sans"/>
          <w:sz w:val="20"/>
          <w:szCs w:val="20"/>
        </w:rPr>
      </w:pPr>
      <w:r w:rsidRPr="00257CD4">
        <w:rPr>
          <w:rFonts w:ascii="Open Sans" w:hAnsi="Open Sans" w:cs="Open Sans"/>
          <w:b/>
          <w:sz w:val="20"/>
          <w:szCs w:val="20"/>
        </w:rPr>
        <w:t xml:space="preserve">Tabla </w:t>
      </w:r>
      <w:r w:rsidR="004F5C13" w:rsidRPr="00257CD4">
        <w:rPr>
          <w:rFonts w:ascii="Open Sans" w:hAnsi="Open Sans" w:cs="Open Sans"/>
          <w:b/>
          <w:sz w:val="20"/>
          <w:szCs w:val="20"/>
        </w:rPr>
        <w:t>30</w:t>
      </w:r>
      <w:r w:rsidRPr="00257CD4">
        <w:rPr>
          <w:rFonts w:ascii="Open Sans" w:hAnsi="Open Sans" w:cs="Open Sans"/>
          <w:sz w:val="20"/>
          <w:szCs w:val="20"/>
        </w:rPr>
        <w:t>. Comparativa estado ejecución a 31/12 del estado de gastos correspondiente a los ejercicios 2019 y 2018</w:t>
      </w:r>
      <w:r w:rsidRPr="00257CD4">
        <w:rPr>
          <w:rFonts w:ascii="Open Sans" w:hAnsi="Open Sans" w:cs="Open Sans"/>
          <w:sz w:val="20"/>
          <w:szCs w:val="20"/>
        </w:rPr>
        <w:ptab w:relativeTo="margin" w:alignment="right" w:leader="dot"/>
      </w:r>
      <w:r w:rsidR="00BC50D2">
        <w:rPr>
          <w:rFonts w:ascii="Open Sans" w:hAnsi="Open Sans" w:cs="Open Sans"/>
          <w:sz w:val="20"/>
          <w:szCs w:val="20"/>
        </w:rPr>
        <w:t>19</w:t>
      </w:r>
      <w:r w:rsidR="00861477">
        <w:rPr>
          <w:rFonts w:ascii="Open Sans" w:hAnsi="Open Sans" w:cs="Open Sans"/>
          <w:sz w:val="20"/>
          <w:szCs w:val="20"/>
        </w:rPr>
        <w:t>8</w:t>
      </w:r>
    </w:p>
    <w:p w14:paraId="2053ACCA" w14:textId="6B834E66" w:rsidR="001F7C08" w:rsidRPr="00257CD4" w:rsidRDefault="001F7C08" w:rsidP="001F7C08">
      <w:pPr>
        <w:pStyle w:val="Prrafodelista"/>
        <w:spacing w:after="0" w:line="276" w:lineRule="auto"/>
        <w:ind w:left="0"/>
        <w:jc w:val="both"/>
        <w:rPr>
          <w:rFonts w:ascii="Open Sans" w:hAnsi="Open Sans" w:cs="Open Sans"/>
          <w:sz w:val="20"/>
          <w:szCs w:val="20"/>
        </w:rPr>
      </w:pPr>
      <w:r w:rsidRPr="00257CD4">
        <w:rPr>
          <w:rFonts w:ascii="Open Sans" w:hAnsi="Open Sans" w:cs="Open Sans"/>
          <w:b/>
          <w:sz w:val="20"/>
          <w:szCs w:val="20"/>
        </w:rPr>
        <w:t>Tabla 3</w:t>
      </w:r>
      <w:r w:rsidR="004F5C13" w:rsidRPr="00257CD4">
        <w:rPr>
          <w:rFonts w:ascii="Open Sans" w:hAnsi="Open Sans" w:cs="Open Sans"/>
          <w:b/>
          <w:sz w:val="20"/>
          <w:szCs w:val="20"/>
        </w:rPr>
        <w:t>1</w:t>
      </w:r>
      <w:r w:rsidRPr="00257CD4">
        <w:rPr>
          <w:rFonts w:ascii="Open Sans" w:hAnsi="Open Sans" w:cs="Open Sans"/>
          <w:b/>
          <w:sz w:val="20"/>
          <w:szCs w:val="20"/>
        </w:rPr>
        <w:t>.</w:t>
      </w:r>
      <w:r w:rsidRPr="00257CD4">
        <w:rPr>
          <w:rFonts w:ascii="Open Sans" w:hAnsi="Open Sans" w:cs="Open Sans"/>
          <w:sz w:val="20"/>
          <w:szCs w:val="20"/>
        </w:rPr>
        <w:t xml:space="preserve"> Resultado presupuestario ejercicio 2019</w:t>
      </w:r>
      <w:r w:rsidRPr="00257CD4">
        <w:rPr>
          <w:rFonts w:ascii="Open Sans" w:hAnsi="Open Sans" w:cs="Open Sans"/>
          <w:sz w:val="20"/>
          <w:szCs w:val="20"/>
        </w:rPr>
        <w:ptab w:relativeTo="margin" w:alignment="right" w:leader="dot"/>
      </w:r>
      <w:r w:rsidR="00861477">
        <w:rPr>
          <w:rFonts w:ascii="Open Sans" w:hAnsi="Open Sans" w:cs="Open Sans"/>
          <w:sz w:val="20"/>
          <w:szCs w:val="20"/>
        </w:rPr>
        <w:t>200</w:t>
      </w:r>
    </w:p>
    <w:p w14:paraId="380652DD" w14:textId="134193DC" w:rsidR="001F7C08" w:rsidRPr="00257CD4" w:rsidRDefault="001F7C08" w:rsidP="001F7C08">
      <w:pPr>
        <w:pStyle w:val="Prrafodelista"/>
        <w:spacing w:after="0" w:line="276" w:lineRule="auto"/>
        <w:ind w:left="0"/>
        <w:jc w:val="both"/>
        <w:rPr>
          <w:rFonts w:ascii="Open Sans" w:hAnsi="Open Sans" w:cs="Open Sans"/>
          <w:sz w:val="20"/>
          <w:szCs w:val="20"/>
        </w:rPr>
      </w:pPr>
      <w:r w:rsidRPr="00257CD4">
        <w:rPr>
          <w:rFonts w:ascii="Open Sans" w:hAnsi="Open Sans" w:cs="Open Sans"/>
          <w:b/>
          <w:sz w:val="20"/>
          <w:szCs w:val="20"/>
        </w:rPr>
        <w:t>Tabla 3</w:t>
      </w:r>
      <w:r w:rsidR="004F5C13" w:rsidRPr="00257CD4">
        <w:rPr>
          <w:rFonts w:ascii="Open Sans" w:hAnsi="Open Sans" w:cs="Open Sans"/>
          <w:b/>
          <w:sz w:val="20"/>
          <w:szCs w:val="20"/>
        </w:rPr>
        <w:t>2</w:t>
      </w:r>
      <w:r w:rsidR="00B11BFA">
        <w:rPr>
          <w:rFonts w:ascii="Open Sans" w:hAnsi="Open Sans" w:cs="Open Sans"/>
          <w:b/>
          <w:sz w:val="20"/>
          <w:szCs w:val="20"/>
        </w:rPr>
        <w:t>.</w:t>
      </w:r>
      <w:r w:rsidRPr="00257CD4">
        <w:rPr>
          <w:rFonts w:ascii="Open Sans" w:hAnsi="Open Sans" w:cs="Open Sans"/>
          <w:sz w:val="20"/>
          <w:szCs w:val="20"/>
        </w:rPr>
        <w:t xml:space="preserve"> Situación y evolución de los fondos de la cuenta corriente</w:t>
      </w:r>
      <w:r w:rsidRPr="00257CD4">
        <w:rPr>
          <w:rFonts w:ascii="Open Sans" w:hAnsi="Open Sans" w:cs="Open Sans"/>
          <w:sz w:val="20"/>
          <w:szCs w:val="20"/>
        </w:rPr>
        <w:ptab w:relativeTo="margin" w:alignment="right" w:leader="dot"/>
      </w:r>
      <w:r w:rsidR="00861477">
        <w:rPr>
          <w:rFonts w:ascii="Open Sans" w:hAnsi="Open Sans" w:cs="Open Sans"/>
          <w:sz w:val="20"/>
          <w:szCs w:val="20"/>
        </w:rPr>
        <w:t>20</w:t>
      </w:r>
      <w:r w:rsidR="00F30EA5">
        <w:rPr>
          <w:rFonts w:ascii="Open Sans" w:hAnsi="Open Sans" w:cs="Open Sans"/>
          <w:sz w:val="20"/>
          <w:szCs w:val="20"/>
        </w:rPr>
        <w:t>1</w:t>
      </w:r>
    </w:p>
    <w:p w14:paraId="51503296" w14:textId="75E232B1" w:rsidR="001F7C08" w:rsidRPr="00257CD4" w:rsidRDefault="001F7C08" w:rsidP="001F7C08">
      <w:pPr>
        <w:pStyle w:val="Prrafodelista"/>
        <w:spacing w:after="0" w:line="276" w:lineRule="auto"/>
        <w:ind w:left="0"/>
        <w:jc w:val="both"/>
        <w:rPr>
          <w:rFonts w:ascii="Open Sans" w:hAnsi="Open Sans" w:cs="Open Sans"/>
          <w:sz w:val="20"/>
          <w:szCs w:val="20"/>
        </w:rPr>
      </w:pPr>
      <w:r w:rsidRPr="00257CD4">
        <w:rPr>
          <w:rFonts w:ascii="Open Sans" w:hAnsi="Open Sans" w:cs="Open Sans"/>
          <w:b/>
          <w:sz w:val="20"/>
          <w:szCs w:val="20"/>
        </w:rPr>
        <w:t>Tabla 3</w:t>
      </w:r>
      <w:r w:rsidR="004F5C13" w:rsidRPr="00257CD4">
        <w:rPr>
          <w:rFonts w:ascii="Open Sans" w:hAnsi="Open Sans" w:cs="Open Sans"/>
          <w:b/>
          <w:sz w:val="20"/>
          <w:szCs w:val="20"/>
        </w:rPr>
        <w:t>3</w:t>
      </w:r>
      <w:r w:rsidR="00B11BFA">
        <w:rPr>
          <w:rFonts w:ascii="Open Sans" w:hAnsi="Open Sans" w:cs="Open Sans"/>
          <w:b/>
          <w:sz w:val="20"/>
          <w:szCs w:val="20"/>
        </w:rPr>
        <w:t>.</w:t>
      </w:r>
      <w:r w:rsidRPr="00257CD4">
        <w:rPr>
          <w:rFonts w:ascii="Open Sans" w:hAnsi="Open Sans" w:cs="Open Sans"/>
          <w:sz w:val="20"/>
          <w:szCs w:val="20"/>
        </w:rPr>
        <w:t xml:space="preserve"> Datos del período medio de pago a proveedores</w:t>
      </w:r>
      <w:r w:rsidRPr="00257CD4">
        <w:rPr>
          <w:rFonts w:ascii="Open Sans" w:hAnsi="Open Sans" w:cs="Open Sans"/>
          <w:sz w:val="20"/>
          <w:szCs w:val="20"/>
        </w:rPr>
        <w:ptab w:relativeTo="margin" w:alignment="right" w:leader="dot"/>
      </w:r>
      <w:r w:rsidR="00171D00" w:rsidRPr="00257CD4">
        <w:rPr>
          <w:rFonts w:ascii="Open Sans" w:hAnsi="Open Sans" w:cs="Open Sans"/>
          <w:sz w:val="20"/>
          <w:szCs w:val="20"/>
        </w:rPr>
        <w:t>2</w:t>
      </w:r>
      <w:r w:rsidR="00A57632">
        <w:rPr>
          <w:rFonts w:ascii="Open Sans" w:hAnsi="Open Sans" w:cs="Open Sans"/>
          <w:sz w:val="20"/>
          <w:szCs w:val="20"/>
        </w:rPr>
        <w:t>0</w:t>
      </w:r>
      <w:r w:rsidR="00861477">
        <w:rPr>
          <w:rFonts w:ascii="Open Sans" w:hAnsi="Open Sans" w:cs="Open Sans"/>
          <w:sz w:val="20"/>
          <w:szCs w:val="20"/>
        </w:rPr>
        <w:t>3</w:t>
      </w:r>
    </w:p>
    <w:p w14:paraId="78B7F1B0" w14:textId="2F8771C5" w:rsidR="001F7C08" w:rsidRPr="00257CD4" w:rsidRDefault="001F7C08" w:rsidP="004063ED">
      <w:pPr>
        <w:pStyle w:val="Prrafodelista"/>
        <w:spacing w:after="0" w:line="276" w:lineRule="auto"/>
        <w:ind w:left="964" w:hanging="964"/>
        <w:jc w:val="both"/>
        <w:rPr>
          <w:rFonts w:ascii="Open Sans" w:hAnsi="Open Sans" w:cs="Open Sans"/>
          <w:sz w:val="20"/>
          <w:szCs w:val="20"/>
        </w:rPr>
      </w:pPr>
      <w:r w:rsidRPr="00257CD4">
        <w:rPr>
          <w:rFonts w:ascii="Open Sans" w:hAnsi="Open Sans" w:cs="Open Sans"/>
          <w:b/>
          <w:sz w:val="20"/>
          <w:szCs w:val="20"/>
        </w:rPr>
        <w:t>Tabla 3</w:t>
      </w:r>
      <w:r w:rsidR="004F5C13" w:rsidRPr="00257CD4">
        <w:rPr>
          <w:rFonts w:ascii="Open Sans" w:hAnsi="Open Sans" w:cs="Open Sans"/>
          <w:b/>
          <w:sz w:val="20"/>
          <w:szCs w:val="20"/>
        </w:rPr>
        <w:t>4</w:t>
      </w:r>
      <w:r w:rsidR="00B11BFA">
        <w:rPr>
          <w:rFonts w:ascii="Open Sans" w:hAnsi="Open Sans" w:cs="Open Sans"/>
          <w:b/>
          <w:sz w:val="20"/>
          <w:szCs w:val="20"/>
        </w:rPr>
        <w:t>.</w:t>
      </w:r>
      <w:r w:rsidRPr="00257CD4">
        <w:rPr>
          <w:rFonts w:ascii="Open Sans" w:hAnsi="Open Sans" w:cs="Open Sans"/>
          <w:sz w:val="20"/>
          <w:szCs w:val="20"/>
        </w:rPr>
        <w:t xml:space="preserve"> Acuerdos Marco de la Central de Compras de la Generalitat a los que la Agencia está adherida a 31/12/2019</w:t>
      </w:r>
      <w:r w:rsidRPr="00257CD4">
        <w:rPr>
          <w:rFonts w:ascii="Open Sans" w:hAnsi="Open Sans" w:cs="Open Sans"/>
          <w:sz w:val="20"/>
          <w:szCs w:val="20"/>
        </w:rPr>
        <w:ptab w:relativeTo="margin" w:alignment="right" w:leader="dot"/>
      </w:r>
      <w:r w:rsidR="00171D00" w:rsidRPr="00257CD4">
        <w:rPr>
          <w:rFonts w:ascii="Open Sans" w:hAnsi="Open Sans" w:cs="Open Sans"/>
          <w:sz w:val="20"/>
          <w:szCs w:val="20"/>
        </w:rPr>
        <w:t>2</w:t>
      </w:r>
      <w:r w:rsidR="00A57632">
        <w:rPr>
          <w:rFonts w:ascii="Open Sans" w:hAnsi="Open Sans" w:cs="Open Sans"/>
          <w:sz w:val="20"/>
          <w:szCs w:val="20"/>
        </w:rPr>
        <w:t>0</w:t>
      </w:r>
      <w:r w:rsidR="00861477">
        <w:rPr>
          <w:rFonts w:ascii="Open Sans" w:hAnsi="Open Sans" w:cs="Open Sans"/>
          <w:sz w:val="20"/>
          <w:szCs w:val="20"/>
        </w:rPr>
        <w:t>4</w:t>
      </w:r>
    </w:p>
    <w:p w14:paraId="25908E3B" w14:textId="39E96E9C" w:rsidR="001F7C08" w:rsidRPr="00257CD4" w:rsidRDefault="001F7C08" w:rsidP="004063ED">
      <w:pPr>
        <w:pStyle w:val="Prrafodelista"/>
        <w:spacing w:after="0" w:line="276" w:lineRule="auto"/>
        <w:ind w:left="964" w:hanging="964"/>
        <w:jc w:val="both"/>
        <w:rPr>
          <w:rFonts w:ascii="Open Sans" w:hAnsi="Open Sans" w:cs="Open Sans"/>
          <w:sz w:val="20"/>
          <w:szCs w:val="20"/>
        </w:rPr>
      </w:pPr>
      <w:r w:rsidRPr="00257CD4">
        <w:rPr>
          <w:rFonts w:ascii="Open Sans" w:hAnsi="Open Sans" w:cs="Open Sans"/>
          <w:b/>
          <w:sz w:val="20"/>
          <w:szCs w:val="20"/>
        </w:rPr>
        <w:t>Tabla 3</w:t>
      </w:r>
      <w:r w:rsidR="004F5C13" w:rsidRPr="00257CD4">
        <w:rPr>
          <w:rFonts w:ascii="Open Sans" w:hAnsi="Open Sans" w:cs="Open Sans"/>
          <w:b/>
          <w:sz w:val="20"/>
          <w:szCs w:val="20"/>
        </w:rPr>
        <w:t>5</w:t>
      </w:r>
      <w:r w:rsidR="00813688" w:rsidRPr="00257CD4">
        <w:rPr>
          <w:rFonts w:ascii="Open Sans" w:hAnsi="Open Sans" w:cs="Open Sans"/>
          <w:b/>
          <w:sz w:val="20"/>
          <w:szCs w:val="20"/>
        </w:rPr>
        <w:t>.</w:t>
      </w:r>
      <w:r w:rsidRPr="00257CD4">
        <w:rPr>
          <w:rFonts w:ascii="Open Sans" w:hAnsi="Open Sans" w:cs="Open Sans"/>
          <w:sz w:val="20"/>
          <w:szCs w:val="20"/>
        </w:rPr>
        <w:t xml:space="preserve"> Acuerdos Marco de la Central de Compras del Estado a los que la Agencia está adherida a 31/12/2019</w:t>
      </w:r>
      <w:r w:rsidRPr="00257CD4">
        <w:rPr>
          <w:rFonts w:ascii="Open Sans" w:hAnsi="Open Sans" w:cs="Open Sans"/>
          <w:sz w:val="20"/>
          <w:szCs w:val="20"/>
        </w:rPr>
        <w:ptab w:relativeTo="margin" w:alignment="right" w:leader="dot"/>
      </w:r>
      <w:r w:rsidR="00171D00" w:rsidRPr="00257CD4">
        <w:rPr>
          <w:rFonts w:ascii="Open Sans" w:hAnsi="Open Sans" w:cs="Open Sans"/>
          <w:sz w:val="20"/>
          <w:szCs w:val="20"/>
        </w:rPr>
        <w:t>2</w:t>
      </w:r>
      <w:r w:rsidR="00A57632">
        <w:rPr>
          <w:rFonts w:ascii="Open Sans" w:hAnsi="Open Sans" w:cs="Open Sans"/>
          <w:sz w:val="20"/>
          <w:szCs w:val="20"/>
        </w:rPr>
        <w:t>0</w:t>
      </w:r>
      <w:r w:rsidR="00861477">
        <w:rPr>
          <w:rFonts w:ascii="Open Sans" w:hAnsi="Open Sans" w:cs="Open Sans"/>
          <w:sz w:val="20"/>
          <w:szCs w:val="20"/>
        </w:rPr>
        <w:t>4</w:t>
      </w:r>
    </w:p>
    <w:p w14:paraId="51330B43" w14:textId="60D02C6E" w:rsidR="001F7C08" w:rsidRPr="00257CD4" w:rsidRDefault="001F7C08" w:rsidP="001F7C08">
      <w:pPr>
        <w:pStyle w:val="Prrafodelista"/>
        <w:spacing w:after="0" w:line="276" w:lineRule="auto"/>
        <w:ind w:left="0"/>
        <w:jc w:val="both"/>
        <w:rPr>
          <w:rFonts w:ascii="Open Sans" w:hAnsi="Open Sans" w:cs="Open Sans"/>
          <w:sz w:val="20"/>
          <w:szCs w:val="20"/>
        </w:rPr>
      </w:pPr>
      <w:r w:rsidRPr="00257CD4">
        <w:rPr>
          <w:rFonts w:ascii="Open Sans" w:hAnsi="Open Sans" w:cs="Open Sans"/>
          <w:b/>
          <w:sz w:val="20"/>
          <w:szCs w:val="20"/>
        </w:rPr>
        <w:t>Tabla 3</w:t>
      </w:r>
      <w:r w:rsidR="004F5C13" w:rsidRPr="00257CD4">
        <w:rPr>
          <w:rFonts w:ascii="Open Sans" w:hAnsi="Open Sans" w:cs="Open Sans"/>
          <w:b/>
          <w:sz w:val="20"/>
          <w:szCs w:val="20"/>
        </w:rPr>
        <w:t>6</w:t>
      </w:r>
      <w:r w:rsidR="00B11BFA">
        <w:rPr>
          <w:rFonts w:ascii="Open Sans" w:hAnsi="Open Sans" w:cs="Open Sans"/>
          <w:b/>
          <w:sz w:val="20"/>
          <w:szCs w:val="20"/>
        </w:rPr>
        <w:t>.</w:t>
      </w:r>
      <w:r w:rsidRPr="00257CD4">
        <w:rPr>
          <w:rFonts w:ascii="Open Sans" w:hAnsi="Open Sans" w:cs="Open Sans"/>
          <w:sz w:val="20"/>
          <w:szCs w:val="20"/>
        </w:rPr>
        <w:t xml:space="preserve"> Actividad contractual de la Agencia</w:t>
      </w:r>
      <w:r w:rsidRPr="00257CD4">
        <w:rPr>
          <w:rFonts w:ascii="Open Sans" w:hAnsi="Open Sans" w:cs="Open Sans"/>
          <w:sz w:val="20"/>
          <w:szCs w:val="20"/>
        </w:rPr>
        <w:ptab w:relativeTo="margin" w:alignment="right" w:leader="dot"/>
      </w:r>
      <w:r w:rsidR="00171D00" w:rsidRPr="00257CD4">
        <w:rPr>
          <w:rFonts w:ascii="Open Sans" w:hAnsi="Open Sans" w:cs="Open Sans"/>
          <w:sz w:val="20"/>
          <w:szCs w:val="20"/>
        </w:rPr>
        <w:t>2</w:t>
      </w:r>
      <w:r w:rsidR="00A57632">
        <w:rPr>
          <w:rFonts w:ascii="Open Sans" w:hAnsi="Open Sans" w:cs="Open Sans"/>
          <w:sz w:val="20"/>
          <w:szCs w:val="20"/>
        </w:rPr>
        <w:t>0</w:t>
      </w:r>
      <w:r w:rsidR="00BF0B3A">
        <w:rPr>
          <w:rFonts w:ascii="Open Sans" w:hAnsi="Open Sans" w:cs="Open Sans"/>
          <w:sz w:val="20"/>
          <w:szCs w:val="20"/>
        </w:rPr>
        <w:t>5</w:t>
      </w:r>
    </w:p>
    <w:p w14:paraId="75FF3588" w14:textId="5B53C99F" w:rsidR="001F7C08" w:rsidRPr="00257CD4" w:rsidRDefault="001F7C08" w:rsidP="00AD0570">
      <w:pPr>
        <w:pStyle w:val="Prrafodelista"/>
        <w:spacing w:after="0" w:line="276" w:lineRule="auto"/>
        <w:ind w:left="964" w:hanging="964"/>
        <w:jc w:val="both"/>
        <w:rPr>
          <w:rFonts w:ascii="Open Sans" w:hAnsi="Open Sans" w:cs="Open Sans"/>
          <w:sz w:val="20"/>
          <w:szCs w:val="20"/>
        </w:rPr>
      </w:pPr>
      <w:r w:rsidRPr="00257CD4">
        <w:rPr>
          <w:rFonts w:ascii="Open Sans" w:hAnsi="Open Sans" w:cs="Open Sans"/>
          <w:b/>
          <w:sz w:val="20"/>
          <w:szCs w:val="20"/>
        </w:rPr>
        <w:t>Tabla 3</w:t>
      </w:r>
      <w:r w:rsidR="004F5C13" w:rsidRPr="00257CD4">
        <w:rPr>
          <w:rFonts w:ascii="Open Sans" w:hAnsi="Open Sans" w:cs="Open Sans"/>
          <w:b/>
          <w:sz w:val="20"/>
          <w:szCs w:val="20"/>
        </w:rPr>
        <w:t>7</w:t>
      </w:r>
      <w:r w:rsidR="00B11BFA">
        <w:rPr>
          <w:rFonts w:ascii="Open Sans" w:hAnsi="Open Sans" w:cs="Open Sans"/>
          <w:b/>
          <w:sz w:val="20"/>
          <w:szCs w:val="20"/>
        </w:rPr>
        <w:t>.</w:t>
      </w:r>
      <w:r w:rsidRPr="00257CD4">
        <w:rPr>
          <w:rFonts w:ascii="Open Sans" w:hAnsi="Open Sans" w:cs="Open Sans"/>
          <w:sz w:val="20"/>
          <w:szCs w:val="20"/>
        </w:rPr>
        <w:t xml:space="preserve"> Porcentaje de volumen presupuestario del 1 de enero al 31 de diciembre de 2019</w:t>
      </w:r>
      <w:r w:rsidR="00066092" w:rsidRPr="00257CD4">
        <w:rPr>
          <w:rFonts w:ascii="Open Sans" w:hAnsi="Open Sans" w:cs="Open Sans"/>
          <w:sz w:val="20"/>
          <w:szCs w:val="20"/>
        </w:rPr>
        <w:ptab w:relativeTo="margin" w:alignment="right" w:leader="dot"/>
      </w:r>
      <w:r w:rsidR="00171D00" w:rsidRPr="00257CD4">
        <w:rPr>
          <w:rFonts w:ascii="Open Sans" w:hAnsi="Open Sans" w:cs="Open Sans"/>
          <w:sz w:val="20"/>
          <w:szCs w:val="20"/>
        </w:rPr>
        <w:t>2</w:t>
      </w:r>
      <w:r w:rsidR="00A57632">
        <w:rPr>
          <w:rFonts w:ascii="Open Sans" w:hAnsi="Open Sans" w:cs="Open Sans"/>
          <w:sz w:val="20"/>
          <w:szCs w:val="20"/>
        </w:rPr>
        <w:t>0</w:t>
      </w:r>
      <w:r w:rsidR="00BF0B3A">
        <w:rPr>
          <w:rFonts w:ascii="Open Sans" w:hAnsi="Open Sans" w:cs="Open Sans"/>
          <w:sz w:val="20"/>
          <w:szCs w:val="20"/>
        </w:rPr>
        <w:t>6</w:t>
      </w:r>
    </w:p>
    <w:p w14:paraId="223FC0C8" w14:textId="77777777" w:rsidR="00A46175" w:rsidRPr="00A07BE9" w:rsidRDefault="00A46175" w:rsidP="00A46175">
      <w:pPr>
        <w:pStyle w:val="Prrafodelista"/>
        <w:spacing w:line="276" w:lineRule="auto"/>
        <w:ind w:left="0"/>
        <w:jc w:val="both"/>
        <w:rPr>
          <w:rFonts w:ascii="Open Sans" w:hAnsi="Open Sans" w:cs="Open Sans"/>
          <w:sz w:val="20"/>
          <w:szCs w:val="20"/>
        </w:rPr>
      </w:pPr>
    </w:p>
    <w:p w14:paraId="53E6EB03" w14:textId="7A370DB2" w:rsidR="00270D4B" w:rsidRPr="00A07BE9" w:rsidRDefault="00D8434E">
      <w:pPr>
        <w:rPr>
          <w:sz w:val="20"/>
          <w:szCs w:val="20"/>
        </w:rPr>
      </w:pPr>
      <w:r w:rsidRPr="00A07BE9">
        <w:rPr>
          <w:sz w:val="20"/>
          <w:szCs w:val="20"/>
        </w:rPr>
        <w:br w:type="page"/>
      </w:r>
    </w:p>
    <w:p w14:paraId="2A16FA35" w14:textId="77777777" w:rsidR="00270D4B" w:rsidRPr="00A07BE9" w:rsidRDefault="00270D4B" w:rsidP="00D8434E">
      <w:pPr>
        <w:jc w:val="both"/>
        <w:rPr>
          <w:rFonts w:ascii="Open Sans" w:hAnsi="Open Sans" w:cs="Open Sans"/>
          <w:b/>
          <w:color w:val="9D2235"/>
          <w:sz w:val="60"/>
          <w:szCs w:val="60"/>
        </w:rPr>
      </w:pPr>
    </w:p>
    <w:p w14:paraId="05A891DA" w14:textId="4E897EE5" w:rsidR="00D8434E" w:rsidRPr="00A07BE9" w:rsidRDefault="00D8434E" w:rsidP="00D8434E">
      <w:pPr>
        <w:jc w:val="both"/>
        <w:rPr>
          <w:rFonts w:ascii="Open Sans" w:hAnsi="Open Sans" w:cs="Open Sans"/>
          <w:b/>
          <w:color w:val="9D2235"/>
          <w:sz w:val="60"/>
          <w:szCs w:val="60"/>
        </w:rPr>
      </w:pPr>
      <w:r w:rsidRPr="00A07BE9">
        <w:rPr>
          <w:rFonts w:ascii="Open Sans" w:hAnsi="Open Sans" w:cs="Open Sans"/>
          <w:b/>
          <w:color w:val="9D2235"/>
          <w:sz w:val="60"/>
          <w:szCs w:val="60"/>
        </w:rPr>
        <w:t>Índice de gráficos</w:t>
      </w:r>
    </w:p>
    <w:p w14:paraId="0BD60783" w14:textId="77777777" w:rsidR="00270D4B" w:rsidRPr="00A07BE9" w:rsidRDefault="00270D4B" w:rsidP="00D8434E">
      <w:pPr>
        <w:jc w:val="both"/>
        <w:rPr>
          <w:rFonts w:ascii="Open Sans" w:hAnsi="Open Sans" w:cs="Open Sans"/>
          <w:b/>
          <w:color w:val="9D2235"/>
          <w:sz w:val="20"/>
          <w:szCs w:val="20"/>
        </w:rPr>
      </w:pPr>
    </w:p>
    <w:p w14:paraId="2EF01484" w14:textId="37CD855D" w:rsidR="00CC4CD5" w:rsidRPr="00257CD4" w:rsidRDefault="00CC4CD5" w:rsidP="00EA0E82">
      <w:pPr>
        <w:spacing w:after="0" w:line="276" w:lineRule="auto"/>
        <w:jc w:val="both"/>
        <w:rPr>
          <w:rFonts w:ascii="Open Sans" w:hAnsi="Open Sans" w:cs="Open Sans"/>
          <w:sz w:val="20"/>
          <w:szCs w:val="20"/>
        </w:rPr>
      </w:pPr>
      <w:r w:rsidRPr="00257CD4">
        <w:rPr>
          <w:rFonts w:ascii="Open Sans" w:hAnsi="Open Sans" w:cs="Open Sans"/>
          <w:b/>
          <w:bCs/>
          <w:sz w:val="20"/>
          <w:szCs w:val="20"/>
        </w:rPr>
        <w:t>Gráfico 1.</w:t>
      </w:r>
      <w:r w:rsidRPr="00257CD4">
        <w:rPr>
          <w:rFonts w:ascii="Open Sans" w:hAnsi="Open Sans" w:cs="Open Sans"/>
          <w:sz w:val="20"/>
          <w:szCs w:val="20"/>
        </w:rPr>
        <w:t xml:space="preserve"> </w:t>
      </w:r>
      <w:r w:rsidR="00E46707" w:rsidRPr="00257CD4">
        <w:rPr>
          <w:rFonts w:ascii="Open Sans" w:hAnsi="Open Sans" w:cs="Open Sans"/>
          <w:sz w:val="20"/>
          <w:szCs w:val="20"/>
        </w:rPr>
        <w:t>Denuncias con entrada en la Agencia Valenciana Antifrau</w:t>
      </w:r>
      <w:r w:rsidR="00E51418" w:rsidRPr="00257CD4">
        <w:rPr>
          <w:rFonts w:ascii="Open Sans" w:hAnsi="Open Sans" w:cs="Open Sans"/>
          <w:sz w:val="20"/>
          <w:szCs w:val="20"/>
        </w:rPr>
        <w:t>de</w:t>
      </w:r>
      <w:r w:rsidR="00F81A62" w:rsidRPr="00257CD4">
        <w:rPr>
          <w:rFonts w:ascii="Open Sans" w:hAnsi="Open Sans" w:cs="Open Sans"/>
          <w:sz w:val="20"/>
          <w:szCs w:val="20"/>
        </w:rPr>
        <w:t xml:space="preserve"> </w:t>
      </w:r>
      <w:r w:rsidR="00E46707" w:rsidRPr="00257CD4">
        <w:rPr>
          <w:rFonts w:ascii="Open Sans" w:hAnsi="Open Sans" w:cs="Open Sans"/>
          <w:sz w:val="20"/>
          <w:szCs w:val="20"/>
        </w:rPr>
        <w:t>(2019)</w:t>
      </w:r>
      <w:r w:rsidRPr="00257CD4">
        <w:rPr>
          <w:rFonts w:ascii="Open Sans" w:hAnsi="Open Sans" w:cs="Open Sans"/>
          <w:sz w:val="20"/>
          <w:szCs w:val="20"/>
        </w:rPr>
        <w:t xml:space="preserve"> </w:t>
      </w:r>
      <w:r w:rsidR="00F90BFF" w:rsidRPr="00257CD4">
        <w:rPr>
          <w:rFonts w:ascii="Open Sans" w:hAnsi="Open Sans" w:cs="Open Sans"/>
          <w:sz w:val="20"/>
          <w:szCs w:val="20"/>
        </w:rPr>
        <w:ptab w:relativeTo="margin" w:alignment="right" w:leader="dot"/>
      </w:r>
      <w:r w:rsidR="00771F5E" w:rsidRPr="00257CD4">
        <w:rPr>
          <w:rFonts w:ascii="Open Sans" w:hAnsi="Open Sans" w:cs="Open Sans"/>
          <w:sz w:val="20"/>
          <w:szCs w:val="20"/>
        </w:rPr>
        <w:t>25</w:t>
      </w:r>
    </w:p>
    <w:p w14:paraId="4B4FDEE4" w14:textId="671FEC7A" w:rsidR="00CC4CD5" w:rsidRPr="00257CD4" w:rsidRDefault="00CC4CD5" w:rsidP="00EA0E82">
      <w:pPr>
        <w:spacing w:after="0" w:line="276" w:lineRule="auto"/>
        <w:jc w:val="both"/>
        <w:rPr>
          <w:rFonts w:ascii="Open Sans" w:hAnsi="Open Sans" w:cs="Open Sans"/>
          <w:sz w:val="20"/>
          <w:szCs w:val="20"/>
        </w:rPr>
      </w:pPr>
      <w:r w:rsidRPr="00257CD4">
        <w:rPr>
          <w:rFonts w:ascii="Open Sans" w:hAnsi="Open Sans" w:cs="Open Sans"/>
          <w:b/>
          <w:bCs/>
          <w:sz w:val="20"/>
          <w:szCs w:val="20"/>
        </w:rPr>
        <w:t>Gráfico 2.</w:t>
      </w:r>
      <w:r w:rsidRPr="00257CD4">
        <w:rPr>
          <w:rFonts w:ascii="Open Sans" w:hAnsi="Open Sans" w:cs="Open Sans"/>
          <w:sz w:val="20"/>
          <w:szCs w:val="20"/>
        </w:rPr>
        <w:t xml:space="preserve"> </w:t>
      </w:r>
      <w:r w:rsidR="00665F72" w:rsidRPr="00257CD4">
        <w:rPr>
          <w:rFonts w:ascii="Open Sans" w:hAnsi="Open Sans" w:cs="Open Sans"/>
          <w:sz w:val="20"/>
          <w:szCs w:val="20"/>
        </w:rPr>
        <w:t>Denuncias presentadas por ámbito subjetivo</w:t>
      </w:r>
      <w:r w:rsidRPr="00257CD4">
        <w:rPr>
          <w:rFonts w:ascii="Open Sans" w:hAnsi="Open Sans" w:cs="Open Sans"/>
          <w:sz w:val="20"/>
          <w:szCs w:val="20"/>
        </w:rPr>
        <w:t xml:space="preserve"> </w:t>
      </w:r>
      <w:r w:rsidR="00F90BFF" w:rsidRPr="00257CD4">
        <w:rPr>
          <w:rFonts w:ascii="Open Sans" w:hAnsi="Open Sans" w:cs="Open Sans"/>
          <w:sz w:val="20"/>
          <w:szCs w:val="20"/>
        </w:rPr>
        <w:ptab w:relativeTo="margin" w:alignment="right" w:leader="dot"/>
      </w:r>
      <w:r w:rsidR="0080074E" w:rsidRPr="00257CD4">
        <w:rPr>
          <w:rFonts w:ascii="Open Sans" w:hAnsi="Open Sans" w:cs="Open Sans"/>
          <w:sz w:val="20"/>
          <w:szCs w:val="20"/>
        </w:rPr>
        <w:t>5</w:t>
      </w:r>
      <w:r w:rsidR="00884961">
        <w:rPr>
          <w:rFonts w:ascii="Open Sans" w:hAnsi="Open Sans" w:cs="Open Sans"/>
          <w:sz w:val="20"/>
          <w:szCs w:val="20"/>
        </w:rPr>
        <w:t>7</w:t>
      </w:r>
    </w:p>
    <w:p w14:paraId="52269E57" w14:textId="18339133" w:rsidR="00CC4CD5" w:rsidRPr="00257CD4" w:rsidRDefault="00CC4CD5" w:rsidP="00EA0E82">
      <w:pPr>
        <w:spacing w:after="0" w:line="276" w:lineRule="auto"/>
        <w:jc w:val="both"/>
        <w:rPr>
          <w:rFonts w:ascii="Open Sans" w:hAnsi="Open Sans" w:cs="Open Sans"/>
          <w:sz w:val="20"/>
          <w:szCs w:val="20"/>
        </w:rPr>
      </w:pPr>
      <w:r w:rsidRPr="00257CD4">
        <w:rPr>
          <w:rFonts w:ascii="Open Sans" w:hAnsi="Open Sans" w:cs="Open Sans"/>
          <w:b/>
          <w:bCs/>
          <w:sz w:val="20"/>
          <w:szCs w:val="20"/>
        </w:rPr>
        <w:t>Gráfico 3.</w:t>
      </w:r>
      <w:r w:rsidRPr="00257CD4">
        <w:rPr>
          <w:rFonts w:ascii="Open Sans" w:hAnsi="Open Sans" w:cs="Open Sans"/>
          <w:sz w:val="20"/>
          <w:szCs w:val="20"/>
        </w:rPr>
        <w:t xml:space="preserve"> </w:t>
      </w:r>
      <w:r w:rsidR="00665F72" w:rsidRPr="00257CD4">
        <w:rPr>
          <w:rFonts w:ascii="Open Sans" w:hAnsi="Open Sans" w:cs="Open Sans"/>
          <w:sz w:val="20"/>
          <w:szCs w:val="20"/>
        </w:rPr>
        <w:t>Denuncias presentadas según el canal de comunicación</w:t>
      </w:r>
      <w:r w:rsidRPr="00257CD4">
        <w:rPr>
          <w:rFonts w:ascii="Open Sans" w:hAnsi="Open Sans" w:cs="Open Sans"/>
          <w:sz w:val="20"/>
          <w:szCs w:val="20"/>
        </w:rPr>
        <w:t xml:space="preserve"> </w:t>
      </w:r>
      <w:r w:rsidR="00F90BFF" w:rsidRPr="00257CD4">
        <w:rPr>
          <w:rFonts w:ascii="Open Sans" w:hAnsi="Open Sans" w:cs="Open Sans"/>
          <w:sz w:val="20"/>
          <w:szCs w:val="20"/>
        </w:rPr>
        <w:ptab w:relativeTo="margin" w:alignment="right" w:leader="dot"/>
      </w:r>
      <w:r w:rsidR="0080074E" w:rsidRPr="00257CD4">
        <w:rPr>
          <w:rFonts w:ascii="Open Sans" w:hAnsi="Open Sans" w:cs="Open Sans"/>
          <w:sz w:val="20"/>
          <w:szCs w:val="20"/>
        </w:rPr>
        <w:t>5</w:t>
      </w:r>
      <w:r w:rsidR="001F7CEA">
        <w:rPr>
          <w:rFonts w:ascii="Open Sans" w:hAnsi="Open Sans" w:cs="Open Sans"/>
          <w:sz w:val="20"/>
          <w:szCs w:val="20"/>
        </w:rPr>
        <w:t>9</w:t>
      </w:r>
    </w:p>
    <w:p w14:paraId="2E95591B" w14:textId="5B5D4A0A" w:rsidR="00CC4CD5" w:rsidRPr="00257CD4" w:rsidRDefault="00CC4CD5" w:rsidP="00EA0E82">
      <w:pPr>
        <w:spacing w:after="0" w:line="276" w:lineRule="auto"/>
        <w:jc w:val="both"/>
        <w:rPr>
          <w:rFonts w:ascii="Open Sans" w:hAnsi="Open Sans" w:cs="Open Sans"/>
          <w:sz w:val="20"/>
          <w:szCs w:val="20"/>
        </w:rPr>
      </w:pPr>
      <w:r w:rsidRPr="00257CD4">
        <w:rPr>
          <w:rFonts w:ascii="Open Sans" w:hAnsi="Open Sans" w:cs="Open Sans"/>
          <w:b/>
          <w:bCs/>
          <w:sz w:val="20"/>
          <w:szCs w:val="20"/>
        </w:rPr>
        <w:t>Gráfico 4.</w:t>
      </w:r>
      <w:r w:rsidRPr="00257CD4">
        <w:rPr>
          <w:rFonts w:ascii="Open Sans" w:hAnsi="Open Sans" w:cs="Open Sans"/>
          <w:sz w:val="20"/>
          <w:szCs w:val="20"/>
        </w:rPr>
        <w:t xml:space="preserve"> </w:t>
      </w:r>
      <w:r w:rsidR="00665F72" w:rsidRPr="00257CD4">
        <w:rPr>
          <w:rFonts w:ascii="Open Sans" w:hAnsi="Open Sans" w:cs="Open Sans"/>
          <w:sz w:val="20"/>
          <w:szCs w:val="20"/>
        </w:rPr>
        <w:t xml:space="preserve">Denuncias presentadas según </w:t>
      </w:r>
      <w:r w:rsidR="00EC46CF" w:rsidRPr="00257CD4">
        <w:rPr>
          <w:rFonts w:ascii="Open Sans" w:hAnsi="Open Sans" w:cs="Open Sans"/>
          <w:sz w:val="20"/>
          <w:szCs w:val="20"/>
        </w:rPr>
        <w:t>el territorio</w:t>
      </w:r>
      <w:r w:rsidR="00F90BFF" w:rsidRPr="00257CD4">
        <w:rPr>
          <w:rFonts w:ascii="Open Sans" w:hAnsi="Open Sans" w:cs="Open Sans"/>
          <w:sz w:val="20"/>
          <w:szCs w:val="20"/>
        </w:rPr>
        <w:ptab w:relativeTo="margin" w:alignment="right" w:leader="dot"/>
      </w:r>
      <w:r w:rsidR="001F7CEA">
        <w:rPr>
          <w:rFonts w:ascii="Open Sans" w:hAnsi="Open Sans" w:cs="Open Sans"/>
          <w:sz w:val="20"/>
          <w:szCs w:val="20"/>
        </w:rPr>
        <w:t>60</w:t>
      </w:r>
    </w:p>
    <w:p w14:paraId="3288310F" w14:textId="62D3DDF9" w:rsidR="00CC4CD5" w:rsidRPr="00257CD4" w:rsidRDefault="00CC4CD5" w:rsidP="00EA0E82">
      <w:pPr>
        <w:spacing w:after="0" w:line="276" w:lineRule="auto"/>
        <w:jc w:val="both"/>
        <w:rPr>
          <w:rFonts w:ascii="Open Sans" w:hAnsi="Open Sans" w:cs="Open Sans"/>
          <w:sz w:val="20"/>
          <w:szCs w:val="20"/>
        </w:rPr>
      </w:pPr>
      <w:r w:rsidRPr="00257CD4">
        <w:rPr>
          <w:rFonts w:ascii="Open Sans" w:hAnsi="Open Sans" w:cs="Open Sans"/>
          <w:b/>
          <w:bCs/>
          <w:sz w:val="20"/>
          <w:szCs w:val="20"/>
        </w:rPr>
        <w:t>Gráfico 5.</w:t>
      </w:r>
      <w:r w:rsidRPr="00257CD4">
        <w:rPr>
          <w:rFonts w:ascii="Open Sans" w:hAnsi="Open Sans" w:cs="Open Sans"/>
          <w:sz w:val="20"/>
          <w:szCs w:val="20"/>
        </w:rPr>
        <w:t xml:space="preserve"> </w:t>
      </w:r>
      <w:r w:rsidR="00665F72" w:rsidRPr="00257CD4">
        <w:rPr>
          <w:rFonts w:ascii="Open Sans" w:hAnsi="Open Sans" w:cs="Open Sans"/>
          <w:sz w:val="20"/>
          <w:szCs w:val="20"/>
        </w:rPr>
        <w:t>Denuncias presentadas según el ámbito material</w:t>
      </w:r>
      <w:r w:rsidRPr="00257CD4">
        <w:rPr>
          <w:rFonts w:ascii="Open Sans" w:hAnsi="Open Sans" w:cs="Open Sans"/>
          <w:sz w:val="20"/>
          <w:szCs w:val="20"/>
        </w:rPr>
        <w:t xml:space="preserve"> </w:t>
      </w:r>
      <w:r w:rsidR="00F90BFF" w:rsidRPr="00257CD4">
        <w:rPr>
          <w:rFonts w:ascii="Open Sans" w:hAnsi="Open Sans" w:cs="Open Sans"/>
          <w:sz w:val="20"/>
          <w:szCs w:val="20"/>
        </w:rPr>
        <w:ptab w:relativeTo="margin" w:alignment="right" w:leader="dot"/>
      </w:r>
      <w:r w:rsidR="00184CC4" w:rsidRPr="00257CD4">
        <w:rPr>
          <w:rFonts w:ascii="Open Sans" w:hAnsi="Open Sans" w:cs="Open Sans"/>
          <w:sz w:val="20"/>
          <w:szCs w:val="20"/>
        </w:rPr>
        <w:t>6</w:t>
      </w:r>
      <w:r w:rsidR="001F7CEA">
        <w:rPr>
          <w:rFonts w:ascii="Open Sans" w:hAnsi="Open Sans" w:cs="Open Sans"/>
          <w:sz w:val="20"/>
          <w:szCs w:val="20"/>
        </w:rPr>
        <w:t>2</w:t>
      </w:r>
    </w:p>
    <w:p w14:paraId="2DCED488" w14:textId="54C13443" w:rsidR="00CC4CD5" w:rsidRPr="00257CD4" w:rsidRDefault="00CC4CD5" w:rsidP="004063ED">
      <w:pPr>
        <w:spacing w:after="0" w:line="276" w:lineRule="auto"/>
        <w:ind w:left="1021" w:hanging="1021"/>
        <w:rPr>
          <w:rFonts w:ascii="Open Sans" w:hAnsi="Open Sans" w:cs="Open Sans"/>
          <w:sz w:val="20"/>
          <w:szCs w:val="20"/>
        </w:rPr>
      </w:pPr>
      <w:r w:rsidRPr="00257CD4">
        <w:rPr>
          <w:rFonts w:ascii="Open Sans" w:hAnsi="Open Sans" w:cs="Open Sans"/>
          <w:b/>
          <w:bCs/>
          <w:sz w:val="20"/>
          <w:szCs w:val="20"/>
        </w:rPr>
        <w:t>Gráfico</w:t>
      </w:r>
      <w:r w:rsidR="00393AD1" w:rsidRPr="00257CD4">
        <w:rPr>
          <w:rFonts w:ascii="Open Sans" w:hAnsi="Open Sans" w:cs="Open Sans"/>
          <w:b/>
          <w:bCs/>
          <w:sz w:val="20"/>
          <w:szCs w:val="20"/>
        </w:rPr>
        <w:t xml:space="preserve"> </w:t>
      </w:r>
      <w:r w:rsidRPr="00257CD4">
        <w:rPr>
          <w:rFonts w:ascii="Open Sans" w:hAnsi="Open Sans" w:cs="Open Sans"/>
          <w:b/>
          <w:bCs/>
          <w:sz w:val="20"/>
          <w:szCs w:val="20"/>
        </w:rPr>
        <w:t>6.</w:t>
      </w:r>
      <w:r w:rsidR="00EA0E82" w:rsidRPr="00257CD4">
        <w:rPr>
          <w:rFonts w:ascii="Open Sans" w:hAnsi="Open Sans" w:cs="Open Sans"/>
          <w:sz w:val="20"/>
          <w:szCs w:val="20"/>
        </w:rPr>
        <w:t xml:space="preserve"> </w:t>
      </w:r>
      <w:r w:rsidRPr="00257CD4">
        <w:rPr>
          <w:rFonts w:ascii="Open Sans" w:hAnsi="Open Sans" w:cs="Open Sans"/>
          <w:sz w:val="20"/>
          <w:szCs w:val="20"/>
        </w:rPr>
        <w:t>D</w:t>
      </w:r>
      <w:r w:rsidR="00665F72" w:rsidRPr="00257CD4">
        <w:rPr>
          <w:rFonts w:ascii="Open Sans" w:hAnsi="Open Sans" w:cs="Open Sans"/>
          <w:sz w:val="20"/>
          <w:szCs w:val="20"/>
        </w:rPr>
        <w:t>enuncias presentadas según la tipología, condición o naturaleza del comunicante</w:t>
      </w:r>
      <w:r w:rsidR="00F90BFF" w:rsidRPr="00257CD4">
        <w:rPr>
          <w:rFonts w:ascii="Open Sans" w:hAnsi="Open Sans" w:cs="Open Sans"/>
          <w:sz w:val="20"/>
          <w:szCs w:val="20"/>
        </w:rPr>
        <w:ptab w:relativeTo="margin" w:alignment="right" w:leader="dot"/>
      </w:r>
      <w:r w:rsidR="00FE278B" w:rsidRPr="00257CD4">
        <w:rPr>
          <w:rFonts w:ascii="Open Sans" w:hAnsi="Open Sans" w:cs="Open Sans"/>
          <w:sz w:val="20"/>
          <w:szCs w:val="20"/>
        </w:rPr>
        <w:t>6</w:t>
      </w:r>
      <w:r w:rsidR="001F7CEA">
        <w:rPr>
          <w:rFonts w:ascii="Open Sans" w:hAnsi="Open Sans" w:cs="Open Sans"/>
          <w:sz w:val="20"/>
          <w:szCs w:val="20"/>
        </w:rPr>
        <w:t>4</w:t>
      </w:r>
    </w:p>
    <w:p w14:paraId="72BC3534" w14:textId="553548A8" w:rsidR="00CC4CD5" w:rsidRPr="00257CD4" w:rsidRDefault="00CC4CD5" w:rsidP="00EA0E82">
      <w:pPr>
        <w:spacing w:after="0" w:line="276" w:lineRule="auto"/>
        <w:jc w:val="both"/>
        <w:rPr>
          <w:rFonts w:ascii="Open Sans" w:hAnsi="Open Sans" w:cs="Open Sans"/>
          <w:sz w:val="20"/>
          <w:szCs w:val="20"/>
        </w:rPr>
      </w:pPr>
      <w:r w:rsidRPr="00257CD4">
        <w:rPr>
          <w:rFonts w:ascii="Open Sans" w:hAnsi="Open Sans" w:cs="Open Sans"/>
          <w:b/>
          <w:bCs/>
          <w:sz w:val="20"/>
          <w:szCs w:val="20"/>
        </w:rPr>
        <w:t>Gráfico 7.</w:t>
      </w:r>
      <w:r w:rsidRPr="00257CD4">
        <w:rPr>
          <w:rFonts w:ascii="Open Sans" w:hAnsi="Open Sans" w:cs="Open Sans"/>
          <w:sz w:val="20"/>
          <w:szCs w:val="20"/>
        </w:rPr>
        <w:t xml:space="preserve"> </w:t>
      </w:r>
      <w:r w:rsidR="00665F72" w:rsidRPr="00257CD4">
        <w:rPr>
          <w:rFonts w:ascii="Open Sans" w:hAnsi="Open Sans" w:cs="Open Sans"/>
          <w:sz w:val="20"/>
          <w:szCs w:val="20"/>
        </w:rPr>
        <w:t xml:space="preserve">Denuncias de personas físicas clasificadas </w:t>
      </w:r>
      <w:r w:rsidRPr="00257CD4">
        <w:rPr>
          <w:rFonts w:ascii="Open Sans" w:hAnsi="Open Sans" w:cs="Open Sans"/>
          <w:sz w:val="20"/>
          <w:szCs w:val="20"/>
        </w:rPr>
        <w:t xml:space="preserve">por género </w:t>
      </w:r>
      <w:r w:rsidR="00F90BFF" w:rsidRPr="00257CD4">
        <w:rPr>
          <w:rFonts w:ascii="Open Sans" w:hAnsi="Open Sans" w:cs="Open Sans"/>
          <w:sz w:val="20"/>
          <w:szCs w:val="20"/>
        </w:rPr>
        <w:ptab w:relativeTo="margin" w:alignment="right" w:leader="dot"/>
      </w:r>
      <w:r w:rsidR="000041FC" w:rsidRPr="00257CD4">
        <w:rPr>
          <w:rFonts w:ascii="Open Sans" w:hAnsi="Open Sans" w:cs="Open Sans"/>
          <w:sz w:val="20"/>
          <w:szCs w:val="20"/>
        </w:rPr>
        <w:t>6</w:t>
      </w:r>
      <w:r w:rsidR="001F7CEA">
        <w:rPr>
          <w:rFonts w:ascii="Open Sans" w:hAnsi="Open Sans" w:cs="Open Sans"/>
          <w:sz w:val="20"/>
          <w:szCs w:val="20"/>
        </w:rPr>
        <w:t>5</w:t>
      </w:r>
    </w:p>
    <w:p w14:paraId="3951F6E4" w14:textId="1189B691" w:rsidR="00CC4CD5" w:rsidRPr="00257CD4" w:rsidRDefault="00CC4CD5" w:rsidP="00EA0E82">
      <w:pPr>
        <w:spacing w:after="0" w:line="276" w:lineRule="auto"/>
        <w:jc w:val="both"/>
        <w:rPr>
          <w:rFonts w:ascii="Open Sans" w:hAnsi="Open Sans" w:cs="Open Sans"/>
          <w:sz w:val="20"/>
          <w:szCs w:val="20"/>
        </w:rPr>
      </w:pPr>
      <w:r w:rsidRPr="00257CD4">
        <w:rPr>
          <w:rFonts w:ascii="Open Sans" w:hAnsi="Open Sans" w:cs="Open Sans"/>
          <w:b/>
          <w:bCs/>
          <w:sz w:val="20"/>
          <w:szCs w:val="20"/>
        </w:rPr>
        <w:t>Gráfico 8.</w:t>
      </w:r>
      <w:r w:rsidRPr="00257CD4">
        <w:rPr>
          <w:rFonts w:ascii="Open Sans" w:hAnsi="Open Sans" w:cs="Open Sans"/>
          <w:sz w:val="20"/>
          <w:szCs w:val="20"/>
        </w:rPr>
        <w:t xml:space="preserve"> </w:t>
      </w:r>
      <w:r w:rsidR="00665F72" w:rsidRPr="00257CD4">
        <w:rPr>
          <w:rFonts w:ascii="Open Sans" w:hAnsi="Open Sans" w:cs="Open Sans"/>
          <w:sz w:val="20"/>
          <w:szCs w:val="20"/>
        </w:rPr>
        <w:t>Estado de situación de los expedientes de análisis e investigación</w:t>
      </w:r>
      <w:r w:rsidRPr="00257CD4">
        <w:rPr>
          <w:rFonts w:ascii="Open Sans" w:hAnsi="Open Sans" w:cs="Open Sans"/>
          <w:sz w:val="20"/>
          <w:szCs w:val="20"/>
        </w:rPr>
        <w:t xml:space="preserve"> </w:t>
      </w:r>
      <w:r w:rsidR="00F90BFF" w:rsidRPr="00257CD4">
        <w:rPr>
          <w:rFonts w:ascii="Open Sans" w:hAnsi="Open Sans" w:cs="Open Sans"/>
          <w:sz w:val="20"/>
          <w:szCs w:val="20"/>
        </w:rPr>
        <w:ptab w:relativeTo="margin" w:alignment="right" w:leader="dot"/>
      </w:r>
      <w:r w:rsidR="00A00829" w:rsidRPr="00257CD4">
        <w:rPr>
          <w:rFonts w:ascii="Open Sans" w:hAnsi="Open Sans" w:cs="Open Sans"/>
          <w:sz w:val="20"/>
          <w:szCs w:val="20"/>
        </w:rPr>
        <w:t>6</w:t>
      </w:r>
      <w:r w:rsidR="001F7CEA">
        <w:rPr>
          <w:rFonts w:ascii="Open Sans" w:hAnsi="Open Sans" w:cs="Open Sans"/>
          <w:sz w:val="20"/>
          <w:szCs w:val="20"/>
        </w:rPr>
        <w:t>9</w:t>
      </w:r>
    </w:p>
    <w:p w14:paraId="18794AFE" w14:textId="797E64DD" w:rsidR="00CC4CD5" w:rsidRPr="00257CD4" w:rsidRDefault="00CC4CD5" w:rsidP="00810491">
      <w:pPr>
        <w:spacing w:after="0" w:line="276" w:lineRule="auto"/>
        <w:ind w:left="1021" w:hanging="1021"/>
        <w:rPr>
          <w:rFonts w:ascii="Open Sans" w:hAnsi="Open Sans" w:cs="Open Sans"/>
          <w:sz w:val="20"/>
          <w:szCs w:val="20"/>
        </w:rPr>
      </w:pPr>
      <w:r w:rsidRPr="00257CD4">
        <w:rPr>
          <w:rFonts w:ascii="Open Sans" w:hAnsi="Open Sans" w:cs="Open Sans"/>
          <w:b/>
          <w:bCs/>
          <w:sz w:val="20"/>
          <w:szCs w:val="20"/>
        </w:rPr>
        <w:t xml:space="preserve">Gráfico 9. </w:t>
      </w:r>
      <w:r w:rsidR="00F430E2" w:rsidRPr="00257CD4">
        <w:rPr>
          <w:rFonts w:ascii="Open Sans" w:hAnsi="Open Sans" w:cs="Open Sans"/>
          <w:sz w:val="20"/>
          <w:szCs w:val="20"/>
        </w:rPr>
        <w:t>Distribución mensual del número de solicitudes de protección presentadas en 2019</w:t>
      </w:r>
      <w:r w:rsidR="00F90BFF" w:rsidRPr="00257CD4">
        <w:rPr>
          <w:rFonts w:ascii="Open Sans" w:hAnsi="Open Sans" w:cs="Open Sans"/>
          <w:sz w:val="20"/>
          <w:szCs w:val="20"/>
        </w:rPr>
        <w:ptab w:relativeTo="margin" w:alignment="right" w:leader="dot"/>
      </w:r>
      <w:r w:rsidR="00257CD4" w:rsidRPr="00257CD4">
        <w:rPr>
          <w:rFonts w:ascii="Open Sans" w:hAnsi="Open Sans" w:cs="Open Sans"/>
          <w:sz w:val="20"/>
          <w:szCs w:val="20"/>
        </w:rPr>
        <w:t>13</w:t>
      </w:r>
      <w:r w:rsidR="00D43D31">
        <w:rPr>
          <w:rFonts w:ascii="Open Sans" w:hAnsi="Open Sans" w:cs="Open Sans"/>
          <w:sz w:val="20"/>
          <w:szCs w:val="20"/>
        </w:rPr>
        <w:t>3</w:t>
      </w:r>
    </w:p>
    <w:p w14:paraId="003EB4AA" w14:textId="20A4B6EB" w:rsidR="00CC4CD5" w:rsidRPr="00257CD4" w:rsidRDefault="00CC4CD5" w:rsidP="00810491">
      <w:pPr>
        <w:spacing w:after="0" w:line="276" w:lineRule="auto"/>
        <w:ind w:left="1134" w:hanging="1134"/>
        <w:rPr>
          <w:rFonts w:ascii="Open Sans" w:hAnsi="Open Sans" w:cs="Open Sans"/>
          <w:sz w:val="20"/>
          <w:szCs w:val="20"/>
        </w:rPr>
      </w:pPr>
      <w:r w:rsidRPr="00257CD4">
        <w:rPr>
          <w:rFonts w:ascii="Open Sans" w:hAnsi="Open Sans" w:cs="Open Sans"/>
          <w:b/>
          <w:bCs/>
          <w:sz w:val="20"/>
          <w:szCs w:val="20"/>
        </w:rPr>
        <w:t>Gráfico 10.</w:t>
      </w:r>
      <w:r w:rsidRPr="00257CD4">
        <w:rPr>
          <w:rFonts w:ascii="Open Sans" w:hAnsi="Open Sans" w:cs="Open Sans"/>
          <w:sz w:val="20"/>
          <w:szCs w:val="20"/>
        </w:rPr>
        <w:t xml:space="preserve"> </w:t>
      </w:r>
      <w:r w:rsidR="00F430E2" w:rsidRPr="00257CD4">
        <w:rPr>
          <w:rFonts w:ascii="Open Sans" w:hAnsi="Open Sans" w:cs="Open Sans"/>
          <w:sz w:val="20"/>
          <w:szCs w:val="20"/>
        </w:rPr>
        <w:t xml:space="preserve">Canal o medio de presentación de las solicitudes de protección </w:t>
      </w:r>
      <w:r w:rsidR="0087054B" w:rsidRPr="00257CD4">
        <w:rPr>
          <w:rFonts w:ascii="Open Sans" w:hAnsi="Open Sans" w:cs="Open Sans"/>
          <w:sz w:val="20"/>
          <w:szCs w:val="20"/>
        </w:rPr>
        <w:t>de 2019</w:t>
      </w:r>
      <w:r w:rsidRPr="00257CD4">
        <w:rPr>
          <w:rFonts w:ascii="Open Sans" w:hAnsi="Open Sans" w:cs="Open Sans"/>
          <w:sz w:val="20"/>
          <w:szCs w:val="20"/>
        </w:rPr>
        <w:t xml:space="preserve"> </w:t>
      </w:r>
      <w:r w:rsidR="00F90BFF" w:rsidRPr="00257CD4">
        <w:rPr>
          <w:rFonts w:ascii="Open Sans" w:hAnsi="Open Sans" w:cs="Open Sans"/>
          <w:sz w:val="20"/>
          <w:szCs w:val="20"/>
        </w:rPr>
        <w:ptab w:relativeTo="margin" w:alignment="right" w:leader="dot"/>
      </w:r>
      <w:r w:rsidR="000041FC" w:rsidRPr="00257CD4">
        <w:rPr>
          <w:rFonts w:ascii="Open Sans" w:hAnsi="Open Sans" w:cs="Open Sans"/>
          <w:sz w:val="20"/>
          <w:szCs w:val="20"/>
        </w:rPr>
        <w:t>1</w:t>
      </w:r>
      <w:r w:rsidR="00257CD4" w:rsidRPr="00257CD4">
        <w:rPr>
          <w:rFonts w:ascii="Open Sans" w:hAnsi="Open Sans" w:cs="Open Sans"/>
          <w:sz w:val="20"/>
          <w:szCs w:val="20"/>
        </w:rPr>
        <w:t>3</w:t>
      </w:r>
      <w:r w:rsidR="00D43D31">
        <w:rPr>
          <w:rFonts w:ascii="Open Sans" w:hAnsi="Open Sans" w:cs="Open Sans"/>
          <w:sz w:val="20"/>
          <w:szCs w:val="20"/>
        </w:rPr>
        <w:t>3</w:t>
      </w:r>
    </w:p>
    <w:p w14:paraId="00A58EB1" w14:textId="21DC3DA6" w:rsidR="00CC4CD5" w:rsidRPr="00257CD4" w:rsidRDefault="00CC4CD5" w:rsidP="008E4F09">
      <w:pPr>
        <w:spacing w:after="0" w:line="276" w:lineRule="auto"/>
        <w:ind w:left="1077" w:hanging="1077"/>
        <w:rPr>
          <w:rFonts w:ascii="Open Sans" w:hAnsi="Open Sans" w:cs="Open Sans"/>
          <w:sz w:val="20"/>
          <w:szCs w:val="20"/>
        </w:rPr>
      </w:pPr>
      <w:r w:rsidRPr="00257CD4">
        <w:rPr>
          <w:rFonts w:ascii="Open Sans" w:hAnsi="Open Sans" w:cs="Open Sans"/>
          <w:b/>
          <w:bCs/>
          <w:sz w:val="20"/>
          <w:szCs w:val="20"/>
        </w:rPr>
        <w:t>Gráfico</w:t>
      </w:r>
      <w:r w:rsidR="00393AD1" w:rsidRPr="00257CD4">
        <w:rPr>
          <w:rFonts w:ascii="Open Sans" w:hAnsi="Open Sans" w:cs="Open Sans"/>
          <w:b/>
          <w:bCs/>
          <w:sz w:val="20"/>
          <w:szCs w:val="20"/>
        </w:rPr>
        <w:t xml:space="preserve"> </w:t>
      </w:r>
      <w:r w:rsidRPr="00257CD4">
        <w:rPr>
          <w:rFonts w:ascii="Open Sans" w:hAnsi="Open Sans" w:cs="Open Sans"/>
          <w:b/>
          <w:bCs/>
          <w:sz w:val="20"/>
          <w:szCs w:val="20"/>
        </w:rPr>
        <w:t>11.</w:t>
      </w:r>
      <w:r w:rsidRPr="00257CD4">
        <w:rPr>
          <w:rFonts w:ascii="Open Sans" w:hAnsi="Open Sans" w:cs="Open Sans"/>
          <w:sz w:val="20"/>
          <w:szCs w:val="20"/>
        </w:rPr>
        <w:t xml:space="preserve"> </w:t>
      </w:r>
      <w:r w:rsidR="0048558D" w:rsidRPr="00257CD4">
        <w:rPr>
          <w:rFonts w:ascii="Open Sans" w:hAnsi="Open Sans" w:cs="Open Sans"/>
          <w:sz w:val="20"/>
          <w:szCs w:val="20"/>
        </w:rPr>
        <w:t>Número de solicitudes de protección presentadas según el tipo de administración, institución o entidad afectada por la denuncia durante 2019</w:t>
      </w:r>
      <w:bookmarkStart w:id="5" w:name="_Hlk36121649"/>
      <w:r w:rsidR="00F90BFF" w:rsidRPr="00257CD4">
        <w:rPr>
          <w:rFonts w:ascii="Open Sans" w:hAnsi="Open Sans" w:cs="Open Sans"/>
          <w:sz w:val="20"/>
          <w:szCs w:val="20"/>
        </w:rPr>
        <w:ptab w:relativeTo="margin" w:alignment="right" w:leader="dot"/>
      </w:r>
      <w:r w:rsidR="000041FC" w:rsidRPr="00257CD4">
        <w:rPr>
          <w:rFonts w:ascii="Open Sans" w:hAnsi="Open Sans" w:cs="Open Sans"/>
          <w:sz w:val="20"/>
          <w:szCs w:val="20"/>
        </w:rPr>
        <w:ptab w:relativeTo="margin" w:alignment="right" w:leader="dot"/>
      </w:r>
      <w:bookmarkEnd w:id="5"/>
      <w:r w:rsidR="000041FC" w:rsidRPr="00257CD4">
        <w:rPr>
          <w:rFonts w:ascii="Open Sans" w:hAnsi="Open Sans" w:cs="Open Sans"/>
          <w:sz w:val="20"/>
          <w:szCs w:val="20"/>
        </w:rPr>
        <w:t>1</w:t>
      </w:r>
      <w:r w:rsidR="00257CD4" w:rsidRPr="00257CD4">
        <w:rPr>
          <w:rFonts w:ascii="Open Sans" w:hAnsi="Open Sans" w:cs="Open Sans"/>
          <w:sz w:val="20"/>
          <w:szCs w:val="20"/>
        </w:rPr>
        <w:t>3</w:t>
      </w:r>
      <w:r w:rsidR="00D43D31">
        <w:rPr>
          <w:rFonts w:ascii="Open Sans" w:hAnsi="Open Sans" w:cs="Open Sans"/>
          <w:sz w:val="20"/>
          <w:szCs w:val="20"/>
        </w:rPr>
        <w:t>3</w:t>
      </w:r>
    </w:p>
    <w:p w14:paraId="6A5FC0DD" w14:textId="409D538A" w:rsidR="00CC4CD5" w:rsidRPr="00257CD4" w:rsidRDefault="00CC4CD5" w:rsidP="004063ED">
      <w:pPr>
        <w:spacing w:after="0" w:line="276" w:lineRule="auto"/>
        <w:ind w:left="1077" w:hanging="1077"/>
        <w:jc w:val="both"/>
        <w:rPr>
          <w:rFonts w:ascii="Open Sans" w:hAnsi="Open Sans" w:cs="Open Sans"/>
          <w:sz w:val="20"/>
          <w:szCs w:val="20"/>
        </w:rPr>
      </w:pPr>
      <w:r w:rsidRPr="00257CD4">
        <w:rPr>
          <w:rFonts w:ascii="Open Sans" w:hAnsi="Open Sans" w:cs="Open Sans"/>
          <w:b/>
          <w:bCs/>
          <w:sz w:val="20"/>
          <w:szCs w:val="20"/>
        </w:rPr>
        <w:t>Gráfico 12.</w:t>
      </w:r>
      <w:r w:rsidRPr="00257CD4">
        <w:rPr>
          <w:rFonts w:ascii="Open Sans" w:hAnsi="Open Sans" w:cs="Open Sans"/>
          <w:sz w:val="20"/>
          <w:szCs w:val="20"/>
        </w:rPr>
        <w:t xml:space="preserve"> </w:t>
      </w:r>
      <w:r w:rsidR="0048558D" w:rsidRPr="00257CD4">
        <w:rPr>
          <w:rFonts w:ascii="Open Sans" w:hAnsi="Open Sans" w:cs="Open Sans"/>
          <w:sz w:val="20"/>
          <w:szCs w:val="20"/>
        </w:rPr>
        <w:t>Número de solicitudes presentadas en 2019 según la provincia en la que se ubica la administración o entidad denunciada o investigada</w:t>
      </w:r>
      <w:r w:rsidR="00F90BFF" w:rsidRPr="00257CD4">
        <w:rPr>
          <w:rFonts w:ascii="Open Sans" w:hAnsi="Open Sans" w:cs="Open Sans"/>
          <w:sz w:val="20"/>
          <w:szCs w:val="20"/>
        </w:rPr>
        <w:ptab w:relativeTo="margin" w:alignment="right" w:leader="dot"/>
      </w:r>
      <w:r w:rsidR="00040C04" w:rsidRPr="00257CD4">
        <w:rPr>
          <w:rFonts w:ascii="Open Sans" w:hAnsi="Open Sans" w:cs="Open Sans"/>
          <w:sz w:val="20"/>
          <w:szCs w:val="20"/>
        </w:rPr>
        <w:t>1</w:t>
      </w:r>
      <w:r w:rsidR="00257CD4" w:rsidRPr="00257CD4">
        <w:rPr>
          <w:rFonts w:ascii="Open Sans" w:hAnsi="Open Sans" w:cs="Open Sans"/>
          <w:sz w:val="20"/>
          <w:szCs w:val="20"/>
        </w:rPr>
        <w:t>3</w:t>
      </w:r>
      <w:r w:rsidR="00D43D31">
        <w:rPr>
          <w:rFonts w:ascii="Open Sans" w:hAnsi="Open Sans" w:cs="Open Sans"/>
          <w:sz w:val="20"/>
          <w:szCs w:val="20"/>
        </w:rPr>
        <w:t>4</w:t>
      </w:r>
    </w:p>
    <w:p w14:paraId="7676DF12" w14:textId="3FBE720D" w:rsidR="00CC4CD5" w:rsidRPr="00257CD4" w:rsidRDefault="00CC4CD5" w:rsidP="00810491">
      <w:pPr>
        <w:spacing w:after="0" w:line="276" w:lineRule="auto"/>
        <w:ind w:left="1134" w:hanging="1134"/>
        <w:rPr>
          <w:rFonts w:ascii="Open Sans" w:hAnsi="Open Sans" w:cs="Open Sans"/>
          <w:sz w:val="20"/>
          <w:szCs w:val="20"/>
        </w:rPr>
      </w:pPr>
      <w:r w:rsidRPr="00257CD4">
        <w:rPr>
          <w:rFonts w:ascii="Open Sans" w:hAnsi="Open Sans" w:cs="Open Sans"/>
          <w:b/>
          <w:bCs/>
          <w:sz w:val="20"/>
          <w:szCs w:val="20"/>
        </w:rPr>
        <w:t>Gráfico 13.</w:t>
      </w:r>
      <w:r w:rsidRPr="00257CD4">
        <w:rPr>
          <w:rFonts w:ascii="Open Sans" w:hAnsi="Open Sans" w:cs="Open Sans"/>
          <w:sz w:val="20"/>
          <w:szCs w:val="20"/>
        </w:rPr>
        <w:t xml:space="preserve"> </w:t>
      </w:r>
      <w:r w:rsidR="0048558D" w:rsidRPr="00257CD4">
        <w:rPr>
          <w:rFonts w:ascii="Open Sans" w:hAnsi="Open Sans" w:cs="Open Sans"/>
          <w:sz w:val="20"/>
          <w:szCs w:val="20"/>
        </w:rPr>
        <w:t>Distribución solicitudes de protección presentadas en 2019 según la materia objeto de denuncia</w:t>
      </w:r>
      <w:r w:rsidR="00F90BFF" w:rsidRPr="00257CD4">
        <w:rPr>
          <w:rFonts w:ascii="Open Sans" w:hAnsi="Open Sans" w:cs="Open Sans"/>
          <w:sz w:val="20"/>
          <w:szCs w:val="20"/>
        </w:rPr>
        <w:ptab w:relativeTo="margin" w:alignment="right" w:leader="dot"/>
      </w:r>
      <w:r w:rsidR="00040C04" w:rsidRPr="00257CD4">
        <w:rPr>
          <w:rFonts w:ascii="Open Sans" w:hAnsi="Open Sans" w:cs="Open Sans"/>
          <w:sz w:val="20"/>
          <w:szCs w:val="20"/>
        </w:rPr>
        <w:t>1</w:t>
      </w:r>
      <w:r w:rsidR="00257CD4" w:rsidRPr="00257CD4">
        <w:rPr>
          <w:rFonts w:ascii="Open Sans" w:hAnsi="Open Sans" w:cs="Open Sans"/>
          <w:sz w:val="20"/>
          <w:szCs w:val="20"/>
        </w:rPr>
        <w:t>3</w:t>
      </w:r>
      <w:r w:rsidR="00D43D31">
        <w:rPr>
          <w:rFonts w:ascii="Open Sans" w:hAnsi="Open Sans" w:cs="Open Sans"/>
          <w:sz w:val="20"/>
          <w:szCs w:val="20"/>
        </w:rPr>
        <w:t>4</w:t>
      </w:r>
    </w:p>
    <w:p w14:paraId="20B6C89D" w14:textId="5625C7DD" w:rsidR="001F7E9F" w:rsidRPr="00257CD4" w:rsidRDefault="00CC4CD5" w:rsidP="001F7E9F">
      <w:pPr>
        <w:spacing w:after="0" w:line="276" w:lineRule="auto"/>
        <w:ind w:left="1077" w:hanging="1077"/>
        <w:rPr>
          <w:rFonts w:ascii="Open Sans" w:hAnsi="Open Sans" w:cs="Open Sans"/>
          <w:sz w:val="20"/>
          <w:szCs w:val="20"/>
        </w:rPr>
      </w:pPr>
      <w:r w:rsidRPr="00257CD4">
        <w:rPr>
          <w:rFonts w:ascii="Open Sans" w:hAnsi="Open Sans" w:cs="Open Sans"/>
          <w:b/>
          <w:bCs/>
          <w:sz w:val="20"/>
          <w:szCs w:val="20"/>
        </w:rPr>
        <w:t>Gráfico 14.</w:t>
      </w:r>
      <w:r w:rsidRPr="00257CD4">
        <w:rPr>
          <w:rFonts w:ascii="Open Sans" w:hAnsi="Open Sans" w:cs="Open Sans"/>
          <w:sz w:val="20"/>
          <w:szCs w:val="20"/>
        </w:rPr>
        <w:t xml:space="preserve"> </w:t>
      </w:r>
      <w:r w:rsidR="0048558D" w:rsidRPr="00257CD4">
        <w:rPr>
          <w:rFonts w:ascii="Open Sans" w:hAnsi="Open Sans" w:cs="Open Sans"/>
          <w:sz w:val="20"/>
          <w:szCs w:val="20"/>
        </w:rPr>
        <w:t>Distribución de solicitantes de protección según su condición laboral correspondientes al año 2019</w:t>
      </w:r>
      <w:r w:rsidR="00F90BFF" w:rsidRPr="00257CD4">
        <w:rPr>
          <w:rFonts w:ascii="Open Sans" w:hAnsi="Open Sans" w:cs="Open Sans"/>
          <w:sz w:val="20"/>
          <w:szCs w:val="20"/>
        </w:rPr>
        <w:ptab w:relativeTo="margin" w:alignment="right" w:leader="dot"/>
      </w:r>
      <w:r w:rsidR="00D81BCB" w:rsidRPr="00257CD4">
        <w:rPr>
          <w:rFonts w:ascii="Open Sans" w:hAnsi="Open Sans" w:cs="Open Sans"/>
          <w:sz w:val="20"/>
          <w:szCs w:val="20"/>
        </w:rPr>
        <w:t>1</w:t>
      </w:r>
      <w:r w:rsidR="00257CD4" w:rsidRPr="00257CD4">
        <w:rPr>
          <w:rFonts w:ascii="Open Sans" w:hAnsi="Open Sans" w:cs="Open Sans"/>
          <w:sz w:val="20"/>
          <w:szCs w:val="20"/>
        </w:rPr>
        <w:t>3</w:t>
      </w:r>
      <w:r w:rsidR="00D43D31">
        <w:rPr>
          <w:rFonts w:ascii="Open Sans" w:hAnsi="Open Sans" w:cs="Open Sans"/>
          <w:sz w:val="20"/>
          <w:szCs w:val="20"/>
        </w:rPr>
        <w:t>4</w:t>
      </w:r>
    </w:p>
    <w:p w14:paraId="6AEDAF98" w14:textId="4F5F6654" w:rsidR="00CC4CD5" w:rsidRPr="00257CD4" w:rsidRDefault="00CC4CD5" w:rsidP="004063ED">
      <w:pPr>
        <w:spacing w:after="0" w:line="276" w:lineRule="auto"/>
        <w:ind w:left="1077" w:hanging="1077"/>
        <w:rPr>
          <w:rFonts w:ascii="Open Sans" w:hAnsi="Open Sans" w:cs="Open Sans"/>
          <w:sz w:val="20"/>
          <w:szCs w:val="20"/>
        </w:rPr>
      </w:pPr>
      <w:r w:rsidRPr="00257CD4">
        <w:rPr>
          <w:rFonts w:ascii="Open Sans" w:hAnsi="Open Sans" w:cs="Open Sans"/>
          <w:b/>
          <w:bCs/>
          <w:sz w:val="20"/>
          <w:szCs w:val="20"/>
        </w:rPr>
        <w:t xml:space="preserve">Gráfico 15. </w:t>
      </w:r>
      <w:r w:rsidR="0048558D" w:rsidRPr="00257CD4">
        <w:rPr>
          <w:rFonts w:ascii="Open Sans" w:hAnsi="Open Sans" w:cs="Open Sans"/>
          <w:sz w:val="20"/>
          <w:szCs w:val="20"/>
        </w:rPr>
        <w:t>Distribución de las solicitudes de protección de</w:t>
      </w:r>
      <w:r w:rsidR="006169C3" w:rsidRPr="00257CD4">
        <w:rPr>
          <w:rFonts w:ascii="Open Sans" w:hAnsi="Open Sans" w:cs="Open Sans"/>
          <w:sz w:val="20"/>
          <w:szCs w:val="20"/>
        </w:rPr>
        <w:t xml:space="preserve"> </w:t>
      </w:r>
      <w:r w:rsidR="0048558D" w:rsidRPr="00257CD4">
        <w:rPr>
          <w:rFonts w:ascii="Open Sans" w:hAnsi="Open Sans" w:cs="Open Sans"/>
          <w:sz w:val="20"/>
          <w:szCs w:val="20"/>
        </w:rPr>
        <w:t>2019 según el estado de tramitación de expedientes administrativos a fecha 31 de diciembre de 2019</w:t>
      </w:r>
      <w:r w:rsidR="00D81BCB" w:rsidRPr="00257CD4">
        <w:rPr>
          <w:rFonts w:ascii="Open Sans" w:hAnsi="Open Sans" w:cs="Open Sans"/>
          <w:sz w:val="20"/>
          <w:szCs w:val="20"/>
        </w:rPr>
        <w:ptab w:relativeTo="margin" w:alignment="right" w:leader="dot"/>
      </w:r>
      <w:r w:rsidR="00D81BCB" w:rsidRPr="00257CD4">
        <w:rPr>
          <w:rFonts w:ascii="Open Sans" w:hAnsi="Open Sans" w:cs="Open Sans"/>
          <w:sz w:val="20"/>
          <w:szCs w:val="20"/>
        </w:rPr>
        <w:ptab w:relativeTo="margin" w:alignment="right" w:leader="dot"/>
      </w:r>
      <w:r w:rsidR="00D81BCB" w:rsidRPr="00257CD4">
        <w:rPr>
          <w:rFonts w:ascii="Open Sans" w:hAnsi="Open Sans" w:cs="Open Sans"/>
          <w:sz w:val="20"/>
          <w:szCs w:val="20"/>
        </w:rPr>
        <w:t>1</w:t>
      </w:r>
      <w:r w:rsidR="00257CD4" w:rsidRPr="00257CD4">
        <w:rPr>
          <w:rFonts w:ascii="Open Sans" w:hAnsi="Open Sans" w:cs="Open Sans"/>
          <w:sz w:val="20"/>
          <w:szCs w:val="20"/>
        </w:rPr>
        <w:t>3</w:t>
      </w:r>
      <w:r w:rsidR="00D43D31">
        <w:rPr>
          <w:rFonts w:ascii="Open Sans" w:hAnsi="Open Sans" w:cs="Open Sans"/>
          <w:sz w:val="20"/>
          <w:szCs w:val="20"/>
        </w:rPr>
        <w:t>5</w:t>
      </w:r>
      <w:r w:rsidR="00D81BCB" w:rsidRPr="00257CD4">
        <w:rPr>
          <w:rFonts w:ascii="Open Sans" w:hAnsi="Open Sans" w:cs="Open Sans"/>
          <w:sz w:val="20"/>
          <w:szCs w:val="20"/>
        </w:rPr>
        <w:ptab w:relativeTo="margin" w:alignment="right" w:leader="dot"/>
      </w:r>
      <w:r w:rsidR="00F90BFF" w:rsidRPr="00257CD4">
        <w:rPr>
          <w:rFonts w:ascii="Open Sans" w:hAnsi="Open Sans" w:cs="Open Sans"/>
          <w:sz w:val="20"/>
          <w:szCs w:val="20"/>
        </w:rPr>
        <w:ptab w:relativeTo="margin" w:alignment="right" w:leader="dot"/>
      </w:r>
      <w:r w:rsidR="00D81BCB" w:rsidRPr="00257CD4">
        <w:rPr>
          <w:rFonts w:ascii="Open Sans" w:hAnsi="Open Sans" w:cs="Open Sans"/>
          <w:sz w:val="20"/>
          <w:szCs w:val="20"/>
        </w:rPr>
        <w:ptab w:relativeTo="margin" w:alignment="right" w:leader="dot"/>
      </w:r>
    </w:p>
    <w:p w14:paraId="3B7645F7" w14:textId="16667821" w:rsidR="00CC4CD5" w:rsidRPr="00257CD4" w:rsidRDefault="00CC4CD5" w:rsidP="00EA0E82">
      <w:pPr>
        <w:spacing w:after="0" w:line="276" w:lineRule="auto"/>
        <w:jc w:val="both"/>
        <w:rPr>
          <w:rFonts w:ascii="Open Sans" w:hAnsi="Open Sans" w:cs="Open Sans"/>
          <w:sz w:val="20"/>
          <w:szCs w:val="20"/>
        </w:rPr>
      </w:pPr>
      <w:r w:rsidRPr="00257CD4">
        <w:rPr>
          <w:rFonts w:ascii="Open Sans" w:hAnsi="Open Sans" w:cs="Open Sans"/>
          <w:b/>
          <w:bCs/>
          <w:sz w:val="20"/>
          <w:szCs w:val="20"/>
        </w:rPr>
        <w:t>Gráfico 16.</w:t>
      </w:r>
      <w:r w:rsidRPr="00257CD4">
        <w:rPr>
          <w:rFonts w:ascii="Open Sans" w:hAnsi="Open Sans" w:cs="Open Sans"/>
          <w:sz w:val="20"/>
          <w:szCs w:val="20"/>
        </w:rPr>
        <w:t xml:space="preserve"> </w:t>
      </w:r>
      <w:r w:rsidR="0048558D" w:rsidRPr="00257CD4">
        <w:rPr>
          <w:rFonts w:ascii="Open Sans" w:hAnsi="Open Sans" w:cs="Open Sans"/>
          <w:sz w:val="20"/>
          <w:szCs w:val="20"/>
        </w:rPr>
        <w:t>Solicitudes de protección clasificadas por género año 2019</w:t>
      </w:r>
      <w:r w:rsidR="00F90BFF" w:rsidRPr="00257CD4">
        <w:rPr>
          <w:rFonts w:ascii="Open Sans" w:hAnsi="Open Sans" w:cs="Open Sans"/>
          <w:sz w:val="20"/>
          <w:szCs w:val="20"/>
        </w:rPr>
        <w:ptab w:relativeTo="margin" w:alignment="right" w:leader="dot"/>
      </w:r>
      <w:r w:rsidR="00D81BCB" w:rsidRPr="00257CD4">
        <w:rPr>
          <w:rFonts w:ascii="Open Sans" w:hAnsi="Open Sans" w:cs="Open Sans"/>
          <w:sz w:val="20"/>
          <w:szCs w:val="20"/>
        </w:rPr>
        <w:t>1</w:t>
      </w:r>
      <w:r w:rsidR="00257CD4">
        <w:rPr>
          <w:rFonts w:ascii="Open Sans" w:hAnsi="Open Sans" w:cs="Open Sans"/>
          <w:sz w:val="20"/>
          <w:szCs w:val="20"/>
        </w:rPr>
        <w:t>3</w:t>
      </w:r>
      <w:r w:rsidR="00D43D31">
        <w:rPr>
          <w:rFonts w:ascii="Open Sans" w:hAnsi="Open Sans" w:cs="Open Sans"/>
          <w:sz w:val="20"/>
          <w:szCs w:val="20"/>
        </w:rPr>
        <w:t>5</w:t>
      </w:r>
    </w:p>
    <w:p w14:paraId="60061B42" w14:textId="56D7CFF5" w:rsidR="00CC4CD5" w:rsidRPr="00257CD4" w:rsidRDefault="00CC4CD5" w:rsidP="004063ED">
      <w:pPr>
        <w:spacing w:after="0" w:line="276" w:lineRule="auto"/>
        <w:ind w:left="1077" w:hanging="1077"/>
        <w:jc w:val="both"/>
        <w:rPr>
          <w:rFonts w:ascii="Open Sans" w:hAnsi="Open Sans" w:cs="Open Sans"/>
          <w:sz w:val="20"/>
          <w:szCs w:val="20"/>
        </w:rPr>
      </w:pPr>
      <w:r w:rsidRPr="00257CD4">
        <w:rPr>
          <w:rFonts w:ascii="Open Sans" w:hAnsi="Open Sans" w:cs="Open Sans"/>
          <w:b/>
          <w:bCs/>
          <w:sz w:val="20"/>
          <w:szCs w:val="20"/>
        </w:rPr>
        <w:t>Gráfico 17.</w:t>
      </w:r>
      <w:r w:rsidRPr="00257CD4">
        <w:rPr>
          <w:rFonts w:ascii="Open Sans" w:hAnsi="Open Sans" w:cs="Open Sans"/>
          <w:sz w:val="20"/>
          <w:szCs w:val="20"/>
        </w:rPr>
        <w:t xml:space="preserve"> </w:t>
      </w:r>
      <w:r w:rsidR="0048558D" w:rsidRPr="00257CD4">
        <w:rPr>
          <w:rFonts w:ascii="Open Sans" w:hAnsi="Open Sans" w:cs="Open Sans"/>
          <w:sz w:val="20"/>
          <w:szCs w:val="20"/>
        </w:rPr>
        <w:t xml:space="preserve">Número de solicitudes de protección presentadas </w:t>
      </w:r>
      <w:r w:rsidR="00443257" w:rsidRPr="00257CD4">
        <w:rPr>
          <w:rFonts w:ascii="Open Sans" w:hAnsi="Open Sans" w:cs="Open Sans"/>
          <w:sz w:val="20"/>
          <w:szCs w:val="20"/>
        </w:rPr>
        <w:t xml:space="preserve">desde la puesta en marcha </w:t>
      </w:r>
      <w:r w:rsidR="00736BA1" w:rsidRPr="00257CD4">
        <w:rPr>
          <w:rFonts w:ascii="Open Sans" w:hAnsi="Open Sans" w:cs="Open Sans"/>
          <w:sz w:val="20"/>
          <w:szCs w:val="20"/>
        </w:rPr>
        <w:t>d</w:t>
      </w:r>
      <w:r w:rsidR="00443257" w:rsidRPr="00257CD4">
        <w:rPr>
          <w:rFonts w:ascii="Open Sans" w:hAnsi="Open Sans" w:cs="Open Sans"/>
          <w:sz w:val="20"/>
          <w:szCs w:val="20"/>
        </w:rPr>
        <w:t>e la Agencia en noviembre de 2017 hasta 31 de diciembre de 2019</w:t>
      </w:r>
      <w:r w:rsidRPr="00257CD4">
        <w:rPr>
          <w:rFonts w:ascii="Open Sans" w:hAnsi="Open Sans" w:cs="Open Sans"/>
          <w:sz w:val="20"/>
          <w:szCs w:val="20"/>
        </w:rPr>
        <w:t xml:space="preserve"> </w:t>
      </w:r>
      <w:r w:rsidR="00F90BFF" w:rsidRPr="00257CD4">
        <w:rPr>
          <w:rFonts w:ascii="Open Sans" w:hAnsi="Open Sans" w:cs="Open Sans"/>
          <w:sz w:val="20"/>
          <w:szCs w:val="20"/>
        </w:rPr>
        <w:ptab w:relativeTo="margin" w:alignment="right" w:leader="dot"/>
      </w:r>
      <w:r w:rsidR="00D81BCB" w:rsidRPr="00257CD4">
        <w:rPr>
          <w:rFonts w:ascii="Open Sans" w:hAnsi="Open Sans" w:cs="Open Sans"/>
          <w:sz w:val="20"/>
          <w:szCs w:val="20"/>
        </w:rPr>
        <w:t>1</w:t>
      </w:r>
      <w:r w:rsidR="00257CD4">
        <w:rPr>
          <w:rFonts w:ascii="Open Sans" w:hAnsi="Open Sans" w:cs="Open Sans"/>
          <w:sz w:val="20"/>
          <w:szCs w:val="20"/>
        </w:rPr>
        <w:t>3</w:t>
      </w:r>
      <w:r w:rsidR="00D43D31">
        <w:rPr>
          <w:rFonts w:ascii="Open Sans" w:hAnsi="Open Sans" w:cs="Open Sans"/>
          <w:sz w:val="20"/>
          <w:szCs w:val="20"/>
        </w:rPr>
        <w:t>5</w:t>
      </w:r>
    </w:p>
    <w:p w14:paraId="6550AC22" w14:textId="4E73A8E1" w:rsidR="00CC4CD5" w:rsidRPr="00257CD4" w:rsidRDefault="00CC4CD5" w:rsidP="004063ED">
      <w:pPr>
        <w:spacing w:after="0" w:line="276" w:lineRule="auto"/>
        <w:ind w:left="1077" w:hanging="1077"/>
        <w:rPr>
          <w:rFonts w:ascii="Open Sans" w:hAnsi="Open Sans" w:cs="Open Sans"/>
          <w:sz w:val="20"/>
          <w:szCs w:val="20"/>
        </w:rPr>
      </w:pPr>
      <w:r w:rsidRPr="00257CD4">
        <w:rPr>
          <w:rFonts w:ascii="Open Sans" w:hAnsi="Open Sans" w:cs="Open Sans"/>
          <w:b/>
          <w:bCs/>
          <w:sz w:val="20"/>
          <w:szCs w:val="20"/>
        </w:rPr>
        <w:t xml:space="preserve">Gráfico 18. </w:t>
      </w:r>
      <w:r w:rsidR="00443257" w:rsidRPr="00257CD4">
        <w:rPr>
          <w:rFonts w:ascii="Open Sans" w:hAnsi="Open Sans" w:cs="Open Sans"/>
          <w:sz w:val="20"/>
          <w:szCs w:val="20"/>
        </w:rPr>
        <w:t>Distribución mensual del número de solicitudes de protección presentadas durante los años 2017, 2018 y 2019</w:t>
      </w:r>
      <w:r w:rsidR="00F90BFF" w:rsidRPr="00257CD4">
        <w:rPr>
          <w:rFonts w:ascii="Open Sans" w:hAnsi="Open Sans" w:cs="Open Sans"/>
          <w:sz w:val="20"/>
          <w:szCs w:val="20"/>
        </w:rPr>
        <w:ptab w:relativeTo="margin" w:alignment="right" w:leader="dot"/>
      </w:r>
      <w:r w:rsidR="00D81BCB" w:rsidRPr="00257CD4">
        <w:rPr>
          <w:rFonts w:ascii="Open Sans" w:hAnsi="Open Sans" w:cs="Open Sans"/>
          <w:sz w:val="20"/>
          <w:szCs w:val="20"/>
        </w:rPr>
        <w:t>1</w:t>
      </w:r>
      <w:r w:rsidR="00257CD4">
        <w:rPr>
          <w:rFonts w:ascii="Open Sans" w:hAnsi="Open Sans" w:cs="Open Sans"/>
          <w:sz w:val="20"/>
          <w:szCs w:val="20"/>
        </w:rPr>
        <w:t>3</w:t>
      </w:r>
      <w:r w:rsidR="00D43D31">
        <w:rPr>
          <w:rFonts w:ascii="Open Sans" w:hAnsi="Open Sans" w:cs="Open Sans"/>
          <w:sz w:val="20"/>
          <w:szCs w:val="20"/>
        </w:rPr>
        <w:t>6</w:t>
      </w:r>
    </w:p>
    <w:p w14:paraId="62E8898A" w14:textId="37901E44" w:rsidR="00CC4CD5" w:rsidRPr="00257CD4" w:rsidRDefault="00CC4CD5" w:rsidP="004063ED">
      <w:pPr>
        <w:spacing w:after="0" w:line="276" w:lineRule="auto"/>
        <w:ind w:left="1077" w:hanging="1077"/>
        <w:rPr>
          <w:rFonts w:ascii="Open Sans" w:hAnsi="Open Sans" w:cs="Open Sans"/>
          <w:sz w:val="20"/>
          <w:szCs w:val="20"/>
        </w:rPr>
      </w:pPr>
      <w:r w:rsidRPr="00257CD4">
        <w:rPr>
          <w:rFonts w:ascii="Open Sans" w:hAnsi="Open Sans" w:cs="Open Sans"/>
          <w:b/>
          <w:bCs/>
          <w:sz w:val="20"/>
          <w:szCs w:val="20"/>
        </w:rPr>
        <w:t xml:space="preserve">Gráfico 19. </w:t>
      </w:r>
      <w:r w:rsidR="00443257" w:rsidRPr="00257CD4">
        <w:rPr>
          <w:rFonts w:ascii="Open Sans" w:hAnsi="Open Sans" w:cs="Open Sans"/>
          <w:sz w:val="20"/>
          <w:szCs w:val="20"/>
        </w:rPr>
        <w:t>Canal o medio de presentación</w:t>
      </w:r>
      <w:r w:rsidR="00262BE0" w:rsidRPr="00257CD4">
        <w:rPr>
          <w:rFonts w:ascii="Open Sans" w:hAnsi="Open Sans" w:cs="Open Sans"/>
          <w:sz w:val="20"/>
          <w:szCs w:val="20"/>
        </w:rPr>
        <w:t xml:space="preserve"> de las solicitudes de protección presentadas durante los años 2017, 2018 y 2019</w:t>
      </w:r>
      <w:r w:rsidRPr="00257CD4">
        <w:rPr>
          <w:rFonts w:ascii="Open Sans" w:hAnsi="Open Sans" w:cs="Open Sans"/>
          <w:sz w:val="20"/>
          <w:szCs w:val="20"/>
        </w:rPr>
        <w:t xml:space="preserve"> </w:t>
      </w:r>
      <w:r w:rsidR="00F90BFF" w:rsidRPr="00257CD4">
        <w:rPr>
          <w:rFonts w:ascii="Open Sans" w:hAnsi="Open Sans" w:cs="Open Sans"/>
          <w:sz w:val="20"/>
          <w:szCs w:val="20"/>
        </w:rPr>
        <w:ptab w:relativeTo="margin" w:alignment="right" w:leader="dot"/>
      </w:r>
      <w:r w:rsidR="00D81BCB" w:rsidRPr="00257CD4">
        <w:rPr>
          <w:rFonts w:ascii="Open Sans" w:hAnsi="Open Sans" w:cs="Open Sans"/>
          <w:sz w:val="20"/>
          <w:szCs w:val="20"/>
        </w:rPr>
        <w:t>1</w:t>
      </w:r>
      <w:r w:rsidR="00257CD4">
        <w:rPr>
          <w:rFonts w:ascii="Open Sans" w:hAnsi="Open Sans" w:cs="Open Sans"/>
          <w:sz w:val="20"/>
          <w:szCs w:val="20"/>
        </w:rPr>
        <w:t>3</w:t>
      </w:r>
      <w:r w:rsidR="00D43D31">
        <w:rPr>
          <w:rFonts w:ascii="Open Sans" w:hAnsi="Open Sans" w:cs="Open Sans"/>
          <w:sz w:val="20"/>
          <w:szCs w:val="20"/>
        </w:rPr>
        <w:t>6</w:t>
      </w:r>
    </w:p>
    <w:p w14:paraId="0DF15046" w14:textId="472A0C15" w:rsidR="00CC4CD5" w:rsidRPr="00257CD4" w:rsidRDefault="00CC4CD5" w:rsidP="004063ED">
      <w:pPr>
        <w:spacing w:after="0" w:line="276" w:lineRule="auto"/>
        <w:ind w:left="1077" w:hanging="1077"/>
        <w:rPr>
          <w:rFonts w:ascii="Open Sans" w:hAnsi="Open Sans" w:cs="Open Sans"/>
          <w:sz w:val="20"/>
          <w:szCs w:val="20"/>
        </w:rPr>
      </w:pPr>
      <w:r w:rsidRPr="00257CD4">
        <w:rPr>
          <w:rFonts w:ascii="Open Sans" w:hAnsi="Open Sans" w:cs="Open Sans"/>
          <w:b/>
          <w:bCs/>
          <w:sz w:val="20"/>
          <w:szCs w:val="20"/>
        </w:rPr>
        <w:t>Gráfico 20.</w:t>
      </w:r>
      <w:r w:rsidRPr="00257CD4">
        <w:rPr>
          <w:rFonts w:ascii="Open Sans" w:hAnsi="Open Sans" w:cs="Open Sans"/>
          <w:sz w:val="20"/>
          <w:szCs w:val="20"/>
        </w:rPr>
        <w:t xml:space="preserve"> </w:t>
      </w:r>
      <w:r w:rsidR="00592456" w:rsidRPr="00257CD4">
        <w:rPr>
          <w:rFonts w:ascii="Open Sans" w:hAnsi="Open Sans" w:cs="Open Sans"/>
          <w:sz w:val="20"/>
          <w:szCs w:val="20"/>
        </w:rPr>
        <w:t>Número de solicitudes de protección presentadas según el tipo de administración, institución o entidad afectada por la denuncia durante los años 2017, 2018 y 2019</w:t>
      </w:r>
      <w:r w:rsidRPr="00257CD4">
        <w:rPr>
          <w:rFonts w:ascii="Open Sans" w:hAnsi="Open Sans" w:cs="Open Sans"/>
          <w:sz w:val="20"/>
          <w:szCs w:val="20"/>
        </w:rPr>
        <w:t xml:space="preserve"> </w:t>
      </w:r>
      <w:r w:rsidR="00F90BFF" w:rsidRPr="00257CD4">
        <w:rPr>
          <w:rFonts w:ascii="Open Sans" w:hAnsi="Open Sans" w:cs="Open Sans"/>
          <w:sz w:val="20"/>
          <w:szCs w:val="20"/>
        </w:rPr>
        <w:ptab w:relativeTo="margin" w:alignment="right" w:leader="dot"/>
      </w:r>
      <w:r w:rsidR="00E15DC4" w:rsidRPr="00257CD4">
        <w:rPr>
          <w:rFonts w:ascii="Open Sans" w:hAnsi="Open Sans" w:cs="Open Sans"/>
          <w:sz w:val="20"/>
          <w:szCs w:val="20"/>
        </w:rPr>
        <w:t>1</w:t>
      </w:r>
      <w:r w:rsidR="00257CD4">
        <w:rPr>
          <w:rFonts w:ascii="Open Sans" w:hAnsi="Open Sans" w:cs="Open Sans"/>
          <w:sz w:val="20"/>
          <w:szCs w:val="20"/>
        </w:rPr>
        <w:t>3</w:t>
      </w:r>
      <w:r w:rsidR="00D43D31">
        <w:rPr>
          <w:rFonts w:ascii="Open Sans" w:hAnsi="Open Sans" w:cs="Open Sans"/>
          <w:sz w:val="20"/>
          <w:szCs w:val="20"/>
        </w:rPr>
        <w:t>6</w:t>
      </w:r>
    </w:p>
    <w:p w14:paraId="7DA1386F" w14:textId="2C68F622" w:rsidR="00CC4CD5" w:rsidRPr="00257CD4" w:rsidRDefault="00CC4CD5" w:rsidP="00810491">
      <w:pPr>
        <w:spacing w:after="0" w:line="276" w:lineRule="auto"/>
        <w:ind w:left="1077" w:hanging="1077"/>
        <w:jc w:val="both"/>
        <w:rPr>
          <w:rFonts w:ascii="Open Sans" w:hAnsi="Open Sans" w:cs="Open Sans"/>
          <w:sz w:val="20"/>
          <w:szCs w:val="20"/>
        </w:rPr>
      </w:pPr>
      <w:r w:rsidRPr="00257CD4">
        <w:rPr>
          <w:rFonts w:ascii="Open Sans" w:hAnsi="Open Sans" w:cs="Open Sans"/>
          <w:b/>
          <w:bCs/>
          <w:sz w:val="20"/>
          <w:szCs w:val="20"/>
        </w:rPr>
        <w:lastRenderedPageBreak/>
        <w:t>Gráfico 21.</w:t>
      </w:r>
      <w:r w:rsidRPr="00257CD4">
        <w:rPr>
          <w:rFonts w:ascii="Open Sans" w:hAnsi="Open Sans" w:cs="Open Sans"/>
          <w:sz w:val="20"/>
          <w:szCs w:val="20"/>
        </w:rPr>
        <w:t xml:space="preserve"> </w:t>
      </w:r>
      <w:r w:rsidR="00206AFA" w:rsidRPr="00257CD4">
        <w:rPr>
          <w:rFonts w:ascii="Open Sans" w:hAnsi="Open Sans" w:cs="Open Sans"/>
          <w:sz w:val="20"/>
          <w:szCs w:val="20"/>
        </w:rPr>
        <w:t>Número de solicitudes presentadas durante los años 2017, 2018 y 2019 según la provincia en la que se ubica la administración o entidad denunciada o investigada</w:t>
      </w:r>
      <w:r w:rsidR="00F90BFF" w:rsidRPr="00257CD4">
        <w:rPr>
          <w:rFonts w:ascii="Open Sans" w:hAnsi="Open Sans" w:cs="Open Sans"/>
          <w:sz w:val="20"/>
          <w:szCs w:val="20"/>
        </w:rPr>
        <w:ptab w:relativeTo="margin" w:alignment="right" w:leader="dot"/>
      </w:r>
      <w:r w:rsidR="00E15DC4" w:rsidRPr="00257CD4">
        <w:rPr>
          <w:rFonts w:ascii="Open Sans" w:hAnsi="Open Sans" w:cs="Open Sans"/>
          <w:sz w:val="20"/>
          <w:szCs w:val="20"/>
        </w:rPr>
        <w:t>1</w:t>
      </w:r>
      <w:r w:rsidR="00257CD4">
        <w:rPr>
          <w:rFonts w:ascii="Open Sans" w:hAnsi="Open Sans" w:cs="Open Sans"/>
          <w:sz w:val="20"/>
          <w:szCs w:val="20"/>
        </w:rPr>
        <w:t>3</w:t>
      </w:r>
      <w:r w:rsidR="00D43D31">
        <w:rPr>
          <w:rFonts w:ascii="Open Sans" w:hAnsi="Open Sans" w:cs="Open Sans"/>
          <w:sz w:val="20"/>
          <w:szCs w:val="20"/>
        </w:rPr>
        <w:t>7</w:t>
      </w:r>
    </w:p>
    <w:p w14:paraId="2CFF0492" w14:textId="7D841C63" w:rsidR="00CC4CD5" w:rsidRPr="00257CD4" w:rsidRDefault="00CC4CD5" w:rsidP="004063ED">
      <w:pPr>
        <w:spacing w:after="0" w:line="276" w:lineRule="auto"/>
        <w:ind w:left="1077" w:hanging="1077"/>
        <w:rPr>
          <w:rFonts w:ascii="Open Sans" w:hAnsi="Open Sans" w:cs="Open Sans"/>
          <w:sz w:val="20"/>
          <w:szCs w:val="20"/>
        </w:rPr>
      </w:pPr>
      <w:r w:rsidRPr="00257CD4">
        <w:rPr>
          <w:rFonts w:ascii="Open Sans" w:hAnsi="Open Sans" w:cs="Open Sans"/>
          <w:b/>
          <w:bCs/>
          <w:sz w:val="20"/>
          <w:szCs w:val="20"/>
        </w:rPr>
        <w:t xml:space="preserve">Gráfico 22. </w:t>
      </w:r>
      <w:r w:rsidR="00C64615" w:rsidRPr="00257CD4">
        <w:rPr>
          <w:rFonts w:ascii="Open Sans" w:hAnsi="Open Sans" w:cs="Open Sans"/>
          <w:sz w:val="20"/>
          <w:szCs w:val="20"/>
        </w:rPr>
        <w:t>Distribución solicitudes de protección</w:t>
      </w:r>
      <w:r w:rsidR="008B4303" w:rsidRPr="00257CD4">
        <w:rPr>
          <w:rFonts w:ascii="Open Sans" w:hAnsi="Open Sans" w:cs="Open Sans"/>
          <w:sz w:val="20"/>
          <w:szCs w:val="20"/>
        </w:rPr>
        <w:t xml:space="preserve"> presentadas desde 2017 hasta 31 de diciembre de 2019 según la materia objeto de la denuncia</w:t>
      </w:r>
      <w:r w:rsidR="00F90BFF" w:rsidRPr="00257CD4">
        <w:rPr>
          <w:rFonts w:ascii="Open Sans" w:hAnsi="Open Sans" w:cs="Open Sans"/>
          <w:sz w:val="20"/>
          <w:szCs w:val="20"/>
        </w:rPr>
        <w:ptab w:relativeTo="margin" w:alignment="right" w:leader="dot"/>
      </w:r>
      <w:r w:rsidR="00E15DC4" w:rsidRPr="00257CD4">
        <w:rPr>
          <w:rFonts w:ascii="Open Sans" w:hAnsi="Open Sans" w:cs="Open Sans"/>
          <w:sz w:val="20"/>
          <w:szCs w:val="20"/>
        </w:rPr>
        <w:t>1</w:t>
      </w:r>
      <w:r w:rsidR="00257CD4">
        <w:rPr>
          <w:rFonts w:ascii="Open Sans" w:hAnsi="Open Sans" w:cs="Open Sans"/>
          <w:sz w:val="20"/>
          <w:szCs w:val="20"/>
        </w:rPr>
        <w:t>3</w:t>
      </w:r>
      <w:r w:rsidR="00D43D31">
        <w:rPr>
          <w:rFonts w:ascii="Open Sans" w:hAnsi="Open Sans" w:cs="Open Sans"/>
          <w:sz w:val="20"/>
          <w:szCs w:val="20"/>
        </w:rPr>
        <w:t>7</w:t>
      </w:r>
    </w:p>
    <w:p w14:paraId="4E5F0D76" w14:textId="0F4E7DE3" w:rsidR="00CC4CD5" w:rsidRPr="00257CD4" w:rsidRDefault="00CC4CD5" w:rsidP="004063ED">
      <w:pPr>
        <w:spacing w:after="0" w:line="276" w:lineRule="auto"/>
        <w:ind w:left="1077" w:hanging="1077"/>
        <w:rPr>
          <w:rFonts w:ascii="Open Sans" w:hAnsi="Open Sans" w:cs="Open Sans"/>
          <w:sz w:val="20"/>
          <w:szCs w:val="20"/>
        </w:rPr>
      </w:pPr>
      <w:r w:rsidRPr="00257CD4">
        <w:rPr>
          <w:rFonts w:ascii="Open Sans" w:hAnsi="Open Sans" w:cs="Open Sans"/>
          <w:b/>
          <w:bCs/>
          <w:sz w:val="20"/>
          <w:szCs w:val="20"/>
        </w:rPr>
        <w:t>Gráfico</w:t>
      </w:r>
      <w:r w:rsidR="00FA25B1" w:rsidRPr="00257CD4">
        <w:rPr>
          <w:rFonts w:ascii="Open Sans" w:hAnsi="Open Sans" w:cs="Open Sans"/>
          <w:b/>
          <w:bCs/>
          <w:sz w:val="20"/>
          <w:szCs w:val="20"/>
        </w:rPr>
        <w:t xml:space="preserve"> </w:t>
      </w:r>
      <w:r w:rsidRPr="00257CD4">
        <w:rPr>
          <w:rFonts w:ascii="Open Sans" w:hAnsi="Open Sans" w:cs="Open Sans"/>
          <w:b/>
          <w:bCs/>
          <w:sz w:val="20"/>
          <w:szCs w:val="20"/>
        </w:rPr>
        <w:t xml:space="preserve">23. </w:t>
      </w:r>
      <w:r w:rsidR="00032E8A" w:rsidRPr="00257CD4">
        <w:rPr>
          <w:rFonts w:ascii="Open Sans" w:hAnsi="Open Sans" w:cs="Open Sans"/>
          <w:sz w:val="20"/>
          <w:szCs w:val="20"/>
        </w:rPr>
        <w:t xml:space="preserve">Distribución de solicitantes de </w:t>
      </w:r>
      <w:r w:rsidR="00630108" w:rsidRPr="00257CD4">
        <w:rPr>
          <w:rFonts w:ascii="Open Sans" w:hAnsi="Open Sans" w:cs="Open Sans"/>
          <w:sz w:val="20"/>
          <w:szCs w:val="20"/>
        </w:rPr>
        <w:t>p</w:t>
      </w:r>
      <w:r w:rsidR="00032E8A" w:rsidRPr="00257CD4">
        <w:rPr>
          <w:rFonts w:ascii="Open Sans" w:hAnsi="Open Sans" w:cs="Open Sans"/>
          <w:sz w:val="20"/>
          <w:szCs w:val="20"/>
        </w:rPr>
        <w:t>rotección según su condición laboral correspondientes a los años 2017, 2018 y 2019</w:t>
      </w:r>
      <w:r w:rsidR="00F90BFF" w:rsidRPr="00257CD4">
        <w:rPr>
          <w:rFonts w:ascii="Open Sans" w:hAnsi="Open Sans" w:cs="Open Sans"/>
          <w:sz w:val="20"/>
          <w:szCs w:val="20"/>
        </w:rPr>
        <w:ptab w:relativeTo="margin" w:alignment="right" w:leader="dot"/>
      </w:r>
      <w:r w:rsidR="00E15DC4" w:rsidRPr="00257CD4">
        <w:rPr>
          <w:rFonts w:ascii="Open Sans" w:hAnsi="Open Sans" w:cs="Open Sans"/>
          <w:sz w:val="20"/>
          <w:szCs w:val="20"/>
        </w:rPr>
        <w:t>1</w:t>
      </w:r>
      <w:r w:rsidR="00257CD4">
        <w:rPr>
          <w:rFonts w:ascii="Open Sans" w:hAnsi="Open Sans" w:cs="Open Sans"/>
          <w:sz w:val="20"/>
          <w:szCs w:val="20"/>
        </w:rPr>
        <w:t>3</w:t>
      </w:r>
      <w:r w:rsidR="00D43D31">
        <w:rPr>
          <w:rFonts w:ascii="Open Sans" w:hAnsi="Open Sans" w:cs="Open Sans"/>
          <w:sz w:val="20"/>
          <w:szCs w:val="20"/>
        </w:rPr>
        <w:t>8</w:t>
      </w:r>
    </w:p>
    <w:p w14:paraId="12F2633B" w14:textId="27AF0785" w:rsidR="007111DB" w:rsidRPr="00257CD4" w:rsidRDefault="00CC4CD5" w:rsidP="004063ED">
      <w:pPr>
        <w:spacing w:after="0" w:line="276" w:lineRule="auto"/>
        <w:ind w:left="1077" w:hanging="1077"/>
        <w:rPr>
          <w:rFonts w:ascii="Open Sans" w:hAnsi="Open Sans" w:cs="Open Sans"/>
          <w:sz w:val="20"/>
          <w:szCs w:val="20"/>
        </w:rPr>
      </w:pPr>
      <w:r w:rsidRPr="00257CD4">
        <w:rPr>
          <w:rFonts w:ascii="Open Sans" w:hAnsi="Open Sans" w:cs="Open Sans"/>
          <w:b/>
          <w:bCs/>
          <w:sz w:val="20"/>
          <w:szCs w:val="20"/>
        </w:rPr>
        <w:t>Gráfico 24</w:t>
      </w:r>
      <w:r w:rsidRPr="00257CD4">
        <w:rPr>
          <w:rFonts w:ascii="Open Sans" w:hAnsi="Open Sans" w:cs="Open Sans"/>
          <w:sz w:val="20"/>
          <w:szCs w:val="20"/>
        </w:rPr>
        <w:t xml:space="preserve">. </w:t>
      </w:r>
      <w:r w:rsidR="006E30DA" w:rsidRPr="00257CD4">
        <w:rPr>
          <w:rFonts w:ascii="Open Sans" w:hAnsi="Open Sans" w:cs="Open Sans"/>
          <w:sz w:val="20"/>
          <w:szCs w:val="20"/>
        </w:rPr>
        <w:t xml:space="preserve">Distribución de las solicitudes de protección de </w:t>
      </w:r>
      <w:r w:rsidR="00C54EA9" w:rsidRPr="00257CD4">
        <w:rPr>
          <w:rFonts w:ascii="Open Sans" w:hAnsi="Open Sans" w:cs="Open Sans"/>
          <w:sz w:val="20"/>
          <w:szCs w:val="20"/>
        </w:rPr>
        <w:t xml:space="preserve">2017, 2018 y </w:t>
      </w:r>
      <w:r w:rsidR="006E30DA" w:rsidRPr="00257CD4">
        <w:rPr>
          <w:rFonts w:ascii="Open Sans" w:hAnsi="Open Sans" w:cs="Open Sans"/>
          <w:sz w:val="20"/>
          <w:szCs w:val="20"/>
        </w:rPr>
        <w:t>2019 según el estado de tramitación del expediente administrativo a fecha 31 de diciembre</w:t>
      </w:r>
      <w:r w:rsidR="00257CD4">
        <w:rPr>
          <w:rFonts w:ascii="Open Sans" w:hAnsi="Open Sans" w:cs="Open Sans"/>
          <w:sz w:val="20"/>
          <w:szCs w:val="20"/>
        </w:rPr>
        <w:t xml:space="preserve"> </w:t>
      </w:r>
      <w:r w:rsidR="006E30DA" w:rsidRPr="00257CD4">
        <w:rPr>
          <w:rFonts w:ascii="Open Sans" w:hAnsi="Open Sans" w:cs="Open Sans"/>
          <w:sz w:val="20"/>
          <w:szCs w:val="20"/>
        </w:rPr>
        <w:t>de 2019</w:t>
      </w:r>
      <w:r w:rsidR="00F90BFF" w:rsidRPr="00257CD4">
        <w:rPr>
          <w:rFonts w:ascii="Open Sans" w:hAnsi="Open Sans" w:cs="Open Sans"/>
          <w:sz w:val="20"/>
          <w:szCs w:val="20"/>
        </w:rPr>
        <w:ptab w:relativeTo="margin" w:alignment="right" w:leader="dot"/>
      </w:r>
      <w:r w:rsidR="00E15DC4" w:rsidRPr="00257CD4">
        <w:rPr>
          <w:rFonts w:ascii="Open Sans" w:hAnsi="Open Sans" w:cs="Open Sans"/>
          <w:sz w:val="20"/>
          <w:szCs w:val="20"/>
        </w:rPr>
        <w:t>1</w:t>
      </w:r>
      <w:r w:rsidR="00257CD4">
        <w:rPr>
          <w:rFonts w:ascii="Open Sans" w:hAnsi="Open Sans" w:cs="Open Sans"/>
          <w:sz w:val="20"/>
          <w:szCs w:val="20"/>
        </w:rPr>
        <w:t>3</w:t>
      </w:r>
      <w:r w:rsidR="00D43D31">
        <w:rPr>
          <w:rFonts w:ascii="Open Sans" w:hAnsi="Open Sans" w:cs="Open Sans"/>
          <w:sz w:val="20"/>
          <w:szCs w:val="20"/>
        </w:rPr>
        <w:t>8</w:t>
      </w:r>
    </w:p>
    <w:p w14:paraId="574F9D83" w14:textId="6D51568E" w:rsidR="006E30DA" w:rsidRPr="00257CD4" w:rsidRDefault="006E30DA" w:rsidP="00EA0E82">
      <w:pPr>
        <w:spacing w:after="0" w:line="276" w:lineRule="auto"/>
        <w:jc w:val="both"/>
        <w:rPr>
          <w:rFonts w:ascii="Open Sans" w:hAnsi="Open Sans" w:cs="Open Sans"/>
          <w:sz w:val="20"/>
          <w:szCs w:val="20"/>
        </w:rPr>
      </w:pPr>
      <w:r w:rsidRPr="00257CD4">
        <w:rPr>
          <w:rFonts w:ascii="Open Sans" w:hAnsi="Open Sans" w:cs="Open Sans"/>
          <w:b/>
          <w:bCs/>
          <w:sz w:val="20"/>
          <w:szCs w:val="20"/>
        </w:rPr>
        <w:t>Gráfico 25.</w:t>
      </w:r>
      <w:r w:rsidRPr="00257CD4">
        <w:rPr>
          <w:rFonts w:ascii="Open Sans" w:hAnsi="Open Sans" w:cs="Open Sans"/>
          <w:sz w:val="20"/>
          <w:szCs w:val="20"/>
        </w:rPr>
        <w:t xml:space="preserve"> Denunciantes protegidos por la Agencia a 31 de diciembre de 2019</w:t>
      </w:r>
      <w:r w:rsidRPr="00257CD4">
        <w:rPr>
          <w:rFonts w:ascii="Open Sans" w:hAnsi="Open Sans" w:cs="Open Sans"/>
          <w:sz w:val="20"/>
          <w:szCs w:val="20"/>
        </w:rPr>
        <w:ptab w:relativeTo="margin" w:alignment="right" w:leader="dot"/>
      </w:r>
      <w:r w:rsidR="00E15DC4" w:rsidRPr="00257CD4">
        <w:rPr>
          <w:rFonts w:ascii="Open Sans" w:hAnsi="Open Sans" w:cs="Open Sans"/>
          <w:sz w:val="20"/>
          <w:szCs w:val="20"/>
        </w:rPr>
        <w:t>1</w:t>
      </w:r>
      <w:r w:rsidR="00257CD4">
        <w:rPr>
          <w:rFonts w:ascii="Open Sans" w:hAnsi="Open Sans" w:cs="Open Sans"/>
          <w:sz w:val="20"/>
          <w:szCs w:val="20"/>
        </w:rPr>
        <w:t>3</w:t>
      </w:r>
      <w:r w:rsidR="00D43D31">
        <w:rPr>
          <w:rFonts w:ascii="Open Sans" w:hAnsi="Open Sans" w:cs="Open Sans"/>
          <w:sz w:val="20"/>
          <w:szCs w:val="20"/>
        </w:rPr>
        <w:t>9</w:t>
      </w:r>
    </w:p>
    <w:p w14:paraId="709AA1E1" w14:textId="715543FA" w:rsidR="006E30DA" w:rsidRPr="00257CD4" w:rsidRDefault="006E30DA" w:rsidP="00AD0570">
      <w:pPr>
        <w:spacing w:after="0" w:line="276" w:lineRule="auto"/>
        <w:ind w:left="1134" w:hanging="1134"/>
        <w:jc w:val="both"/>
        <w:rPr>
          <w:rFonts w:ascii="Open Sans" w:hAnsi="Open Sans" w:cs="Open Sans"/>
          <w:sz w:val="20"/>
          <w:szCs w:val="20"/>
        </w:rPr>
      </w:pPr>
      <w:r w:rsidRPr="00257CD4">
        <w:rPr>
          <w:rFonts w:ascii="Open Sans" w:hAnsi="Open Sans" w:cs="Open Sans"/>
          <w:b/>
          <w:bCs/>
          <w:sz w:val="20"/>
          <w:szCs w:val="20"/>
        </w:rPr>
        <w:t>Gráfico 26</w:t>
      </w:r>
      <w:r w:rsidR="00B11BFA">
        <w:rPr>
          <w:rFonts w:ascii="Open Sans" w:hAnsi="Open Sans" w:cs="Open Sans"/>
          <w:b/>
          <w:bCs/>
          <w:sz w:val="20"/>
          <w:szCs w:val="20"/>
        </w:rPr>
        <w:t>.</w:t>
      </w:r>
      <w:r w:rsidRPr="00257CD4">
        <w:rPr>
          <w:rFonts w:ascii="Open Sans" w:hAnsi="Open Sans" w:cs="Open Sans"/>
          <w:sz w:val="20"/>
          <w:szCs w:val="20"/>
        </w:rPr>
        <w:t xml:space="preserve"> Solicitudes de protección clasificadas por género de los años 2017, 2018 y 2019</w:t>
      </w:r>
      <w:r w:rsidR="00E15DC4" w:rsidRPr="00257CD4">
        <w:rPr>
          <w:rFonts w:ascii="Open Sans" w:hAnsi="Open Sans" w:cs="Open Sans"/>
          <w:sz w:val="20"/>
          <w:szCs w:val="20"/>
        </w:rPr>
        <w:ptab w:relativeTo="margin" w:alignment="right" w:leader="dot"/>
      </w:r>
      <w:r w:rsidR="00E15DC4" w:rsidRPr="00257CD4">
        <w:rPr>
          <w:rFonts w:ascii="Open Sans" w:hAnsi="Open Sans" w:cs="Open Sans"/>
          <w:sz w:val="20"/>
          <w:szCs w:val="20"/>
        </w:rPr>
        <w:ptab w:relativeTo="margin" w:alignment="right" w:leader="dot"/>
      </w:r>
      <w:r w:rsidR="00E15DC4" w:rsidRPr="00257CD4">
        <w:rPr>
          <w:rFonts w:ascii="Open Sans" w:hAnsi="Open Sans" w:cs="Open Sans"/>
          <w:sz w:val="20"/>
          <w:szCs w:val="20"/>
        </w:rPr>
        <w:t>1</w:t>
      </w:r>
      <w:r w:rsidR="00257CD4">
        <w:rPr>
          <w:rFonts w:ascii="Open Sans" w:hAnsi="Open Sans" w:cs="Open Sans"/>
          <w:sz w:val="20"/>
          <w:szCs w:val="20"/>
        </w:rPr>
        <w:t>3</w:t>
      </w:r>
      <w:r w:rsidR="00D43D31">
        <w:rPr>
          <w:rFonts w:ascii="Open Sans" w:hAnsi="Open Sans" w:cs="Open Sans"/>
          <w:sz w:val="20"/>
          <w:szCs w:val="20"/>
        </w:rPr>
        <w:t>9</w:t>
      </w:r>
    </w:p>
    <w:p w14:paraId="2CA5CDF7" w14:textId="33732700" w:rsidR="006E30DA" w:rsidRPr="00257CD4" w:rsidRDefault="006E30DA" w:rsidP="00810491">
      <w:pPr>
        <w:spacing w:after="0" w:line="276" w:lineRule="auto"/>
        <w:ind w:left="1134" w:hanging="1134"/>
        <w:rPr>
          <w:rFonts w:ascii="Open Sans" w:hAnsi="Open Sans" w:cs="Open Sans"/>
          <w:sz w:val="20"/>
          <w:szCs w:val="20"/>
        </w:rPr>
      </w:pPr>
      <w:r w:rsidRPr="00257CD4">
        <w:rPr>
          <w:rFonts w:ascii="Open Sans" w:hAnsi="Open Sans" w:cs="Open Sans"/>
          <w:b/>
          <w:bCs/>
          <w:sz w:val="20"/>
          <w:szCs w:val="20"/>
        </w:rPr>
        <w:t>Gráfico 27.</w:t>
      </w:r>
      <w:r w:rsidRPr="00257CD4">
        <w:rPr>
          <w:rFonts w:ascii="Open Sans" w:hAnsi="Open Sans" w:cs="Open Sans"/>
          <w:sz w:val="20"/>
          <w:szCs w:val="20"/>
        </w:rPr>
        <w:t xml:space="preserve"> Canal o medio de presentación de solicitudes respecto de las que se ha concedido el estatuto de persona denunciante años 2017 a 2019</w:t>
      </w:r>
      <w:r w:rsidR="00A412F9" w:rsidRPr="00257CD4">
        <w:rPr>
          <w:rFonts w:ascii="Open Sans" w:hAnsi="Open Sans" w:cs="Open Sans"/>
          <w:sz w:val="20"/>
          <w:szCs w:val="20"/>
        </w:rPr>
        <w:ptab w:relativeTo="margin" w:alignment="right" w:leader="dot"/>
      </w:r>
      <w:r w:rsidR="00E15DC4" w:rsidRPr="00257CD4">
        <w:rPr>
          <w:rFonts w:ascii="Open Sans" w:hAnsi="Open Sans" w:cs="Open Sans"/>
          <w:sz w:val="20"/>
          <w:szCs w:val="20"/>
        </w:rPr>
        <w:t>1</w:t>
      </w:r>
      <w:r w:rsidR="00D43D31">
        <w:rPr>
          <w:rFonts w:ascii="Open Sans" w:hAnsi="Open Sans" w:cs="Open Sans"/>
          <w:sz w:val="20"/>
          <w:szCs w:val="20"/>
        </w:rPr>
        <w:t>40</w:t>
      </w:r>
    </w:p>
    <w:p w14:paraId="2322294C" w14:textId="5EACA67D" w:rsidR="006E30DA" w:rsidRPr="00257CD4" w:rsidRDefault="006E30DA" w:rsidP="004063ED">
      <w:pPr>
        <w:spacing w:after="0" w:line="276" w:lineRule="auto"/>
        <w:ind w:left="1077" w:hanging="1077"/>
        <w:rPr>
          <w:rFonts w:ascii="Open Sans" w:hAnsi="Open Sans" w:cs="Open Sans"/>
          <w:sz w:val="20"/>
          <w:szCs w:val="20"/>
        </w:rPr>
      </w:pPr>
      <w:r w:rsidRPr="00257CD4">
        <w:rPr>
          <w:rFonts w:ascii="Open Sans" w:hAnsi="Open Sans" w:cs="Open Sans"/>
          <w:b/>
          <w:bCs/>
          <w:sz w:val="20"/>
          <w:szCs w:val="20"/>
        </w:rPr>
        <w:t>Gráfico 28.</w:t>
      </w:r>
      <w:r w:rsidRPr="00257CD4">
        <w:rPr>
          <w:rFonts w:ascii="Open Sans" w:hAnsi="Open Sans" w:cs="Open Sans"/>
          <w:sz w:val="20"/>
          <w:szCs w:val="20"/>
        </w:rPr>
        <w:t xml:space="preserve"> Provincias en la que se ubica la administración o entidad denunciada o investigada (años 2017 a 2019)</w:t>
      </w:r>
      <w:r w:rsidR="00A412F9" w:rsidRPr="00257CD4">
        <w:rPr>
          <w:rFonts w:ascii="Open Sans" w:hAnsi="Open Sans" w:cs="Open Sans"/>
          <w:sz w:val="20"/>
          <w:szCs w:val="20"/>
        </w:rPr>
        <w:ptab w:relativeTo="margin" w:alignment="right" w:leader="dot"/>
      </w:r>
      <w:r w:rsidR="00E15DC4" w:rsidRPr="00257CD4">
        <w:rPr>
          <w:rFonts w:ascii="Open Sans" w:hAnsi="Open Sans" w:cs="Open Sans"/>
          <w:sz w:val="20"/>
          <w:szCs w:val="20"/>
        </w:rPr>
        <w:t>1</w:t>
      </w:r>
      <w:r w:rsidR="00D43D31">
        <w:rPr>
          <w:rFonts w:ascii="Open Sans" w:hAnsi="Open Sans" w:cs="Open Sans"/>
          <w:sz w:val="20"/>
          <w:szCs w:val="20"/>
        </w:rPr>
        <w:t>40</w:t>
      </w:r>
    </w:p>
    <w:p w14:paraId="67CC1292" w14:textId="03C6A232" w:rsidR="006E30DA" w:rsidRPr="00257CD4" w:rsidRDefault="00A412F9" w:rsidP="00810491">
      <w:pPr>
        <w:spacing w:after="0" w:line="276" w:lineRule="auto"/>
        <w:ind w:left="1134" w:hanging="1134"/>
        <w:jc w:val="both"/>
        <w:rPr>
          <w:rFonts w:ascii="Open Sans" w:hAnsi="Open Sans" w:cs="Open Sans"/>
          <w:sz w:val="20"/>
          <w:szCs w:val="20"/>
        </w:rPr>
      </w:pPr>
      <w:r w:rsidRPr="00257CD4">
        <w:rPr>
          <w:rFonts w:ascii="Open Sans" w:hAnsi="Open Sans" w:cs="Open Sans"/>
          <w:b/>
          <w:bCs/>
          <w:sz w:val="20"/>
          <w:szCs w:val="20"/>
        </w:rPr>
        <w:t>Gráfico 29.</w:t>
      </w:r>
      <w:r w:rsidRPr="00257CD4">
        <w:rPr>
          <w:rFonts w:ascii="Open Sans" w:hAnsi="Open Sans" w:cs="Open Sans"/>
          <w:sz w:val="20"/>
          <w:szCs w:val="20"/>
        </w:rPr>
        <w:t xml:space="preserve"> Según el contenido de la denuncia realizada por los denunciantes protegido</w:t>
      </w:r>
      <w:r w:rsidR="00257CD4">
        <w:rPr>
          <w:rFonts w:ascii="Open Sans" w:hAnsi="Open Sans" w:cs="Open Sans"/>
          <w:sz w:val="20"/>
          <w:szCs w:val="20"/>
        </w:rPr>
        <w:t xml:space="preserve"> </w:t>
      </w:r>
      <w:r w:rsidRPr="00257CD4">
        <w:rPr>
          <w:rFonts w:ascii="Open Sans" w:hAnsi="Open Sans" w:cs="Open Sans"/>
          <w:sz w:val="20"/>
          <w:szCs w:val="20"/>
        </w:rPr>
        <w:t>(años 2017 a 2019)</w:t>
      </w:r>
      <w:r w:rsidRPr="00257CD4">
        <w:rPr>
          <w:rFonts w:ascii="Open Sans" w:hAnsi="Open Sans" w:cs="Open Sans"/>
          <w:sz w:val="20"/>
          <w:szCs w:val="20"/>
        </w:rPr>
        <w:ptab w:relativeTo="margin" w:alignment="right" w:leader="dot"/>
      </w:r>
      <w:r w:rsidR="00E15DC4" w:rsidRPr="00257CD4">
        <w:rPr>
          <w:rFonts w:ascii="Open Sans" w:hAnsi="Open Sans" w:cs="Open Sans"/>
          <w:sz w:val="20"/>
          <w:szCs w:val="20"/>
        </w:rPr>
        <w:t>1</w:t>
      </w:r>
      <w:r w:rsidR="00D43D31">
        <w:rPr>
          <w:rFonts w:ascii="Open Sans" w:hAnsi="Open Sans" w:cs="Open Sans"/>
          <w:sz w:val="20"/>
          <w:szCs w:val="20"/>
        </w:rPr>
        <w:t>40</w:t>
      </w:r>
    </w:p>
    <w:p w14:paraId="74E7DBEA" w14:textId="618D3AEE" w:rsidR="00A412F9" w:rsidRPr="00257CD4" w:rsidRDefault="00A412F9" w:rsidP="00810491">
      <w:pPr>
        <w:spacing w:after="0" w:line="276" w:lineRule="auto"/>
        <w:ind w:left="1134" w:hanging="1134"/>
        <w:jc w:val="both"/>
        <w:rPr>
          <w:rFonts w:ascii="Open Sans" w:hAnsi="Open Sans" w:cs="Open Sans"/>
          <w:sz w:val="20"/>
          <w:szCs w:val="20"/>
        </w:rPr>
      </w:pPr>
      <w:r w:rsidRPr="00257CD4">
        <w:rPr>
          <w:rFonts w:ascii="Open Sans" w:hAnsi="Open Sans" w:cs="Open Sans"/>
          <w:b/>
          <w:bCs/>
          <w:sz w:val="20"/>
          <w:szCs w:val="20"/>
        </w:rPr>
        <w:t>Gráfico 30</w:t>
      </w:r>
      <w:r w:rsidR="00B11BFA">
        <w:rPr>
          <w:rFonts w:ascii="Open Sans" w:hAnsi="Open Sans" w:cs="Open Sans"/>
          <w:b/>
          <w:bCs/>
          <w:sz w:val="20"/>
          <w:szCs w:val="20"/>
        </w:rPr>
        <w:t>.</w:t>
      </w:r>
      <w:r w:rsidRPr="00257CD4">
        <w:rPr>
          <w:rFonts w:ascii="Open Sans" w:hAnsi="Open Sans" w:cs="Open Sans"/>
          <w:sz w:val="20"/>
          <w:szCs w:val="20"/>
        </w:rPr>
        <w:t xml:space="preserve"> Condición laboral de los trabajadores a los que se le ha concedido el estatuto de persona denunciante (años 2017 a 2019)</w:t>
      </w:r>
      <w:r w:rsidRPr="00257CD4">
        <w:rPr>
          <w:rFonts w:ascii="Open Sans" w:hAnsi="Open Sans" w:cs="Open Sans"/>
          <w:sz w:val="20"/>
          <w:szCs w:val="20"/>
        </w:rPr>
        <w:ptab w:relativeTo="margin" w:alignment="right" w:leader="dot"/>
      </w:r>
      <w:r w:rsidR="00E15DC4" w:rsidRPr="00257CD4">
        <w:rPr>
          <w:rFonts w:ascii="Open Sans" w:hAnsi="Open Sans" w:cs="Open Sans"/>
          <w:sz w:val="20"/>
          <w:szCs w:val="20"/>
        </w:rPr>
        <w:t>1</w:t>
      </w:r>
      <w:r w:rsidR="00D43D31">
        <w:rPr>
          <w:rFonts w:ascii="Open Sans" w:hAnsi="Open Sans" w:cs="Open Sans"/>
          <w:sz w:val="20"/>
          <w:szCs w:val="20"/>
        </w:rPr>
        <w:t>41</w:t>
      </w:r>
    </w:p>
    <w:p w14:paraId="23B5F78C" w14:textId="0C4364A3" w:rsidR="00A412F9" w:rsidRPr="00257CD4" w:rsidRDefault="00A412F9" w:rsidP="00AD0570">
      <w:pPr>
        <w:spacing w:after="0" w:line="276" w:lineRule="auto"/>
        <w:ind w:left="1134" w:hanging="1134"/>
        <w:jc w:val="both"/>
        <w:rPr>
          <w:rFonts w:ascii="Open Sans" w:hAnsi="Open Sans" w:cs="Open Sans"/>
          <w:sz w:val="20"/>
          <w:szCs w:val="20"/>
        </w:rPr>
      </w:pPr>
      <w:r w:rsidRPr="00257CD4">
        <w:rPr>
          <w:rFonts w:ascii="Open Sans" w:hAnsi="Open Sans" w:cs="Open Sans"/>
          <w:b/>
          <w:sz w:val="20"/>
          <w:szCs w:val="20"/>
        </w:rPr>
        <w:t>Gráfico 31.</w:t>
      </w:r>
      <w:r w:rsidRPr="00257CD4">
        <w:rPr>
          <w:rFonts w:ascii="Open Sans" w:hAnsi="Open Sans" w:cs="Open Sans"/>
          <w:sz w:val="20"/>
          <w:szCs w:val="20"/>
        </w:rPr>
        <w:t xml:space="preserve"> Personas denunciantes protegidas clasificadas por género (años 2017 a 2019)</w:t>
      </w:r>
      <w:r w:rsidRPr="00257CD4">
        <w:rPr>
          <w:rFonts w:ascii="Open Sans" w:hAnsi="Open Sans" w:cs="Open Sans"/>
          <w:sz w:val="20"/>
          <w:szCs w:val="20"/>
        </w:rPr>
        <w:ptab w:relativeTo="margin" w:alignment="right" w:leader="dot"/>
      </w:r>
      <w:r w:rsidR="00E15DC4" w:rsidRPr="00257CD4">
        <w:rPr>
          <w:rFonts w:ascii="Open Sans" w:hAnsi="Open Sans" w:cs="Open Sans"/>
          <w:sz w:val="20"/>
          <w:szCs w:val="20"/>
        </w:rPr>
        <w:t>1</w:t>
      </w:r>
      <w:r w:rsidR="00257CD4">
        <w:rPr>
          <w:rFonts w:ascii="Open Sans" w:hAnsi="Open Sans" w:cs="Open Sans"/>
          <w:sz w:val="20"/>
          <w:szCs w:val="20"/>
        </w:rPr>
        <w:t>4</w:t>
      </w:r>
      <w:r w:rsidR="00D43D31">
        <w:rPr>
          <w:rFonts w:ascii="Open Sans" w:hAnsi="Open Sans" w:cs="Open Sans"/>
          <w:sz w:val="20"/>
          <w:szCs w:val="20"/>
        </w:rPr>
        <w:t>1</w:t>
      </w:r>
    </w:p>
    <w:p w14:paraId="133585F4" w14:textId="11B4643C" w:rsidR="00782E4E" w:rsidRPr="00257CD4" w:rsidRDefault="00782E4E" w:rsidP="00EA0E82">
      <w:pPr>
        <w:spacing w:after="0" w:line="276" w:lineRule="auto"/>
        <w:jc w:val="both"/>
        <w:rPr>
          <w:rFonts w:ascii="Open Sans" w:hAnsi="Open Sans" w:cs="Open Sans"/>
          <w:sz w:val="20"/>
          <w:szCs w:val="20"/>
        </w:rPr>
      </w:pPr>
      <w:r w:rsidRPr="00257CD4">
        <w:rPr>
          <w:rFonts w:ascii="Open Sans" w:hAnsi="Open Sans" w:cs="Open Sans"/>
          <w:b/>
          <w:sz w:val="20"/>
          <w:szCs w:val="20"/>
        </w:rPr>
        <w:t>Gráfico 32.</w:t>
      </w:r>
      <w:r w:rsidRPr="00257CD4">
        <w:rPr>
          <w:rFonts w:ascii="Open Sans" w:hAnsi="Open Sans" w:cs="Open Sans"/>
          <w:sz w:val="20"/>
          <w:szCs w:val="20"/>
        </w:rPr>
        <w:t xml:space="preserve"> Usuarios de la página web por ciudades</w:t>
      </w:r>
      <w:r w:rsidRPr="00257CD4">
        <w:rPr>
          <w:rFonts w:ascii="Open Sans" w:hAnsi="Open Sans" w:cs="Open Sans"/>
          <w:sz w:val="20"/>
          <w:szCs w:val="20"/>
        </w:rPr>
        <w:ptab w:relativeTo="margin" w:alignment="right" w:leader="dot"/>
      </w:r>
      <w:r w:rsidR="00F906FF" w:rsidRPr="00257CD4">
        <w:rPr>
          <w:rFonts w:ascii="Open Sans" w:hAnsi="Open Sans" w:cs="Open Sans"/>
          <w:sz w:val="20"/>
          <w:szCs w:val="20"/>
        </w:rPr>
        <w:t>1</w:t>
      </w:r>
      <w:r w:rsidR="001C41EC">
        <w:rPr>
          <w:rFonts w:ascii="Open Sans" w:hAnsi="Open Sans" w:cs="Open Sans"/>
          <w:sz w:val="20"/>
          <w:szCs w:val="20"/>
        </w:rPr>
        <w:t>72</w:t>
      </w:r>
    </w:p>
    <w:p w14:paraId="0034B427" w14:textId="5D75606A" w:rsidR="00782E4E" w:rsidRPr="00257CD4" w:rsidRDefault="00782E4E" w:rsidP="00EA0E82">
      <w:pPr>
        <w:spacing w:after="0" w:line="276" w:lineRule="auto"/>
        <w:jc w:val="both"/>
        <w:rPr>
          <w:rFonts w:ascii="Open Sans" w:hAnsi="Open Sans" w:cs="Open Sans"/>
          <w:sz w:val="20"/>
          <w:szCs w:val="20"/>
        </w:rPr>
      </w:pPr>
      <w:r w:rsidRPr="00257CD4">
        <w:rPr>
          <w:rFonts w:ascii="Open Sans" w:hAnsi="Open Sans" w:cs="Open Sans"/>
          <w:b/>
          <w:sz w:val="20"/>
          <w:szCs w:val="20"/>
        </w:rPr>
        <w:t>Gráfico 33.</w:t>
      </w:r>
      <w:r w:rsidRPr="00257CD4">
        <w:rPr>
          <w:rFonts w:ascii="Open Sans" w:hAnsi="Open Sans" w:cs="Open Sans"/>
          <w:sz w:val="20"/>
          <w:szCs w:val="20"/>
        </w:rPr>
        <w:t xml:space="preserve"> Noticias con mención a la Agencia por tipo medio año 2019</w:t>
      </w:r>
      <w:r w:rsidRPr="00257CD4">
        <w:rPr>
          <w:rFonts w:ascii="Open Sans" w:hAnsi="Open Sans" w:cs="Open Sans"/>
          <w:sz w:val="20"/>
          <w:szCs w:val="20"/>
        </w:rPr>
        <w:ptab w:relativeTo="margin" w:alignment="right" w:leader="dot"/>
      </w:r>
      <w:r w:rsidR="00F906FF" w:rsidRPr="00257CD4">
        <w:rPr>
          <w:rFonts w:ascii="Open Sans" w:hAnsi="Open Sans" w:cs="Open Sans"/>
          <w:sz w:val="20"/>
          <w:szCs w:val="20"/>
        </w:rPr>
        <w:t>1</w:t>
      </w:r>
      <w:r w:rsidR="00A2227E">
        <w:rPr>
          <w:rFonts w:ascii="Open Sans" w:hAnsi="Open Sans" w:cs="Open Sans"/>
          <w:sz w:val="20"/>
          <w:szCs w:val="20"/>
        </w:rPr>
        <w:t>7</w:t>
      </w:r>
      <w:r w:rsidR="001C41EC">
        <w:rPr>
          <w:rFonts w:ascii="Open Sans" w:hAnsi="Open Sans" w:cs="Open Sans"/>
          <w:sz w:val="20"/>
          <w:szCs w:val="20"/>
        </w:rPr>
        <w:t>3</w:t>
      </w:r>
    </w:p>
    <w:p w14:paraId="725EC0FF" w14:textId="43D24B52" w:rsidR="00C64191" w:rsidRPr="00257CD4" w:rsidRDefault="00C64191" w:rsidP="004063ED">
      <w:pPr>
        <w:spacing w:after="0" w:line="276" w:lineRule="auto"/>
        <w:ind w:left="1134" w:hanging="1134"/>
        <w:jc w:val="both"/>
        <w:rPr>
          <w:rFonts w:ascii="Open Sans" w:hAnsi="Open Sans" w:cs="Open Sans"/>
          <w:sz w:val="20"/>
          <w:szCs w:val="20"/>
        </w:rPr>
      </w:pPr>
      <w:r w:rsidRPr="00257CD4">
        <w:rPr>
          <w:rFonts w:ascii="Open Sans" w:hAnsi="Open Sans" w:cs="Open Sans"/>
          <w:b/>
          <w:sz w:val="20"/>
          <w:szCs w:val="20"/>
        </w:rPr>
        <w:t>Gráfico 34.</w:t>
      </w:r>
      <w:r w:rsidRPr="00257CD4">
        <w:rPr>
          <w:rFonts w:ascii="Open Sans" w:hAnsi="Open Sans" w:cs="Open Sans"/>
          <w:sz w:val="20"/>
          <w:szCs w:val="20"/>
        </w:rPr>
        <w:t xml:space="preserve"> </w:t>
      </w:r>
      <w:r w:rsidR="0070209B" w:rsidRPr="00257CD4">
        <w:rPr>
          <w:rFonts w:ascii="Open Sans" w:hAnsi="Open Sans" w:cs="Open Sans"/>
          <w:sz w:val="20"/>
          <w:szCs w:val="20"/>
        </w:rPr>
        <w:t>Número</w:t>
      </w:r>
      <w:r w:rsidRPr="00257CD4">
        <w:rPr>
          <w:rFonts w:ascii="Open Sans" w:hAnsi="Open Sans" w:cs="Open Sans"/>
          <w:sz w:val="20"/>
          <w:szCs w:val="20"/>
        </w:rPr>
        <w:t xml:space="preserve"> de puestos de trabajo de las unidades administrativas de la Agencia desde su creación</w:t>
      </w:r>
      <w:r w:rsidRPr="00257CD4">
        <w:rPr>
          <w:rFonts w:ascii="Open Sans" w:hAnsi="Open Sans" w:cs="Open Sans"/>
          <w:sz w:val="20"/>
          <w:szCs w:val="20"/>
        </w:rPr>
        <w:ptab w:relativeTo="margin" w:alignment="right" w:leader="dot"/>
      </w:r>
      <w:r w:rsidR="00C41CFD" w:rsidRPr="00257CD4">
        <w:rPr>
          <w:rFonts w:ascii="Open Sans" w:hAnsi="Open Sans" w:cs="Open Sans"/>
          <w:sz w:val="20"/>
          <w:szCs w:val="20"/>
        </w:rPr>
        <w:t>1</w:t>
      </w:r>
      <w:r w:rsidR="00274807">
        <w:rPr>
          <w:rFonts w:ascii="Open Sans" w:hAnsi="Open Sans" w:cs="Open Sans"/>
          <w:sz w:val="20"/>
          <w:szCs w:val="20"/>
        </w:rPr>
        <w:t>8</w:t>
      </w:r>
      <w:r w:rsidR="009B5730">
        <w:rPr>
          <w:rFonts w:ascii="Open Sans" w:hAnsi="Open Sans" w:cs="Open Sans"/>
          <w:sz w:val="20"/>
          <w:szCs w:val="20"/>
        </w:rPr>
        <w:t>8</w:t>
      </w:r>
    </w:p>
    <w:p w14:paraId="7B601D78" w14:textId="7D0EECE8" w:rsidR="00C64191" w:rsidRPr="00257CD4" w:rsidRDefault="00C64191" w:rsidP="00C64191">
      <w:pPr>
        <w:spacing w:after="0" w:line="276" w:lineRule="auto"/>
        <w:jc w:val="both"/>
        <w:rPr>
          <w:rFonts w:ascii="Open Sans" w:hAnsi="Open Sans" w:cs="Open Sans"/>
          <w:sz w:val="20"/>
          <w:szCs w:val="20"/>
        </w:rPr>
      </w:pPr>
      <w:r w:rsidRPr="00257CD4">
        <w:rPr>
          <w:rFonts w:ascii="Open Sans" w:hAnsi="Open Sans" w:cs="Open Sans"/>
          <w:b/>
          <w:sz w:val="20"/>
          <w:szCs w:val="20"/>
        </w:rPr>
        <w:t>Gráfico 3</w:t>
      </w:r>
      <w:r w:rsidR="0084208A" w:rsidRPr="00257CD4">
        <w:rPr>
          <w:rFonts w:ascii="Open Sans" w:hAnsi="Open Sans" w:cs="Open Sans"/>
          <w:b/>
          <w:sz w:val="20"/>
          <w:szCs w:val="20"/>
        </w:rPr>
        <w:t>5</w:t>
      </w:r>
      <w:r w:rsidRPr="00257CD4">
        <w:rPr>
          <w:rFonts w:ascii="Open Sans" w:hAnsi="Open Sans" w:cs="Open Sans"/>
          <w:b/>
          <w:sz w:val="20"/>
          <w:szCs w:val="20"/>
        </w:rPr>
        <w:t>.</w:t>
      </w:r>
      <w:r w:rsidRPr="00257CD4">
        <w:rPr>
          <w:rFonts w:ascii="Open Sans" w:hAnsi="Open Sans" w:cs="Open Sans"/>
          <w:sz w:val="20"/>
          <w:szCs w:val="20"/>
        </w:rPr>
        <w:t xml:space="preserve"> Clasificación y número de puestos de trabajo según subgrupo</w:t>
      </w:r>
      <w:r w:rsidRPr="00257CD4">
        <w:rPr>
          <w:rFonts w:ascii="Open Sans" w:hAnsi="Open Sans" w:cs="Open Sans"/>
          <w:sz w:val="20"/>
          <w:szCs w:val="20"/>
        </w:rPr>
        <w:ptab w:relativeTo="margin" w:alignment="right" w:leader="dot"/>
      </w:r>
      <w:r w:rsidR="002516FB">
        <w:rPr>
          <w:rFonts w:ascii="Open Sans" w:hAnsi="Open Sans" w:cs="Open Sans"/>
          <w:sz w:val="20"/>
          <w:szCs w:val="20"/>
        </w:rPr>
        <w:t>1</w:t>
      </w:r>
      <w:r w:rsidR="009B5730">
        <w:rPr>
          <w:rFonts w:ascii="Open Sans" w:hAnsi="Open Sans" w:cs="Open Sans"/>
          <w:sz w:val="20"/>
          <w:szCs w:val="20"/>
        </w:rPr>
        <w:t>92</w:t>
      </w:r>
    </w:p>
    <w:p w14:paraId="2BB25CC7" w14:textId="5B28EAEE" w:rsidR="00C64191" w:rsidRPr="00257CD4" w:rsidRDefault="00C64191" w:rsidP="00C64191">
      <w:pPr>
        <w:spacing w:after="0" w:line="276" w:lineRule="auto"/>
        <w:jc w:val="both"/>
        <w:rPr>
          <w:rFonts w:ascii="Open Sans" w:hAnsi="Open Sans" w:cs="Open Sans"/>
          <w:sz w:val="20"/>
          <w:szCs w:val="20"/>
        </w:rPr>
      </w:pPr>
      <w:r w:rsidRPr="00257CD4">
        <w:rPr>
          <w:rFonts w:ascii="Open Sans" w:hAnsi="Open Sans" w:cs="Open Sans"/>
          <w:b/>
          <w:sz w:val="20"/>
          <w:szCs w:val="20"/>
        </w:rPr>
        <w:t>Gráfico 3</w:t>
      </w:r>
      <w:r w:rsidR="0084208A" w:rsidRPr="00257CD4">
        <w:rPr>
          <w:rFonts w:ascii="Open Sans" w:hAnsi="Open Sans" w:cs="Open Sans"/>
          <w:b/>
          <w:sz w:val="20"/>
          <w:szCs w:val="20"/>
        </w:rPr>
        <w:t>6</w:t>
      </w:r>
      <w:r w:rsidRPr="00257CD4">
        <w:rPr>
          <w:rFonts w:ascii="Open Sans" w:hAnsi="Open Sans" w:cs="Open Sans"/>
          <w:b/>
          <w:sz w:val="20"/>
          <w:szCs w:val="20"/>
        </w:rPr>
        <w:t>.</w:t>
      </w:r>
      <w:r w:rsidRPr="00257CD4">
        <w:rPr>
          <w:rFonts w:ascii="Open Sans" w:hAnsi="Open Sans" w:cs="Open Sans"/>
          <w:sz w:val="20"/>
          <w:szCs w:val="20"/>
        </w:rPr>
        <w:t xml:space="preserve"> Grado de ocupación de los puestos de trabajo de la Agencia a 31/12/2017</w:t>
      </w:r>
      <w:r w:rsidRPr="00257CD4">
        <w:rPr>
          <w:rFonts w:ascii="Open Sans" w:hAnsi="Open Sans" w:cs="Open Sans"/>
          <w:sz w:val="20"/>
          <w:szCs w:val="20"/>
        </w:rPr>
        <w:ptab w:relativeTo="margin" w:alignment="right" w:leader="dot"/>
      </w:r>
      <w:r w:rsidR="002516FB">
        <w:rPr>
          <w:rFonts w:ascii="Open Sans" w:hAnsi="Open Sans" w:cs="Open Sans"/>
          <w:sz w:val="20"/>
          <w:szCs w:val="20"/>
        </w:rPr>
        <w:t>19</w:t>
      </w:r>
      <w:r w:rsidR="009B5730">
        <w:rPr>
          <w:rFonts w:ascii="Open Sans" w:hAnsi="Open Sans" w:cs="Open Sans"/>
          <w:sz w:val="20"/>
          <w:szCs w:val="20"/>
        </w:rPr>
        <w:t>2</w:t>
      </w:r>
    </w:p>
    <w:p w14:paraId="382EEDA8" w14:textId="10B0016D" w:rsidR="00C64191" w:rsidRPr="00257CD4" w:rsidRDefault="00C64191" w:rsidP="00EA0E82">
      <w:pPr>
        <w:spacing w:after="0" w:line="276" w:lineRule="auto"/>
        <w:jc w:val="both"/>
        <w:rPr>
          <w:rFonts w:ascii="Open Sans" w:hAnsi="Open Sans" w:cs="Open Sans"/>
          <w:sz w:val="20"/>
          <w:szCs w:val="20"/>
        </w:rPr>
      </w:pPr>
      <w:r w:rsidRPr="00257CD4">
        <w:rPr>
          <w:rFonts w:ascii="Open Sans" w:hAnsi="Open Sans" w:cs="Open Sans"/>
          <w:b/>
          <w:sz w:val="20"/>
          <w:szCs w:val="20"/>
        </w:rPr>
        <w:t>Gráfico 3</w:t>
      </w:r>
      <w:r w:rsidR="0084208A" w:rsidRPr="00257CD4">
        <w:rPr>
          <w:rFonts w:ascii="Open Sans" w:hAnsi="Open Sans" w:cs="Open Sans"/>
          <w:b/>
          <w:sz w:val="20"/>
          <w:szCs w:val="20"/>
        </w:rPr>
        <w:t>7</w:t>
      </w:r>
      <w:r w:rsidRPr="00257CD4">
        <w:rPr>
          <w:rFonts w:ascii="Open Sans" w:hAnsi="Open Sans" w:cs="Open Sans"/>
          <w:b/>
          <w:sz w:val="20"/>
          <w:szCs w:val="20"/>
        </w:rPr>
        <w:t>.</w:t>
      </w:r>
      <w:r w:rsidRPr="00257CD4">
        <w:rPr>
          <w:rFonts w:ascii="Open Sans" w:hAnsi="Open Sans" w:cs="Open Sans"/>
          <w:sz w:val="20"/>
          <w:szCs w:val="20"/>
        </w:rPr>
        <w:t xml:space="preserve"> Grado de ocupación de los puestos de trabajo de la Agencia a 31/12/2018</w:t>
      </w:r>
      <w:r w:rsidRPr="00257CD4">
        <w:rPr>
          <w:rFonts w:ascii="Open Sans" w:hAnsi="Open Sans" w:cs="Open Sans"/>
          <w:sz w:val="20"/>
          <w:szCs w:val="20"/>
        </w:rPr>
        <w:ptab w:relativeTo="margin" w:alignment="right" w:leader="dot"/>
      </w:r>
      <w:r w:rsidR="002516FB">
        <w:rPr>
          <w:rFonts w:ascii="Open Sans" w:hAnsi="Open Sans" w:cs="Open Sans"/>
          <w:sz w:val="20"/>
          <w:szCs w:val="20"/>
        </w:rPr>
        <w:t>19</w:t>
      </w:r>
      <w:r w:rsidR="009B5730">
        <w:rPr>
          <w:rFonts w:ascii="Open Sans" w:hAnsi="Open Sans" w:cs="Open Sans"/>
          <w:sz w:val="20"/>
          <w:szCs w:val="20"/>
        </w:rPr>
        <w:t>2</w:t>
      </w:r>
    </w:p>
    <w:p w14:paraId="7588E72E" w14:textId="1135722B" w:rsidR="00C64191" w:rsidRPr="00257CD4" w:rsidRDefault="00C64191" w:rsidP="00C64191">
      <w:pPr>
        <w:spacing w:after="0" w:line="276" w:lineRule="auto"/>
        <w:jc w:val="both"/>
        <w:rPr>
          <w:rFonts w:ascii="Open Sans" w:hAnsi="Open Sans" w:cs="Open Sans"/>
          <w:sz w:val="20"/>
          <w:szCs w:val="20"/>
        </w:rPr>
      </w:pPr>
      <w:r w:rsidRPr="00257CD4">
        <w:rPr>
          <w:rFonts w:ascii="Open Sans" w:hAnsi="Open Sans" w:cs="Open Sans"/>
          <w:b/>
          <w:sz w:val="20"/>
          <w:szCs w:val="20"/>
        </w:rPr>
        <w:t>Gráfico 3</w:t>
      </w:r>
      <w:r w:rsidR="0084208A" w:rsidRPr="00257CD4">
        <w:rPr>
          <w:rFonts w:ascii="Open Sans" w:hAnsi="Open Sans" w:cs="Open Sans"/>
          <w:b/>
          <w:sz w:val="20"/>
          <w:szCs w:val="20"/>
        </w:rPr>
        <w:t>8</w:t>
      </w:r>
      <w:r w:rsidRPr="00257CD4">
        <w:rPr>
          <w:rFonts w:ascii="Open Sans" w:hAnsi="Open Sans" w:cs="Open Sans"/>
          <w:b/>
          <w:sz w:val="20"/>
          <w:szCs w:val="20"/>
        </w:rPr>
        <w:t>.</w:t>
      </w:r>
      <w:r w:rsidRPr="00257CD4">
        <w:rPr>
          <w:rFonts w:ascii="Open Sans" w:hAnsi="Open Sans" w:cs="Open Sans"/>
          <w:sz w:val="20"/>
          <w:szCs w:val="20"/>
        </w:rPr>
        <w:t xml:space="preserve"> Grado de ocupación de los puestos de trabajo de la Agencia a 31/12/2019</w:t>
      </w:r>
      <w:r w:rsidRPr="00257CD4">
        <w:rPr>
          <w:rFonts w:ascii="Open Sans" w:hAnsi="Open Sans" w:cs="Open Sans"/>
          <w:sz w:val="20"/>
          <w:szCs w:val="20"/>
        </w:rPr>
        <w:ptab w:relativeTo="margin" w:alignment="right" w:leader="dot"/>
      </w:r>
      <w:r w:rsidR="002516FB">
        <w:rPr>
          <w:rFonts w:ascii="Open Sans" w:hAnsi="Open Sans" w:cs="Open Sans"/>
          <w:sz w:val="20"/>
          <w:szCs w:val="20"/>
        </w:rPr>
        <w:t>19</w:t>
      </w:r>
      <w:r w:rsidR="009B5730">
        <w:rPr>
          <w:rFonts w:ascii="Open Sans" w:hAnsi="Open Sans" w:cs="Open Sans"/>
          <w:sz w:val="20"/>
          <w:szCs w:val="20"/>
        </w:rPr>
        <w:t>3</w:t>
      </w:r>
    </w:p>
    <w:p w14:paraId="7943A60D" w14:textId="4F1F1E31" w:rsidR="00C64191" w:rsidRPr="00257CD4" w:rsidRDefault="00C64191" w:rsidP="004063ED">
      <w:pPr>
        <w:spacing w:after="0" w:line="276" w:lineRule="auto"/>
        <w:ind w:left="1077" w:hanging="1077"/>
        <w:rPr>
          <w:rFonts w:ascii="Open Sans" w:hAnsi="Open Sans" w:cs="Open Sans"/>
          <w:b/>
          <w:sz w:val="20"/>
          <w:szCs w:val="20"/>
        </w:rPr>
      </w:pPr>
      <w:r w:rsidRPr="00257CD4">
        <w:rPr>
          <w:rFonts w:ascii="Open Sans" w:hAnsi="Open Sans" w:cs="Open Sans"/>
          <w:b/>
          <w:sz w:val="20"/>
          <w:szCs w:val="20"/>
        </w:rPr>
        <w:t xml:space="preserve">Gráfico </w:t>
      </w:r>
      <w:r w:rsidR="0084208A" w:rsidRPr="00257CD4">
        <w:rPr>
          <w:rFonts w:ascii="Open Sans" w:hAnsi="Open Sans" w:cs="Open Sans"/>
          <w:b/>
          <w:sz w:val="20"/>
          <w:szCs w:val="20"/>
        </w:rPr>
        <w:t>39</w:t>
      </w:r>
      <w:r w:rsidRPr="00257CD4">
        <w:rPr>
          <w:rFonts w:ascii="Open Sans" w:hAnsi="Open Sans" w:cs="Open Sans"/>
          <w:b/>
          <w:sz w:val="20"/>
          <w:szCs w:val="20"/>
        </w:rPr>
        <w:t>.</w:t>
      </w:r>
      <w:r w:rsidRPr="00257CD4">
        <w:rPr>
          <w:rFonts w:ascii="Open Sans" w:hAnsi="Open Sans" w:cs="Open Sans"/>
          <w:sz w:val="20"/>
          <w:szCs w:val="20"/>
        </w:rPr>
        <w:t xml:space="preserve"> Administración de procedencia del personal funcionario de la Agencia a 31/12/2019</w:t>
      </w:r>
      <w:r w:rsidRPr="00257CD4">
        <w:rPr>
          <w:rFonts w:ascii="Open Sans" w:hAnsi="Open Sans" w:cs="Open Sans"/>
          <w:sz w:val="20"/>
          <w:szCs w:val="20"/>
        </w:rPr>
        <w:ptab w:relativeTo="margin" w:alignment="right" w:leader="dot"/>
      </w:r>
      <w:r w:rsidR="002516FB">
        <w:rPr>
          <w:rFonts w:ascii="Open Sans" w:hAnsi="Open Sans" w:cs="Open Sans"/>
          <w:sz w:val="20"/>
          <w:szCs w:val="20"/>
        </w:rPr>
        <w:t>19</w:t>
      </w:r>
      <w:r w:rsidR="009B5730">
        <w:rPr>
          <w:rFonts w:ascii="Open Sans" w:hAnsi="Open Sans" w:cs="Open Sans"/>
          <w:sz w:val="20"/>
          <w:szCs w:val="20"/>
        </w:rPr>
        <w:t>4</w:t>
      </w:r>
    </w:p>
    <w:p w14:paraId="1C2180D5" w14:textId="021AAB95" w:rsidR="00C64191" w:rsidRPr="00257CD4" w:rsidRDefault="00C64191" w:rsidP="004063ED">
      <w:pPr>
        <w:spacing w:after="0" w:line="276" w:lineRule="auto"/>
        <w:ind w:left="1077" w:hanging="1077"/>
        <w:jc w:val="both"/>
        <w:rPr>
          <w:rFonts w:ascii="Open Sans" w:hAnsi="Open Sans" w:cs="Open Sans"/>
          <w:sz w:val="20"/>
          <w:szCs w:val="20"/>
        </w:rPr>
      </w:pPr>
      <w:r w:rsidRPr="00257CD4">
        <w:rPr>
          <w:rFonts w:ascii="Open Sans" w:hAnsi="Open Sans" w:cs="Open Sans"/>
          <w:b/>
          <w:sz w:val="20"/>
          <w:szCs w:val="20"/>
        </w:rPr>
        <w:t>Gráfico 4</w:t>
      </w:r>
      <w:r w:rsidR="0084208A" w:rsidRPr="00257CD4">
        <w:rPr>
          <w:rFonts w:ascii="Open Sans" w:hAnsi="Open Sans" w:cs="Open Sans"/>
          <w:b/>
          <w:sz w:val="20"/>
          <w:szCs w:val="20"/>
        </w:rPr>
        <w:t>0</w:t>
      </w:r>
      <w:r w:rsidR="00B11BFA">
        <w:rPr>
          <w:rFonts w:ascii="Open Sans" w:hAnsi="Open Sans" w:cs="Open Sans"/>
          <w:b/>
          <w:sz w:val="20"/>
          <w:szCs w:val="20"/>
        </w:rPr>
        <w:t>.</w:t>
      </w:r>
      <w:r w:rsidRPr="00257CD4">
        <w:rPr>
          <w:rFonts w:ascii="Open Sans" w:hAnsi="Open Sans" w:cs="Open Sans"/>
          <w:sz w:val="20"/>
          <w:szCs w:val="20"/>
        </w:rPr>
        <w:t xml:space="preserve"> Porcentaje sobre el importe del presupuesto de licitación según procedimiento de contratación</w:t>
      </w:r>
      <w:r w:rsidRPr="00257CD4">
        <w:rPr>
          <w:rFonts w:ascii="Open Sans" w:hAnsi="Open Sans" w:cs="Open Sans"/>
          <w:sz w:val="20"/>
          <w:szCs w:val="20"/>
        </w:rPr>
        <w:ptab w:relativeTo="margin" w:alignment="right" w:leader="dot"/>
      </w:r>
      <w:r w:rsidR="00A57632">
        <w:rPr>
          <w:rFonts w:ascii="Open Sans" w:hAnsi="Open Sans" w:cs="Open Sans"/>
          <w:sz w:val="20"/>
          <w:szCs w:val="20"/>
        </w:rPr>
        <w:t>20</w:t>
      </w:r>
      <w:r w:rsidR="009B5730">
        <w:rPr>
          <w:rFonts w:ascii="Open Sans" w:hAnsi="Open Sans" w:cs="Open Sans"/>
          <w:sz w:val="20"/>
          <w:szCs w:val="20"/>
        </w:rPr>
        <w:t>6</w:t>
      </w:r>
    </w:p>
    <w:p w14:paraId="4B6E4C02" w14:textId="543534EA" w:rsidR="00C64191" w:rsidRPr="00257CD4" w:rsidRDefault="00C64191" w:rsidP="004063ED">
      <w:pPr>
        <w:spacing w:after="0" w:line="276" w:lineRule="auto"/>
        <w:ind w:left="1077" w:hanging="1077"/>
        <w:rPr>
          <w:rFonts w:ascii="Open Sans" w:hAnsi="Open Sans" w:cs="Open Sans"/>
          <w:sz w:val="20"/>
          <w:szCs w:val="20"/>
        </w:rPr>
      </w:pPr>
      <w:r w:rsidRPr="00257CD4">
        <w:rPr>
          <w:rFonts w:ascii="Open Sans" w:hAnsi="Open Sans" w:cs="Open Sans"/>
          <w:b/>
          <w:sz w:val="20"/>
          <w:szCs w:val="20"/>
        </w:rPr>
        <w:t>Gráfico 4</w:t>
      </w:r>
      <w:r w:rsidR="0084208A" w:rsidRPr="00257CD4">
        <w:rPr>
          <w:rFonts w:ascii="Open Sans" w:hAnsi="Open Sans" w:cs="Open Sans"/>
          <w:b/>
          <w:sz w:val="20"/>
          <w:szCs w:val="20"/>
        </w:rPr>
        <w:t>1</w:t>
      </w:r>
      <w:r w:rsidR="00B11BFA">
        <w:rPr>
          <w:rFonts w:ascii="Open Sans" w:hAnsi="Open Sans" w:cs="Open Sans"/>
          <w:b/>
          <w:sz w:val="20"/>
          <w:szCs w:val="20"/>
        </w:rPr>
        <w:t>.</w:t>
      </w:r>
      <w:r w:rsidRPr="00257CD4">
        <w:rPr>
          <w:rFonts w:ascii="Open Sans" w:hAnsi="Open Sans" w:cs="Open Sans"/>
          <w:sz w:val="20"/>
          <w:szCs w:val="20"/>
        </w:rPr>
        <w:t xml:space="preserve"> Porcentaje sobre el importe de presupuesto de adjudicación según procedimiento de contratación</w:t>
      </w:r>
      <w:r w:rsidRPr="00257CD4">
        <w:rPr>
          <w:rFonts w:ascii="Open Sans" w:hAnsi="Open Sans" w:cs="Open Sans"/>
          <w:sz w:val="20"/>
          <w:szCs w:val="20"/>
        </w:rPr>
        <w:ptab w:relativeTo="margin" w:alignment="right" w:leader="dot"/>
      </w:r>
      <w:r w:rsidR="00A57632">
        <w:rPr>
          <w:rFonts w:ascii="Open Sans" w:hAnsi="Open Sans" w:cs="Open Sans"/>
          <w:sz w:val="20"/>
          <w:szCs w:val="20"/>
        </w:rPr>
        <w:t>20</w:t>
      </w:r>
      <w:r w:rsidR="009B5730">
        <w:rPr>
          <w:rFonts w:ascii="Open Sans" w:hAnsi="Open Sans" w:cs="Open Sans"/>
          <w:sz w:val="20"/>
          <w:szCs w:val="20"/>
        </w:rPr>
        <w:t>7</w:t>
      </w:r>
    </w:p>
    <w:p w14:paraId="1B5A62B1" w14:textId="77777777" w:rsidR="00C64191" w:rsidRPr="00A07BE9" w:rsidRDefault="00C64191" w:rsidP="00EA0E82">
      <w:pPr>
        <w:spacing w:after="0" w:line="276" w:lineRule="auto"/>
        <w:jc w:val="both"/>
        <w:rPr>
          <w:rFonts w:ascii="Open Sans" w:hAnsi="Open Sans" w:cs="Open Sans"/>
          <w:sz w:val="20"/>
          <w:szCs w:val="20"/>
        </w:rPr>
      </w:pPr>
    </w:p>
    <w:p w14:paraId="07319CCC" w14:textId="77777777" w:rsidR="00782E4E" w:rsidRPr="00A07BE9" w:rsidRDefault="00782E4E" w:rsidP="00EA0E82">
      <w:pPr>
        <w:spacing w:after="0" w:line="276" w:lineRule="auto"/>
        <w:jc w:val="both"/>
        <w:rPr>
          <w:rFonts w:ascii="Open Sans" w:hAnsi="Open Sans" w:cs="Open Sans"/>
          <w:sz w:val="20"/>
          <w:szCs w:val="20"/>
        </w:rPr>
      </w:pPr>
    </w:p>
    <w:p w14:paraId="1AD76729" w14:textId="245A8062" w:rsidR="006E30DA" w:rsidRPr="00A07BE9" w:rsidRDefault="006E30DA" w:rsidP="00EA0E82">
      <w:pPr>
        <w:spacing w:after="0" w:line="276" w:lineRule="auto"/>
        <w:jc w:val="both"/>
        <w:rPr>
          <w:rFonts w:ascii="Open Sans" w:hAnsi="Open Sans" w:cs="Open Sans"/>
          <w:color w:val="FF0000"/>
          <w:sz w:val="20"/>
          <w:szCs w:val="20"/>
        </w:rPr>
        <w:sectPr w:rsidR="006E30DA" w:rsidRPr="00A07BE9" w:rsidSect="00A03993">
          <w:headerReference w:type="default" r:id="rId24"/>
          <w:footerReference w:type="default" r:id="rId25"/>
          <w:pgSz w:w="11906" w:h="16838"/>
          <w:pgMar w:top="1134" w:right="1701" w:bottom="1134" w:left="1701" w:header="567" w:footer="227" w:gutter="0"/>
          <w:cols w:space="708"/>
          <w:titlePg/>
          <w:docGrid w:linePitch="360"/>
        </w:sectPr>
      </w:pPr>
    </w:p>
    <w:p w14:paraId="11C93748" w14:textId="48CE9225" w:rsidR="006B23D2" w:rsidRPr="00A07BE9" w:rsidRDefault="006B23D2" w:rsidP="006B23D2">
      <w:pPr>
        <w:keepNext/>
        <w:widowControl w:val="0"/>
        <w:tabs>
          <w:tab w:val="left" w:pos="0"/>
        </w:tabs>
        <w:suppressAutoHyphens/>
        <w:autoSpaceDN w:val="0"/>
        <w:spacing w:after="0" w:line="276" w:lineRule="auto"/>
        <w:jc w:val="both"/>
        <w:textAlignment w:val="baseline"/>
        <w:outlineLvl w:val="0"/>
        <w:rPr>
          <w:rFonts w:ascii="Open Sans" w:eastAsia="Calibri" w:hAnsi="Open Sans" w:cs="Open Sans"/>
          <w:b/>
          <w:bCs/>
          <w:color w:val="993333"/>
          <w:spacing w:val="-14"/>
          <w:w w:val="95"/>
          <w:sz w:val="20"/>
          <w:szCs w:val="20"/>
          <w:lang w:val="ca-ES"/>
        </w:rPr>
      </w:pPr>
    </w:p>
    <w:p w14:paraId="37C97114" w14:textId="0CBDFAFB" w:rsidR="00A511D8" w:rsidRPr="00A07BE9" w:rsidRDefault="00A511D8" w:rsidP="006B23D2">
      <w:pPr>
        <w:keepNext/>
        <w:widowControl w:val="0"/>
        <w:tabs>
          <w:tab w:val="left" w:pos="0"/>
        </w:tabs>
        <w:suppressAutoHyphens/>
        <w:autoSpaceDN w:val="0"/>
        <w:spacing w:after="0" w:line="276" w:lineRule="auto"/>
        <w:jc w:val="both"/>
        <w:textAlignment w:val="baseline"/>
        <w:outlineLvl w:val="0"/>
        <w:rPr>
          <w:rFonts w:ascii="Open Sans" w:eastAsia="Calibri" w:hAnsi="Open Sans" w:cs="Open Sans"/>
          <w:b/>
          <w:bCs/>
          <w:color w:val="993333"/>
          <w:spacing w:val="-14"/>
          <w:w w:val="95"/>
          <w:sz w:val="20"/>
          <w:szCs w:val="20"/>
          <w:lang w:val="ca-ES"/>
        </w:rPr>
      </w:pPr>
    </w:p>
    <w:p w14:paraId="6F52304B" w14:textId="700ED0AA" w:rsidR="0085298F" w:rsidRPr="00A07BE9" w:rsidRDefault="0085298F" w:rsidP="0085298F">
      <w:pPr>
        <w:keepNext/>
        <w:widowControl w:val="0"/>
        <w:tabs>
          <w:tab w:val="left" w:pos="0"/>
        </w:tabs>
        <w:suppressAutoHyphens/>
        <w:autoSpaceDN w:val="0"/>
        <w:spacing w:after="0" w:line="240" w:lineRule="auto"/>
        <w:jc w:val="both"/>
        <w:textAlignment w:val="baseline"/>
        <w:outlineLvl w:val="0"/>
        <w:rPr>
          <w:rFonts w:ascii="Open Sans" w:eastAsia="Calibri" w:hAnsi="Open Sans" w:cs="Open Sans"/>
          <w:b/>
          <w:bCs/>
          <w:color w:val="993333"/>
          <w:spacing w:val="-14"/>
          <w:w w:val="95"/>
          <w:sz w:val="200"/>
          <w:szCs w:val="200"/>
          <w:lang w:val="ca-ES"/>
        </w:rPr>
      </w:pPr>
      <w:r w:rsidRPr="00A07BE9">
        <w:rPr>
          <w:rFonts w:ascii="Open Sans" w:eastAsia="Calibri" w:hAnsi="Open Sans" w:cs="Open Sans"/>
          <w:b/>
          <w:bCs/>
          <w:color w:val="993333"/>
          <w:spacing w:val="-14"/>
          <w:w w:val="95"/>
          <w:sz w:val="200"/>
          <w:szCs w:val="200"/>
          <w:lang w:val="ca-ES"/>
        </w:rPr>
        <w:t>01</w:t>
      </w:r>
    </w:p>
    <w:p w14:paraId="6F5A92B4" w14:textId="77777777" w:rsidR="006B23D2" w:rsidRPr="00A07BE9" w:rsidRDefault="006B23D2" w:rsidP="0085298F">
      <w:pPr>
        <w:keepNext/>
        <w:widowControl w:val="0"/>
        <w:tabs>
          <w:tab w:val="left" w:pos="0"/>
        </w:tabs>
        <w:suppressAutoHyphens/>
        <w:autoSpaceDN w:val="0"/>
        <w:spacing w:after="0" w:line="240" w:lineRule="auto"/>
        <w:jc w:val="both"/>
        <w:textAlignment w:val="baseline"/>
        <w:outlineLvl w:val="0"/>
        <w:rPr>
          <w:rFonts w:ascii="Open Sans" w:eastAsia="Calibri" w:hAnsi="Open Sans" w:cs="Open Sans"/>
          <w:b/>
          <w:bCs/>
          <w:color w:val="993333"/>
          <w:spacing w:val="-14"/>
          <w:w w:val="95"/>
          <w:sz w:val="80"/>
          <w:szCs w:val="80"/>
        </w:rPr>
      </w:pPr>
      <w:r w:rsidRPr="00A07BE9">
        <w:rPr>
          <w:rFonts w:ascii="Open Sans" w:eastAsia="Calibri" w:hAnsi="Open Sans" w:cs="Open Sans"/>
          <w:b/>
          <w:bCs/>
          <w:color w:val="993333"/>
          <w:spacing w:val="-14"/>
          <w:w w:val="95"/>
          <w:sz w:val="80"/>
          <w:szCs w:val="80"/>
        </w:rPr>
        <w:t>Presentación</w:t>
      </w:r>
    </w:p>
    <w:p w14:paraId="00BB0386" w14:textId="77777777" w:rsidR="006B23D2" w:rsidRPr="00A07BE9" w:rsidRDefault="006B23D2" w:rsidP="006B23D2">
      <w:pPr>
        <w:widowControl w:val="0"/>
        <w:tabs>
          <w:tab w:val="left" w:pos="0"/>
        </w:tabs>
        <w:suppressAutoHyphens/>
        <w:autoSpaceDN w:val="0"/>
        <w:spacing w:before="119" w:after="119" w:line="276" w:lineRule="auto"/>
        <w:jc w:val="both"/>
        <w:textAlignment w:val="baseline"/>
        <w:rPr>
          <w:rFonts w:ascii="Open Sans" w:eastAsia="Calibri" w:hAnsi="Open Sans" w:cs="Open Sans"/>
          <w:color w:val="000000"/>
          <w:sz w:val="20"/>
          <w:szCs w:val="20"/>
        </w:rPr>
      </w:pPr>
    </w:p>
    <w:p w14:paraId="2182D02C" w14:textId="77777777" w:rsidR="006B23D2" w:rsidRPr="00A07BE9" w:rsidRDefault="006B23D2" w:rsidP="006B23D2">
      <w:pPr>
        <w:widowControl w:val="0"/>
        <w:tabs>
          <w:tab w:val="left" w:pos="0"/>
        </w:tabs>
        <w:suppressAutoHyphens/>
        <w:autoSpaceDN w:val="0"/>
        <w:spacing w:before="119" w:after="119" w:line="276" w:lineRule="auto"/>
        <w:ind w:left="1418"/>
        <w:jc w:val="both"/>
        <w:textAlignment w:val="baseline"/>
        <w:rPr>
          <w:rFonts w:ascii="Open Sans" w:eastAsia="Calibri" w:hAnsi="Open Sans" w:cs="Open Sans"/>
          <w:color w:val="000000"/>
          <w:sz w:val="18"/>
          <w:szCs w:val="18"/>
        </w:rPr>
      </w:pPr>
      <w:r w:rsidRPr="00A07BE9">
        <w:rPr>
          <w:rFonts w:ascii="Open Sans" w:eastAsia="Calibri" w:hAnsi="Open Sans" w:cs="Open Sans"/>
          <w:color w:val="000000"/>
          <w:sz w:val="18"/>
          <w:szCs w:val="18"/>
        </w:rPr>
        <w:t>“La corrupción deteriora el Estado de derecho e impide su funcionamiento normal. Los principios que lo inspiran son amenazados por la corrupción que se ampara en la opacidad y el secretismo para perpetuarse, desvirtúa la esencia de la democracia y pervierte el sistema democrático al servirse de las reglas de juego de la democracia para disponer de las instituciones públicas y de cuanto es público en beneficio particular o personal”.</w:t>
      </w:r>
    </w:p>
    <w:p w14:paraId="3278ED12" w14:textId="77777777" w:rsidR="006B23D2" w:rsidRPr="00A07BE9" w:rsidRDefault="006B23D2" w:rsidP="006B23D2">
      <w:pPr>
        <w:widowControl w:val="0"/>
        <w:tabs>
          <w:tab w:val="left" w:pos="0"/>
        </w:tabs>
        <w:suppressAutoHyphens/>
        <w:autoSpaceDN w:val="0"/>
        <w:spacing w:before="119" w:after="119" w:line="276" w:lineRule="auto"/>
        <w:ind w:left="1418"/>
        <w:jc w:val="both"/>
        <w:textAlignment w:val="baseline"/>
        <w:rPr>
          <w:rFonts w:ascii="Open Sans" w:eastAsia="Calibri" w:hAnsi="Open Sans" w:cs="Open Sans"/>
          <w:b/>
          <w:color w:val="000000"/>
          <w:sz w:val="18"/>
          <w:szCs w:val="18"/>
        </w:rPr>
      </w:pPr>
      <w:r w:rsidRPr="00A07BE9">
        <w:rPr>
          <w:rFonts w:ascii="Open Sans" w:eastAsia="Calibri" w:hAnsi="Open Sans" w:cs="Open Sans"/>
          <w:b/>
          <w:color w:val="000000"/>
          <w:sz w:val="18"/>
          <w:szCs w:val="18"/>
        </w:rPr>
        <w:t>Apartado II del Preámbulo a la Ley 11/2016, de 28 de noviembre, de la Generalitat Valenciana.</w:t>
      </w:r>
    </w:p>
    <w:p w14:paraId="642B9CA6" w14:textId="77777777" w:rsidR="006B23D2" w:rsidRPr="00A07BE9" w:rsidRDefault="006B23D2" w:rsidP="006B23D2">
      <w:pPr>
        <w:widowControl w:val="0"/>
        <w:tabs>
          <w:tab w:val="left" w:pos="0"/>
        </w:tabs>
        <w:suppressAutoHyphens/>
        <w:autoSpaceDN w:val="0"/>
        <w:spacing w:before="119" w:after="119" w:line="276" w:lineRule="auto"/>
        <w:ind w:left="1418"/>
        <w:jc w:val="both"/>
        <w:textAlignment w:val="baseline"/>
        <w:rPr>
          <w:rFonts w:ascii="Open Sans" w:eastAsia="NSimSun" w:hAnsi="Open Sans" w:cs="Open Sans"/>
          <w:iCs/>
          <w:kern w:val="3"/>
          <w:sz w:val="18"/>
          <w:szCs w:val="18"/>
          <w:lang w:val="en-GB" w:eastAsia="zh-CN" w:bidi="hi-IN"/>
        </w:rPr>
      </w:pPr>
    </w:p>
    <w:p w14:paraId="78256AF9" w14:textId="77777777" w:rsidR="006B23D2" w:rsidRPr="00A07BE9" w:rsidRDefault="006B23D2" w:rsidP="006B23D2">
      <w:pPr>
        <w:widowControl w:val="0"/>
        <w:tabs>
          <w:tab w:val="left" w:pos="0"/>
        </w:tabs>
        <w:suppressAutoHyphens/>
        <w:autoSpaceDN w:val="0"/>
        <w:spacing w:before="119" w:after="119" w:line="276" w:lineRule="auto"/>
        <w:ind w:left="1418"/>
        <w:jc w:val="both"/>
        <w:textAlignment w:val="baseline"/>
        <w:rPr>
          <w:rFonts w:ascii="Open Sans" w:eastAsia="NSimSun" w:hAnsi="Open Sans" w:cs="Open Sans"/>
          <w:kern w:val="3"/>
          <w:sz w:val="18"/>
          <w:szCs w:val="18"/>
          <w:lang w:val="en-GB" w:eastAsia="zh-CN" w:bidi="hi-IN"/>
        </w:rPr>
      </w:pPr>
      <w:r w:rsidRPr="00A07BE9">
        <w:rPr>
          <w:rFonts w:ascii="Open Sans" w:eastAsia="NSimSun" w:hAnsi="Open Sans" w:cs="Open Sans"/>
          <w:kern w:val="3"/>
          <w:sz w:val="18"/>
          <w:szCs w:val="18"/>
          <w:lang w:val="en-GB" w:eastAsia="zh-CN" w:bidi="hi-IN"/>
        </w:rPr>
        <w:t>“Los Estados Parte en la presente Convención, Preocupados por la gravedad de los problemas y las amenazas que plantea la corrupción para la estabilidad y seguridad de las sociedades al socavar las instituciones y los valores de la democracia, la ética y la justicia y al comprometer el desarrollo sostenible y el imperio de la ley,”</w:t>
      </w:r>
    </w:p>
    <w:p w14:paraId="7EF24EEF" w14:textId="2E71782D" w:rsidR="006B23D2" w:rsidRPr="00A07BE9" w:rsidRDefault="006B23D2" w:rsidP="0085298F">
      <w:pPr>
        <w:widowControl w:val="0"/>
        <w:tabs>
          <w:tab w:val="left" w:pos="0"/>
        </w:tabs>
        <w:suppressAutoHyphens/>
        <w:autoSpaceDN w:val="0"/>
        <w:spacing w:before="119" w:after="119" w:line="276" w:lineRule="auto"/>
        <w:ind w:left="1418"/>
        <w:jc w:val="both"/>
        <w:textAlignment w:val="baseline"/>
        <w:rPr>
          <w:rFonts w:ascii="Open Sans" w:eastAsia="NSimSun" w:hAnsi="Open Sans" w:cs="Open Sans"/>
          <w:b/>
          <w:kern w:val="3"/>
          <w:sz w:val="18"/>
          <w:szCs w:val="18"/>
          <w:lang w:val="en-GB" w:eastAsia="zh-CN" w:bidi="hi-IN"/>
        </w:rPr>
      </w:pPr>
      <w:r w:rsidRPr="00A07BE9">
        <w:rPr>
          <w:rFonts w:ascii="Open Sans" w:eastAsia="NSimSun" w:hAnsi="Open Sans" w:cs="Open Sans"/>
          <w:b/>
          <w:kern w:val="3"/>
          <w:sz w:val="18"/>
          <w:szCs w:val="18"/>
          <w:lang w:val="en-GB" w:eastAsia="zh-CN" w:bidi="hi-IN"/>
        </w:rPr>
        <w:t>Inicio del preámbulo de la Convención de las Naciones Unidas contra la Corrupción, de 2003. Ratificada por España en 2006.</w:t>
      </w:r>
    </w:p>
    <w:p w14:paraId="521C2AA4" w14:textId="77777777" w:rsidR="0085298F" w:rsidRPr="00A07BE9" w:rsidRDefault="0085298F" w:rsidP="0085298F">
      <w:pPr>
        <w:widowControl w:val="0"/>
        <w:tabs>
          <w:tab w:val="left" w:pos="0"/>
        </w:tabs>
        <w:suppressAutoHyphens/>
        <w:autoSpaceDN w:val="0"/>
        <w:spacing w:before="119" w:after="119" w:line="276" w:lineRule="auto"/>
        <w:ind w:left="1418"/>
        <w:jc w:val="both"/>
        <w:textAlignment w:val="baseline"/>
        <w:rPr>
          <w:rFonts w:ascii="Open Sans" w:eastAsia="NSimSun" w:hAnsi="Open Sans" w:cs="Open Sans"/>
          <w:kern w:val="3"/>
          <w:sz w:val="20"/>
          <w:szCs w:val="20"/>
          <w:lang w:val="en-GB" w:eastAsia="zh-CN" w:bidi="hi-IN"/>
        </w:rPr>
      </w:pPr>
    </w:p>
    <w:p w14:paraId="30CB2275" w14:textId="77777777" w:rsidR="006B23D2" w:rsidRPr="00A07BE9" w:rsidRDefault="006B23D2" w:rsidP="006B23D2">
      <w:pPr>
        <w:suppressAutoHyphens/>
        <w:autoSpaceDN w:val="0"/>
        <w:spacing w:after="0" w:line="276" w:lineRule="auto"/>
        <w:jc w:val="both"/>
        <w:textAlignment w:val="baseline"/>
        <w:rPr>
          <w:rFonts w:ascii="Open Sans" w:eastAsia="NSimSun" w:hAnsi="Open Sans" w:cs="Open Sans"/>
          <w:kern w:val="3"/>
          <w:lang w:val="en-GB" w:eastAsia="zh-CN" w:bidi="hi-IN"/>
        </w:rPr>
      </w:pPr>
      <w:r w:rsidRPr="00A07BE9">
        <w:rPr>
          <w:rFonts w:ascii="Open Sans" w:eastAsia="NSimSun" w:hAnsi="Open Sans" w:cs="Open Sans"/>
          <w:color w:val="000000"/>
          <w:kern w:val="3"/>
          <w:sz w:val="20"/>
          <w:szCs w:val="20"/>
          <w:lang w:eastAsia="zh-CN" w:bidi="hi-IN"/>
        </w:rPr>
        <w:t xml:space="preserve">La Memoria anual constituye la herramienta básica mediante la cual la Agencia de Prevención y Lucha contra el Fraude y la Corrupción de la Comunitat Valenciana da cumplimiento de forma ordinaria al deber de rendir cuentas, ante el parlamento valenciano, de los resultados de la actividad realizada durante el ejercicio finalizado en los términos que prevé el artículo 22 de la Ley 11/2016, de 28 de noviembre, y el artículo 81 de su Reglamento de funcionamiento y régimen interior. Dicha actividad se desarrolla en el cumplimiento de la misión de la Agencia descrita en el artículo 1, apartado 3, de la citada Ley 11/2016, consistente en prevenir y erradicar el fraude y la corrupción de las instituciones valencianas y para el impulso de la integridad y de la ética pública además del fomento de una cultura de buenas prácticas y de rechazo del fraude y la corrupción en el diseño, ejecución y evaluación de políticas públicas, así como de la gestión de los recursos públicos. </w:t>
      </w:r>
      <w:r w:rsidRPr="00A07BE9">
        <w:rPr>
          <w:rFonts w:ascii="Open Sans" w:eastAsia="NSimSun" w:hAnsi="Open Sans" w:cs="Open Sans"/>
          <w:color w:val="000000"/>
          <w:kern w:val="3"/>
          <w:sz w:val="20"/>
          <w:szCs w:val="20"/>
          <w:lang w:eastAsia="zh-CN" w:bidi="hi-IN"/>
        </w:rPr>
        <w:lastRenderedPageBreak/>
        <w:t xml:space="preserve">Corresponde a la Agencia la misión de asistir, asesorar y proteger a las personas que alertan, informan o denuncian hechos que puedan dar lugar a la exigencia de responsabilidades legales mediante la aplicación del </w:t>
      </w:r>
      <w:r w:rsidRPr="00A07BE9">
        <w:rPr>
          <w:rFonts w:ascii="Open Sans" w:eastAsia="NSimSun" w:hAnsi="Open Sans" w:cs="Open Sans"/>
          <w:iCs/>
          <w:color w:val="000000"/>
          <w:kern w:val="3"/>
          <w:sz w:val="20"/>
          <w:szCs w:val="20"/>
          <w:lang w:eastAsia="zh-CN" w:bidi="hi-IN"/>
        </w:rPr>
        <w:t>Estatuto de la persona denunciante</w:t>
      </w:r>
      <w:r w:rsidRPr="00A07BE9">
        <w:rPr>
          <w:rFonts w:ascii="Open Sans" w:eastAsia="NSimSun" w:hAnsi="Open Sans" w:cs="Open Sans"/>
          <w:color w:val="000000"/>
          <w:kern w:val="3"/>
          <w:sz w:val="20"/>
          <w:szCs w:val="20"/>
          <w:lang w:eastAsia="zh-CN" w:bidi="hi-IN"/>
        </w:rPr>
        <w:t>, conforme al artículo 14 de la Ley 11/2016.</w:t>
      </w:r>
    </w:p>
    <w:p w14:paraId="7BF5B140" w14:textId="77777777" w:rsidR="006B23D2" w:rsidRPr="00A07BE9" w:rsidRDefault="006B23D2" w:rsidP="006B23D2">
      <w:pPr>
        <w:suppressAutoHyphens/>
        <w:autoSpaceDN w:val="0"/>
        <w:spacing w:after="0" w:line="276" w:lineRule="auto"/>
        <w:jc w:val="both"/>
        <w:textAlignment w:val="baseline"/>
        <w:rPr>
          <w:rFonts w:ascii="Open Sans" w:eastAsia="NSimSun" w:hAnsi="Open Sans" w:cs="Open Sans"/>
          <w:color w:val="000000"/>
          <w:kern w:val="3"/>
          <w:sz w:val="20"/>
          <w:szCs w:val="20"/>
          <w:lang w:eastAsia="zh-CN" w:bidi="hi-IN"/>
        </w:rPr>
      </w:pPr>
    </w:p>
    <w:p w14:paraId="1B9DE0C9" w14:textId="77777777" w:rsidR="006B23D2" w:rsidRPr="00A07BE9" w:rsidRDefault="006B23D2" w:rsidP="006B23D2">
      <w:pPr>
        <w:suppressAutoHyphens/>
        <w:autoSpaceDN w:val="0"/>
        <w:spacing w:after="0" w:line="276" w:lineRule="auto"/>
        <w:jc w:val="both"/>
        <w:textAlignment w:val="baseline"/>
        <w:rPr>
          <w:rFonts w:ascii="Open Sans" w:eastAsia="NSimSun" w:hAnsi="Open Sans" w:cs="Open Sans"/>
          <w:kern w:val="3"/>
          <w:lang w:val="en-GB" w:eastAsia="zh-CN" w:bidi="hi-IN"/>
        </w:rPr>
      </w:pPr>
      <w:r w:rsidRPr="00A07BE9">
        <w:rPr>
          <w:rFonts w:ascii="Open Sans" w:eastAsia="NSimSun" w:hAnsi="Open Sans" w:cs="Open Sans"/>
          <w:color w:val="000000"/>
          <w:kern w:val="3"/>
          <w:sz w:val="20"/>
          <w:szCs w:val="20"/>
          <w:lang w:eastAsia="zh-CN" w:bidi="hi-IN"/>
        </w:rPr>
        <w:t>Por otra parte, la Memoria es el medio principal de rendir cuentas a la ciudadanía sobre la gestión de la Agencia, en los ámbitos de la prevención, investigación y evaluación de políticas y prácticas relativas al fraude y la corrupción en las administraciones públicas valencianas y su sector público instrumental, todo ello en virtud de lo dispuesto en los artículos 25 de la Ley y 24.3 d) de su Reglamento.</w:t>
      </w:r>
    </w:p>
    <w:p w14:paraId="12C52E4D" w14:textId="77777777" w:rsidR="006B23D2" w:rsidRPr="00A07BE9" w:rsidRDefault="006B23D2" w:rsidP="006B23D2">
      <w:pPr>
        <w:suppressAutoHyphens/>
        <w:autoSpaceDN w:val="0"/>
        <w:spacing w:after="0" w:line="276" w:lineRule="auto"/>
        <w:jc w:val="both"/>
        <w:textAlignment w:val="baseline"/>
        <w:rPr>
          <w:rFonts w:ascii="Open Sans" w:eastAsia="NSimSun" w:hAnsi="Open Sans" w:cs="Open Sans"/>
          <w:color w:val="000000"/>
          <w:kern w:val="3"/>
          <w:sz w:val="20"/>
          <w:szCs w:val="20"/>
          <w:lang w:eastAsia="zh-CN" w:bidi="hi-IN"/>
        </w:rPr>
      </w:pPr>
    </w:p>
    <w:p w14:paraId="318E0B0D" w14:textId="77777777" w:rsidR="006B23D2" w:rsidRPr="00A07BE9" w:rsidRDefault="006B23D2" w:rsidP="006B23D2">
      <w:pPr>
        <w:suppressAutoHyphens/>
        <w:autoSpaceDN w:val="0"/>
        <w:spacing w:after="0" w:line="276" w:lineRule="auto"/>
        <w:jc w:val="both"/>
        <w:textAlignment w:val="baseline"/>
        <w:rPr>
          <w:rFonts w:ascii="Open Sans" w:eastAsia="NSimSun" w:hAnsi="Open Sans" w:cs="Open Sans"/>
          <w:color w:val="000000"/>
          <w:kern w:val="3"/>
          <w:sz w:val="20"/>
          <w:szCs w:val="20"/>
          <w:lang w:eastAsia="zh-CN" w:bidi="hi-IN"/>
        </w:rPr>
      </w:pPr>
      <w:r w:rsidRPr="00A07BE9">
        <w:rPr>
          <w:rFonts w:ascii="Open Sans" w:eastAsia="NSimSun" w:hAnsi="Open Sans" w:cs="Open Sans"/>
          <w:color w:val="000000"/>
          <w:kern w:val="3"/>
          <w:sz w:val="20"/>
          <w:szCs w:val="20"/>
          <w:lang w:eastAsia="zh-CN" w:bidi="hi-IN"/>
        </w:rPr>
        <w:t>En una situación tan extraordinaria y catastrófica como la pandemia que estamos viviendo y que ha coincidido temporalmente con las labores de concluir la redacción de esta Memoria y presentarla al parlamento valenciano, como director y en nombre del equipo directivo y del resto del personal funcionario de la institución, asumimos la responsabilidad de cumplir, formal y materialmente, con el mandato legal, dando cuenta, de forma transparente y sometida al escrutinio de las Corts Valencianes, de la actividad desarrollada a lo largo del ejercicio 2019.</w:t>
      </w:r>
    </w:p>
    <w:p w14:paraId="314ACBB6" w14:textId="77777777" w:rsidR="006B23D2" w:rsidRPr="00A07BE9" w:rsidRDefault="006B23D2" w:rsidP="006B23D2">
      <w:pPr>
        <w:suppressAutoHyphens/>
        <w:autoSpaceDN w:val="0"/>
        <w:spacing w:after="0" w:line="276" w:lineRule="auto"/>
        <w:jc w:val="both"/>
        <w:textAlignment w:val="baseline"/>
        <w:rPr>
          <w:rFonts w:ascii="Open Sans" w:eastAsia="NSimSun" w:hAnsi="Open Sans" w:cs="Open Sans"/>
          <w:color w:val="000000"/>
          <w:kern w:val="3"/>
          <w:sz w:val="20"/>
          <w:szCs w:val="20"/>
          <w:lang w:eastAsia="zh-CN" w:bidi="hi-IN"/>
        </w:rPr>
      </w:pPr>
    </w:p>
    <w:p w14:paraId="1D75E4BA" w14:textId="77777777" w:rsidR="006B23D2" w:rsidRPr="00A07BE9" w:rsidRDefault="006B23D2" w:rsidP="006B23D2">
      <w:pPr>
        <w:suppressAutoHyphens/>
        <w:autoSpaceDN w:val="0"/>
        <w:spacing w:after="0" w:line="276" w:lineRule="auto"/>
        <w:jc w:val="both"/>
        <w:textAlignment w:val="baseline"/>
        <w:rPr>
          <w:rFonts w:ascii="Open Sans" w:eastAsia="NSimSun" w:hAnsi="Open Sans" w:cs="Open Sans"/>
          <w:color w:val="000000"/>
          <w:kern w:val="3"/>
          <w:sz w:val="20"/>
          <w:szCs w:val="20"/>
          <w:lang w:eastAsia="zh-CN" w:bidi="hi-IN"/>
        </w:rPr>
      </w:pPr>
      <w:r w:rsidRPr="00A07BE9">
        <w:rPr>
          <w:rFonts w:ascii="Open Sans" w:eastAsia="NSimSun" w:hAnsi="Open Sans" w:cs="Open Sans"/>
          <w:color w:val="000000"/>
          <w:kern w:val="3"/>
          <w:sz w:val="20"/>
          <w:szCs w:val="20"/>
          <w:lang w:eastAsia="zh-CN" w:bidi="hi-IN"/>
        </w:rPr>
        <w:t>Presentar la Memoria en plazo y forma, teniendo en cuenta que se trata de una labor en la que participan todas las áreas, es la mejor expresión de que la Administración puede funcionar incluso en condiciones tan adversas como las que estamos viviendo de confinamiento y trabajo telemático gracias a la instauración de sistemas de administración electrónica. Este ha sido uno de los objetivos desde el origen de la Agencia, diseñar los puestos de trabajo para que su personal funcionario pudiese prestar servicio desde cualquier punto de nuestra geografía.</w:t>
      </w:r>
    </w:p>
    <w:p w14:paraId="4ED484B8" w14:textId="77777777" w:rsidR="006B23D2" w:rsidRPr="00A07BE9" w:rsidRDefault="006B23D2" w:rsidP="006B23D2">
      <w:pPr>
        <w:suppressAutoHyphens/>
        <w:autoSpaceDN w:val="0"/>
        <w:spacing w:after="0" w:line="276" w:lineRule="auto"/>
        <w:jc w:val="both"/>
        <w:textAlignment w:val="baseline"/>
        <w:rPr>
          <w:rFonts w:ascii="Open Sans" w:eastAsia="NSimSun" w:hAnsi="Open Sans" w:cs="Open Sans"/>
          <w:color w:val="000000"/>
          <w:kern w:val="3"/>
          <w:sz w:val="20"/>
          <w:szCs w:val="20"/>
          <w:lang w:eastAsia="zh-CN" w:bidi="hi-IN"/>
        </w:rPr>
      </w:pPr>
    </w:p>
    <w:p w14:paraId="3D8D1E00" w14:textId="5F8F081A" w:rsidR="006B23D2" w:rsidRPr="00A07BE9" w:rsidRDefault="006B23D2" w:rsidP="006B23D2">
      <w:pPr>
        <w:suppressAutoHyphens/>
        <w:autoSpaceDN w:val="0"/>
        <w:spacing w:after="0" w:line="276" w:lineRule="auto"/>
        <w:jc w:val="both"/>
        <w:textAlignment w:val="baseline"/>
        <w:rPr>
          <w:rFonts w:ascii="Open Sans" w:eastAsia="NSimSun" w:hAnsi="Open Sans" w:cs="Open Sans"/>
          <w:color w:val="000000"/>
          <w:kern w:val="3"/>
          <w:sz w:val="20"/>
          <w:szCs w:val="20"/>
          <w:lang w:eastAsia="zh-CN" w:bidi="hi-IN"/>
        </w:rPr>
      </w:pPr>
      <w:r w:rsidRPr="00A07BE9">
        <w:rPr>
          <w:rFonts w:ascii="Open Sans" w:eastAsia="NSimSun" w:hAnsi="Open Sans" w:cs="Open Sans"/>
          <w:color w:val="000000"/>
          <w:kern w:val="3"/>
          <w:sz w:val="20"/>
          <w:szCs w:val="20"/>
          <w:lang w:eastAsia="zh-CN" w:bidi="hi-IN"/>
        </w:rPr>
        <w:t>Esta es, pues, la Memoria correspondiente al tercer año de funcionamiento de la Agencia, el segundo si nos referimos a ejercicios completos, y recoge sucintamente algunas de las conclusiones de las investigaciones ya concluidas, así como las circunstancias singulares atendiendo a la complejidad del ensamblaje institucional como órgano de nueva planta de control externo (OCEX) de las Administraciones Públicas valencianas y sus sectores empresariales, fundacionales e institucionales. Complejidad que es extensible a la laboriosidad innovadora con la que se han ido construyendo los procedimientos internos y la arquitectura jurídico-organizativa de la entidad, cuyo exponente destacable de 2019 ha sido la aprobación y publicación del Reglamento de funcionamiento y régimen interior de la Agencia, el cual se adjunta como anexo de esta Memoria.</w:t>
      </w:r>
    </w:p>
    <w:p w14:paraId="0D36BF6A" w14:textId="77777777" w:rsidR="00200805" w:rsidRPr="00A07BE9" w:rsidRDefault="00200805" w:rsidP="006B23D2">
      <w:pPr>
        <w:suppressAutoHyphens/>
        <w:autoSpaceDN w:val="0"/>
        <w:spacing w:after="0" w:line="276" w:lineRule="auto"/>
        <w:jc w:val="both"/>
        <w:textAlignment w:val="baseline"/>
        <w:rPr>
          <w:rFonts w:ascii="Open Sans" w:eastAsia="NSimSun" w:hAnsi="Open Sans" w:cs="Open Sans"/>
          <w:color w:val="000000"/>
          <w:kern w:val="3"/>
          <w:sz w:val="20"/>
          <w:szCs w:val="20"/>
          <w:lang w:eastAsia="zh-CN" w:bidi="hi-IN"/>
        </w:rPr>
      </w:pPr>
    </w:p>
    <w:p w14:paraId="397F699E" w14:textId="085A038D" w:rsidR="006B23D2" w:rsidRPr="00A07BE9" w:rsidRDefault="006B23D2" w:rsidP="006B23D2">
      <w:pPr>
        <w:suppressAutoHyphens/>
        <w:autoSpaceDN w:val="0"/>
        <w:spacing w:after="0" w:line="276" w:lineRule="auto"/>
        <w:jc w:val="both"/>
        <w:textAlignment w:val="baseline"/>
        <w:rPr>
          <w:rFonts w:ascii="Open Sans" w:eastAsia="NSimSun" w:hAnsi="Open Sans" w:cs="Open Sans"/>
          <w:kern w:val="3"/>
          <w:lang w:val="en-GB" w:eastAsia="zh-CN" w:bidi="hi-IN"/>
        </w:rPr>
      </w:pPr>
      <w:r w:rsidRPr="00A07BE9">
        <w:rPr>
          <w:rFonts w:ascii="Open Sans" w:eastAsia="NSimSun" w:hAnsi="Open Sans" w:cs="Open Sans"/>
          <w:color w:val="000000"/>
          <w:kern w:val="3"/>
          <w:sz w:val="20"/>
          <w:szCs w:val="20"/>
          <w:lang w:eastAsia="zh-CN" w:bidi="hi-IN"/>
        </w:rPr>
        <w:t>En el ámbito del armazón jurídico para la protección de las personas que alertan, informan o denuncian hechos y conductas relacionadas con el fraude y la corrupción, es importante destacar que el 26 de noviembre de 2019 el Diario Oficial de la Unión Europea publicó la Directiva (UE) 2019/1937 del Parlamento Europeo y del Consejo, de 23 de octubre de 2019, relativa a la protección de las personas que informen sobre infracciones del Derecho de la Unión, cuyo primer considerando dice:</w:t>
      </w:r>
    </w:p>
    <w:p w14:paraId="6803AA10" w14:textId="77777777" w:rsidR="006B23D2" w:rsidRPr="00A07BE9" w:rsidRDefault="006B23D2" w:rsidP="006B23D2">
      <w:pPr>
        <w:suppressAutoHyphens/>
        <w:autoSpaceDN w:val="0"/>
        <w:spacing w:after="0" w:line="276" w:lineRule="auto"/>
        <w:jc w:val="both"/>
        <w:textAlignment w:val="baseline"/>
        <w:rPr>
          <w:rFonts w:ascii="Open Sans" w:eastAsia="NSimSun" w:hAnsi="Open Sans" w:cs="Open Sans"/>
          <w:kern w:val="3"/>
          <w:lang w:val="en-GB" w:eastAsia="zh-CN" w:bidi="hi-IN"/>
        </w:rPr>
      </w:pPr>
      <w:r w:rsidRPr="00A07BE9">
        <w:rPr>
          <w:rFonts w:ascii="Open Sans" w:eastAsia="NSimSun" w:hAnsi="Open Sans" w:cs="Open Sans"/>
          <w:kern w:val="3"/>
          <w:sz w:val="20"/>
          <w:szCs w:val="20"/>
          <w:lang w:eastAsia="zh-CN" w:bidi="hi-IN"/>
        </w:rPr>
        <w:lastRenderedPageBreak/>
        <w:t>“Las personas que trabajan para una organización pública o privada o están en contacto con ella en el contexto de sus actividades laborales son a menudo las primeras en tener conocimiento de amenazas o perjuicios para el interés público que surgen en ese contexto. Al informar sobre infracciones del Derecho de la Unión que son perjudiciales para el interés público, dichas personas actúan como denunciantes (en inglés conocidas coloquialmente por whistleblowers) y por ello desempeñan un papel clave a la hora de descubrir y prevenir esas infracciones y de proteger el bienestar de la sociedad. Sin embargo, los denunciantes potenciales suelen renunciar a informar sobre sus preocupaciones o sospechas por temor a represalias. En este contexto, es cada vez mayor el reconocimiento, a escala tanto de la Unión como internacional, de la importancia de prestar una protección equilibrada y efectiva a los denunciantes.”</w:t>
      </w:r>
    </w:p>
    <w:p w14:paraId="6FA01594" w14:textId="77777777" w:rsidR="006B23D2" w:rsidRPr="00A07BE9" w:rsidRDefault="006B23D2" w:rsidP="006B23D2">
      <w:pPr>
        <w:suppressAutoHyphens/>
        <w:autoSpaceDN w:val="0"/>
        <w:spacing w:after="0" w:line="276" w:lineRule="auto"/>
        <w:jc w:val="both"/>
        <w:textAlignment w:val="baseline"/>
        <w:rPr>
          <w:rFonts w:ascii="Open Sans" w:eastAsia="NSimSun" w:hAnsi="Open Sans" w:cs="Open Sans"/>
          <w:color w:val="000000"/>
          <w:kern w:val="3"/>
          <w:sz w:val="20"/>
          <w:szCs w:val="20"/>
          <w:lang w:eastAsia="zh-CN" w:bidi="hi-IN"/>
        </w:rPr>
      </w:pPr>
    </w:p>
    <w:p w14:paraId="6B68D2F0" w14:textId="05CCC7F1" w:rsidR="006B23D2" w:rsidRPr="00A07BE9" w:rsidRDefault="006B23D2" w:rsidP="006B23D2">
      <w:pPr>
        <w:suppressAutoHyphens/>
        <w:autoSpaceDN w:val="0"/>
        <w:spacing w:after="0" w:line="276" w:lineRule="auto"/>
        <w:jc w:val="both"/>
        <w:textAlignment w:val="baseline"/>
        <w:rPr>
          <w:rFonts w:ascii="Open Sans" w:eastAsia="NSimSun" w:hAnsi="Open Sans" w:cs="Open Sans"/>
          <w:kern w:val="3"/>
          <w:lang w:val="en-GB" w:eastAsia="zh-CN" w:bidi="hi-IN"/>
        </w:rPr>
      </w:pPr>
      <w:r w:rsidRPr="00A07BE9">
        <w:rPr>
          <w:rFonts w:ascii="Open Sans" w:eastAsia="NSimSun" w:hAnsi="Open Sans" w:cs="Open Sans"/>
          <w:color w:val="000000"/>
          <w:kern w:val="3"/>
          <w:sz w:val="20"/>
          <w:szCs w:val="20"/>
          <w:lang w:eastAsia="zh-CN" w:bidi="hi-IN"/>
        </w:rPr>
        <w:t>Esta Directiva</w:t>
      </w:r>
      <w:r w:rsidR="00CC0315" w:rsidRPr="00A07BE9">
        <w:rPr>
          <w:rFonts w:ascii="Open Sans" w:eastAsia="NSimSun" w:hAnsi="Open Sans" w:cs="Open Sans"/>
          <w:color w:val="000000"/>
          <w:kern w:val="3"/>
          <w:sz w:val="20"/>
          <w:szCs w:val="20"/>
          <w:lang w:eastAsia="zh-CN" w:bidi="hi-IN"/>
        </w:rPr>
        <w:t>,</w:t>
      </w:r>
      <w:r w:rsidRPr="00A07BE9">
        <w:rPr>
          <w:rFonts w:ascii="Open Sans" w:eastAsia="NSimSun" w:hAnsi="Open Sans" w:cs="Open Sans"/>
          <w:color w:val="000000"/>
          <w:kern w:val="3"/>
          <w:sz w:val="20"/>
          <w:szCs w:val="20"/>
          <w:lang w:eastAsia="zh-CN" w:bidi="hi-IN"/>
        </w:rPr>
        <w:t xml:space="preserve"> cuyo texto se adjunta, viene a reforzar extraordinariamente nuestra Ley 11/2016 y su Reglamento y, en consecuencia, se fortalece la misión de la Agencia en cuanto a autoridad responsable de aplicar el </w:t>
      </w:r>
      <w:r w:rsidRPr="00A07BE9">
        <w:rPr>
          <w:rFonts w:ascii="Open Sans" w:eastAsia="NSimSun" w:hAnsi="Open Sans" w:cs="Open Sans"/>
          <w:iCs/>
          <w:color w:val="000000"/>
          <w:kern w:val="3"/>
          <w:sz w:val="20"/>
          <w:szCs w:val="20"/>
          <w:lang w:eastAsia="zh-CN" w:bidi="hi-IN"/>
        </w:rPr>
        <w:t>Estatuto de persona denunciante</w:t>
      </w:r>
      <w:r w:rsidRPr="00A07BE9">
        <w:rPr>
          <w:rFonts w:ascii="Open Sans" w:eastAsia="NSimSun" w:hAnsi="Open Sans" w:cs="Open Sans"/>
          <w:color w:val="000000"/>
          <w:kern w:val="3"/>
          <w:sz w:val="20"/>
          <w:szCs w:val="20"/>
          <w:lang w:eastAsia="zh-CN" w:bidi="hi-IN"/>
        </w:rPr>
        <w:t xml:space="preserve">. Y también se consagra el establecimiento de canales de denuncia internos y externos, confidenciales y anónimos, exactamente como el que ya funciona en la Agencia desde que se puso a disposición de la ciudadanía en 2018. La Directiva obliga al Estado español a legislar su transposición en el plazo de dos años y no solo afectará a todas las Administraciones Públicas y sus sectores instrumentales, sino también a amplios sectores empresariales y financieros. Para avanzar en esta transposición, la </w:t>
      </w:r>
      <w:r w:rsidR="003530AE">
        <w:rPr>
          <w:rFonts w:ascii="Open Sans" w:eastAsia="NSimSun" w:hAnsi="Open Sans" w:cs="Open Sans"/>
          <w:color w:val="000000"/>
          <w:kern w:val="3"/>
          <w:sz w:val="20"/>
          <w:szCs w:val="20"/>
          <w:lang w:eastAsia="zh-CN" w:bidi="hi-IN"/>
        </w:rPr>
        <w:t>P</w:t>
      </w:r>
      <w:r w:rsidRPr="00A07BE9">
        <w:rPr>
          <w:rFonts w:ascii="Open Sans" w:eastAsia="NSimSun" w:hAnsi="Open Sans" w:cs="Open Sans"/>
          <w:color w:val="000000"/>
          <w:kern w:val="3"/>
          <w:sz w:val="20"/>
          <w:szCs w:val="20"/>
          <w:lang w:eastAsia="zh-CN" w:bidi="hi-IN"/>
        </w:rPr>
        <w:t>residencia de la Comisión del Congreso de los Diputados de Auditoria de la Calidad Democrática, Lucha Anticorrupción y Reformas Institucionales y Legales, ha solicitado la colaboración de la Agencia.</w:t>
      </w:r>
    </w:p>
    <w:p w14:paraId="2F712AEA" w14:textId="77777777" w:rsidR="006B23D2" w:rsidRPr="00A07BE9" w:rsidRDefault="006B23D2" w:rsidP="006B23D2">
      <w:pPr>
        <w:suppressAutoHyphens/>
        <w:autoSpaceDN w:val="0"/>
        <w:spacing w:after="0" w:line="276" w:lineRule="auto"/>
        <w:jc w:val="both"/>
        <w:textAlignment w:val="baseline"/>
        <w:rPr>
          <w:rFonts w:ascii="Open Sans" w:eastAsia="NSimSun" w:hAnsi="Open Sans" w:cs="Open Sans"/>
          <w:color w:val="000000"/>
          <w:kern w:val="3"/>
          <w:sz w:val="20"/>
          <w:szCs w:val="20"/>
          <w:lang w:eastAsia="zh-CN" w:bidi="hi-IN"/>
        </w:rPr>
      </w:pPr>
    </w:p>
    <w:p w14:paraId="238811E0" w14:textId="77777777" w:rsidR="006B23D2" w:rsidRPr="00A07BE9" w:rsidRDefault="006B23D2" w:rsidP="006B23D2">
      <w:pPr>
        <w:suppressAutoHyphens/>
        <w:autoSpaceDN w:val="0"/>
        <w:spacing w:after="0" w:line="276" w:lineRule="auto"/>
        <w:jc w:val="both"/>
        <w:textAlignment w:val="baseline"/>
        <w:rPr>
          <w:rFonts w:ascii="Open Sans" w:eastAsia="NSimSun" w:hAnsi="Open Sans" w:cs="Open Sans"/>
          <w:color w:val="000000"/>
          <w:kern w:val="3"/>
          <w:sz w:val="20"/>
          <w:szCs w:val="20"/>
          <w:lang w:eastAsia="zh-CN" w:bidi="hi-IN"/>
        </w:rPr>
      </w:pPr>
      <w:r w:rsidRPr="00A07BE9">
        <w:rPr>
          <w:rFonts w:ascii="Open Sans" w:eastAsia="NSimSun" w:hAnsi="Open Sans" w:cs="Open Sans"/>
          <w:color w:val="000000"/>
          <w:kern w:val="3"/>
          <w:sz w:val="20"/>
          <w:szCs w:val="20"/>
          <w:lang w:eastAsia="zh-CN" w:bidi="hi-IN"/>
        </w:rPr>
        <w:t>La presente Memoria también describe la puesta en marcha durante 2019 de programas formativos dirigidos tanto a personal funcionario, en colaboración con el IVAP, como a estudiantes de grado y postgrado en colaboración con las universidades valencianas. También la realización de acciones formativas dirigidas a cargos electos tendentes a prevenir malas prácticas y promover la ética pública.</w:t>
      </w:r>
    </w:p>
    <w:p w14:paraId="36228110" w14:textId="77777777" w:rsidR="006B23D2" w:rsidRPr="00A07BE9" w:rsidRDefault="006B23D2" w:rsidP="006B23D2">
      <w:pPr>
        <w:suppressAutoHyphens/>
        <w:autoSpaceDN w:val="0"/>
        <w:spacing w:after="0" w:line="276" w:lineRule="auto"/>
        <w:jc w:val="both"/>
        <w:textAlignment w:val="baseline"/>
        <w:rPr>
          <w:rFonts w:ascii="Open Sans" w:eastAsia="NSimSun" w:hAnsi="Open Sans" w:cs="Open Sans"/>
          <w:color w:val="000000"/>
          <w:kern w:val="3"/>
          <w:sz w:val="20"/>
          <w:szCs w:val="20"/>
          <w:lang w:eastAsia="zh-CN" w:bidi="hi-IN"/>
        </w:rPr>
      </w:pPr>
    </w:p>
    <w:p w14:paraId="64BE0F9D" w14:textId="77777777" w:rsidR="006B23D2" w:rsidRPr="00A07BE9" w:rsidRDefault="006B23D2" w:rsidP="006B23D2">
      <w:pPr>
        <w:suppressAutoHyphens/>
        <w:autoSpaceDN w:val="0"/>
        <w:spacing w:after="0" w:line="276" w:lineRule="auto"/>
        <w:jc w:val="both"/>
        <w:textAlignment w:val="baseline"/>
        <w:rPr>
          <w:rFonts w:ascii="Open Sans" w:eastAsia="NSimSun" w:hAnsi="Open Sans" w:cs="Open Sans"/>
          <w:kern w:val="3"/>
          <w:lang w:val="en-GB" w:eastAsia="zh-CN" w:bidi="hi-IN"/>
        </w:rPr>
      </w:pPr>
      <w:r w:rsidRPr="00A07BE9">
        <w:rPr>
          <w:rFonts w:ascii="Open Sans" w:eastAsia="NSimSun" w:hAnsi="Open Sans" w:cs="Open Sans"/>
          <w:color w:val="000000"/>
          <w:kern w:val="3"/>
          <w:sz w:val="20"/>
          <w:szCs w:val="20"/>
          <w:lang w:eastAsia="zh-CN" w:bidi="hi-IN"/>
        </w:rPr>
        <w:t xml:space="preserve">La Agencia se ha coordinado en 2019 por primera vez, con la Administración General del Estado a través de la Oficina Independiente de Regulación y Control de la Contratación Pública adscrita al Ministerio de Hacienda, y con el Servicio de Coordinación de Lucha Antifraude dependiente de la Intervención General del Estado, que es el órgano estatal de colaboración con la OLAF. Además, se han incrementado los contactos con las Agencias Antifraude europeas a través de la EPAC, </w:t>
      </w:r>
      <w:r w:rsidRPr="00A07BE9">
        <w:rPr>
          <w:rFonts w:ascii="Open Sans" w:eastAsia="NSimSun" w:hAnsi="Open Sans" w:cs="Open Sans"/>
          <w:iCs/>
          <w:color w:val="000000"/>
          <w:kern w:val="3"/>
          <w:sz w:val="20"/>
          <w:szCs w:val="20"/>
          <w:lang w:eastAsia="zh-CN" w:bidi="hi-IN"/>
        </w:rPr>
        <w:t>European Partners Against Corruption,</w:t>
      </w:r>
      <w:r w:rsidRPr="00A07BE9">
        <w:rPr>
          <w:rFonts w:ascii="Open Sans" w:eastAsia="NSimSun" w:hAnsi="Open Sans" w:cs="Open Sans"/>
          <w:color w:val="000000"/>
          <w:kern w:val="3"/>
          <w:sz w:val="20"/>
          <w:szCs w:val="20"/>
          <w:lang w:eastAsia="zh-CN" w:bidi="hi-IN"/>
        </w:rPr>
        <w:t xml:space="preserve"> participando en sus grupos de trabajo.</w:t>
      </w:r>
    </w:p>
    <w:p w14:paraId="6A69DAD7" w14:textId="77777777" w:rsidR="006B23D2" w:rsidRPr="00A07BE9" w:rsidRDefault="006B23D2" w:rsidP="006B23D2">
      <w:pPr>
        <w:suppressAutoHyphens/>
        <w:autoSpaceDN w:val="0"/>
        <w:spacing w:after="0" w:line="276" w:lineRule="auto"/>
        <w:jc w:val="both"/>
        <w:textAlignment w:val="baseline"/>
        <w:rPr>
          <w:rFonts w:ascii="Open Sans" w:eastAsia="NSimSun" w:hAnsi="Open Sans" w:cs="Open Sans"/>
          <w:color w:val="000000"/>
          <w:kern w:val="3"/>
          <w:sz w:val="20"/>
          <w:szCs w:val="20"/>
          <w:lang w:eastAsia="zh-CN" w:bidi="hi-IN"/>
        </w:rPr>
      </w:pPr>
    </w:p>
    <w:p w14:paraId="080CBF96" w14:textId="26DA14E1" w:rsidR="006B23D2" w:rsidRPr="00A07BE9" w:rsidRDefault="006B23D2" w:rsidP="006B23D2">
      <w:pPr>
        <w:suppressAutoHyphens/>
        <w:autoSpaceDN w:val="0"/>
        <w:spacing w:after="0" w:line="276" w:lineRule="auto"/>
        <w:jc w:val="both"/>
        <w:textAlignment w:val="baseline"/>
        <w:rPr>
          <w:rFonts w:ascii="Open Sans" w:eastAsia="NSimSun" w:hAnsi="Open Sans" w:cs="Open Sans"/>
          <w:color w:val="000000"/>
          <w:kern w:val="3"/>
          <w:sz w:val="20"/>
          <w:szCs w:val="20"/>
          <w:lang w:eastAsia="zh-CN" w:bidi="hi-IN"/>
        </w:rPr>
      </w:pPr>
      <w:r w:rsidRPr="00A07BE9">
        <w:rPr>
          <w:rFonts w:ascii="Open Sans" w:eastAsia="NSimSun" w:hAnsi="Open Sans" w:cs="Open Sans"/>
          <w:color w:val="000000"/>
          <w:kern w:val="3"/>
          <w:sz w:val="20"/>
          <w:szCs w:val="20"/>
          <w:lang w:eastAsia="zh-CN" w:bidi="hi-IN"/>
        </w:rPr>
        <w:t>Por primera vez también, en el contexto de casos de corrupción que se están instruyendo o investigando por la autoridad judicial, el personal de la Agencia ha llevado a cabo informes periciales a petición de Juzgados de Instrucción. Asimismo, se ha mantenido la estrecha colaboración con la Fiscalía Anticorrupción y los Cuerpos de Seguridad del Estado, aportando conocimientos especializados en materia de gestión y procedimientos económico-administrativos.</w:t>
      </w:r>
    </w:p>
    <w:p w14:paraId="6C1E81FB" w14:textId="77777777" w:rsidR="006B23D2" w:rsidRPr="00A07BE9" w:rsidRDefault="006B23D2" w:rsidP="006B23D2">
      <w:pPr>
        <w:suppressAutoHyphens/>
        <w:autoSpaceDN w:val="0"/>
        <w:spacing w:after="0" w:line="276" w:lineRule="auto"/>
        <w:jc w:val="both"/>
        <w:textAlignment w:val="baseline"/>
        <w:rPr>
          <w:rFonts w:ascii="Open Sans" w:eastAsia="NSimSun" w:hAnsi="Open Sans" w:cs="Open Sans"/>
          <w:color w:val="000000"/>
          <w:kern w:val="3"/>
          <w:sz w:val="20"/>
          <w:szCs w:val="20"/>
          <w:lang w:eastAsia="zh-CN" w:bidi="hi-IN"/>
        </w:rPr>
      </w:pPr>
      <w:r w:rsidRPr="00A07BE9">
        <w:rPr>
          <w:rFonts w:ascii="Open Sans" w:eastAsia="NSimSun" w:hAnsi="Open Sans" w:cs="Open Sans"/>
          <w:color w:val="000000"/>
          <w:kern w:val="3"/>
          <w:sz w:val="20"/>
          <w:szCs w:val="20"/>
          <w:lang w:eastAsia="zh-CN" w:bidi="hi-IN"/>
        </w:rPr>
        <w:lastRenderedPageBreak/>
        <w:t>Durante el pasado ejercicio se constituyó, como órgano propio de la Agencia, el Consejo de Participación, constituido por prestigiosas organizaciones cívicas y personalidades destacadas en la lucha contra la corrupción, por la transparencia y por la defensa de la ética pública, dando cumplimiento de esta forma al mandato de la Ley 11/2016 en cuanto a que la Agencia debe:</w:t>
      </w:r>
    </w:p>
    <w:p w14:paraId="696D65A1" w14:textId="77777777" w:rsidR="006B23D2" w:rsidRPr="00A07BE9" w:rsidRDefault="006B23D2" w:rsidP="006B23D2">
      <w:pPr>
        <w:suppressAutoHyphens/>
        <w:autoSpaceDN w:val="0"/>
        <w:spacing w:after="0" w:line="276" w:lineRule="auto"/>
        <w:jc w:val="both"/>
        <w:textAlignment w:val="baseline"/>
        <w:rPr>
          <w:rFonts w:ascii="Open Sans" w:eastAsia="NSimSun" w:hAnsi="Open Sans" w:cs="Open Sans"/>
          <w:color w:val="000000"/>
          <w:kern w:val="3"/>
          <w:sz w:val="20"/>
          <w:szCs w:val="20"/>
          <w:lang w:eastAsia="zh-CN" w:bidi="hi-IN"/>
        </w:rPr>
      </w:pPr>
    </w:p>
    <w:p w14:paraId="24E0BD9D" w14:textId="77777777" w:rsidR="006B23D2" w:rsidRPr="00A07BE9" w:rsidRDefault="006B23D2" w:rsidP="006B23D2">
      <w:pPr>
        <w:numPr>
          <w:ilvl w:val="0"/>
          <w:numId w:val="47"/>
        </w:numPr>
        <w:suppressAutoHyphens/>
        <w:autoSpaceDN w:val="0"/>
        <w:spacing w:after="0" w:line="276" w:lineRule="auto"/>
        <w:jc w:val="both"/>
        <w:textAlignment w:val="baseline"/>
        <w:rPr>
          <w:rFonts w:ascii="Open Sans" w:eastAsia="NSimSun" w:hAnsi="Open Sans" w:cs="Open Sans"/>
          <w:color w:val="000000"/>
          <w:kern w:val="3"/>
          <w:sz w:val="20"/>
          <w:szCs w:val="20"/>
          <w:lang w:eastAsia="zh-CN" w:bidi="hi-IN"/>
        </w:rPr>
      </w:pPr>
      <w:r w:rsidRPr="00A07BE9">
        <w:rPr>
          <w:rFonts w:ascii="Open Sans" w:eastAsia="NSimSun" w:hAnsi="Open Sans" w:cs="Open Sans"/>
          <w:color w:val="000000"/>
          <w:kern w:val="3"/>
          <w:sz w:val="20"/>
          <w:szCs w:val="20"/>
          <w:lang w:eastAsia="zh-CN" w:bidi="hi-IN"/>
        </w:rPr>
        <w:t xml:space="preserve">Promover espacios de encuentro e intercambio con la sociedad civil para recoger sus aportaciones (artículo 4, letra </w:t>
      </w:r>
      <w:r w:rsidRPr="00A07BE9">
        <w:rPr>
          <w:rFonts w:ascii="Open Sans" w:eastAsia="NSimSun" w:hAnsi="Open Sans" w:cs="Open Sans"/>
          <w:iCs/>
          <w:color w:val="000000"/>
          <w:kern w:val="3"/>
          <w:sz w:val="20"/>
          <w:szCs w:val="20"/>
          <w:lang w:eastAsia="zh-CN" w:bidi="hi-IN"/>
        </w:rPr>
        <w:t>n</w:t>
      </w:r>
      <w:r w:rsidRPr="00A07BE9">
        <w:rPr>
          <w:rFonts w:ascii="Open Sans" w:eastAsia="NSimSun" w:hAnsi="Open Sans" w:cs="Open Sans"/>
          <w:color w:val="000000"/>
          <w:kern w:val="3"/>
          <w:sz w:val="20"/>
          <w:szCs w:val="20"/>
          <w:lang w:eastAsia="zh-CN" w:bidi="hi-IN"/>
        </w:rPr>
        <w:t>).</w:t>
      </w:r>
    </w:p>
    <w:p w14:paraId="5CD6E7A1" w14:textId="77777777" w:rsidR="006B23D2" w:rsidRPr="00A07BE9" w:rsidRDefault="006B23D2" w:rsidP="006B23D2">
      <w:pPr>
        <w:numPr>
          <w:ilvl w:val="0"/>
          <w:numId w:val="47"/>
        </w:numPr>
        <w:suppressAutoHyphens/>
        <w:autoSpaceDN w:val="0"/>
        <w:spacing w:after="0" w:line="276" w:lineRule="auto"/>
        <w:jc w:val="both"/>
        <w:textAlignment w:val="baseline"/>
        <w:rPr>
          <w:rFonts w:ascii="Open Sans" w:eastAsia="NSimSun" w:hAnsi="Open Sans" w:cs="Open Sans"/>
          <w:color w:val="000000"/>
          <w:kern w:val="3"/>
          <w:sz w:val="20"/>
          <w:szCs w:val="20"/>
          <w:lang w:eastAsia="zh-CN" w:bidi="hi-IN"/>
        </w:rPr>
      </w:pPr>
      <w:r w:rsidRPr="00A07BE9">
        <w:rPr>
          <w:rFonts w:ascii="Open Sans" w:eastAsia="NSimSun" w:hAnsi="Open Sans" w:cs="Open Sans"/>
          <w:color w:val="000000"/>
          <w:kern w:val="3"/>
          <w:sz w:val="20"/>
          <w:szCs w:val="20"/>
          <w:lang w:eastAsia="zh-CN" w:bidi="hi-IN"/>
        </w:rPr>
        <w:t>Y rendir cuentas a la ciudadanía de su gestión en el ámbito de la prevención, investigación y evaluación de políticas y prácticas relativas al fraude y la corrupción existente en las administraciones públicas valencianas y su sector público instrumental, sirviéndose de cuantos medios puedan ser suficientes para que la ciudadanía pueda estar debidamente informada (artículo 25).</w:t>
      </w:r>
    </w:p>
    <w:p w14:paraId="3B810326" w14:textId="77777777" w:rsidR="006B23D2" w:rsidRPr="00A07BE9" w:rsidRDefault="006B23D2" w:rsidP="006B23D2">
      <w:pPr>
        <w:suppressAutoHyphens/>
        <w:autoSpaceDN w:val="0"/>
        <w:spacing w:after="0" w:line="276" w:lineRule="auto"/>
        <w:jc w:val="both"/>
        <w:textAlignment w:val="baseline"/>
        <w:rPr>
          <w:rFonts w:ascii="Open Sans" w:eastAsia="NSimSun" w:hAnsi="Open Sans" w:cs="Open Sans"/>
          <w:color w:val="000000"/>
          <w:kern w:val="3"/>
          <w:sz w:val="20"/>
          <w:szCs w:val="20"/>
          <w:lang w:eastAsia="zh-CN" w:bidi="hi-IN"/>
        </w:rPr>
      </w:pPr>
    </w:p>
    <w:p w14:paraId="5F62A5B7" w14:textId="77777777" w:rsidR="006B23D2" w:rsidRPr="00A07BE9" w:rsidRDefault="006B23D2" w:rsidP="006B23D2">
      <w:pPr>
        <w:suppressAutoHyphens/>
        <w:autoSpaceDN w:val="0"/>
        <w:spacing w:after="0" w:line="276" w:lineRule="auto"/>
        <w:jc w:val="both"/>
        <w:textAlignment w:val="baseline"/>
        <w:rPr>
          <w:rFonts w:ascii="Open Sans" w:eastAsia="NSimSun" w:hAnsi="Open Sans" w:cs="Open Sans"/>
          <w:color w:val="000000"/>
          <w:kern w:val="3"/>
          <w:sz w:val="20"/>
          <w:szCs w:val="20"/>
          <w:lang w:eastAsia="zh-CN" w:bidi="hi-IN"/>
        </w:rPr>
      </w:pPr>
      <w:r w:rsidRPr="00A07BE9">
        <w:rPr>
          <w:rFonts w:ascii="Open Sans" w:eastAsia="NSimSun" w:hAnsi="Open Sans" w:cs="Open Sans"/>
          <w:color w:val="000000"/>
          <w:kern w:val="3"/>
          <w:sz w:val="20"/>
          <w:szCs w:val="20"/>
          <w:lang w:eastAsia="zh-CN" w:bidi="hi-IN"/>
        </w:rPr>
        <w:t>Y por último, destacar que en las últimas encuestas del CIS la percepción de los valencianos de la corrupción se ha desplomado hasta diez puntos por debajo de la media española y mucho más por debajo de la que recogían estudios anteriores a 2016. Es un importante indicador que muestra que se está avanzando en la recuperación de la confianza ciudadana en las administraciones públicas y sus representantes, contribuyendo a la reducción de la hipoteca reputacional que tanto desprestigio y daños ha supuesto para las instituciones valencianas. No obstante, la corrupción es un riesgo perenne que hay que afrontar desde un cambio cultural y sociológico basado en la aplicación de estrategias preventivas que impliquen reforzar la conciencia cívica por una ética pública que contribuya a recuperar la confianza ciudadana en las administraciones y en sus responsables públicos.</w:t>
      </w:r>
    </w:p>
    <w:p w14:paraId="667C404F" w14:textId="77777777" w:rsidR="006B23D2" w:rsidRPr="00A07BE9" w:rsidRDefault="006B23D2" w:rsidP="006B23D2">
      <w:pPr>
        <w:suppressAutoHyphens/>
        <w:autoSpaceDN w:val="0"/>
        <w:spacing w:after="0" w:line="276" w:lineRule="auto"/>
        <w:jc w:val="both"/>
        <w:textAlignment w:val="baseline"/>
        <w:rPr>
          <w:rFonts w:ascii="Open Sans" w:eastAsia="NSimSun" w:hAnsi="Open Sans" w:cs="Open Sans"/>
          <w:color w:val="000000"/>
          <w:kern w:val="3"/>
          <w:sz w:val="20"/>
          <w:szCs w:val="20"/>
          <w:lang w:eastAsia="zh-CN" w:bidi="hi-IN"/>
        </w:rPr>
      </w:pPr>
    </w:p>
    <w:p w14:paraId="47BC06F1" w14:textId="77777777" w:rsidR="006B23D2" w:rsidRPr="00A07BE9" w:rsidRDefault="006B23D2" w:rsidP="006B23D2">
      <w:pPr>
        <w:suppressAutoHyphens/>
        <w:autoSpaceDN w:val="0"/>
        <w:spacing w:after="0" w:line="276" w:lineRule="auto"/>
        <w:jc w:val="both"/>
        <w:textAlignment w:val="baseline"/>
        <w:rPr>
          <w:rFonts w:ascii="Open Sans" w:eastAsia="NSimSun" w:hAnsi="Open Sans" w:cs="Open Sans"/>
          <w:color w:val="000000"/>
          <w:kern w:val="3"/>
          <w:sz w:val="20"/>
          <w:szCs w:val="20"/>
          <w:lang w:eastAsia="zh-CN" w:bidi="hi-IN"/>
        </w:rPr>
      </w:pPr>
      <w:r w:rsidRPr="00A07BE9">
        <w:rPr>
          <w:rFonts w:ascii="Open Sans" w:eastAsia="NSimSun" w:hAnsi="Open Sans" w:cs="Open Sans"/>
          <w:color w:val="000000"/>
          <w:kern w:val="3"/>
          <w:sz w:val="20"/>
          <w:szCs w:val="20"/>
          <w:lang w:eastAsia="zh-CN" w:bidi="hi-IN"/>
        </w:rPr>
        <w:t>Estos son los retos en los que nos reafirmamos desde la objetividad, el rigor, la imparcialidad, la prudencia, la lealtad institucional y el respeto al derecho y la seguridad jurídica.</w:t>
      </w:r>
    </w:p>
    <w:p w14:paraId="13632924" w14:textId="77777777" w:rsidR="006B23D2" w:rsidRPr="00A07BE9" w:rsidRDefault="006B23D2" w:rsidP="006B23D2">
      <w:pPr>
        <w:suppressAutoHyphens/>
        <w:autoSpaceDN w:val="0"/>
        <w:spacing w:after="0" w:line="276" w:lineRule="auto"/>
        <w:jc w:val="both"/>
        <w:textAlignment w:val="baseline"/>
        <w:rPr>
          <w:rFonts w:ascii="Open Sans" w:eastAsia="NSimSun" w:hAnsi="Open Sans" w:cs="Open Sans"/>
          <w:color w:val="000000"/>
          <w:kern w:val="3"/>
          <w:sz w:val="20"/>
          <w:szCs w:val="20"/>
          <w:lang w:eastAsia="zh-CN" w:bidi="hi-IN"/>
        </w:rPr>
      </w:pPr>
    </w:p>
    <w:p w14:paraId="5E2DF888" w14:textId="2A5F422A" w:rsidR="006B23D2" w:rsidRPr="00A07BE9" w:rsidRDefault="006B23D2" w:rsidP="006B23D2">
      <w:pPr>
        <w:suppressAutoHyphens/>
        <w:autoSpaceDN w:val="0"/>
        <w:spacing w:after="0" w:line="276" w:lineRule="auto"/>
        <w:jc w:val="both"/>
        <w:textAlignment w:val="baseline"/>
        <w:rPr>
          <w:rFonts w:ascii="Open Sans" w:eastAsia="NSimSun" w:hAnsi="Open Sans" w:cs="Open Sans"/>
          <w:kern w:val="3"/>
          <w:lang w:val="en-GB" w:eastAsia="zh-CN" w:bidi="hi-IN"/>
        </w:rPr>
      </w:pPr>
      <w:r w:rsidRPr="00A07BE9">
        <w:rPr>
          <w:rFonts w:ascii="Open Sans" w:eastAsia="NSimSun" w:hAnsi="Open Sans" w:cs="Open Sans"/>
          <w:color w:val="000000"/>
          <w:kern w:val="3"/>
          <w:sz w:val="20"/>
          <w:szCs w:val="20"/>
          <w:lang w:eastAsia="zh-CN" w:bidi="hi-IN"/>
        </w:rPr>
        <w:t>Valènci</w:t>
      </w:r>
      <w:r w:rsidRPr="00A07BE9">
        <w:rPr>
          <w:rFonts w:ascii="Open Sans" w:eastAsia="NSimSun" w:hAnsi="Open Sans" w:cs="Open Sans"/>
          <w:color w:val="000000"/>
          <w:kern w:val="3"/>
          <w:sz w:val="20"/>
          <w:szCs w:val="20"/>
          <w:shd w:val="clear" w:color="auto" w:fill="FFFFFF"/>
          <w:lang w:eastAsia="zh-CN" w:bidi="hi-IN"/>
        </w:rPr>
        <w:t xml:space="preserve">a, </w:t>
      </w:r>
      <w:r w:rsidR="001F0B05">
        <w:rPr>
          <w:rFonts w:ascii="Open Sans" w:eastAsia="NSimSun" w:hAnsi="Open Sans" w:cs="Open Sans"/>
          <w:color w:val="000000"/>
          <w:kern w:val="3"/>
          <w:sz w:val="20"/>
          <w:szCs w:val="20"/>
          <w:shd w:val="clear" w:color="auto" w:fill="FFFFFF"/>
          <w:lang w:eastAsia="zh-CN" w:bidi="hi-IN"/>
        </w:rPr>
        <w:t>30</w:t>
      </w:r>
      <w:r w:rsidRPr="00A07BE9">
        <w:rPr>
          <w:rFonts w:ascii="Open Sans" w:eastAsia="NSimSun" w:hAnsi="Open Sans" w:cs="Open Sans"/>
          <w:color w:val="000000"/>
          <w:kern w:val="3"/>
          <w:sz w:val="20"/>
          <w:szCs w:val="20"/>
          <w:shd w:val="clear" w:color="auto" w:fill="FFFFFF"/>
          <w:lang w:eastAsia="zh-CN" w:bidi="hi-IN"/>
        </w:rPr>
        <w:t xml:space="preserve"> de m</w:t>
      </w:r>
      <w:r w:rsidRPr="00A07BE9">
        <w:rPr>
          <w:rFonts w:ascii="Open Sans" w:eastAsia="NSimSun" w:hAnsi="Open Sans" w:cs="Open Sans"/>
          <w:color w:val="000000"/>
          <w:kern w:val="3"/>
          <w:sz w:val="20"/>
          <w:szCs w:val="20"/>
          <w:lang w:eastAsia="zh-CN" w:bidi="hi-IN"/>
        </w:rPr>
        <w:t>arzo de 2020</w:t>
      </w:r>
    </w:p>
    <w:p w14:paraId="20FF36A8" w14:textId="77777777" w:rsidR="0085298F" w:rsidRPr="00A07BE9" w:rsidRDefault="0085298F" w:rsidP="006B23D2">
      <w:pPr>
        <w:suppressAutoHyphens/>
        <w:autoSpaceDN w:val="0"/>
        <w:spacing w:after="0" w:line="276" w:lineRule="auto"/>
        <w:jc w:val="both"/>
        <w:textAlignment w:val="baseline"/>
        <w:rPr>
          <w:rFonts w:ascii="Open Sans" w:eastAsia="NSimSun" w:hAnsi="Open Sans" w:cs="Open Sans"/>
          <w:color w:val="000000"/>
          <w:kern w:val="3"/>
          <w:sz w:val="20"/>
          <w:szCs w:val="20"/>
          <w:lang w:eastAsia="zh-CN" w:bidi="hi-IN"/>
        </w:rPr>
      </w:pPr>
    </w:p>
    <w:p w14:paraId="623B21C9" w14:textId="1D9CBCAF" w:rsidR="006B23D2" w:rsidRPr="00A07BE9" w:rsidRDefault="006B23D2" w:rsidP="006B23D2">
      <w:pPr>
        <w:suppressAutoHyphens/>
        <w:autoSpaceDN w:val="0"/>
        <w:spacing w:after="0" w:line="276" w:lineRule="auto"/>
        <w:jc w:val="both"/>
        <w:textAlignment w:val="baseline"/>
        <w:rPr>
          <w:rFonts w:ascii="Open Sans" w:eastAsia="NSimSun" w:hAnsi="Open Sans" w:cs="Open Sans"/>
          <w:color w:val="000000"/>
          <w:kern w:val="3"/>
          <w:sz w:val="20"/>
          <w:szCs w:val="20"/>
          <w:lang w:eastAsia="zh-CN" w:bidi="hi-IN"/>
        </w:rPr>
      </w:pPr>
      <w:r w:rsidRPr="00A07BE9">
        <w:rPr>
          <w:rFonts w:ascii="Open Sans" w:eastAsia="NSimSun" w:hAnsi="Open Sans" w:cs="Open Sans"/>
          <w:color w:val="000000"/>
          <w:kern w:val="3"/>
          <w:sz w:val="20"/>
          <w:szCs w:val="20"/>
          <w:lang w:eastAsia="zh-CN" w:bidi="hi-IN"/>
        </w:rPr>
        <w:t>Joan A. Llinares Gómez</w:t>
      </w:r>
    </w:p>
    <w:p w14:paraId="118C13E8" w14:textId="77777777" w:rsidR="006B23D2" w:rsidRPr="00A07BE9" w:rsidRDefault="006B23D2" w:rsidP="006B23D2">
      <w:pPr>
        <w:suppressAutoHyphens/>
        <w:autoSpaceDN w:val="0"/>
        <w:spacing w:after="0" w:line="276" w:lineRule="auto"/>
        <w:jc w:val="both"/>
        <w:textAlignment w:val="baseline"/>
        <w:rPr>
          <w:rFonts w:ascii="Open Sans" w:eastAsia="NSimSun" w:hAnsi="Open Sans" w:cs="Open Sans"/>
          <w:color w:val="000000"/>
          <w:kern w:val="3"/>
          <w:sz w:val="20"/>
          <w:szCs w:val="20"/>
          <w:lang w:eastAsia="zh-CN" w:bidi="hi-IN"/>
        </w:rPr>
      </w:pPr>
      <w:r w:rsidRPr="00A07BE9">
        <w:rPr>
          <w:rFonts w:ascii="Open Sans" w:eastAsia="NSimSun" w:hAnsi="Open Sans" w:cs="Open Sans"/>
          <w:color w:val="000000"/>
          <w:kern w:val="3"/>
          <w:sz w:val="20"/>
          <w:szCs w:val="20"/>
          <w:lang w:eastAsia="zh-CN" w:bidi="hi-IN"/>
        </w:rPr>
        <w:t>Director de la Agencia de Prevención</w:t>
      </w:r>
    </w:p>
    <w:p w14:paraId="45E476BC" w14:textId="77777777" w:rsidR="006B23D2" w:rsidRPr="00A07BE9" w:rsidRDefault="006B23D2" w:rsidP="006B23D2">
      <w:pPr>
        <w:suppressAutoHyphens/>
        <w:autoSpaceDN w:val="0"/>
        <w:spacing w:after="0" w:line="276" w:lineRule="auto"/>
        <w:jc w:val="both"/>
        <w:textAlignment w:val="baseline"/>
        <w:rPr>
          <w:rFonts w:ascii="Open Sans" w:eastAsia="NSimSun" w:hAnsi="Open Sans" w:cs="Open Sans"/>
          <w:color w:val="000000"/>
          <w:kern w:val="3"/>
          <w:sz w:val="20"/>
          <w:szCs w:val="20"/>
          <w:lang w:eastAsia="zh-CN" w:bidi="hi-IN"/>
        </w:rPr>
      </w:pPr>
      <w:r w:rsidRPr="00A07BE9">
        <w:rPr>
          <w:rFonts w:ascii="Open Sans" w:eastAsia="NSimSun" w:hAnsi="Open Sans" w:cs="Open Sans"/>
          <w:color w:val="000000"/>
          <w:kern w:val="3"/>
          <w:sz w:val="20"/>
          <w:szCs w:val="20"/>
          <w:lang w:eastAsia="zh-CN" w:bidi="hi-IN"/>
        </w:rPr>
        <w:t>y Lucha contra el Fraude y la Corrupción</w:t>
      </w:r>
    </w:p>
    <w:p w14:paraId="42EA9482" w14:textId="68ABE0C3" w:rsidR="004E3452" w:rsidRPr="00A07BE9" w:rsidRDefault="006B23D2" w:rsidP="006B23D2">
      <w:pPr>
        <w:rPr>
          <w:rFonts w:ascii="Open Sans" w:hAnsi="Open Sans" w:cs="Open Sans"/>
          <w:color w:val="000000" w:themeColor="text1"/>
          <w:sz w:val="21"/>
          <w:szCs w:val="21"/>
        </w:rPr>
      </w:pPr>
      <w:r w:rsidRPr="00A07BE9">
        <w:rPr>
          <w:rFonts w:ascii="Open Sans" w:eastAsia="NSimSun" w:hAnsi="Open Sans" w:cs="Open Sans"/>
          <w:color w:val="000000"/>
          <w:kern w:val="3"/>
          <w:sz w:val="20"/>
          <w:szCs w:val="20"/>
          <w:lang w:eastAsia="zh-CN" w:bidi="hi-IN"/>
        </w:rPr>
        <w:t>de la Comunitat Valenciana</w:t>
      </w:r>
    </w:p>
    <w:p w14:paraId="3C500762" w14:textId="77777777" w:rsidR="004E3452" w:rsidRPr="00A07BE9" w:rsidRDefault="004E3452" w:rsidP="0070209B">
      <w:pPr>
        <w:spacing w:line="276" w:lineRule="auto"/>
        <w:rPr>
          <w:rFonts w:ascii="Open Sans" w:hAnsi="Open Sans" w:cs="Open Sans"/>
          <w:color w:val="000000" w:themeColor="text1"/>
          <w:sz w:val="20"/>
          <w:szCs w:val="20"/>
        </w:rPr>
      </w:pPr>
    </w:p>
    <w:p w14:paraId="05CE3A72" w14:textId="17E87A71" w:rsidR="004E3452" w:rsidRPr="00A07BE9" w:rsidRDefault="004E3452" w:rsidP="0085298F">
      <w:pPr>
        <w:spacing w:line="276" w:lineRule="auto"/>
        <w:rPr>
          <w:rFonts w:ascii="Open Sans" w:hAnsi="Open Sans" w:cs="Open Sans"/>
          <w:color w:val="000000" w:themeColor="text1"/>
          <w:sz w:val="20"/>
          <w:szCs w:val="20"/>
        </w:rPr>
      </w:pPr>
      <w:bookmarkStart w:id="6" w:name="_Hlk34910541"/>
    </w:p>
    <w:p w14:paraId="4CAE1160" w14:textId="5754F98E" w:rsidR="0085298F" w:rsidRPr="00A07BE9" w:rsidRDefault="0085298F" w:rsidP="0085298F">
      <w:pPr>
        <w:spacing w:line="276" w:lineRule="auto"/>
        <w:rPr>
          <w:rFonts w:ascii="Open Sans" w:hAnsi="Open Sans" w:cs="Open Sans"/>
          <w:color w:val="000000" w:themeColor="text1"/>
          <w:sz w:val="20"/>
          <w:szCs w:val="20"/>
        </w:rPr>
      </w:pPr>
    </w:p>
    <w:p w14:paraId="71F69273" w14:textId="1B5D4C20" w:rsidR="004D135D" w:rsidRPr="00A07BE9" w:rsidRDefault="004D135D" w:rsidP="004D135D">
      <w:pPr>
        <w:spacing w:line="276" w:lineRule="auto"/>
        <w:rPr>
          <w:rFonts w:ascii="Open Sans" w:hAnsi="Open Sans" w:cs="Open Sans"/>
          <w:color w:val="000000" w:themeColor="text1"/>
          <w:sz w:val="20"/>
          <w:szCs w:val="20"/>
        </w:rPr>
      </w:pPr>
    </w:p>
    <w:p w14:paraId="653E3553" w14:textId="77777777" w:rsidR="004D135D" w:rsidRPr="00A07BE9" w:rsidRDefault="004D135D" w:rsidP="004D135D">
      <w:pPr>
        <w:spacing w:line="276" w:lineRule="auto"/>
        <w:rPr>
          <w:rFonts w:ascii="Open Sans" w:hAnsi="Open Sans" w:cs="Open Sans"/>
          <w:color w:val="000000" w:themeColor="text1"/>
          <w:sz w:val="20"/>
          <w:szCs w:val="20"/>
        </w:rPr>
      </w:pPr>
    </w:p>
    <w:p w14:paraId="36688F7D" w14:textId="64557298" w:rsidR="00C34875" w:rsidRPr="00A07BE9" w:rsidRDefault="00C34875" w:rsidP="00A140F9">
      <w:pPr>
        <w:keepNext/>
        <w:spacing w:after="0" w:line="276" w:lineRule="auto"/>
        <w:rPr>
          <w:rFonts w:ascii="Open Sans" w:eastAsia="Times New Roman" w:hAnsi="Open Sans" w:cs="Open Sans"/>
          <w:b/>
          <w:bCs/>
          <w:smallCaps/>
          <w:color w:val="9D2235"/>
          <w:spacing w:val="-14"/>
          <w:sz w:val="20"/>
          <w:szCs w:val="20"/>
          <w:lang w:eastAsia="es-ES"/>
        </w:rPr>
      </w:pPr>
    </w:p>
    <w:p w14:paraId="3D1A164C" w14:textId="77777777" w:rsidR="00C34875" w:rsidRPr="00A07BE9" w:rsidRDefault="00C34875" w:rsidP="00A140F9">
      <w:pPr>
        <w:keepNext/>
        <w:spacing w:after="0" w:line="276" w:lineRule="auto"/>
        <w:rPr>
          <w:rFonts w:ascii="Open Sans" w:eastAsia="Times New Roman" w:hAnsi="Open Sans" w:cs="Open Sans"/>
          <w:b/>
          <w:bCs/>
          <w:smallCaps/>
          <w:color w:val="9D2235"/>
          <w:spacing w:val="-14"/>
          <w:sz w:val="20"/>
          <w:szCs w:val="20"/>
          <w:lang w:eastAsia="es-ES"/>
        </w:rPr>
      </w:pPr>
    </w:p>
    <w:p w14:paraId="53A4D917" w14:textId="19FDBDD7" w:rsidR="00A140F9" w:rsidRPr="00A07BE9" w:rsidRDefault="00A140F9" w:rsidP="00A140F9">
      <w:pPr>
        <w:keepNext/>
        <w:spacing w:after="0" w:line="276" w:lineRule="auto"/>
        <w:rPr>
          <w:rFonts w:eastAsia="Times New Roman" w:cs="Calibri"/>
          <w:color w:val="9D2235"/>
          <w:lang w:eastAsia="es-ES"/>
        </w:rPr>
      </w:pPr>
      <w:r w:rsidRPr="00A07BE9">
        <w:rPr>
          <w:rFonts w:ascii="Open Sans" w:eastAsia="Times New Roman" w:hAnsi="Open Sans" w:cs="Open Sans"/>
          <w:b/>
          <w:bCs/>
          <w:smallCaps/>
          <w:color w:val="9D2235"/>
          <w:spacing w:val="-14"/>
          <w:sz w:val="200"/>
          <w:szCs w:val="200"/>
          <w:lang w:eastAsia="es-ES"/>
        </w:rPr>
        <w:t xml:space="preserve">02 </w:t>
      </w:r>
    </w:p>
    <w:p w14:paraId="7D7A7C7A" w14:textId="77777777" w:rsidR="004F2FD1" w:rsidRPr="00A07BE9" w:rsidRDefault="00343A29" w:rsidP="00A140F9">
      <w:pPr>
        <w:keepNext/>
        <w:suppressAutoHyphens/>
        <w:spacing w:after="0" w:line="240" w:lineRule="auto"/>
        <w:rPr>
          <w:rFonts w:ascii="Open Sans" w:eastAsia="Times New Roman" w:hAnsi="Open Sans" w:cs="Nirmala UI Semilight"/>
          <w:b/>
          <w:bCs/>
          <w:color w:val="9D2235"/>
          <w:spacing w:val="-24"/>
          <w:kern w:val="2"/>
          <w:sz w:val="80"/>
          <w:szCs w:val="80"/>
          <w:lang w:eastAsia="es-ES"/>
        </w:rPr>
      </w:pPr>
      <w:r w:rsidRPr="00A07BE9">
        <w:rPr>
          <w:rFonts w:ascii="Open Sans" w:eastAsia="Times New Roman" w:hAnsi="Open Sans" w:cs="Nirmala UI Semilight"/>
          <w:b/>
          <w:bCs/>
          <w:color w:val="9D2235"/>
          <w:spacing w:val="-24"/>
          <w:kern w:val="2"/>
          <w:sz w:val="80"/>
          <w:szCs w:val="80"/>
          <w:lang w:eastAsia="es-ES"/>
        </w:rPr>
        <w:t>P</w:t>
      </w:r>
      <w:r w:rsidR="00A140F9" w:rsidRPr="00A07BE9">
        <w:rPr>
          <w:rFonts w:ascii="Open Sans" w:eastAsia="Times New Roman" w:hAnsi="Open Sans" w:cs="Nirmala UI Semilight"/>
          <w:b/>
          <w:bCs/>
          <w:color w:val="9D2235"/>
          <w:spacing w:val="-24"/>
          <w:kern w:val="2"/>
          <w:sz w:val="80"/>
          <w:szCs w:val="80"/>
          <w:lang w:eastAsia="es-ES"/>
        </w:rPr>
        <w:t xml:space="preserve">revención, </w:t>
      </w:r>
    </w:p>
    <w:p w14:paraId="7629319A" w14:textId="40DD1BA6" w:rsidR="00A140F9" w:rsidRPr="00A07BE9" w:rsidRDefault="004F2FD1" w:rsidP="00A140F9">
      <w:pPr>
        <w:keepNext/>
        <w:suppressAutoHyphens/>
        <w:spacing w:after="0" w:line="240" w:lineRule="auto"/>
        <w:rPr>
          <w:rFonts w:ascii="Open Sans" w:eastAsia="Times New Roman" w:hAnsi="Open Sans" w:cs="Nirmala UI Semilight"/>
          <w:b/>
          <w:bCs/>
          <w:color w:val="9D2235"/>
          <w:spacing w:val="-24"/>
          <w:kern w:val="2"/>
          <w:sz w:val="80"/>
          <w:szCs w:val="80"/>
          <w:lang w:eastAsia="es-ES"/>
        </w:rPr>
      </w:pPr>
      <w:r w:rsidRPr="00A07BE9">
        <w:rPr>
          <w:rFonts w:ascii="Open Sans" w:eastAsia="Times New Roman" w:hAnsi="Open Sans" w:cs="Nirmala UI Semilight"/>
          <w:b/>
          <w:bCs/>
          <w:color w:val="9D2235"/>
          <w:spacing w:val="-24"/>
          <w:kern w:val="2"/>
          <w:sz w:val="80"/>
          <w:szCs w:val="80"/>
          <w:lang w:eastAsia="es-ES"/>
        </w:rPr>
        <w:t>f</w:t>
      </w:r>
      <w:r w:rsidR="00A140F9" w:rsidRPr="00A07BE9">
        <w:rPr>
          <w:rFonts w:ascii="Open Sans" w:eastAsia="Times New Roman" w:hAnsi="Open Sans" w:cs="Nirmala UI Semilight"/>
          <w:b/>
          <w:bCs/>
          <w:color w:val="9D2235"/>
          <w:spacing w:val="-24"/>
          <w:kern w:val="2"/>
          <w:sz w:val="80"/>
          <w:szCs w:val="80"/>
          <w:lang w:eastAsia="es-ES"/>
        </w:rPr>
        <w:t xml:space="preserve">ormación y </w:t>
      </w:r>
      <w:r w:rsidRPr="00A07BE9">
        <w:rPr>
          <w:rFonts w:ascii="Open Sans" w:eastAsia="Times New Roman" w:hAnsi="Open Sans" w:cs="Nirmala UI Semilight"/>
          <w:b/>
          <w:bCs/>
          <w:color w:val="9D2235"/>
          <w:spacing w:val="-24"/>
          <w:kern w:val="2"/>
          <w:sz w:val="80"/>
          <w:szCs w:val="80"/>
          <w:lang w:eastAsia="es-ES"/>
        </w:rPr>
        <w:t>d</w:t>
      </w:r>
      <w:r w:rsidR="00A140F9" w:rsidRPr="00A07BE9">
        <w:rPr>
          <w:rFonts w:ascii="Open Sans" w:eastAsia="Times New Roman" w:hAnsi="Open Sans" w:cs="Nirmala UI Semilight"/>
          <w:b/>
          <w:bCs/>
          <w:color w:val="9D2235"/>
          <w:spacing w:val="-24"/>
          <w:kern w:val="2"/>
          <w:sz w:val="80"/>
          <w:szCs w:val="80"/>
          <w:lang w:eastAsia="es-ES"/>
        </w:rPr>
        <w:t>ocumentación</w:t>
      </w:r>
    </w:p>
    <w:p w14:paraId="2560D084" w14:textId="77777777" w:rsidR="00A140F9" w:rsidRPr="00A07BE9" w:rsidRDefault="00A140F9" w:rsidP="00A140F9">
      <w:pPr>
        <w:spacing w:after="0" w:line="276" w:lineRule="auto"/>
        <w:jc w:val="both"/>
        <w:rPr>
          <w:rFonts w:ascii="Open Sans" w:hAnsi="Open Sans" w:cs="Open Sans"/>
          <w:b/>
          <w:color w:val="9D2235"/>
          <w:sz w:val="32"/>
          <w:szCs w:val="32"/>
        </w:rPr>
      </w:pPr>
    </w:p>
    <w:p w14:paraId="0E2C1D44" w14:textId="77777777" w:rsidR="00A140F9" w:rsidRPr="00A07BE9" w:rsidRDefault="00A140F9" w:rsidP="00A140F9">
      <w:pPr>
        <w:spacing w:after="0" w:line="276" w:lineRule="auto"/>
        <w:jc w:val="both"/>
        <w:rPr>
          <w:rFonts w:ascii="Open Sans" w:hAnsi="Open Sans" w:cs="Open Sans"/>
          <w:b/>
          <w:color w:val="9D2235"/>
          <w:sz w:val="32"/>
          <w:szCs w:val="32"/>
        </w:rPr>
      </w:pPr>
    </w:p>
    <w:p w14:paraId="4D6B6DDA" w14:textId="3E37CB24" w:rsidR="00A140F9" w:rsidRPr="00A07BE9" w:rsidRDefault="00A140F9" w:rsidP="00A140F9">
      <w:pPr>
        <w:suppressAutoHyphens/>
        <w:spacing w:after="0" w:line="240" w:lineRule="auto"/>
        <w:jc w:val="both"/>
        <w:rPr>
          <w:rFonts w:ascii="Open Sans" w:eastAsia="Times New Roman" w:hAnsi="Open Sans" w:cs="Open Sans"/>
          <w:b/>
          <w:bCs/>
          <w:smallCaps/>
          <w:color w:val="9D2235"/>
          <w:sz w:val="32"/>
          <w:szCs w:val="32"/>
          <w:lang w:eastAsia="es-ES"/>
        </w:rPr>
      </w:pPr>
      <w:r w:rsidRPr="00A07BE9">
        <w:rPr>
          <w:rFonts w:ascii="Open Sans" w:eastAsia="Times New Roman" w:hAnsi="Open Sans" w:cs="Open Sans"/>
          <w:b/>
          <w:bCs/>
          <w:smallCaps/>
          <w:color w:val="9D2235"/>
          <w:sz w:val="32"/>
          <w:szCs w:val="32"/>
          <w:lang w:eastAsia="es-ES"/>
        </w:rPr>
        <w:t xml:space="preserve">2.1. </w:t>
      </w:r>
      <w:r w:rsidR="0039426D" w:rsidRPr="00A07BE9">
        <w:rPr>
          <w:rFonts w:ascii="Open Sans" w:eastAsia="Times New Roman" w:hAnsi="Open Sans" w:cs="Open Sans"/>
          <w:b/>
          <w:bCs/>
          <w:smallCaps/>
          <w:color w:val="9D2235"/>
          <w:sz w:val="32"/>
          <w:szCs w:val="32"/>
          <w:lang w:eastAsia="es-ES"/>
        </w:rPr>
        <w:t xml:space="preserve">EL SERVICIO DE </w:t>
      </w:r>
      <w:r w:rsidRPr="00A07BE9">
        <w:rPr>
          <w:rFonts w:ascii="Open Sans" w:eastAsia="Times New Roman" w:hAnsi="Open Sans" w:cs="Open Sans"/>
          <w:b/>
          <w:bCs/>
          <w:smallCaps/>
          <w:color w:val="9D2235"/>
          <w:sz w:val="32"/>
          <w:szCs w:val="32"/>
          <w:lang w:eastAsia="es-ES"/>
        </w:rPr>
        <w:t>PREVENCIÓN</w:t>
      </w:r>
    </w:p>
    <w:p w14:paraId="2D622E38" w14:textId="77777777" w:rsidR="00A140F9" w:rsidRPr="00A07BE9" w:rsidRDefault="00A140F9" w:rsidP="00A140F9">
      <w:pPr>
        <w:suppressAutoHyphens/>
        <w:spacing w:after="0" w:line="240" w:lineRule="auto"/>
        <w:jc w:val="both"/>
        <w:rPr>
          <w:rFonts w:ascii="Open Sans" w:eastAsia="Times New Roman" w:hAnsi="Open Sans" w:cs="Open Sans"/>
          <w:b/>
          <w:bCs/>
          <w:smallCaps/>
          <w:color w:val="9D2235"/>
          <w:sz w:val="20"/>
          <w:szCs w:val="20"/>
          <w:lang w:eastAsia="es-ES"/>
        </w:rPr>
      </w:pPr>
    </w:p>
    <w:p w14:paraId="2A93F502" w14:textId="77777777" w:rsidR="00A140F9" w:rsidRPr="00A07BE9" w:rsidRDefault="00A140F9" w:rsidP="00A140F9">
      <w:pPr>
        <w:suppressAutoHyphens/>
        <w:spacing w:after="0" w:line="240" w:lineRule="auto"/>
        <w:jc w:val="both"/>
        <w:rPr>
          <w:rFonts w:ascii="Open Sans" w:eastAsia="Times New Roman" w:hAnsi="Open Sans" w:cs="Open Sans"/>
          <w:b/>
          <w:bCs/>
          <w:smallCaps/>
          <w:color w:val="9D2235"/>
          <w:sz w:val="28"/>
          <w:szCs w:val="28"/>
          <w:lang w:eastAsia="es-ES"/>
        </w:rPr>
      </w:pPr>
      <w:r w:rsidRPr="00A07BE9">
        <w:rPr>
          <w:rFonts w:ascii="Open Sans" w:eastAsia="Times New Roman" w:hAnsi="Open Sans" w:cs="Open Sans"/>
          <w:b/>
          <w:bCs/>
          <w:smallCaps/>
          <w:color w:val="9D2235"/>
          <w:sz w:val="28"/>
          <w:szCs w:val="28"/>
          <w:lang w:eastAsia="es-ES"/>
        </w:rPr>
        <w:t>2.1.1. Introducción</w:t>
      </w:r>
    </w:p>
    <w:p w14:paraId="092B1F54" w14:textId="77777777" w:rsidR="00A140F9" w:rsidRPr="00A07BE9" w:rsidRDefault="00A140F9" w:rsidP="00A140F9">
      <w:pPr>
        <w:spacing w:after="0" w:line="276" w:lineRule="auto"/>
        <w:jc w:val="both"/>
        <w:rPr>
          <w:rFonts w:ascii="Open Sans" w:hAnsi="Open Sans" w:cs="Open Sans"/>
          <w:color w:val="9D2235"/>
          <w:sz w:val="20"/>
          <w:szCs w:val="20"/>
        </w:rPr>
      </w:pPr>
    </w:p>
    <w:p w14:paraId="565D8593" w14:textId="77777777"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Este capítulo de la Memoria está destinado a describir las actividades de la Dirección de Prevención, Formación y Documentación y de los servicios adscritos orgánicamente a la misma.</w:t>
      </w:r>
    </w:p>
    <w:p w14:paraId="5CDA2ABF" w14:textId="77777777" w:rsidR="00A140F9" w:rsidRPr="00A07BE9" w:rsidRDefault="00A140F9" w:rsidP="00A140F9">
      <w:pPr>
        <w:spacing w:after="0" w:line="276" w:lineRule="auto"/>
        <w:jc w:val="both"/>
        <w:rPr>
          <w:rFonts w:ascii="Open Sans" w:hAnsi="Open Sans" w:cs="Open Sans"/>
          <w:sz w:val="20"/>
          <w:szCs w:val="20"/>
        </w:rPr>
      </w:pPr>
    </w:p>
    <w:p w14:paraId="38A6D321" w14:textId="46466760"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 xml:space="preserve">En la </w:t>
      </w:r>
      <w:hyperlink r:id="rId26" w:history="1">
        <w:r w:rsidRPr="00A07BE9">
          <w:rPr>
            <w:rStyle w:val="Hipervnculo"/>
            <w:rFonts w:ascii="Open Sans" w:hAnsi="Open Sans" w:cs="Open Sans"/>
            <w:sz w:val="20"/>
            <w:szCs w:val="20"/>
          </w:rPr>
          <w:t>Memoria correspondiente al año 2018</w:t>
        </w:r>
      </w:hyperlink>
      <w:r w:rsidRPr="00A07BE9">
        <w:rPr>
          <w:rFonts w:ascii="Open Sans" w:hAnsi="Open Sans" w:cs="Open Sans"/>
          <w:sz w:val="20"/>
          <w:szCs w:val="20"/>
        </w:rPr>
        <w:t>, iniciamos el relato de las actuaciones de esta dirección con la descripción de las gestiones realizadas y de las tareas pendientes para disponer de los recursos humanos necesarios y comenzar a ejecutar las tareas asignadas. En este sentido, manifestábamos que ese contexto de inicio había condicionado el desarrollo de las actuaciones de la dirección.</w:t>
      </w:r>
    </w:p>
    <w:p w14:paraId="72FE687C" w14:textId="77777777" w:rsidR="00A140F9" w:rsidRPr="00A07BE9" w:rsidRDefault="00A140F9" w:rsidP="00A140F9">
      <w:pPr>
        <w:spacing w:after="0" w:line="276" w:lineRule="auto"/>
        <w:jc w:val="both"/>
        <w:rPr>
          <w:rFonts w:ascii="Open Sans" w:hAnsi="Open Sans" w:cs="Open Sans"/>
          <w:sz w:val="20"/>
          <w:szCs w:val="20"/>
        </w:rPr>
      </w:pPr>
    </w:p>
    <w:p w14:paraId="24FB5289" w14:textId="1AFE1438"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 xml:space="preserve">En este ejercicio, durante el primer trimestre, el Servicio de Prevención funcionó con la directora de Prevención, Formación y Documentación, que temporalmente y durante el mismo período acumulaba las funciones de la Dirección de Análisis e Investigación. La titular </w:t>
      </w:r>
      <w:r w:rsidRPr="00A07BE9">
        <w:rPr>
          <w:rFonts w:ascii="Open Sans" w:hAnsi="Open Sans" w:cs="Open Sans"/>
          <w:sz w:val="20"/>
          <w:szCs w:val="20"/>
        </w:rPr>
        <w:lastRenderedPageBreak/>
        <w:t>de la jefatura del servicio se incorporó en abril y en noviembre el servicio contó con una técnica de prevención, con perfil jurídico-económico. Por lo que respecta al Servicio de Formación, el servicio funcionó con la directora y un técnico de formación, incorporándose otro técnico de formación en</w:t>
      </w:r>
      <w:r w:rsidR="00157BB9" w:rsidRPr="00A07BE9">
        <w:rPr>
          <w:rFonts w:ascii="Open Sans" w:hAnsi="Open Sans" w:cs="Open Sans"/>
          <w:sz w:val="20"/>
          <w:szCs w:val="20"/>
        </w:rPr>
        <w:t xml:space="preserve"> diciembre</w:t>
      </w:r>
      <w:r w:rsidR="0005575F" w:rsidRPr="00A07BE9">
        <w:rPr>
          <w:rFonts w:ascii="Open Sans" w:hAnsi="Open Sans" w:cs="Open Sans"/>
          <w:sz w:val="20"/>
          <w:szCs w:val="20"/>
        </w:rPr>
        <w:t xml:space="preserve"> y estando pendiente de provisión la jefatura de Formación</w:t>
      </w:r>
      <w:r w:rsidRPr="00A07BE9">
        <w:rPr>
          <w:rFonts w:ascii="Open Sans" w:hAnsi="Open Sans" w:cs="Open Sans"/>
          <w:sz w:val="20"/>
          <w:szCs w:val="20"/>
        </w:rPr>
        <w:t xml:space="preserve">. A su vez, </w:t>
      </w:r>
      <w:r w:rsidR="0005575F" w:rsidRPr="00A07BE9">
        <w:rPr>
          <w:rFonts w:ascii="Open Sans" w:hAnsi="Open Sans" w:cs="Open Sans"/>
          <w:sz w:val="20"/>
          <w:szCs w:val="20"/>
        </w:rPr>
        <w:t xml:space="preserve">la jefatura del </w:t>
      </w:r>
      <w:r w:rsidRPr="00A07BE9">
        <w:rPr>
          <w:rFonts w:ascii="Open Sans" w:hAnsi="Open Sans" w:cs="Open Sans"/>
          <w:sz w:val="20"/>
          <w:szCs w:val="20"/>
        </w:rPr>
        <w:t>Servicio de Documentación e Informes se ha provisto a principios del presente 2020. Por último, desde el mes de julio contamos con el apoyo administrativo de un jefe de negociado común para los tres servicios.</w:t>
      </w:r>
    </w:p>
    <w:p w14:paraId="589A246A" w14:textId="77777777" w:rsidR="00A140F9" w:rsidRPr="00A07BE9" w:rsidRDefault="00A140F9" w:rsidP="00A140F9">
      <w:pPr>
        <w:spacing w:after="0" w:line="276" w:lineRule="auto"/>
        <w:jc w:val="both"/>
        <w:rPr>
          <w:rFonts w:ascii="Open Sans" w:hAnsi="Open Sans" w:cs="Open Sans"/>
          <w:sz w:val="20"/>
          <w:szCs w:val="20"/>
        </w:rPr>
      </w:pPr>
    </w:p>
    <w:p w14:paraId="2C73DDC3" w14:textId="31B4F538"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Las acciones ejecutadas durante este año, cuyo resumen pasamos a exponer, se han podido realizar gracias a la progresiva incorporación de personal.</w:t>
      </w:r>
    </w:p>
    <w:p w14:paraId="740F40DA" w14:textId="77777777" w:rsidR="00A140F9" w:rsidRPr="00A07BE9" w:rsidRDefault="00A140F9" w:rsidP="00A140F9">
      <w:pPr>
        <w:spacing w:after="0" w:line="276" w:lineRule="auto"/>
        <w:jc w:val="both"/>
        <w:rPr>
          <w:rFonts w:ascii="Open Sans" w:hAnsi="Open Sans" w:cs="Open Sans"/>
          <w:sz w:val="20"/>
          <w:szCs w:val="20"/>
        </w:rPr>
      </w:pPr>
    </w:p>
    <w:p w14:paraId="0837E22F" w14:textId="77777777"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 xml:space="preserve">La paulatina obtención de recursos humanos, situación previsible en los inicios de cualquier institución de nueva creación, así como la necesaria formación de las personas que se incorporan a la Agencia, imprescindible para consolidar un trabajo que sea útil y riguroso, son circunstancias que continúan condicionando el pleno desarrollo de las funciones asignadas a esta dirección, amplias, heterogéneas y de carácter transversal. </w:t>
      </w:r>
    </w:p>
    <w:p w14:paraId="62ECE9A2" w14:textId="77777777" w:rsidR="00A140F9" w:rsidRPr="00A07BE9" w:rsidRDefault="00A140F9" w:rsidP="00A140F9">
      <w:pPr>
        <w:spacing w:after="0" w:line="276" w:lineRule="auto"/>
        <w:jc w:val="both"/>
        <w:rPr>
          <w:rFonts w:ascii="Open Sans" w:hAnsi="Open Sans" w:cs="Open Sans"/>
          <w:sz w:val="20"/>
          <w:szCs w:val="20"/>
        </w:rPr>
      </w:pPr>
    </w:p>
    <w:p w14:paraId="35CBCD69" w14:textId="77777777" w:rsidR="00A140F9" w:rsidRPr="00A07BE9" w:rsidRDefault="00A140F9" w:rsidP="00A140F9">
      <w:pPr>
        <w:spacing w:after="0" w:line="276" w:lineRule="auto"/>
        <w:jc w:val="both"/>
        <w:rPr>
          <w:sz w:val="20"/>
          <w:szCs w:val="20"/>
        </w:rPr>
      </w:pPr>
      <w:r w:rsidRPr="00A07BE9">
        <w:rPr>
          <w:rFonts w:ascii="Open Sans" w:hAnsi="Open Sans" w:cs="Open Sans"/>
          <w:sz w:val="20"/>
          <w:szCs w:val="20"/>
        </w:rPr>
        <w:t>En suma, esperamos que la provisión definitiva y en un futuro cercano de todos los puestos de trabajo asignados a esta área, nos permitan desarrollar plenamente nuestro cometido, de forma tal que podamos, también, consolidar la Agencia en su conjunto. En este sentido, celebramos la dotación presupuestaria consignada en el presupuesto correspondiente al ejercicio de 2020, para disponer de tres puestos de trabajo adicionales de técnico de prevención y un puesto de trabajo de apoyo administrativo para las tareas de documentación.</w:t>
      </w:r>
    </w:p>
    <w:p w14:paraId="6693FBA6" w14:textId="77777777" w:rsidR="00A140F9" w:rsidRPr="00A07BE9" w:rsidRDefault="00A140F9" w:rsidP="00A140F9">
      <w:pPr>
        <w:spacing w:after="0" w:line="276" w:lineRule="auto"/>
        <w:jc w:val="both"/>
        <w:rPr>
          <w:rFonts w:ascii="Open Sans" w:hAnsi="Open Sans" w:cs="Open Sans"/>
          <w:sz w:val="20"/>
          <w:szCs w:val="20"/>
        </w:rPr>
      </w:pPr>
    </w:p>
    <w:p w14:paraId="562A0C95" w14:textId="77777777"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A continuación, pasamos a describir las actuaciones de los servicios de Prevención y Formación, adscritos orgánicamente a esta dirección.</w:t>
      </w:r>
    </w:p>
    <w:p w14:paraId="59919235" w14:textId="1A2F4995" w:rsidR="00A140F9" w:rsidRPr="00A07BE9" w:rsidRDefault="00A140F9" w:rsidP="00A140F9">
      <w:pPr>
        <w:spacing w:after="0" w:line="276" w:lineRule="auto"/>
        <w:jc w:val="both"/>
        <w:rPr>
          <w:rFonts w:ascii="Open Sans" w:hAnsi="Open Sans" w:cs="Open Sans"/>
          <w:sz w:val="20"/>
          <w:szCs w:val="20"/>
        </w:rPr>
      </w:pPr>
    </w:p>
    <w:p w14:paraId="2326A5A2" w14:textId="77777777" w:rsidR="004A3C1B" w:rsidRPr="00A07BE9" w:rsidRDefault="004A3C1B" w:rsidP="00A140F9">
      <w:pPr>
        <w:spacing w:after="0" w:line="276" w:lineRule="auto"/>
        <w:jc w:val="both"/>
        <w:rPr>
          <w:rFonts w:ascii="Open Sans" w:hAnsi="Open Sans" w:cs="Open Sans"/>
          <w:sz w:val="20"/>
          <w:szCs w:val="20"/>
        </w:rPr>
      </w:pPr>
    </w:p>
    <w:p w14:paraId="40A2E13B" w14:textId="77777777" w:rsidR="00A140F9" w:rsidRPr="00A07BE9" w:rsidRDefault="00A140F9" w:rsidP="00A140F9">
      <w:pPr>
        <w:suppressAutoHyphens/>
        <w:spacing w:after="0" w:line="240" w:lineRule="auto"/>
        <w:jc w:val="both"/>
        <w:rPr>
          <w:rFonts w:ascii="Open Sans" w:eastAsia="Times New Roman" w:hAnsi="Open Sans" w:cs="Open Sans"/>
          <w:b/>
          <w:bCs/>
          <w:smallCaps/>
          <w:color w:val="9D2235"/>
          <w:sz w:val="28"/>
          <w:szCs w:val="28"/>
          <w:lang w:eastAsia="es-ES"/>
        </w:rPr>
      </w:pPr>
      <w:r w:rsidRPr="00A07BE9">
        <w:rPr>
          <w:rFonts w:ascii="Open Sans" w:eastAsia="Times New Roman" w:hAnsi="Open Sans" w:cs="Open Sans"/>
          <w:b/>
          <w:bCs/>
          <w:smallCaps/>
          <w:color w:val="9D2235"/>
          <w:sz w:val="28"/>
          <w:szCs w:val="28"/>
          <w:lang w:eastAsia="es-ES"/>
        </w:rPr>
        <w:t>2.1.2. Servicio de Prevención. Funciones</w:t>
      </w:r>
    </w:p>
    <w:p w14:paraId="43A77671" w14:textId="77777777" w:rsidR="00A140F9" w:rsidRPr="00A07BE9" w:rsidRDefault="00A140F9" w:rsidP="00A140F9">
      <w:pPr>
        <w:spacing w:after="0" w:line="276" w:lineRule="auto"/>
        <w:jc w:val="both"/>
        <w:rPr>
          <w:rFonts w:ascii="Open Sans" w:hAnsi="Open Sans" w:cs="Open Sans"/>
          <w:sz w:val="20"/>
          <w:szCs w:val="20"/>
        </w:rPr>
      </w:pPr>
    </w:p>
    <w:p w14:paraId="0A779702" w14:textId="77777777"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 xml:space="preserve">El Servicio de Prevención está destinado a cumplir el mandato encomendado a la Agencia de promover la integridad y la ética públicas para el fomento de las buenas prácticas y para la prevención de los riesgos de la corrupción, fundamentalmente en las materias de contratación del sector público, prestación y gestión de servicios públicos, subvenciones, urbanismo, función pública y procesos de toma de decisiones. </w:t>
      </w:r>
    </w:p>
    <w:p w14:paraId="28E8E5EB" w14:textId="77777777" w:rsidR="00A140F9" w:rsidRPr="00A07BE9" w:rsidRDefault="00A140F9" w:rsidP="00A140F9">
      <w:pPr>
        <w:spacing w:after="0" w:line="276" w:lineRule="auto"/>
        <w:jc w:val="both"/>
        <w:rPr>
          <w:rFonts w:ascii="Open Sans" w:hAnsi="Open Sans" w:cs="Open Sans"/>
          <w:sz w:val="21"/>
          <w:szCs w:val="21"/>
        </w:rPr>
      </w:pPr>
      <w:r w:rsidRPr="00A07BE9">
        <w:rPr>
          <w:rFonts w:ascii="Open Sans" w:hAnsi="Open Sans" w:cs="Open Sans"/>
          <w:noProof/>
          <w:sz w:val="21"/>
          <w:szCs w:val="21"/>
        </w:rPr>
        <w:lastRenderedPageBreak/>
        <w:drawing>
          <wp:anchor distT="0" distB="0" distL="0" distR="0" simplePos="0" relativeHeight="251767808" behindDoc="0" locked="0" layoutInCell="1" allowOverlap="1" wp14:anchorId="0CE76518" wp14:editId="241E0FB4">
            <wp:simplePos x="0" y="0"/>
            <wp:positionH relativeFrom="column">
              <wp:posOffset>834390</wp:posOffset>
            </wp:positionH>
            <wp:positionV relativeFrom="paragraph">
              <wp:posOffset>42545</wp:posOffset>
            </wp:positionV>
            <wp:extent cx="3604260" cy="1611630"/>
            <wp:effectExtent l="0" t="0" r="0" b="0"/>
            <wp:wrapSquare wrapText="largest"/>
            <wp:docPr id="359" name="Imagen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6"/>
                    <pic:cNvPicPr>
                      <a:picLocks noChangeAspect="1" noChangeArrowheads="1"/>
                    </pic:cNvPicPr>
                  </pic:nvPicPr>
                  <pic:blipFill>
                    <a:blip r:embed="rId27" cstate="screen">
                      <a:extLst>
                        <a:ext uri="{28A0092B-C50C-407E-A947-70E740481C1C}">
                          <a14:useLocalDpi xmlns:a14="http://schemas.microsoft.com/office/drawing/2010/main"/>
                        </a:ext>
                      </a:extLst>
                    </a:blip>
                    <a:stretch>
                      <a:fillRect/>
                    </a:stretch>
                  </pic:blipFill>
                  <pic:spPr bwMode="auto">
                    <a:xfrm>
                      <a:off x="0" y="0"/>
                      <a:ext cx="3604260" cy="1611630"/>
                    </a:xfrm>
                    <a:prstGeom prst="rect">
                      <a:avLst/>
                    </a:prstGeom>
                  </pic:spPr>
                </pic:pic>
              </a:graphicData>
            </a:graphic>
          </wp:anchor>
        </w:drawing>
      </w:r>
    </w:p>
    <w:p w14:paraId="09C93913" w14:textId="77777777" w:rsidR="00A140F9" w:rsidRPr="00A07BE9" w:rsidRDefault="00A140F9" w:rsidP="00A140F9">
      <w:pPr>
        <w:spacing w:after="0" w:line="276" w:lineRule="auto"/>
        <w:jc w:val="both"/>
        <w:rPr>
          <w:rFonts w:ascii="Open Sans" w:hAnsi="Open Sans" w:cs="Open Sans"/>
          <w:sz w:val="21"/>
          <w:szCs w:val="21"/>
        </w:rPr>
      </w:pPr>
    </w:p>
    <w:p w14:paraId="079F3312" w14:textId="77777777" w:rsidR="00A140F9" w:rsidRPr="00A07BE9" w:rsidRDefault="00A140F9" w:rsidP="00A140F9">
      <w:pPr>
        <w:spacing w:after="0" w:line="276" w:lineRule="auto"/>
        <w:jc w:val="both"/>
        <w:rPr>
          <w:rFonts w:ascii="Open Sans" w:hAnsi="Open Sans" w:cs="Open Sans"/>
          <w:sz w:val="21"/>
          <w:szCs w:val="21"/>
        </w:rPr>
      </w:pPr>
    </w:p>
    <w:p w14:paraId="0176F09E" w14:textId="77777777" w:rsidR="00A140F9" w:rsidRPr="00A07BE9" w:rsidRDefault="00A140F9" w:rsidP="00A140F9">
      <w:pPr>
        <w:spacing w:after="0" w:line="276" w:lineRule="auto"/>
        <w:jc w:val="both"/>
        <w:rPr>
          <w:rFonts w:ascii="Open Sans" w:hAnsi="Open Sans" w:cs="Open Sans"/>
          <w:sz w:val="21"/>
          <w:szCs w:val="21"/>
        </w:rPr>
      </w:pPr>
    </w:p>
    <w:p w14:paraId="4AF97DEB" w14:textId="77777777" w:rsidR="00A140F9" w:rsidRPr="00A07BE9" w:rsidRDefault="00A140F9" w:rsidP="00A140F9">
      <w:pPr>
        <w:spacing w:after="0" w:line="276" w:lineRule="auto"/>
        <w:jc w:val="both"/>
        <w:rPr>
          <w:rFonts w:ascii="Open Sans" w:hAnsi="Open Sans" w:cs="Open Sans"/>
          <w:sz w:val="21"/>
          <w:szCs w:val="21"/>
        </w:rPr>
      </w:pPr>
    </w:p>
    <w:p w14:paraId="606073C4" w14:textId="77777777" w:rsidR="00A140F9" w:rsidRPr="00A07BE9" w:rsidRDefault="00A140F9" w:rsidP="00A140F9">
      <w:pPr>
        <w:spacing w:after="0" w:line="276" w:lineRule="auto"/>
        <w:jc w:val="both"/>
        <w:rPr>
          <w:rFonts w:ascii="Open Sans" w:hAnsi="Open Sans" w:cs="Open Sans"/>
          <w:sz w:val="21"/>
          <w:szCs w:val="21"/>
        </w:rPr>
      </w:pPr>
    </w:p>
    <w:p w14:paraId="6F4611DF" w14:textId="77777777" w:rsidR="00A140F9" w:rsidRPr="00A07BE9" w:rsidRDefault="00A140F9" w:rsidP="00A140F9">
      <w:pPr>
        <w:spacing w:after="0" w:line="276" w:lineRule="auto"/>
        <w:jc w:val="both"/>
        <w:rPr>
          <w:rFonts w:ascii="Open Sans" w:hAnsi="Open Sans" w:cs="Open Sans"/>
          <w:sz w:val="21"/>
          <w:szCs w:val="21"/>
        </w:rPr>
      </w:pPr>
    </w:p>
    <w:p w14:paraId="6E2898E3" w14:textId="77777777" w:rsidR="00A140F9" w:rsidRPr="00A07BE9" w:rsidRDefault="00A140F9" w:rsidP="00A140F9">
      <w:pPr>
        <w:spacing w:after="0" w:line="276" w:lineRule="auto"/>
        <w:jc w:val="both"/>
        <w:rPr>
          <w:rFonts w:ascii="Open Sans" w:hAnsi="Open Sans" w:cs="Open Sans"/>
          <w:sz w:val="21"/>
          <w:szCs w:val="21"/>
        </w:rPr>
      </w:pPr>
    </w:p>
    <w:p w14:paraId="267E267E" w14:textId="77777777" w:rsidR="00A140F9" w:rsidRPr="00A07BE9" w:rsidRDefault="00A140F9" w:rsidP="00A140F9">
      <w:pPr>
        <w:spacing w:after="0" w:line="276" w:lineRule="auto"/>
        <w:jc w:val="both"/>
        <w:rPr>
          <w:rFonts w:ascii="Open Sans" w:hAnsi="Open Sans" w:cs="Open Sans"/>
          <w:sz w:val="21"/>
          <w:szCs w:val="21"/>
        </w:rPr>
      </w:pPr>
    </w:p>
    <w:p w14:paraId="50976426" w14:textId="6098FA3B" w:rsidR="00A140F9" w:rsidRPr="00A07BE9" w:rsidRDefault="00A140F9" w:rsidP="00A140F9">
      <w:pPr>
        <w:spacing w:after="0" w:line="276" w:lineRule="auto"/>
        <w:jc w:val="both"/>
        <w:rPr>
          <w:sz w:val="20"/>
          <w:szCs w:val="20"/>
        </w:rPr>
      </w:pPr>
      <w:r w:rsidRPr="00A07BE9">
        <w:rPr>
          <w:rFonts w:ascii="Open Sans" w:hAnsi="Open Sans" w:cs="Open Sans"/>
          <w:sz w:val="20"/>
          <w:szCs w:val="20"/>
        </w:rPr>
        <w:t xml:space="preserve">Las funciones de la Agencia vinculadas a las tareas propias del Servicio de Prevención están descritas en el artículo 4 de la </w:t>
      </w:r>
      <w:hyperlink r:id="rId28" w:history="1">
        <w:r w:rsidRPr="00A07BE9">
          <w:rPr>
            <w:rStyle w:val="Hipervnculo"/>
            <w:rFonts w:ascii="Open Sans" w:hAnsi="Open Sans" w:cs="Open Sans"/>
            <w:sz w:val="20"/>
            <w:szCs w:val="20"/>
          </w:rPr>
          <w:t>Ley 11/2016, de 28 de noviembre, de la Generalitat</w:t>
        </w:r>
      </w:hyperlink>
      <w:r w:rsidRPr="00A07BE9">
        <w:rPr>
          <w:rFonts w:ascii="Open Sans" w:hAnsi="Open Sans" w:cs="Open Sans"/>
          <w:sz w:val="20"/>
          <w:szCs w:val="20"/>
        </w:rPr>
        <w:t xml:space="preserve"> y desarrolladas en los artículos 19 y 27 del </w:t>
      </w:r>
      <w:hyperlink r:id="rId29" w:history="1">
        <w:r w:rsidRPr="00A07BE9">
          <w:rPr>
            <w:rStyle w:val="Hipervnculo"/>
            <w:rFonts w:ascii="Open Sans" w:hAnsi="Open Sans" w:cs="Open Sans"/>
            <w:sz w:val="20"/>
            <w:szCs w:val="20"/>
          </w:rPr>
          <w:t>Reglamento de régimen interior y funcionamiento de la Agencia</w:t>
        </w:r>
      </w:hyperlink>
      <w:r w:rsidRPr="00A07BE9">
        <w:rPr>
          <w:rFonts w:ascii="Open Sans" w:hAnsi="Open Sans" w:cs="Open Sans"/>
          <w:sz w:val="20"/>
          <w:szCs w:val="20"/>
        </w:rPr>
        <w:t>. En concreto, nos referimos a:</w:t>
      </w:r>
    </w:p>
    <w:p w14:paraId="5AE9DE5E" w14:textId="77777777" w:rsidR="00A140F9" w:rsidRPr="00A07BE9" w:rsidRDefault="00A140F9" w:rsidP="00A140F9">
      <w:pPr>
        <w:spacing w:after="0" w:line="276" w:lineRule="auto"/>
        <w:jc w:val="both"/>
        <w:rPr>
          <w:rFonts w:ascii="Open Sans" w:hAnsi="Open Sans" w:cs="Open Sans"/>
          <w:sz w:val="20"/>
          <w:szCs w:val="20"/>
        </w:rPr>
      </w:pPr>
    </w:p>
    <w:p w14:paraId="5904B0D0" w14:textId="77777777" w:rsidR="00A140F9" w:rsidRPr="00A07BE9" w:rsidRDefault="00A140F9" w:rsidP="00A140F9">
      <w:pPr>
        <w:pStyle w:val="Prrafodelista"/>
        <w:numPr>
          <w:ilvl w:val="0"/>
          <w:numId w:val="2"/>
        </w:numPr>
        <w:spacing w:after="0" w:line="276" w:lineRule="auto"/>
        <w:jc w:val="both"/>
        <w:rPr>
          <w:rFonts w:ascii="Open Sans" w:hAnsi="Open Sans" w:cs="Open Sans"/>
          <w:sz w:val="20"/>
          <w:szCs w:val="20"/>
        </w:rPr>
      </w:pPr>
      <w:r w:rsidRPr="00A07BE9">
        <w:rPr>
          <w:rFonts w:ascii="Open Sans" w:hAnsi="Open Sans" w:cs="Open Sans"/>
          <w:sz w:val="20"/>
          <w:szCs w:val="20"/>
        </w:rPr>
        <w:t>La prevención de posibles casos de uso o destino irregular de fondos públicos y de conductas opuestas a la integridad o contrarias a los principios de objetividad, eficacia y sumisión plena a la ley y al derecho.</w:t>
      </w:r>
    </w:p>
    <w:p w14:paraId="23FFEE49" w14:textId="77777777" w:rsidR="00A140F9" w:rsidRPr="00A07BE9" w:rsidRDefault="00A140F9" w:rsidP="00A140F9">
      <w:pPr>
        <w:pStyle w:val="Prrafodelista"/>
        <w:spacing w:after="0" w:line="276" w:lineRule="auto"/>
        <w:ind w:left="1080"/>
        <w:jc w:val="both"/>
        <w:rPr>
          <w:rFonts w:ascii="Open Sans" w:hAnsi="Open Sans" w:cs="Open Sans"/>
          <w:sz w:val="20"/>
          <w:szCs w:val="20"/>
        </w:rPr>
      </w:pPr>
    </w:p>
    <w:p w14:paraId="2C652E61" w14:textId="77777777" w:rsidR="00A140F9" w:rsidRPr="00A07BE9" w:rsidRDefault="00A140F9" w:rsidP="00A140F9">
      <w:pPr>
        <w:pStyle w:val="Prrafodelista"/>
        <w:numPr>
          <w:ilvl w:val="0"/>
          <w:numId w:val="2"/>
        </w:numPr>
        <w:spacing w:after="0" w:line="276" w:lineRule="auto"/>
        <w:jc w:val="both"/>
        <w:rPr>
          <w:rFonts w:ascii="Open Sans" w:hAnsi="Open Sans" w:cs="Open Sans"/>
          <w:sz w:val="20"/>
          <w:szCs w:val="20"/>
        </w:rPr>
      </w:pPr>
      <w:r w:rsidRPr="00A07BE9">
        <w:rPr>
          <w:rFonts w:ascii="Open Sans" w:hAnsi="Open Sans" w:cs="Open Sans"/>
          <w:sz w:val="20"/>
          <w:szCs w:val="20"/>
        </w:rPr>
        <w:t>La prevención y la alerta con relación a conductas del personal al servicio de las entidades públicas que comporten el uso o abuso en beneficio privado de informaciones que tengan por razón de sus funciones o que tengan o puedan tener como resultado el uso o el destino irregular de fondos públicos o de cualquier otro aprovechamiento contrario al ordenamiento jurídico.</w:t>
      </w:r>
    </w:p>
    <w:p w14:paraId="40B0FA22" w14:textId="77777777" w:rsidR="00A140F9" w:rsidRPr="00A07BE9" w:rsidRDefault="00A140F9" w:rsidP="00A140F9">
      <w:pPr>
        <w:pStyle w:val="Prrafodelista"/>
        <w:spacing w:after="0" w:line="276" w:lineRule="auto"/>
        <w:ind w:left="1080"/>
        <w:jc w:val="both"/>
        <w:rPr>
          <w:rFonts w:ascii="Open Sans" w:hAnsi="Open Sans" w:cs="Open Sans"/>
          <w:sz w:val="20"/>
          <w:szCs w:val="20"/>
        </w:rPr>
      </w:pPr>
    </w:p>
    <w:p w14:paraId="6078BB59" w14:textId="77777777" w:rsidR="00A140F9" w:rsidRPr="00A07BE9" w:rsidRDefault="00A140F9" w:rsidP="00A140F9">
      <w:pPr>
        <w:pStyle w:val="Prrafodelista"/>
        <w:numPr>
          <w:ilvl w:val="0"/>
          <w:numId w:val="2"/>
        </w:numPr>
        <w:spacing w:after="0" w:line="276" w:lineRule="auto"/>
        <w:jc w:val="both"/>
        <w:rPr>
          <w:rFonts w:ascii="Open Sans" w:hAnsi="Open Sans" w:cs="Open Sans"/>
          <w:sz w:val="20"/>
          <w:szCs w:val="20"/>
        </w:rPr>
      </w:pPr>
      <w:r w:rsidRPr="00A07BE9">
        <w:rPr>
          <w:rFonts w:ascii="Open Sans" w:hAnsi="Open Sans" w:cs="Open Sans"/>
          <w:sz w:val="20"/>
          <w:szCs w:val="20"/>
        </w:rPr>
        <w:t>La evaluación, en colaboración con los órganos de control existentes, de la eficacia de los instrumentos jurídicos y las medidas existentes en materia de prevención y lucha contra el fraude y la corrupción, con el fin de garantizar los máximos niveles de integridad, eficiencia y transparencia, especialmente en materia de contratación pública, procedimientos de toma de decisiones, prestación de servicios públicos y gestión de los recursos públicos, y el acceso y la provisión en el empleo público para garantizar el respeto a los principios de publicidad, igualdad, mérito y capacidad.</w:t>
      </w:r>
    </w:p>
    <w:p w14:paraId="12B82CBC" w14:textId="77777777" w:rsidR="00A140F9" w:rsidRPr="00A07BE9" w:rsidRDefault="00A140F9" w:rsidP="00A140F9">
      <w:pPr>
        <w:pStyle w:val="Prrafodelista"/>
        <w:spacing w:after="0" w:line="276" w:lineRule="auto"/>
        <w:ind w:left="1080"/>
        <w:jc w:val="both"/>
        <w:rPr>
          <w:rFonts w:ascii="Open Sans" w:hAnsi="Open Sans" w:cs="Open Sans"/>
          <w:sz w:val="20"/>
          <w:szCs w:val="20"/>
        </w:rPr>
      </w:pPr>
    </w:p>
    <w:p w14:paraId="3E98F540" w14:textId="77777777" w:rsidR="00A140F9" w:rsidRPr="00A07BE9" w:rsidRDefault="00A140F9" w:rsidP="00A140F9">
      <w:pPr>
        <w:pStyle w:val="Prrafodelista"/>
        <w:numPr>
          <w:ilvl w:val="0"/>
          <w:numId w:val="2"/>
        </w:numPr>
        <w:spacing w:after="0" w:line="276" w:lineRule="auto"/>
        <w:jc w:val="both"/>
        <w:rPr>
          <w:rFonts w:ascii="Open Sans" w:hAnsi="Open Sans" w:cs="Open Sans"/>
          <w:sz w:val="20"/>
          <w:szCs w:val="20"/>
        </w:rPr>
      </w:pPr>
      <w:r w:rsidRPr="00A07BE9">
        <w:rPr>
          <w:rFonts w:ascii="Open Sans" w:hAnsi="Open Sans" w:cs="Open Sans"/>
          <w:sz w:val="20"/>
          <w:szCs w:val="20"/>
        </w:rPr>
        <w:t xml:space="preserve">Hacer estudios y análisis de riesgos previos en actividades relacionadas con la contratación administrativa, la prestación de servicios públicos, las ayudas o las subvenciones públicas y los procedimientos de toma de decisiones, en colaboración con los servicios de auditoría o intervención. </w:t>
      </w:r>
    </w:p>
    <w:p w14:paraId="0D0560A2" w14:textId="77777777" w:rsidR="00A140F9" w:rsidRPr="00A07BE9" w:rsidRDefault="00A140F9" w:rsidP="00A140F9">
      <w:pPr>
        <w:pStyle w:val="Prrafodelista"/>
        <w:spacing w:after="0" w:line="276" w:lineRule="auto"/>
        <w:ind w:left="1080"/>
        <w:jc w:val="both"/>
        <w:rPr>
          <w:rFonts w:ascii="Open Sans" w:hAnsi="Open Sans" w:cs="Open Sans"/>
          <w:sz w:val="20"/>
          <w:szCs w:val="20"/>
        </w:rPr>
      </w:pPr>
    </w:p>
    <w:p w14:paraId="4868BB68" w14:textId="6173B3DE" w:rsidR="00A140F9" w:rsidRPr="00A07BE9" w:rsidRDefault="00A140F9" w:rsidP="00AF1365">
      <w:pPr>
        <w:pStyle w:val="Prrafodelista"/>
        <w:numPr>
          <w:ilvl w:val="0"/>
          <w:numId w:val="2"/>
        </w:numPr>
        <w:spacing w:after="0" w:line="276" w:lineRule="auto"/>
        <w:jc w:val="both"/>
        <w:rPr>
          <w:rFonts w:ascii="Open Sans" w:hAnsi="Open Sans" w:cs="Open Sans"/>
          <w:sz w:val="20"/>
          <w:szCs w:val="20"/>
        </w:rPr>
      </w:pPr>
      <w:r w:rsidRPr="00A07BE9">
        <w:rPr>
          <w:rFonts w:ascii="Open Sans" w:hAnsi="Open Sans" w:cs="Open Sans"/>
          <w:sz w:val="20"/>
          <w:szCs w:val="20"/>
        </w:rPr>
        <w:t xml:space="preserve">Hacer funciones de asesoramiento y formular propuestas y recomendaciones a </w:t>
      </w:r>
      <w:r w:rsidR="00934635" w:rsidRPr="00A07BE9">
        <w:rPr>
          <w:rFonts w:ascii="Open Sans" w:hAnsi="Open Sans" w:cs="Open Sans"/>
          <w:sz w:val="20"/>
          <w:szCs w:val="20"/>
        </w:rPr>
        <w:t>l</w:t>
      </w:r>
      <w:r w:rsidRPr="00A07BE9">
        <w:rPr>
          <w:rFonts w:ascii="Open Sans" w:hAnsi="Open Sans" w:cs="Open Sans"/>
          <w:sz w:val="20"/>
          <w:szCs w:val="20"/>
        </w:rPr>
        <w:t>es Corts, al Consell de la Generalitat y a las entidades incluidas en el ámbito de actuación en materia de integridad, ética pública y prevención de la corrupción.</w:t>
      </w:r>
    </w:p>
    <w:p w14:paraId="2EC830A8" w14:textId="77777777" w:rsidR="00802962" w:rsidRPr="00A07BE9" w:rsidRDefault="00802962" w:rsidP="00802962">
      <w:pPr>
        <w:spacing w:after="0" w:line="276" w:lineRule="auto"/>
        <w:jc w:val="both"/>
        <w:rPr>
          <w:rFonts w:ascii="Open Sans" w:hAnsi="Open Sans" w:cs="Open Sans"/>
          <w:sz w:val="20"/>
          <w:szCs w:val="20"/>
        </w:rPr>
      </w:pPr>
    </w:p>
    <w:p w14:paraId="74EA6ECD" w14:textId="77777777" w:rsidR="00A140F9" w:rsidRPr="00A07BE9" w:rsidRDefault="00A140F9" w:rsidP="00A140F9">
      <w:pPr>
        <w:pStyle w:val="Prrafodelista"/>
        <w:numPr>
          <w:ilvl w:val="0"/>
          <w:numId w:val="2"/>
        </w:numPr>
        <w:spacing w:after="0" w:line="276" w:lineRule="auto"/>
        <w:jc w:val="both"/>
        <w:rPr>
          <w:rFonts w:ascii="Open Sans" w:hAnsi="Open Sans" w:cs="Open Sans"/>
          <w:sz w:val="20"/>
          <w:szCs w:val="20"/>
        </w:rPr>
      </w:pPr>
      <w:r w:rsidRPr="00A07BE9">
        <w:rPr>
          <w:rFonts w:ascii="Open Sans" w:hAnsi="Open Sans" w:cs="Open Sans"/>
          <w:sz w:val="20"/>
          <w:szCs w:val="20"/>
        </w:rPr>
        <w:lastRenderedPageBreak/>
        <w:t>Colaborar con los órganos y los organismos de control interno y externo de la actuación administrativa en el establecimiento de criterios previos, claros y estables de control de la acción pública.</w:t>
      </w:r>
    </w:p>
    <w:p w14:paraId="60A9AF7F" w14:textId="77777777" w:rsidR="00A140F9" w:rsidRPr="00A07BE9" w:rsidRDefault="00A140F9" w:rsidP="00A140F9">
      <w:pPr>
        <w:pStyle w:val="Prrafodelista"/>
        <w:spacing w:after="0" w:line="276" w:lineRule="auto"/>
        <w:ind w:left="1080"/>
        <w:jc w:val="both"/>
        <w:rPr>
          <w:rFonts w:ascii="Open Sans" w:hAnsi="Open Sans" w:cs="Open Sans"/>
          <w:sz w:val="20"/>
          <w:szCs w:val="20"/>
        </w:rPr>
      </w:pPr>
    </w:p>
    <w:p w14:paraId="68BE933F" w14:textId="77777777" w:rsidR="00A140F9" w:rsidRPr="00A07BE9" w:rsidRDefault="00A140F9" w:rsidP="00A140F9">
      <w:pPr>
        <w:pStyle w:val="Prrafodelista"/>
        <w:numPr>
          <w:ilvl w:val="0"/>
          <w:numId w:val="2"/>
        </w:numPr>
        <w:spacing w:after="0" w:line="276" w:lineRule="auto"/>
        <w:jc w:val="both"/>
        <w:rPr>
          <w:rFonts w:ascii="Open Sans" w:hAnsi="Open Sans" w:cs="Open Sans"/>
          <w:sz w:val="20"/>
          <w:szCs w:val="20"/>
        </w:rPr>
      </w:pPr>
      <w:r w:rsidRPr="00A07BE9">
        <w:rPr>
          <w:rFonts w:ascii="Open Sans" w:hAnsi="Open Sans" w:cs="Open Sans"/>
          <w:sz w:val="20"/>
          <w:szCs w:val="20"/>
        </w:rPr>
        <w:t>Aquellas otras actuaciones cuyo contenido y finalidad puedan ser considerados acciones preventivas contra el fraude y la corrupción, entre las que destacaríamos el asesoramiento en la elaboración de las estrategias para fomentar los marcos de integridad pública.</w:t>
      </w:r>
    </w:p>
    <w:p w14:paraId="336A890E" w14:textId="77777777" w:rsidR="004A3C1B" w:rsidRPr="00A07BE9" w:rsidRDefault="004A3C1B" w:rsidP="00A140F9">
      <w:pPr>
        <w:spacing w:after="0" w:line="276" w:lineRule="auto"/>
        <w:jc w:val="both"/>
        <w:rPr>
          <w:rFonts w:ascii="Open Sans" w:hAnsi="Open Sans" w:cs="Open Sans"/>
          <w:sz w:val="20"/>
          <w:szCs w:val="20"/>
        </w:rPr>
      </w:pPr>
    </w:p>
    <w:p w14:paraId="03C5667B" w14:textId="1CACFCCA"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noProof/>
          <w:sz w:val="21"/>
          <w:szCs w:val="21"/>
        </w:rPr>
        <w:drawing>
          <wp:anchor distT="0" distB="0" distL="0" distR="0" simplePos="0" relativeHeight="251764736" behindDoc="0" locked="0" layoutInCell="1" allowOverlap="1" wp14:anchorId="304D38E5" wp14:editId="1D8C6E21">
            <wp:simplePos x="0" y="0"/>
            <wp:positionH relativeFrom="column">
              <wp:align>center</wp:align>
            </wp:positionH>
            <wp:positionV relativeFrom="paragraph">
              <wp:posOffset>635</wp:posOffset>
            </wp:positionV>
            <wp:extent cx="3898900" cy="2260600"/>
            <wp:effectExtent l="0" t="0" r="0" b="0"/>
            <wp:wrapTopAndBottom/>
            <wp:docPr id="360" name="Image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3"/>
                    <pic:cNvPicPr>
                      <a:picLocks noChangeAspect="1" noChangeArrowheads="1"/>
                    </pic:cNvPicPr>
                  </pic:nvPicPr>
                  <pic:blipFill>
                    <a:blip r:embed="rId30" cstate="screen">
                      <a:extLst>
                        <a:ext uri="{28A0092B-C50C-407E-A947-70E740481C1C}">
                          <a14:useLocalDpi xmlns:a14="http://schemas.microsoft.com/office/drawing/2010/main"/>
                        </a:ext>
                      </a:extLst>
                    </a:blip>
                    <a:stretch>
                      <a:fillRect/>
                    </a:stretch>
                  </pic:blipFill>
                  <pic:spPr bwMode="auto">
                    <a:xfrm>
                      <a:off x="0" y="0"/>
                      <a:ext cx="3898900" cy="2260600"/>
                    </a:xfrm>
                    <a:prstGeom prst="rect">
                      <a:avLst/>
                    </a:prstGeom>
                  </pic:spPr>
                </pic:pic>
              </a:graphicData>
            </a:graphic>
          </wp:anchor>
        </w:drawing>
      </w:r>
    </w:p>
    <w:p w14:paraId="6418737C" w14:textId="77777777" w:rsidR="004A3C1B" w:rsidRPr="00A07BE9" w:rsidRDefault="004A3C1B" w:rsidP="00A140F9">
      <w:pPr>
        <w:suppressAutoHyphens/>
        <w:spacing w:after="0" w:line="240" w:lineRule="auto"/>
        <w:jc w:val="both"/>
        <w:rPr>
          <w:rFonts w:ascii="Open Sans" w:eastAsia="Times New Roman" w:hAnsi="Open Sans" w:cs="Open Sans"/>
          <w:b/>
          <w:bCs/>
          <w:smallCaps/>
          <w:color w:val="9D2235"/>
          <w:sz w:val="20"/>
          <w:szCs w:val="20"/>
          <w:lang w:eastAsia="es-ES"/>
        </w:rPr>
      </w:pPr>
    </w:p>
    <w:p w14:paraId="46F925BF" w14:textId="1918B65B" w:rsidR="00A140F9" w:rsidRPr="00A07BE9" w:rsidRDefault="00A140F9" w:rsidP="00A140F9">
      <w:pPr>
        <w:suppressAutoHyphens/>
        <w:spacing w:after="0" w:line="240" w:lineRule="auto"/>
        <w:jc w:val="both"/>
        <w:rPr>
          <w:rFonts w:ascii="Open Sans" w:eastAsia="Times New Roman" w:hAnsi="Open Sans" w:cs="Open Sans"/>
          <w:b/>
          <w:bCs/>
          <w:smallCaps/>
          <w:color w:val="9D2235"/>
          <w:sz w:val="28"/>
          <w:szCs w:val="28"/>
          <w:lang w:eastAsia="es-ES"/>
        </w:rPr>
      </w:pPr>
      <w:r w:rsidRPr="00A07BE9">
        <w:rPr>
          <w:rFonts w:ascii="Open Sans" w:eastAsia="Times New Roman" w:hAnsi="Open Sans" w:cs="Open Sans"/>
          <w:b/>
          <w:bCs/>
          <w:smallCaps/>
          <w:color w:val="9D2235"/>
          <w:sz w:val="28"/>
          <w:szCs w:val="28"/>
          <w:lang w:eastAsia="es-ES"/>
        </w:rPr>
        <w:t>2.1.3. Plan Estratégico del Servicio de Prevención</w:t>
      </w:r>
    </w:p>
    <w:p w14:paraId="5F29D88B" w14:textId="77777777" w:rsidR="00A140F9" w:rsidRPr="00A07BE9" w:rsidRDefault="00A140F9" w:rsidP="00A140F9">
      <w:pPr>
        <w:spacing w:after="0" w:line="276" w:lineRule="auto"/>
        <w:jc w:val="both"/>
        <w:rPr>
          <w:rFonts w:ascii="Open Sans" w:hAnsi="Open Sans" w:cs="Open Sans"/>
          <w:sz w:val="20"/>
          <w:szCs w:val="20"/>
        </w:rPr>
      </w:pPr>
    </w:p>
    <w:p w14:paraId="63652343" w14:textId="36609315"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 xml:space="preserve">En este ejercicio se ha elaborado la propuesta del plan estratégico del Servicio de Prevención, de carácter plurianual (2020-2024), aprobado por el director de la Agencia, en </w:t>
      </w:r>
      <w:r w:rsidR="00CE2DC9">
        <w:rPr>
          <w:rFonts w:ascii="Open Sans" w:hAnsi="Open Sans" w:cs="Open Sans"/>
          <w:sz w:val="20"/>
          <w:szCs w:val="20"/>
        </w:rPr>
        <w:t>R</w:t>
      </w:r>
      <w:r w:rsidRPr="00A07BE9">
        <w:rPr>
          <w:rFonts w:ascii="Open Sans" w:hAnsi="Open Sans" w:cs="Open Sans"/>
          <w:sz w:val="20"/>
          <w:szCs w:val="20"/>
        </w:rPr>
        <w:t xml:space="preserve">esolución de 11 de diciembre, cuyo contenido se ha dado a conocer a todo el personal de la Agencia. </w:t>
      </w:r>
    </w:p>
    <w:p w14:paraId="3A06A838" w14:textId="77777777" w:rsidR="00A140F9" w:rsidRPr="00A07BE9" w:rsidRDefault="00A140F9" w:rsidP="00A140F9">
      <w:pPr>
        <w:spacing w:after="0" w:line="276" w:lineRule="auto"/>
        <w:jc w:val="both"/>
        <w:rPr>
          <w:rFonts w:ascii="Open Sans" w:hAnsi="Open Sans" w:cs="Open Sans"/>
          <w:sz w:val="20"/>
          <w:szCs w:val="20"/>
        </w:rPr>
      </w:pPr>
    </w:p>
    <w:p w14:paraId="2C702EE2" w14:textId="77777777"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El plan estratégico pretende servir de guía durante los próximos años, para el desempeño de las funciones asignadas a la Agencia en el ámbito de la prevención, la integridad y la ética públicas, con vocación de actualización periódica y adaptación a las necesidades que puedan surgir, y condicionado a la efectiva incorporación del nuevo personal asignado al servicio.</w:t>
      </w:r>
    </w:p>
    <w:p w14:paraId="66C352F7" w14:textId="77777777" w:rsidR="00A140F9" w:rsidRPr="00A07BE9" w:rsidRDefault="00A140F9" w:rsidP="00A140F9">
      <w:pPr>
        <w:spacing w:after="0" w:line="276" w:lineRule="auto"/>
        <w:jc w:val="both"/>
        <w:rPr>
          <w:rFonts w:ascii="Open Sans" w:hAnsi="Open Sans" w:cs="Open Sans"/>
          <w:sz w:val="20"/>
          <w:szCs w:val="20"/>
        </w:rPr>
      </w:pPr>
    </w:p>
    <w:p w14:paraId="6E52B6C7" w14:textId="22B58596"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El plan se propone en el marco al que hemos hecho referencia en diversas ocasiones: el de la creciente conciencia social ante la corrupción, que nos exhorta a concebirla como un riesgo real y permanente, que proviene de múltiples causas, que puede activarse en cualquier momento, y que amenaza los diversos ámbitos del ejercicio de las potestades públicas.</w:t>
      </w:r>
    </w:p>
    <w:p w14:paraId="28D28D35" w14:textId="77777777" w:rsidR="002A1357" w:rsidRPr="00A07BE9" w:rsidRDefault="002A1357" w:rsidP="00A140F9">
      <w:pPr>
        <w:spacing w:after="0" w:line="276" w:lineRule="auto"/>
        <w:jc w:val="both"/>
        <w:rPr>
          <w:rFonts w:ascii="Open Sans" w:hAnsi="Open Sans" w:cs="Open Sans"/>
          <w:sz w:val="20"/>
          <w:szCs w:val="20"/>
        </w:rPr>
      </w:pPr>
    </w:p>
    <w:p w14:paraId="763AE374" w14:textId="77777777"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 xml:space="preserve">La legítima demanda ciudadana de recuperar, con la máxima celeridad posible, la calidad y el buen funcionamiento de las instituciones, la actualidad de un intenso período de judicialización todavía pendiente de los casos de corrupción, y la circunstancia que la </w:t>
      </w:r>
      <w:r w:rsidRPr="00A07BE9">
        <w:rPr>
          <w:rFonts w:ascii="Open Sans" w:hAnsi="Open Sans" w:cs="Open Sans"/>
          <w:sz w:val="20"/>
          <w:szCs w:val="20"/>
        </w:rPr>
        <w:lastRenderedPageBreak/>
        <w:t>rendición de cuentas y los sistemas de control que deberían haber funcionado no siempre lo han hecho determinan que, en la práctica, se haya apostado prioritariamente por las medidas correctivas, dejando las preventivas en un segundo plano.</w:t>
      </w:r>
    </w:p>
    <w:p w14:paraId="4C34E063" w14:textId="77777777" w:rsidR="00A140F9" w:rsidRPr="00A07BE9" w:rsidRDefault="00A140F9" w:rsidP="00A140F9">
      <w:pPr>
        <w:spacing w:after="0" w:line="276" w:lineRule="auto"/>
        <w:jc w:val="both"/>
        <w:rPr>
          <w:rFonts w:ascii="Open Sans" w:hAnsi="Open Sans" w:cs="Open Sans"/>
          <w:sz w:val="20"/>
          <w:szCs w:val="20"/>
        </w:rPr>
      </w:pPr>
    </w:p>
    <w:p w14:paraId="23910A90" w14:textId="76B86BFA" w:rsidR="00A140F9" w:rsidRPr="00A07BE9" w:rsidRDefault="00A140F9" w:rsidP="00A140F9">
      <w:pPr>
        <w:spacing w:after="0" w:line="276" w:lineRule="auto"/>
        <w:jc w:val="both"/>
        <w:rPr>
          <w:sz w:val="20"/>
          <w:szCs w:val="20"/>
        </w:rPr>
      </w:pPr>
      <w:r w:rsidRPr="00A07BE9">
        <w:rPr>
          <w:rFonts w:ascii="Open Sans" w:hAnsi="Open Sans" w:cs="Open Sans"/>
          <w:sz w:val="20"/>
          <w:szCs w:val="20"/>
        </w:rPr>
        <w:t xml:space="preserve">En este sentido, y en línea con la </w:t>
      </w:r>
      <w:hyperlink r:id="rId31" w:history="1">
        <w:r w:rsidRPr="00A07BE9">
          <w:rPr>
            <w:rStyle w:val="Hipervnculo"/>
            <w:rFonts w:ascii="Open Sans" w:hAnsi="Open Sans" w:cs="Open Sans"/>
            <w:sz w:val="20"/>
            <w:szCs w:val="20"/>
          </w:rPr>
          <w:t>Recomendación del Consejo de la OCDE sobre integridad pública C(2017)5, adoptada el 26 de enero de 2017</w:t>
        </w:r>
      </w:hyperlink>
      <w:r w:rsidRPr="00A07BE9">
        <w:rPr>
          <w:rFonts w:ascii="Open Sans" w:hAnsi="Open Sans" w:cs="Open Sans"/>
          <w:sz w:val="20"/>
          <w:szCs w:val="20"/>
        </w:rPr>
        <w:t>, a propuesta del Comité de Gobernanza Pública, el plan estratégico aboga por fomentar una perspectiva de prevención que, si bien no eliminará al 100% la probabilidad de prácticas ilícitas que supongan riesgo de corrupción, sí que nos permitirá identificarlas y procurar gestionarlas adecuadamente.</w:t>
      </w:r>
    </w:p>
    <w:p w14:paraId="0E4EEC90" w14:textId="77777777" w:rsidR="00A140F9" w:rsidRPr="00A07BE9" w:rsidRDefault="00A140F9" w:rsidP="00A140F9">
      <w:pPr>
        <w:spacing w:after="0" w:line="276" w:lineRule="auto"/>
        <w:jc w:val="both"/>
        <w:rPr>
          <w:rFonts w:ascii="Open Sans" w:hAnsi="Open Sans" w:cs="Open Sans"/>
          <w:sz w:val="20"/>
          <w:szCs w:val="20"/>
        </w:rPr>
      </w:pPr>
    </w:p>
    <w:p w14:paraId="04D61746" w14:textId="042716AC"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Junto a esta perspectiva de prevención y en consonancia con la doctrina más consolidada, en el plan estratégico también se considera que la mejor forma de reforzar la integridad pública y prevenir la corrupción en el sector público es disponer de una política global y coherente, bajo un enfoque holístico y un tratamiento de conjunto, por lo que también acontece imprescindible promover una cultura de integridad pública que alcance, no solo a los servidores públicos, sino también al conjunto de la sociedad, con la colaboración del sector privado, la sociedad civil y las personas físicas.</w:t>
      </w:r>
    </w:p>
    <w:p w14:paraId="02F2602F" w14:textId="77777777" w:rsidR="005F0A1F" w:rsidRPr="00A07BE9" w:rsidRDefault="005F0A1F" w:rsidP="00A140F9">
      <w:pPr>
        <w:spacing w:after="0" w:line="276" w:lineRule="auto"/>
        <w:jc w:val="both"/>
        <w:rPr>
          <w:sz w:val="20"/>
          <w:szCs w:val="20"/>
        </w:rPr>
      </w:pPr>
    </w:p>
    <w:p w14:paraId="24478C6F" w14:textId="77777777" w:rsidR="00A140F9" w:rsidRPr="00A07BE9" w:rsidRDefault="00A140F9" w:rsidP="00A140F9">
      <w:pPr>
        <w:spacing w:after="0" w:line="276" w:lineRule="auto"/>
        <w:jc w:val="center"/>
        <w:rPr>
          <w:rFonts w:ascii="Open Sans" w:hAnsi="Open Sans" w:cs="Open Sans"/>
          <w:i/>
          <w:iCs/>
          <w:sz w:val="16"/>
          <w:szCs w:val="16"/>
        </w:rPr>
      </w:pPr>
      <w:r w:rsidRPr="00A07BE9">
        <w:rPr>
          <w:noProof/>
        </w:rPr>
        <w:drawing>
          <wp:anchor distT="0" distB="0" distL="0" distR="0" simplePos="0" relativeHeight="251765760" behindDoc="0" locked="0" layoutInCell="1" allowOverlap="1" wp14:anchorId="2F699FA9" wp14:editId="021EEEAA">
            <wp:simplePos x="0" y="0"/>
            <wp:positionH relativeFrom="column">
              <wp:posOffset>1219200</wp:posOffset>
            </wp:positionH>
            <wp:positionV relativeFrom="paragraph">
              <wp:posOffset>43180</wp:posOffset>
            </wp:positionV>
            <wp:extent cx="2677795" cy="2691765"/>
            <wp:effectExtent l="0" t="0" r="0" b="0"/>
            <wp:wrapTopAndBottom/>
            <wp:docPr id="3" name="Image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4"/>
                    <pic:cNvPicPr>
                      <a:picLocks noChangeAspect="1" noChangeArrowheads="1"/>
                    </pic:cNvPicPr>
                  </pic:nvPicPr>
                  <pic:blipFill>
                    <a:blip r:embed="rId32" cstate="screen">
                      <a:extLst>
                        <a:ext uri="{28A0092B-C50C-407E-A947-70E740481C1C}">
                          <a14:useLocalDpi xmlns:a14="http://schemas.microsoft.com/office/drawing/2010/main"/>
                        </a:ext>
                      </a:extLst>
                    </a:blip>
                    <a:stretch>
                      <a:fillRect/>
                    </a:stretch>
                  </pic:blipFill>
                  <pic:spPr bwMode="auto">
                    <a:xfrm>
                      <a:off x="0" y="0"/>
                      <a:ext cx="2677795" cy="2691765"/>
                    </a:xfrm>
                    <a:prstGeom prst="rect">
                      <a:avLst/>
                    </a:prstGeom>
                  </pic:spPr>
                </pic:pic>
              </a:graphicData>
            </a:graphic>
          </wp:anchor>
        </w:drawing>
      </w:r>
      <w:r w:rsidRPr="00A07BE9">
        <w:rPr>
          <w:rFonts w:ascii="Open Sans" w:hAnsi="Open Sans" w:cs="Open Sans"/>
          <w:i/>
          <w:iCs/>
          <w:sz w:val="16"/>
          <w:szCs w:val="16"/>
        </w:rPr>
        <w:t>Fuente:  Recomendación del Consejo de la OCDE sobre estrategia de integridad pública C(2017)5</w:t>
      </w:r>
    </w:p>
    <w:p w14:paraId="67E3340C" w14:textId="77777777" w:rsidR="00A140F9" w:rsidRPr="00A07BE9" w:rsidRDefault="00A140F9" w:rsidP="00A140F9">
      <w:pPr>
        <w:spacing w:after="0" w:line="276" w:lineRule="auto"/>
        <w:jc w:val="both"/>
        <w:rPr>
          <w:rFonts w:ascii="Open Sans" w:hAnsi="Open Sans" w:cs="Open Sans"/>
          <w:sz w:val="21"/>
          <w:szCs w:val="21"/>
        </w:rPr>
      </w:pPr>
    </w:p>
    <w:p w14:paraId="382E688D" w14:textId="7D1E8130" w:rsidR="00A140F9" w:rsidRPr="00A07BE9" w:rsidRDefault="00A140F9" w:rsidP="00A140F9">
      <w:pPr>
        <w:spacing w:after="0" w:line="276" w:lineRule="auto"/>
        <w:jc w:val="both"/>
        <w:rPr>
          <w:sz w:val="20"/>
          <w:szCs w:val="20"/>
        </w:rPr>
      </w:pPr>
      <w:r w:rsidRPr="00A07BE9">
        <w:rPr>
          <w:rFonts w:ascii="Open Sans" w:hAnsi="Open Sans" w:cs="Open Sans"/>
          <w:sz w:val="20"/>
          <w:szCs w:val="20"/>
        </w:rPr>
        <w:t>La</w:t>
      </w:r>
      <w:r w:rsidRPr="00A07BE9">
        <w:rPr>
          <w:rFonts w:ascii="Open Sans" w:hAnsi="Open Sans" w:cs="Open Sans"/>
          <w:bCs/>
          <w:sz w:val="20"/>
          <w:szCs w:val="20"/>
        </w:rPr>
        <w:t xml:space="preserve"> filosofía</w:t>
      </w:r>
      <w:r w:rsidRPr="00A07BE9">
        <w:rPr>
          <w:rFonts w:ascii="Open Sans" w:hAnsi="Open Sans" w:cs="Open Sans"/>
          <w:sz w:val="20"/>
          <w:szCs w:val="20"/>
        </w:rPr>
        <w:t xml:space="preserve"> del plan es conseguir co-crear una cultura de la integridad pública y de la prevención del fraude y la corrupción que sea real y efectiva en las instituciones y entidades de la Comunitat Valenciana, que responda a las inquietudes de la sociedad civil y cuente con su reconocimiento y participación, en colaboración con otros órganos de control (interno y externo), y con las universidades, asociaciones y órganos consultivos de la Agencia.</w:t>
      </w:r>
    </w:p>
    <w:p w14:paraId="164F0FC4" w14:textId="77777777" w:rsidR="006133A7" w:rsidRPr="00A07BE9" w:rsidRDefault="006133A7" w:rsidP="00A140F9">
      <w:pPr>
        <w:spacing w:after="0" w:line="276" w:lineRule="auto"/>
        <w:jc w:val="both"/>
        <w:rPr>
          <w:sz w:val="20"/>
          <w:szCs w:val="20"/>
        </w:rPr>
      </w:pPr>
    </w:p>
    <w:p w14:paraId="676DC2AF" w14:textId="1B3DC6B3" w:rsidR="00A140F9" w:rsidRPr="00A07BE9" w:rsidRDefault="00A140F9" w:rsidP="00A140F9">
      <w:pPr>
        <w:spacing w:after="0" w:line="276" w:lineRule="auto"/>
        <w:jc w:val="both"/>
        <w:rPr>
          <w:sz w:val="20"/>
          <w:szCs w:val="20"/>
        </w:rPr>
      </w:pPr>
      <w:r w:rsidRPr="00A07BE9">
        <w:rPr>
          <w:rFonts w:ascii="Open Sans" w:hAnsi="Open Sans" w:cs="Open Sans"/>
          <w:bCs/>
          <w:sz w:val="20"/>
          <w:szCs w:val="20"/>
        </w:rPr>
        <w:t>Nuestra visión</w:t>
      </w:r>
      <w:r w:rsidRPr="00A07BE9">
        <w:rPr>
          <w:rFonts w:ascii="Open Sans" w:hAnsi="Open Sans" w:cs="Open Sans"/>
          <w:sz w:val="20"/>
          <w:szCs w:val="20"/>
        </w:rPr>
        <w:t xml:space="preserve"> es la de convencer de la necesidad de incorporar la cultura de la prevención y de la integridad pública en el sector público institucional valenciano, en sus servidores/as públicos/as y en las entidades privadas perceptoras de dinero público. Sin convicción interna y propia, no podremos minorar los riesgos de clientelismo y de las potenciales redes </w:t>
      </w:r>
      <w:r w:rsidRPr="00A07BE9">
        <w:rPr>
          <w:rFonts w:ascii="Open Sans" w:hAnsi="Open Sans" w:cs="Open Sans"/>
          <w:sz w:val="20"/>
          <w:szCs w:val="20"/>
        </w:rPr>
        <w:lastRenderedPageBreak/>
        <w:t>invisibles de corrupción. Las instituciones deben perseguir la integridad pública, no s</w:t>
      </w:r>
      <w:r w:rsidR="00270BC0" w:rsidRPr="00A07BE9">
        <w:rPr>
          <w:rFonts w:ascii="Open Sans" w:hAnsi="Open Sans" w:cs="Open Sans"/>
          <w:sz w:val="20"/>
          <w:szCs w:val="20"/>
        </w:rPr>
        <w:t>o</w:t>
      </w:r>
      <w:r w:rsidRPr="00A07BE9">
        <w:rPr>
          <w:rFonts w:ascii="Open Sans" w:hAnsi="Open Sans" w:cs="Open Sans"/>
          <w:sz w:val="20"/>
          <w:szCs w:val="20"/>
        </w:rPr>
        <w:t>lo para evitar determinadas sanciones o penas, sino para minimizar eficazmente y desde su núcleo los riesgos de corrupción.</w:t>
      </w:r>
    </w:p>
    <w:p w14:paraId="78D2AF21" w14:textId="77777777" w:rsidR="00A140F9" w:rsidRPr="00A07BE9" w:rsidRDefault="00A140F9" w:rsidP="00A140F9">
      <w:pPr>
        <w:spacing w:after="0" w:line="276" w:lineRule="auto"/>
        <w:jc w:val="both"/>
        <w:rPr>
          <w:rFonts w:ascii="Open Sans" w:hAnsi="Open Sans" w:cs="Open Sans"/>
          <w:sz w:val="20"/>
          <w:szCs w:val="20"/>
        </w:rPr>
      </w:pPr>
    </w:p>
    <w:p w14:paraId="459572FC" w14:textId="77777777"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 xml:space="preserve">Con estas premisas, el plan se construye sobre los pilares de crear una estrategia de integridad pública e ir desarrollando un conjunto de herramientas que las instituciones puedan aplicar, atendiendo a sus respectivas peculiaridades. </w:t>
      </w:r>
    </w:p>
    <w:p w14:paraId="5AED386E" w14:textId="77777777" w:rsidR="005F0A1F" w:rsidRPr="00A07BE9" w:rsidRDefault="005F0A1F" w:rsidP="00A140F9">
      <w:pPr>
        <w:spacing w:after="0" w:line="276" w:lineRule="auto"/>
        <w:jc w:val="both"/>
        <w:rPr>
          <w:rFonts w:ascii="Open Sans" w:hAnsi="Open Sans" w:cs="Open Sans"/>
          <w:sz w:val="20"/>
          <w:szCs w:val="20"/>
        </w:rPr>
      </w:pPr>
    </w:p>
    <w:p w14:paraId="0347C9EB" w14:textId="77777777"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Para ello, nos proponemos crear una metodología general estándar para el análisis de riesgos, así como un contenido mínimo de los planes de prevención, previo análisis exhaustivo de los principales riesgos de corrupción contrastados, y acompañar a las instituciones que así lo deseen en su importación a sus respectivas organizaciones, atendiendo a su diagnóstico de prioridades y contingencias. Asimismo, elaboraremos un modelo metodológico de código ético y del resto de elementos que conforman los marcos de integridad.</w:t>
      </w:r>
    </w:p>
    <w:p w14:paraId="7419FC48" w14:textId="77777777" w:rsidR="00A140F9" w:rsidRPr="00A07BE9" w:rsidRDefault="00A140F9" w:rsidP="00A140F9">
      <w:pPr>
        <w:spacing w:after="0" w:line="276" w:lineRule="auto"/>
        <w:jc w:val="both"/>
        <w:rPr>
          <w:rFonts w:ascii="Open Sans" w:hAnsi="Open Sans" w:cs="Open Sans"/>
          <w:sz w:val="20"/>
          <w:szCs w:val="20"/>
        </w:rPr>
      </w:pPr>
    </w:p>
    <w:p w14:paraId="23F0540A" w14:textId="77777777" w:rsidR="00A140F9" w:rsidRPr="00A07BE9" w:rsidRDefault="00A140F9" w:rsidP="00A140F9">
      <w:pPr>
        <w:spacing w:after="0" w:line="276" w:lineRule="auto"/>
        <w:jc w:val="both"/>
        <w:rPr>
          <w:sz w:val="20"/>
          <w:szCs w:val="20"/>
        </w:rPr>
      </w:pPr>
      <w:r w:rsidRPr="00A07BE9">
        <w:rPr>
          <w:rFonts w:ascii="Open Sans" w:hAnsi="Open Sans" w:cs="Open Sans"/>
          <w:sz w:val="20"/>
          <w:szCs w:val="20"/>
        </w:rPr>
        <w:t>Otras líneas estratégicas del plan se orientan al plano científico, incluyendo la realización de investigaciones, estudios y publicaciones sobre sectores específicos de riesgo de fraude y de corrupción en la Comunitat Valenciana, que serán de pública difusión y consulta en el futuro centro de documentación de la Agencia.</w:t>
      </w:r>
    </w:p>
    <w:p w14:paraId="55D4D42E" w14:textId="77777777" w:rsidR="00A140F9" w:rsidRPr="00A07BE9" w:rsidRDefault="00A140F9" w:rsidP="00A140F9">
      <w:pPr>
        <w:spacing w:after="0" w:line="276" w:lineRule="auto"/>
        <w:jc w:val="both"/>
        <w:rPr>
          <w:rFonts w:ascii="Open Sans" w:hAnsi="Open Sans" w:cs="Open Sans"/>
          <w:sz w:val="20"/>
          <w:szCs w:val="20"/>
        </w:rPr>
      </w:pPr>
    </w:p>
    <w:p w14:paraId="11A47B70" w14:textId="37A4FD77"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 xml:space="preserve">Asimismo, el plan contempla las funciones de asesoramiento preventivo de la Agencia: </w:t>
      </w:r>
      <w:r w:rsidR="004904D8" w:rsidRPr="00A07BE9">
        <w:rPr>
          <w:rFonts w:ascii="Open Sans" w:hAnsi="Open Sans" w:cs="Open Sans"/>
          <w:sz w:val="20"/>
          <w:szCs w:val="20"/>
        </w:rPr>
        <w:t xml:space="preserve"> </w:t>
      </w:r>
      <w:r w:rsidRPr="00A07BE9">
        <w:rPr>
          <w:rFonts w:ascii="Open Sans" w:hAnsi="Open Sans" w:cs="Open Sans"/>
          <w:sz w:val="20"/>
          <w:szCs w:val="20"/>
        </w:rPr>
        <w:t>recomendaciones generales sobre prevención, marcos de integridad y ética públicas; recomendaciones específicas sobre las actuaciones investigadas que, en su caso, nos derive la Dirección de Análisis e Investigación; asesoramiento y respuesta a consultas que plantee cualquier interesado en relación con las funciones preventivas de la Agencia, contribuyendo así a disipar dudas en materia de prevención del fraude, la corrupción y la integridad pública; sugerencias o alegaciones durante los procesos de elaboración de normas vinculadas al marco de actuación objetivo y subjetivo de la Agencia, para coadyuvar en la mejora de la calidad normativa y convencidos que la mejor medida de prevención es que la norma incorpore, desde su gestación, la perspectiva de la integridad pública.</w:t>
      </w:r>
    </w:p>
    <w:p w14:paraId="6E203DD1" w14:textId="77777777" w:rsidR="00A140F9" w:rsidRPr="00A07BE9" w:rsidRDefault="00A140F9" w:rsidP="00A140F9">
      <w:pPr>
        <w:spacing w:after="0" w:line="276" w:lineRule="auto"/>
        <w:jc w:val="both"/>
        <w:rPr>
          <w:rFonts w:ascii="Open Sans" w:hAnsi="Open Sans" w:cs="Open Sans"/>
          <w:sz w:val="20"/>
          <w:szCs w:val="20"/>
        </w:rPr>
      </w:pPr>
    </w:p>
    <w:p w14:paraId="65F07BBA" w14:textId="0D258621"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Todo ello, en colaboración con los órganos consultivos de la Agencia, las universidades, los órganos de control interno y externo y el resto de personas y entidades interesadas, a través de foros y puntos de encuentro que fomenten nuestra apuesta por la escucha activa, la participación y la co-creación.</w:t>
      </w:r>
    </w:p>
    <w:p w14:paraId="7397563C" w14:textId="77777777" w:rsidR="00541D7E" w:rsidRPr="00A07BE9" w:rsidRDefault="00541D7E" w:rsidP="00A140F9">
      <w:pPr>
        <w:spacing w:after="0" w:line="276" w:lineRule="auto"/>
        <w:jc w:val="both"/>
        <w:rPr>
          <w:rFonts w:ascii="Open Sans" w:hAnsi="Open Sans" w:cs="Open Sans"/>
          <w:sz w:val="20"/>
          <w:szCs w:val="20"/>
        </w:rPr>
      </w:pPr>
    </w:p>
    <w:p w14:paraId="593A3E56" w14:textId="77777777" w:rsidR="00541D7E"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 xml:space="preserve">El plan estratégico, que no tiene eficacia normativa y vinculante, prioriza once líneas estratégicas de actuación, definiendo para cada una de ellas sus principales objetivos estratégicos y la materialización de los mismos en acciones concretas (objetivos operativos), según un cronograma estimado de implementación. Con el fin de optimizar la puesta en práctica de lo planificado, se establece un sistema de seguimiento y evaluación del mismo. </w:t>
      </w:r>
    </w:p>
    <w:p w14:paraId="5F61C5C7" w14:textId="2A764C4D"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 xml:space="preserve">Con carácter informativo, se enumeran a continuación las Líneas estratégicas: </w:t>
      </w:r>
    </w:p>
    <w:p w14:paraId="2BD342C2" w14:textId="77777777" w:rsidR="00541D7E" w:rsidRPr="00A07BE9" w:rsidRDefault="00541D7E" w:rsidP="00A140F9">
      <w:pPr>
        <w:spacing w:after="0" w:line="276" w:lineRule="auto"/>
        <w:jc w:val="both"/>
        <w:rPr>
          <w:sz w:val="20"/>
          <w:szCs w:val="20"/>
        </w:rPr>
      </w:pPr>
    </w:p>
    <w:p w14:paraId="31E91394" w14:textId="2B4D9DA4" w:rsidR="008C59A3" w:rsidRPr="00A07BE9" w:rsidRDefault="00801280" w:rsidP="00712E1B">
      <w:pPr>
        <w:spacing w:after="0" w:line="276" w:lineRule="auto"/>
        <w:rPr>
          <w:rFonts w:ascii="Open Sans" w:eastAsia="Calibri" w:hAnsi="Open Sans" w:cs="Open Sans"/>
          <w:b/>
          <w:sz w:val="20"/>
          <w:szCs w:val="20"/>
        </w:rPr>
      </w:pPr>
      <w:r w:rsidRPr="00A07BE9">
        <w:rPr>
          <w:rFonts w:ascii="Open Sans" w:eastAsia="Calibri" w:hAnsi="Open Sans" w:cs="Open Sans"/>
          <w:b/>
          <w:color w:val="9D2235"/>
          <w:sz w:val="20"/>
          <w:szCs w:val="20"/>
        </w:rPr>
        <w:lastRenderedPageBreak/>
        <w:t>Tabla 1</w:t>
      </w:r>
      <w:r w:rsidR="00712E1B" w:rsidRPr="00A07BE9">
        <w:rPr>
          <w:rFonts w:ascii="Open Sans" w:eastAsia="Calibri" w:hAnsi="Open Sans" w:cs="Open Sans"/>
          <w:b/>
          <w:color w:val="9D2235"/>
          <w:sz w:val="20"/>
          <w:szCs w:val="20"/>
        </w:rPr>
        <w:t>.</w:t>
      </w:r>
      <w:r w:rsidRPr="00A07BE9">
        <w:rPr>
          <w:rFonts w:ascii="Open Sans" w:eastAsia="Calibri" w:hAnsi="Open Sans" w:cs="Open Sans"/>
          <w:b/>
          <w:color w:val="9D2235"/>
          <w:sz w:val="20"/>
          <w:szCs w:val="20"/>
        </w:rPr>
        <w:t xml:space="preserve"> </w:t>
      </w:r>
      <w:r w:rsidR="008C59A3" w:rsidRPr="00A07BE9">
        <w:rPr>
          <w:rFonts w:ascii="Open Sans" w:eastAsia="Calibri" w:hAnsi="Open Sans" w:cs="Open Sans"/>
          <w:b/>
          <w:sz w:val="20"/>
          <w:szCs w:val="20"/>
        </w:rPr>
        <w:t>Líneas estratégicas</w:t>
      </w:r>
    </w:p>
    <w:tbl>
      <w:tblPr>
        <w:tblW w:w="5086" w:type="pct"/>
        <w:tblCellMar>
          <w:left w:w="0" w:type="dxa"/>
          <w:right w:w="0" w:type="dxa"/>
        </w:tblCellMar>
        <w:tblLook w:val="0600" w:firstRow="0" w:lastRow="0" w:firstColumn="0" w:lastColumn="0" w:noHBand="1" w:noVBand="1"/>
      </w:tblPr>
      <w:tblGrid>
        <w:gridCol w:w="795"/>
        <w:gridCol w:w="7849"/>
      </w:tblGrid>
      <w:tr w:rsidR="008C59A3" w:rsidRPr="00A07BE9" w14:paraId="3B5306D8" w14:textId="77777777" w:rsidTr="002B2AC3">
        <w:trPr>
          <w:trHeight w:val="20"/>
        </w:trPr>
        <w:tc>
          <w:tcPr>
            <w:tcW w:w="460" w:type="pct"/>
            <w:tcBorders>
              <w:top w:val="single" w:sz="2" w:space="0" w:color="FFFFFF"/>
              <w:left w:val="single" w:sz="2" w:space="0" w:color="FFFFFF"/>
              <w:bottom w:val="single" w:sz="2" w:space="0" w:color="FFFFFF"/>
              <w:right w:val="single" w:sz="2" w:space="0" w:color="FFFFFF"/>
            </w:tcBorders>
            <w:shd w:val="clear" w:color="auto" w:fill="C6C6C6"/>
            <w:tcMar>
              <w:top w:w="72" w:type="dxa"/>
              <w:left w:w="142" w:type="dxa"/>
              <w:bottom w:w="72" w:type="dxa"/>
              <w:right w:w="142" w:type="dxa"/>
            </w:tcMar>
            <w:hideMark/>
          </w:tcPr>
          <w:p w14:paraId="55A0D92D" w14:textId="77777777" w:rsidR="008C59A3" w:rsidRPr="00A07BE9" w:rsidRDefault="008C59A3" w:rsidP="008C59A3">
            <w:pPr>
              <w:spacing w:after="0" w:line="240" w:lineRule="auto"/>
              <w:rPr>
                <w:rFonts w:ascii="Arial" w:eastAsia="Times New Roman" w:hAnsi="Arial" w:cs="Arial"/>
                <w:sz w:val="20"/>
                <w:szCs w:val="20"/>
                <w:lang w:eastAsia="es-ES"/>
              </w:rPr>
            </w:pPr>
            <w:r w:rsidRPr="00A07BE9">
              <w:rPr>
                <w:rFonts w:ascii="Open Sans" w:eastAsia="Open Sans" w:hAnsi="Open Sans" w:cs="Open Sans"/>
                <w:b/>
                <w:bCs/>
                <w:color w:val="9D2235"/>
                <w:kern w:val="24"/>
                <w:sz w:val="20"/>
                <w:szCs w:val="20"/>
                <w:lang w:eastAsia="es-ES"/>
              </w:rPr>
              <w:t>LE.1</w:t>
            </w:r>
          </w:p>
        </w:tc>
        <w:tc>
          <w:tcPr>
            <w:tcW w:w="4540" w:type="pct"/>
            <w:tcBorders>
              <w:top w:val="single" w:sz="2" w:space="0" w:color="FFFFFF"/>
              <w:left w:val="single" w:sz="2" w:space="0" w:color="FFFFFF"/>
              <w:bottom w:val="single" w:sz="2" w:space="0" w:color="FFFFFF"/>
              <w:right w:val="single" w:sz="2" w:space="0" w:color="FFFFFF"/>
            </w:tcBorders>
            <w:shd w:val="clear" w:color="auto" w:fill="C6C6C6"/>
            <w:tcMar>
              <w:top w:w="72" w:type="dxa"/>
              <w:left w:w="142" w:type="dxa"/>
              <w:bottom w:w="72" w:type="dxa"/>
              <w:right w:w="142" w:type="dxa"/>
            </w:tcMar>
            <w:hideMark/>
          </w:tcPr>
          <w:p w14:paraId="16B866F8" w14:textId="77777777" w:rsidR="008C59A3" w:rsidRPr="00A07BE9" w:rsidRDefault="008C59A3" w:rsidP="006B4251">
            <w:pPr>
              <w:spacing w:after="0" w:line="240" w:lineRule="auto"/>
              <w:jc w:val="both"/>
              <w:rPr>
                <w:rFonts w:ascii="Arial" w:eastAsia="Times New Roman" w:hAnsi="Arial" w:cs="Arial"/>
                <w:b/>
                <w:sz w:val="20"/>
                <w:szCs w:val="20"/>
                <w:lang w:eastAsia="es-ES"/>
              </w:rPr>
            </w:pPr>
            <w:r w:rsidRPr="00A07BE9">
              <w:rPr>
                <w:rFonts w:ascii="Open Sans" w:eastAsia="Open Sans" w:hAnsi="Open Sans" w:cs="Open Sans"/>
                <w:b/>
                <w:color w:val="27251F"/>
                <w:kern w:val="24"/>
                <w:sz w:val="20"/>
                <w:szCs w:val="20"/>
                <w:lang w:eastAsia="es-ES"/>
              </w:rPr>
              <w:t>Reunir un equipo técnico especializado en las funciones de Prevención</w:t>
            </w:r>
          </w:p>
        </w:tc>
      </w:tr>
      <w:tr w:rsidR="008C59A3" w:rsidRPr="00A07BE9" w14:paraId="78ADEF55" w14:textId="77777777" w:rsidTr="002B2AC3">
        <w:trPr>
          <w:trHeight w:val="20"/>
        </w:trPr>
        <w:tc>
          <w:tcPr>
            <w:tcW w:w="460" w:type="pct"/>
            <w:tcBorders>
              <w:top w:val="single" w:sz="2" w:space="0" w:color="FFFFFF"/>
              <w:left w:val="single" w:sz="2" w:space="0" w:color="FFFFFF"/>
              <w:bottom w:val="single" w:sz="2" w:space="0" w:color="FFFFFF"/>
              <w:right w:val="single" w:sz="2" w:space="0" w:color="FFFFFF"/>
            </w:tcBorders>
            <w:shd w:val="clear" w:color="auto" w:fill="ABABAB"/>
            <w:tcMar>
              <w:top w:w="72" w:type="dxa"/>
              <w:left w:w="142" w:type="dxa"/>
              <w:bottom w:w="72" w:type="dxa"/>
              <w:right w:w="142" w:type="dxa"/>
            </w:tcMar>
            <w:hideMark/>
          </w:tcPr>
          <w:p w14:paraId="7B3A62A2" w14:textId="77777777" w:rsidR="008C59A3" w:rsidRPr="00A07BE9" w:rsidRDefault="008C59A3" w:rsidP="008C59A3">
            <w:pPr>
              <w:spacing w:after="0" w:line="240" w:lineRule="auto"/>
              <w:rPr>
                <w:rFonts w:ascii="Arial" w:eastAsia="Times New Roman" w:hAnsi="Arial" w:cs="Arial"/>
                <w:sz w:val="20"/>
                <w:szCs w:val="20"/>
                <w:lang w:eastAsia="es-ES"/>
              </w:rPr>
            </w:pPr>
            <w:r w:rsidRPr="00A07BE9">
              <w:rPr>
                <w:rFonts w:ascii="Open Sans" w:eastAsia="Open Sans" w:hAnsi="Open Sans" w:cs="Open Sans"/>
                <w:b/>
                <w:bCs/>
                <w:color w:val="9D2235"/>
                <w:kern w:val="24"/>
                <w:sz w:val="20"/>
                <w:szCs w:val="20"/>
                <w:lang w:eastAsia="es-ES"/>
              </w:rPr>
              <w:t>LE.2</w:t>
            </w:r>
          </w:p>
        </w:tc>
        <w:tc>
          <w:tcPr>
            <w:tcW w:w="4540" w:type="pct"/>
            <w:tcBorders>
              <w:top w:val="single" w:sz="2" w:space="0" w:color="FFFFFF"/>
              <w:left w:val="single" w:sz="2" w:space="0" w:color="FFFFFF"/>
              <w:bottom w:val="single" w:sz="2" w:space="0" w:color="FFFFFF"/>
              <w:right w:val="single" w:sz="2" w:space="0" w:color="FFFFFF"/>
            </w:tcBorders>
            <w:shd w:val="clear" w:color="auto" w:fill="ABABAB"/>
            <w:tcMar>
              <w:top w:w="72" w:type="dxa"/>
              <w:left w:w="142" w:type="dxa"/>
              <w:bottom w:w="72" w:type="dxa"/>
              <w:right w:w="142" w:type="dxa"/>
            </w:tcMar>
            <w:hideMark/>
          </w:tcPr>
          <w:p w14:paraId="09E6DCB6" w14:textId="77777777" w:rsidR="008C59A3" w:rsidRPr="00A07BE9" w:rsidRDefault="008C59A3" w:rsidP="006B4251">
            <w:pPr>
              <w:spacing w:after="0" w:line="240" w:lineRule="auto"/>
              <w:jc w:val="both"/>
              <w:rPr>
                <w:rFonts w:ascii="Arial" w:eastAsia="Times New Roman" w:hAnsi="Arial" w:cs="Arial"/>
                <w:b/>
                <w:sz w:val="20"/>
                <w:szCs w:val="20"/>
                <w:lang w:eastAsia="es-ES"/>
              </w:rPr>
            </w:pPr>
            <w:r w:rsidRPr="00A07BE9">
              <w:rPr>
                <w:rFonts w:ascii="Open Sans" w:eastAsia="Open Sans" w:hAnsi="Open Sans" w:cs="Open Sans"/>
                <w:b/>
                <w:color w:val="27251F"/>
                <w:kern w:val="24"/>
                <w:sz w:val="20"/>
                <w:szCs w:val="20"/>
                <w:lang w:eastAsia="es-ES"/>
              </w:rPr>
              <w:t>Elaborar y publicar recomendaciones generales sobre prevención, marcos de integridad y ética públicas</w:t>
            </w:r>
          </w:p>
        </w:tc>
      </w:tr>
      <w:tr w:rsidR="008C59A3" w:rsidRPr="00A07BE9" w14:paraId="15FA31EE" w14:textId="77777777" w:rsidTr="002B2AC3">
        <w:trPr>
          <w:trHeight w:val="20"/>
        </w:trPr>
        <w:tc>
          <w:tcPr>
            <w:tcW w:w="460" w:type="pct"/>
            <w:tcBorders>
              <w:top w:val="single" w:sz="2" w:space="0" w:color="FFFFFF"/>
              <w:left w:val="single" w:sz="2" w:space="0" w:color="FFFFFF"/>
              <w:bottom w:val="single" w:sz="2" w:space="0" w:color="FFFFFF"/>
              <w:right w:val="single" w:sz="2" w:space="0" w:color="FFFFFF"/>
            </w:tcBorders>
            <w:shd w:val="clear" w:color="auto" w:fill="C6C6C6"/>
            <w:tcMar>
              <w:top w:w="72" w:type="dxa"/>
              <w:left w:w="142" w:type="dxa"/>
              <w:bottom w:w="72" w:type="dxa"/>
              <w:right w:w="142" w:type="dxa"/>
            </w:tcMar>
            <w:hideMark/>
          </w:tcPr>
          <w:p w14:paraId="43C37914" w14:textId="77777777" w:rsidR="008C59A3" w:rsidRPr="00A07BE9" w:rsidRDefault="008C59A3" w:rsidP="008C59A3">
            <w:pPr>
              <w:spacing w:after="0" w:line="240" w:lineRule="auto"/>
              <w:rPr>
                <w:rFonts w:ascii="Arial" w:eastAsia="Times New Roman" w:hAnsi="Arial" w:cs="Arial"/>
                <w:sz w:val="20"/>
                <w:szCs w:val="20"/>
                <w:lang w:eastAsia="es-ES"/>
              </w:rPr>
            </w:pPr>
            <w:r w:rsidRPr="00A07BE9">
              <w:rPr>
                <w:rFonts w:ascii="Open Sans" w:eastAsia="Open Sans" w:hAnsi="Open Sans" w:cs="Open Sans"/>
                <w:b/>
                <w:bCs/>
                <w:color w:val="9D2235"/>
                <w:kern w:val="24"/>
                <w:sz w:val="20"/>
                <w:szCs w:val="20"/>
                <w:lang w:eastAsia="es-ES"/>
              </w:rPr>
              <w:t>LE.3</w:t>
            </w:r>
          </w:p>
        </w:tc>
        <w:tc>
          <w:tcPr>
            <w:tcW w:w="4540" w:type="pct"/>
            <w:tcBorders>
              <w:top w:val="single" w:sz="2" w:space="0" w:color="FFFFFF"/>
              <w:left w:val="single" w:sz="2" w:space="0" w:color="FFFFFF"/>
              <w:bottom w:val="single" w:sz="2" w:space="0" w:color="FFFFFF"/>
              <w:right w:val="single" w:sz="2" w:space="0" w:color="FFFFFF"/>
            </w:tcBorders>
            <w:shd w:val="clear" w:color="auto" w:fill="C6C6C6"/>
            <w:tcMar>
              <w:top w:w="72" w:type="dxa"/>
              <w:left w:w="142" w:type="dxa"/>
              <w:bottom w:w="72" w:type="dxa"/>
              <w:right w:w="142" w:type="dxa"/>
            </w:tcMar>
            <w:hideMark/>
          </w:tcPr>
          <w:p w14:paraId="3D08CF01" w14:textId="77777777" w:rsidR="008C59A3" w:rsidRPr="00A07BE9" w:rsidRDefault="008C59A3" w:rsidP="006B4251">
            <w:pPr>
              <w:spacing w:after="0" w:line="240" w:lineRule="auto"/>
              <w:jc w:val="both"/>
              <w:rPr>
                <w:rFonts w:ascii="Arial" w:eastAsia="Times New Roman" w:hAnsi="Arial" w:cs="Arial"/>
                <w:b/>
                <w:sz w:val="20"/>
                <w:szCs w:val="20"/>
                <w:lang w:eastAsia="es-ES"/>
              </w:rPr>
            </w:pPr>
            <w:r w:rsidRPr="00A07BE9">
              <w:rPr>
                <w:rFonts w:ascii="Open Sans" w:eastAsia="Open Sans" w:hAnsi="Open Sans" w:cs="Open Sans"/>
                <w:b/>
                <w:color w:val="27251F"/>
                <w:kern w:val="24"/>
                <w:sz w:val="20"/>
                <w:szCs w:val="20"/>
                <w:lang w:eastAsia="es-ES"/>
              </w:rPr>
              <w:t>Elaborar recomendaciones específicas en los expedientes derivados por el área de análisis e investigación</w:t>
            </w:r>
          </w:p>
        </w:tc>
      </w:tr>
      <w:tr w:rsidR="008C59A3" w:rsidRPr="00A07BE9" w14:paraId="27DB882C" w14:textId="77777777" w:rsidTr="002B2AC3">
        <w:trPr>
          <w:trHeight w:val="20"/>
        </w:trPr>
        <w:tc>
          <w:tcPr>
            <w:tcW w:w="460" w:type="pct"/>
            <w:tcBorders>
              <w:top w:val="single" w:sz="2" w:space="0" w:color="FFFFFF"/>
              <w:left w:val="single" w:sz="2" w:space="0" w:color="FFFFFF"/>
              <w:bottom w:val="single" w:sz="2" w:space="0" w:color="FFFFFF"/>
              <w:right w:val="single" w:sz="2" w:space="0" w:color="FFFFFF"/>
            </w:tcBorders>
            <w:shd w:val="clear" w:color="auto" w:fill="ABABAB"/>
            <w:tcMar>
              <w:top w:w="72" w:type="dxa"/>
              <w:left w:w="142" w:type="dxa"/>
              <w:bottom w:w="72" w:type="dxa"/>
              <w:right w:w="142" w:type="dxa"/>
            </w:tcMar>
            <w:hideMark/>
          </w:tcPr>
          <w:p w14:paraId="3A5A45C3" w14:textId="77777777" w:rsidR="008C59A3" w:rsidRPr="00A07BE9" w:rsidRDefault="008C59A3" w:rsidP="008C59A3">
            <w:pPr>
              <w:spacing w:after="0" w:line="240" w:lineRule="auto"/>
              <w:rPr>
                <w:rFonts w:ascii="Arial" w:eastAsia="Times New Roman" w:hAnsi="Arial" w:cs="Arial"/>
                <w:sz w:val="20"/>
                <w:szCs w:val="20"/>
                <w:lang w:eastAsia="es-ES"/>
              </w:rPr>
            </w:pPr>
            <w:r w:rsidRPr="00A07BE9">
              <w:rPr>
                <w:rFonts w:ascii="Open Sans" w:eastAsia="Open Sans" w:hAnsi="Open Sans" w:cs="Open Sans"/>
                <w:b/>
                <w:bCs/>
                <w:color w:val="9D2235"/>
                <w:kern w:val="24"/>
                <w:sz w:val="20"/>
                <w:szCs w:val="20"/>
                <w:lang w:eastAsia="es-ES"/>
              </w:rPr>
              <w:t>LE.4</w:t>
            </w:r>
          </w:p>
        </w:tc>
        <w:tc>
          <w:tcPr>
            <w:tcW w:w="4540" w:type="pct"/>
            <w:tcBorders>
              <w:top w:val="single" w:sz="2" w:space="0" w:color="FFFFFF"/>
              <w:left w:val="single" w:sz="2" w:space="0" w:color="FFFFFF"/>
              <w:bottom w:val="single" w:sz="2" w:space="0" w:color="FFFFFF"/>
              <w:right w:val="single" w:sz="2" w:space="0" w:color="FFFFFF"/>
            </w:tcBorders>
            <w:shd w:val="clear" w:color="auto" w:fill="ABABAB"/>
            <w:tcMar>
              <w:top w:w="72" w:type="dxa"/>
              <w:left w:w="142" w:type="dxa"/>
              <w:bottom w:w="72" w:type="dxa"/>
              <w:right w:w="142" w:type="dxa"/>
            </w:tcMar>
            <w:hideMark/>
          </w:tcPr>
          <w:p w14:paraId="34331C90" w14:textId="77777777" w:rsidR="008C59A3" w:rsidRPr="00A07BE9" w:rsidRDefault="008C59A3" w:rsidP="006B4251">
            <w:pPr>
              <w:spacing w:after="0" w:line="240" w:lineRule="auto"/>
              <w:jc w:val="both"/>
              <w:rPr>
                <w:rFonts w:ascii="Arial" w:eastAsia="Times New Roman" w:hAnsi="Arial" w:cs="Arial"/>
                <w:b/>
                <w:sz w:val="20"/>
                <w:szCs w:val="20"/>
                <w:lang w:eastAsia="es-ES"/>
              </w:rPr>
            </w:pPr>
            <w:r w:rsidRPr="00A07BE9">
              <w:rPr>
                <w:rFonts w:ascii="Open Sans" w:eastAsia="Open Sans" w:hAnsi="Open Sans" w:cs="Open Sans"/>
                <w:b/>
                <w:color w:val="27251F"/>
                <w:kern w:val="24"/>
                <w:sz w:val="20"/>
                <w:szCs w:val="20"/>
                <w:lang w:eastAsia="es-ES"/>
              </w:rPr>
              <w:t>Identificar sectores de riesgo contrastado de corrupción</w:t>
            </w:r>
          </w:p>
        </w:tc>
      </w:tr>
      <w:tr w:rsidR="008C59A3" w:rsidRPr="00A07BE9" w14:paraId="787F85B2" w14:textId="77777777" w:rsidTr="002B2AC3">
        <w:trPr>
          <w:trHeight w:val="20"/>
        </w:trPr>
        <w:tc>
          <w:tcPr>
            <w:tcW w:w="460" w:type="pct"/>
            <w:tcBorders>
              <w:top w:val="single" w:sz="2" w:space="0" w:color="FFFFFF"/>
              <w:left w:val="single" w:sz="2" w:space="0" w:color="FFFFFF"/>
              <w:bottom w:val="single" w:sz="2" w:space="0" w:color="FFFFFF"/>
              <w:right w:val="single" w:sz="2" w:space="0" w:color="FFFFFF"/>
            </w:tcBorders>
            <w:shd w:val="clear" w:color="auto" w:fill="C6C6C6"/>
            <w:tcMar>
              <w:top w:w="72" w:type="dxa"/>
              <w:left w:w="142" w:type="dxa"/>
              <w:bottom w:w="72" w:type="dxa"/>
              <w:right w:w="142" w:type="dxa"/>
            </w:tcMar>
            <w:hideMark/>
          </w:tcPr>
          <w:p w14:paraId="2C03BAE1" w14:textId="77777777" w:rsidR="008C59A3" w:rsidRPr="00A07BE9" w:rsidRDefault="008C59A3" w:rsidP="008C59A3">
            <w:pPr>
              <w:spacing w:after="0" w:line="240" w:lineRule="auto"/>
              <w:rPr>
                <w:rFonts w:ascii="Arial" w:eastAsia="Times New Roman" w:hAnsi="Arial" w:cs="Arial"/>
                <w:sz w:val="20"/>
                <w:szCs w:val="20"/>
                <w:lang w:eastAsia="es-ES"/>
              </w:rPr>
            </w:pPr>
            <w:r w:rsidRPr="00A07BE9">
              <w:rPr>
                <w:rFonts w:ascii="Open Sans" w:eastAsia="Open Sans" w:hAnsi="Open Sans" w:cs="Open Sans"/>
                <w:b/>
                <w:bCs/>
                <w:color w:val="9D2235"/>
                <w:kern w:val="24"/>
                <w:sz w:val="20"/>
                <w:szCs w:val="20"/>
                <w:lang w:eastAsia="es-ES"/>
              </w:rPr>
              <w:t>LE.5</w:t>
            </w:r>
          </w:p>
        </w:tc>
        <w:tc>
          <w:tcPr>
            <w:tcW w:w="4540" w:type="pct"/>
            <w:tcBorders>
              <w:top w:val="single" w:sz="2" w:space="0" w:color="FFFFFF"/>
              <w:left w:val="single" w:sz="2" w:space="0" w:color="FFFFFF"/>
              <w:bottom w:val="single" w:sz="2" w:space="0" w:color="FFFFFF"/>
              <w:right w:val="single" w:sz="2" w:space="0" w:color="FFFFFF"/>
            </w:tcBorders>
            <w:shd w:val="clear" w:color="auto" w:fill="C6C6C6"/>
            <w:tcMar>
              <w:top w:w="72" w:type="dxa"/>
              <w:left w:w="142" w:type="dxa"/>
              <w:bottom w:w="72" w:type="dxa"/>
              <w:right w:w="142" w:type="dxa"/>
            </w:tcMar>
            <w:hideMark/>
          </w:tcPr>
          <w:p w14:paraId="26251ABD" w14:textId="77777777" w:rsidR="008C59A3" w:rsidRPr="00A07BE9" w:rsidRDefault="008C59A3" w:rsidP="006B4251">
            <w:pPr>
              <w:spacing w:after="0" w:line="240" w:lineRule="auto"/>
              <w:jc w:val="both"/>
              <w:rPr>
                <w:rFonts w:ascii="Arial" w:eastAsia="Times New Roman" w:hAnsi="Arial" w:cs="Arial"/>
                <w:b/>
                <w:sz w:val="20"/>
                <w:szCs w:val="20"/>
                <w:lang w:eastAsia="es-ES"/>
              </w:rPr>
            </w:pPr>
            <w:r w:rsidRPr="00A07BE9">
              <w:rPr>
                <w:rFonts w:ascii="Open Sans" w:eastAsia="Open Sans" w:hAnsi="Open Sans" w:cs="Open Sans"/>
                <w:b/>
                <w:color w:val="27251F"/>
                <w:kern w:val="24"/>
                <w:sz w:val="20"/>
                <w:szCs w:val="20"/>
                <w:lang w:eastAsia="es-ES"/>
              </w:rPr>
              <w:t>Diseñar una estrategia de integridad pública como marco y base de elaboración de herramientas de fomento de marcos de integridad y prevención exportables a las organizaciones</w:t>
            </w:r>
          </w:p>
        </w:tc>
      </w:tr>
      <w:tr w:rsidR="008C59A3" w:rsidRPr="00A07BE9" w14:paraId="459A27F3" w14:textId="77777777" w:rsidTr="002B2AC3">
        <w:trPr>
          <w:trHeight w:val="20"/>
        </w:trPr>
        <w:tc>
          <w:tcPr>
            <w:tcW w:w="460" w:type="pct"/>
            <w:tcBorders>
              <w:top w:val="single" w:sz="2" w:space="0" w:color="FFFFFF"/>
              <w:left w:val="single" w:sz="2" w:space="0" w:color="FFFFFF"/>
              <w:bottom w:val="single" w:sz="2" w:space="0" w:color="FFFFFF"/>
              <w:right w:val="single" w:sz="2" w:space="0" w:color="FFFFFF"/>
            </w:tcBorders>
            <w:shd w:val="clear" w:color="auto" w:fill="ABABAB"/>
            <w:tcMar>
              <w:top w:w="72" w:type="dxa"/>
              <w:left w:w="142" w:type="dxa"/>
              <w:bottom w:w="72" w:type="dxa"/>
              <w:right w:w="142" w:type="dxa"/>
            </w:tcMar>
            <w:hideMark/>
          </w:tcPr>
          <w:p w14:paraId="4F38F0FA" w14:textId="77777777" w:rsidR="008C59A3" w:rsidRPr="00A07BE9" w:rsidRDefault="008C59A3" w:rsidP="008C59A3">
            <w:pPr>
              <w:spacing w:after="0" w:line="240" w:lineRule="auto"/>
              <w:rPr>
                <w:rFonts w:ascii="Arial" w:eastAsia="Times New Roman" w:hAnsi="Arial" w:cs="Arial"/>
                <w:sz w:val="20"/>
                <w:szCs w:val="20"/>
                <w:lang w:eastAsia="es-ES"/>
              </w:rPr>
            </w:pPr>
            <w:r w:rsidRPr="00A07BE9">
              <w:rPr>
                <w:rFonts w:ascii="Open Sans" w:eastAsia="Open Sans" w:hAnsi="Open Sans" w:cs="Open Sans"/>
                <w:b/>
                <w:bCs/>
                <w:color w:val="9D2235"/>
                <w:kern w:val="24"/>
                <w:sz w:val="20"/>
                <w:szCs w:val="20"/>
                <w:lang w:eastAsia="es-ES"/>
              </w:rPr>
              <w:t>LE.6</w:t>
            </w:r>
          </w:p>
        </w:tc>
        <w:tc>
          <w:tcPr>
            <w:tcW w:w="4540" w:type="pct"/>
            <w:tcBorders>
              <w:top w:val="single" w:sz="2" w:space="0" w:color="FFFFFF"/>
              <w:left w:val="single" w:sz="2" w:space="0" w:color="FFFFFF"/>
              <w:bottom w:val="single" w:sz="2" w:space="0" w:color="FFFFFF"/>
              <w:right w:val="single" w:sz="2" w:space="0" w:color="FFFFFF"/>
            </w:tcBorders>
            <w:shd w:val="clear" w:color="auto" w:fill="ABABAB"/>
            <w:tcMar>
              <w:top w:w="72" w:type="dxa"/>
              <w:left w:w="142" w:type="dxa"/>
              <w:bottom w:w="72" w:type="dxa"/>
              <w:right w:w="142" w:type="dxa"/>
            </w:tcMar>
            <w:hideMark/>
          </w:tcPr>
          <w:p w14:paraId="568195A3" w14:textId="77777777" w:rsidR="008C59A3" w:rsidRPr="00A07BE9" w:rsidRDefault="008C59A3" w:rsidP="006B4251">
            <w:pPr>
              <w:spacing w:after="0" w:line="240" w:lineRule="auto"/>
              <w:jc w:val="both"/>
              <w:rPr>
                <w:rFonts w:ascii="Arial" w:eastAsia="Times New Roman" w:hAnsi="Arial" w:cs="Arial"/>
                <w:b/>
                <w:sz w:val="20"/>
                <w:szCs w:val="20"/>
                <w:lang w:eastAsia="es-ES"/>
              </w:rPr>
            </w:pPr>
            <w:r w:rsidRPr="00A07BE9">
              <w:rPr>
                <w:rFonts w:ascii="Open Sans" w:eastAsia="Open Sans" w:hAnsi="Open Sans" w:cs="Open Sans"/>
                <w:b/>
                <w:color w:val="27251F"/>
                <w:kern w:val="24"/>
                <w:sz w:val="20"/>
                <w:szCs w:val="20"/>
                <w:lang w:eastAsia="es-ES"/>
              </w:rPr>
              <w:t>Elaborar Herramientas de fomento de marcos de integridad y prevención (I):</w:t>
            </w:r>
          </w:p>
          <w:p w14:paraId="445680DB" w14:textId="77777777" w:rsidR="008C59A3" w:rsidRPr="00A07BE9" w:rsidRDefault="008C59A3" w:rsidP="006B4251">
            <w:pPr>
              <w:spacing w:after="0" w:line="240" w:lineRule="auto"/>
              <w:jc w:val="both"/>
              <w:rPr>
                <w:rFonts w:ascii="Arial" w:eastAsia="Times New Roman" w:hAnsi="Arial" w:cs="Arial"/>
                <w:b/>
                <w:sz w:val="20"/>
                <w:szCs w:val="20"/>
                <w:lang w:eastAsia="es-ES"/>
              </w:rPr>
            </w:pPr>
            <w:r w:rsidRPr="00A07BE9">
              <w:rPr>
                <w:rFonts w:ascii="Open Sans" w:eastAsia="Open Sans" w:hAnsi="Open Sans" w:cs="Open Sans"/>
                <w:b/>
                <w:color w:val="27251F"/>
                <w:kern w:val="24"/>
                <w:sz w:val="20"/>
                <w:szCs w:val="20"/>
                <w:lang w:eastAsia="es-ES"/>
              </w:rPr>
              <w:t>- Metodología general y exportable de análisis de riesgos</w:t>
            </w:r>
          </w:p>
        </w:tc>
      </w:tr>
      <w:tr w:rsidR="008C59A3" w:rsidRPr="00A07BE9" w14:paraId="67E904BC" w14:textId="77777777" w:rsidTr="002B2AC3">
        <w:trPr>
          <w:trHeight w:val="20"/>
        </w:trPr>
        <w:tc>
          <w:tcPr>
            <w:tcW w:w="460" w:type="pct"/>
            <w:tcBorders>
              <w:top w:val="single" w:sz="2" w:space="0" w:color="FFFFFF"/>
              <w:left w:val="single" w:sz="2" w:space="0" w:color="FFFFFF"/>
              <w:bottom w:val="single" w:sz="2" w:space="0" w:color="FFFFFF"/>
              <w:right w:val="single" w:sz="2" w:space="0" w:color="FFFFFF"/>
            </w:tcBorders>
            <w:shd w:val="clear" w:color="auto" w:fill="C6C6C6"/>
            <w:tcMar>
              <w:top w:w="72" w:type="dxa"/>
              <w:left w:w="142" w:type="dxa"/>
              <w:bottom w:w="72" w:type="dxa"/>
              <w:right w:w="142" w:type="dxa"/>
            </w:tcMar>
            <w:hideMark/>
          </w:tcPr>
          <w:p w14:paraId="45FB7FAD" w14:textId="77777777" w:rsidR="008C59A3" w:rsidRPr="00A07BE9" w:rsidRDefault="008C59A3" w:rsidP="008C59A3">
            <w:pPr>
              <w:spacing w:after="0" w:line="240" w:lineRule="auto"/>
              <w:rPr>
                <w:rFonts w:ascii="Arial" w:eastAsia="Times New Roman" w:hAnsi="Arial" w:cs="Arial"/>
                <w:sz w:val="20"/>
                <w:szCs w:val="20"/>
                <w:lang w:eastAsia="es-ES"/>
              </w:rPr>
            </w:pPr>
            <w:r w:rsidRPr="00A07BE9">
              <w:rPr>
                <w:rFonts w:ascii="Open Sans" w:eastAsia="Open Sans" w:hAnsi="Open Sans" w:cs="Open Sans"/>
                <w:b/>
                <w:bCs/>
                <w:color w:val="9D2235"/>
                <w:kern w:val="24"/>
                <w:sz w:val="20"/>
                <w:szCs w:val="20"/>
                <w:lang w:eastAsia="es-ES"/>
              </w:rPr>
              <w:t>LE.7</w:t>
            </w:r>
          </w:p>
        </w:tc>
        <w:tc>
          <w:tcPr>
            <w:tcW w:w="4540" w:type="pct"/>
            <w:tcBorders>
              <w:top w:val="single" w:sz="2" w:space="0" w:color="FFFFFF"/>
              <w:left w:val="single" w:sz="2" w:space="0" w:color="FFFFFF"/>
              <w:bottom w:val="single" w:sz="2" w:space="0" w:color="FFFFFF"/>
              <w:right w:val="single" w:sz="2" w:space="0" w:color="FFFFFF"/>
            </w:tcBorders>
            <w:shd w:val="clear" w:color="auto" w:fill="C6C6C6"/>
            <w:tcMar>
              <w:top w:w="72" w:type="dxa"/>
              <w:left w:w="142" w:type="dxa"/>
              <w:bottom w:w="72" w:type="dxa"/>
              <w:right w:w="142" w:type="dxa"/>
            </w:tcMar>
            <w:hideMark/>
          </w:tcPr>
          <w:p w14:paraId="5C5DE6FD" w14:textId="77777777" w:rsidR="008C59A3" w:rsidRPr="00A07BE9" w:rsidRDefault="008C59A3" w:rsidP="006B4251">
            <w:pPr>
              <w:spacing w:after="0" w:line="240" w:lineRule="auto"/>
              <w:jc w:val="both"/>
              <w:rPr>
                <w:rFonts w:ascii="Arial" w:eastAsia="Times New Roman" w:hAnsi="Arial" w:cs="Arial"/>
                <w:b/>
                <w:sz w:val="20"/>
                <w:szCs w:val="20"/>
                <w:lang w:eastAsia="es-ES"/>
              </w:rPr>
            </w:pPr>
            <w:r w:rsidRPr="00A07BE9">
              <w:rPr>
                <w:rFonts w:ascii="Open Sans" w:eastAsia="Open Sans" w:hAnsi="Open Sans" w:cs="Open Sans"/>
                <w:b/>
                <w:color w:val="27251F"/>
                <w:kern w:val="24"/>
                <w:sz w:val="20"/>
                <w:szCs w:val="20"/>
                <w:lang w:eastAsia="es-ES"/>
              </w:rPr>
              <w:t>Elaborar Herramientas de fomento de marcos de integridad y prevención (II):</w:t>
            </w:r>
          </w:p>
          <w:p w14:paraId="19735B45" w14:textId="77777777" w:rsidR="008C59A3" w:rsidRPr="00A07BE9" w:rsidRDefault="008C59A3" w:rsidP="006B4251">
            <w:pPr>
              <w:spacing w:after="0" w:line="240" w:lineRule="auto"/>
              <w:jc w:val="both"/>
              <w:rPr>
                <w:rFonts w:ascii="Arial" w:eastAsia="Times New Roman" w:hAnsi="Arial" w:cs="Arial"/>
                <w:b/>
                <w:sz w:val="20"/>
                <w:szCs w:val="20"/>
                <w:lang w:eastAsia="es-ES"/>
              </w:rPr>
            </w:pPr>
            <w:r w:rsidRPr="00A07BE9">
              <w:rPr>
                <w:rFonts w:ascii="Open Sans" w:eastAsia="Open Sans" w:hAnsi="Open Sans" w:cs="Open Sans"/>
                <w:b/>
                <w:color w:val="27251F"/>
                <w:kern w:val="24"/>
                <w:sz w:val="20"/>
                <w:szCs w:val="20"/>
                <w:lang w:eastAsia="es-ES"/>
              </w:rPr>
              <w:t>- Contenido mínimo de los Planes de Prevención de corrupción</w:t>
            </w:r>
          </w:p>
          <w:p w14:paraId="798113FF" w14:textId="77777777" w:rsidR="008C59A3" w:rsidRPr="00A07BE9" w:rsidRDefault="008C59A3" w:rsidP="006B4251">
            <w:pPr>
              <w:spacing w:after="0" w:line="240" w:lineRule="auto"/>
              <w:jc w:val="both"/>
              <w:rPr>
                <w:rFonts w:ascii="Arial" w:eastAsia="Times New Roman" w:hAnsi="Arial" w:cs="Arial"/>
                <w:b/>
                <w:sz w:val="20"/>
                <w:szCs w:val="20"/>
                <w:lang w:eastAsia="es-ES"/>
              </w:rPr>
            </w:pPr>
            <w:r w:rsidRPr="00A07BE9">
              <w:rPr>
                <w:rFonts w:ascii="Open Sans" w:eastAsia="Open Sans" w:hAnsi="Open Sans" w:cs="Open Sans"/>
                <w:b/>
                <w:color w:val="27251F"/>
                <w:kern w:val="24"/>
                <w:sz w:val="20"/>
                <w:szCs w:val="20"/>
                <w:lang w:eastAsia="es-ES"/>
              </w:rPr>
              <w:t>- Elaboración de un código ético</w:t>
            </w:r>
          </w:p>
        </w:tc>
      </w:tr>
      <w:tr w:rsidR="008C59A3" w:rsidRPr="00A07BE9" w14:paraId="5862D505" w14:textId="77777777" w:rsidTr="002B2AC3">
        <w:trPr>
          <w:trHeight w:val="20"/>
        </w:trPr>
        <w:tc>
          <w:tcPr>
            <w:tcW w:w="460" w:type="pct"/>
            <w:tcBorders>
              <w:top w:val="single" w:sz="2" w:space="0" w:color="FFFFFF"/>
              <w:left w:val="single" w:sz="2" w:space="0" w:color="FFFFFF"/>
              <w:bottom w:val="single" w:sz="2" w:space="0" w:color="FFFFFF"/>
              <w:right w:val="single" w:sz="2" w:space="0" w:color="FFFFFF"/>
            </w:tcBorders>
            <w:shd w:val="clear" w:color="auto" w:fill="ABABAB"/>
            <w:tcMar>
              <w:top w:w="72" w:type="dxa"/>
              <w:left w:w="142" w:type="dxa"/>
              <w:bottom w:w="72" w:type="dxa"/>
              <w:right w:w="142" w:type="dxa"/>
            </w:tcMar>
            <w:hideMark/>
          </w:tcPr>
          <w:p w14:paraId="71679E19" w14:textId="77777777" w:rsidR="008C59A3" w:rsidRPr="00A07BE9" w:rsidRDefault="008C59A3" w:rsidP="008C59A3">
            <w:pPr>
              <w:spacing w:after="0" w:line="240" w:lineRule="auto"/>
              <w:rPr>
                <w:rFonts w:ascii="Arial" w:eastAsia="Times New Roman" w:hAnsi="Arial" w:cs="Arial"/>
                <w:sz w:val="20"/>
                <w:szCs w:val="20"/>
                <w:lang w:eastAsia="es-ES"/>
              </w:rPr>
            </w:pPr>
            <w:r w:rsidRPr="00A07BE9">
              <w:rPr>
                <w:rFonts w:ascii="Open Sans" w:eastAsia="Open Sans" w:hAnsi="Open Sans" w:cs="Open Sans"/>
                <w:b/>
                <w:bCs/>
                <w:color w:val="9D2235"/>
                <w:kern w:val="24"/>
                <w:sz w:val="20"/>
                <w:szCs w:val="20"/>
                <w:lang w:eastAsia="es-ES"/>
              </w:rPr>
              <w:t>LE.8</w:t>
            </w:r>
          </w:p>
        </w:tc>
        <w:tc>
          <w:tcPr>
            <w:tcW w:w="4540" w:type="pct"/>
            <w:tcBorders>
              <w:top w:val="single" w:sz="2" w:space="0" w:color="FFFFFF"/>
              <w:left w:val="single" w:sz="2" w:space="0" w:color="FFFFFF"/>
              <w:bottom w:val="single" w:sz="2" w:space="0" w:color="FFFFFF"/>
              <w:right w:val="single" w:sz="2" w:space="0" w:color="FFFFFF"/>
            </w:tcBorders>
            <w:shd w:val="clear" w:color="auto" w:fill="ABABAB"/>
            <w:tcMar>
              <w:top w:w="72" w:type="dxa"/>
              <w:left w:w="142" w:type="dxa"/>
              <w:bottom w:w="72" w:type="dxa"/>
              <w:right w:w="142" w:type="dxa"/>
            </w:tcMar>
            <w:hideMark/>
          </w:tcPr>
          <w:p w14:paraId="2F292450" w14:textId="2BD5AB26" w:rsidR="008C59A3" w:rsidRPr="00A07BE9" w:rsidRDefault="008C59A3" w:rsidP="006B4251">
            <w:pPr>
              <w:spacing w:after="0" w:line="240" w:lineRule="auto"/>
              <w:jc w:val="both"/>
              <w:rPr>
                <w:rFonts w:ascii="Arial" w:eastAsia="Times New Roman" w:hAnsi="Arial" w:cs="Arial"/>
                <w:b/>
                <w:sz w:val="20"/>
                <w:szCs w:val="20"/>
                <w:lang w:eastAsia="es-ES"/>
              </w:rPr>
            </w:pPr>
            <w:r w:rsidRPr="00A07BE9">
              <w:rPr>
                <w:rFonts w:ascii="Open Sans" w:eastAsia="Open Sans" w:hAnsi="Open Sans" w:cs="Open Sans"/>
                <w:b/>
                <w:color w:val="27251F"/>
                <w:kern w:val="24"/>
                <w:sz w:val="20"/>
                <w:szCs w:val="20"/>
                <w:lang w:eastAsia="es-ES"/>
              </w:rPr>
              <w:t>Realizar investigaciones, estudios y publicaciones sobre sectores específicos de riesgo de fraude y corrupción en la Comuni</w:t>
            </w:r>
            <w:r w:rsidR="009D7139" w:rsidRPr="00A07BE9">
              <w:rPr>
                <w:rFonts w:ascii="Open Sans" w:eastAsia="Open Sans" w:hAnsi="Open Sans" w:cs="Open Sans"/>
                <w:b/>
                <w:color w:val="27251F"/>
                <w:kern w:val="24"/>
                <w:sz w:val="20"/>
                <w:szCs w:val="20"/>
                <w:lang w:eastAsia="es-ES"/>
              </w:rPr>
              <w:t>t</w:t>
            </w:r>
            <w:r w:rsidRPr="00A07BE9">
              <w:rPr>
                <w:rFonts w:ascii="Open Sans" w:eastAsia="Open Sans" w:hAnsi="Open Sans" w:cs="Open Sans"/>
                <w:b/>
                <w:color w:val="27251F"/>
                <w:kern w:val="24"/>
                <w:sz w:val="20"/>
                <w:szCs w:val="20"/>
                <w:lang w:eastAsia="es-ES"/>
              </w:rPr>
              <w:t>a</w:t>
            </w:r>
            <w:r w:rsidR="009D7139" w:rsidRPr="00A07BE9">
              <w:rPr>
                <w:rFonts w:ascii="Open Sans" w:eastAsia="Open Sans" w:hAnsi="Open Sans" w:cs="Open Sans"/>
                <w:b/>
                <w:color w:val="27251F"/>
                <w:kern w:val="24"/>
                <w:sz w:val="20"/>
                <w:szCs w:val="20"/>
                <w:lang w:eastAsia="es-ES"/>
              </w:rPr>
              <w:t>t</w:t>
            </w:r>
            <w:r w:rsidRPr="00A07BE9">
              <w:rPr>
                <w:rFonts w:ascii="Open Sans" w:eastAsia="Open Sans" w:hAnsi="Open Sans" w:cs="Open Sans"/>
                <w:b/>
                <w:color w:val="27251F"/>
                <w:kern w:val="24"/>
                <w:sz w:val="20"/>
                <w:szCs w:val="20"/>
                <w:lang w:eastAsia="es-ES"/>
              </w:rPr>
              <w:t xml:space="preserve"> Valenciana</w:t>
            </w:r>
          </w:p>
        </w:tc>
      </w:tr>
      <w:tr w:rsidR="008C59A3" w:rsidRPr="00A07BE9" w14:paraId="04F9CEE8" w14:textId="77777777" w:rsidTr="002B2AC3">
        <w:trPr>
          <w:trHeight w:val="20"/>
        </w:trPr>
        <w:tc>
          <w:tcPr>
            <w:tcW w:w="460" w:type="pct"/>
            <w:tcBorders>
              <w:top w:val="single" w:sz="2" w:space="0" w:color="FFFFFF"/>
              <w:left w:val="single" w:sz="2" w:space="0" w:color="FFFFFF"/>
              <w:bottom w:val="single" w:sz="2" w:space="0" w:color="FFFFFF"/>
              <w:right w:val="single" w:sz="2" w:space="0" w:color="FFFFFF"/>
            </w:tcBorders>
            <w:shd w:val="clear" w:color="auto" w:fill="C6C6C6"/>
            <w:tcMar>
              <w:top w:w="72" w:type="dxa"/>
              <w:left w:w="142" w:type="dxa"/>
              <w:bottom w:w="72" w:type="dxa"/>
              <w:right w:w="142" w:type="dxa"/>
            </w:tcMar>
            <w:hideMark/>
          </w:tcPr>
          <w:p w14:paraId="6293175A" w14:textId="77777777" w:rsidR="008C59A3" w:rsidRPr="00A07BE9" w:rsidRDefault="008C59A3" w:rsidP="008C59A3">
            <w:pPr>
              <w:spacing w:after="0" w:line="240" w:lineRule="auto"/>
              <w:rPr>
                <w:rFonts w:ascii="Arial" w:eastAsia="Times New Roman" w:hAnsi="Arial" w:cs="Arial"/>
                <w:sz w:val="20"/>
                <w:szCs w:val="20"/>
                <w:lang w:eastAsia="es-ES"/>
              </w:rPr>
            </w:pPr>
            <w:r w:rsidRPr="00A07BE9">
              <w:rPr>
                <w:rFonts w:ascii="Open Sans" w:eastAsia="Open Sans" w:hAnsi="Open Sans" w:cs="Open Sans"/>
                <w:b/>
                <w:bCs/>
                <w:color w:val="9D2235"/>
                <w:kern w:val="24"/>
                <w:sz w:val="20"/>
                <w:szCs w:val="20"/>
                <w:lang w:eastAsia="es-ES"/>
              </w:rPr>
              <w:t>LE.9</w:t>
            </w:r>
          </w:p>
        </w:tc>
        <w:tc>
          <w:tcPr>
            <w:tcW w:w="4540" w:type="pct"/>
            <w:tcBorders>
              <w:top w:val="single" w:sz="2" w:space="0" w:color="FFFFFF"/>
              <w:left w:val="single" w:sz="2" w:space="0" w:color="FFFFFF"/>
              <w:bottom w:val="single" w:sz="2" w:space="0" w:color="FFFFFF"/>
              <w:right w:val="single" w:sz="2" w:space="0" w:color="FFFFFF"/>
            </w:tcBorders>
            <w:shd w:val="clear" w:color="auto" w:fill="C6C6C6"/>
            <w:tcMar>
              <w:top w:w="72" w:type="dxa"/>
              <w:left w:w="142" w:type="dxa"/>
              <w:bottom w:w="72" w:type="dxa"/>
              <w:right w:w="142" w:type="dxa"/>
            </w:tcMar>
            <w:hideMark/>
          </w:tcPr>
          <w:p w14:paraId="3FF3BF2C" w14:textId="77777777" w:rsidR="008C59A3" w:rsidRPr="00A07BE9" w:rsidRDefault="008C59A3" w:rsidP="006B4251">
            <w:pPr>
              <w:spacing w:after="0" w:line="240" w:lineRule="auto"/>
              <w:jc w:val="both"/>
              <w:rPr>
                <w:rFonts w:ascii="Arial" w:eastAsia="Times New Roman" w:hAnsi="Arial" w:cs="Arial"/>
                <w:b/>
                <w:sz w:val="20"/>
                <w:szCs w:val="20"/>
                <w:lang w:eastAsia="es-ES"/>
              </w:rPr>
            </w:pPr>
            <w:r w:rsidRPr="00A07BE9">
              <w:rPr>
                <w:rFonts w:ascii="Open Sans" w:eastAsia="Open Sans" w:hAnsi="Open Sans" w:cs="Open Sans"/>
                <w:b/>
                <w:color w:val="27251F"/>
                <w:kern w:val="24"/>
                <w:sz w:val="20"/>
                <w:szCs w:val="20"/>
                <w:lang w:eastAsia="es-ES"/>
              </w:rPr>
              <w:t>Efectuar alegaciones o sugerencias durante los procesos de elaboración de normas que afectan el ámbito subjetivo de la Agencia</w:t>
            </w:r>
          </w:p>
        </w:tc>
      </w:tr>
      <w:tr w:rsidR="008C59A3" w:rsidRPr="00A07BE9" w14:paraId="66AF7BDA" w14:textId="77777777" w:rsidTr="002B2AC3">
        <w:trPr>
          <w:trHeight w:val="20"/>
        </w:trPr>
        <w:tc>
          <w:tcPr>
            <w:tcW w:w="460" w:type="pct"/>
            <w:tcBorders>
              <w:top w:val="single" w:sz="2" w:space="0" w:color="FFFFFF"/>
              <w:left w:val="single" w:sz="2" w:space="0" w:color="FFFFFF"/>
              <w:bottom w:val="single" w:sz="2" w:space="0" w:color="FFFFFF"/>
              <w:right w:val="single" w:sz="2" w:space="0" w:color="FFFFFF"/>
            </w:tcBorders>
            <w:shd w:val="clear" w:color="auto" w:fill="ABABAB"/>
            <w:tcMar>
              <w:top w:w="72" w:type="dxa"/>
              <w:left w:w="142" w:type="dxa"/>
              <w:bottom w:w="72" w:type="dxa"/>
              <w:right w:w="142" w:type="dxa"/>
            </w:tcMar>
            <w:hideMark/>
          </w:tcPr>
          <w:p w14:paraId="7E835E8A" w14:textId="77777777" w:rsidR="008C59A3" w:rsidRPr="00A07BE9" w:rsidRDefault="008C59A3" w:rsidP="008C59A3">
            <w:pPr>
              <w:spacing w:after="0" w:line="240" w:lineRule="auto"/>
              <w:rPr>
                <w:rFonts w:ascii="Arial" w:eastAsia="Times New Roman" w:hAnsi="Arial" w:cs="Arial"/>
                <w:sz w:val="20"/>
                <w:szCs w:val="20"/>
                <w:lang w:eastAsia="es-ES"/>
              </w:rPr>
            </w:pPr>
            <w:r w:rsidRPr="00A07BE9">
              <w:rPr>
                <w:rFonts w:ascii="Open Sans" w:eastAsia="Open Sans" w:hAnsi="Open Sans" w:cs="Open Sans"/>
                <w:b/>
                <w:bCs/>
                <w:color w:val="9D2235"/>
                <w:kern w:val="24"/>
                <w:sz w:val="20"/>
                <w:szCs w:val="20"/>
                <w:lang w:eastAsia="es-ES"/>
              </w:rPr>
              <w:t>LE.10</w:t>
            </w:r>
          </w:p>
        </w:tc>
        <w:tc>
          <w:tcPr>
            <w:tcW w:w="4540" w:type="pct"/>
            <w:tcBorders>
              <w:top w:val="single" w:sz="2" w:space="0" w:color="FFFFFF"/>
              <w:left w:val="single" w:sz="2" w:space="0" w:color="FFFFFF"/>
              <w:bottom w:val="single" w:sz="2" w:space="0" w:color="FFFFFF"/>
              <w:right w:val="single" w:sz="2" w:space="0" w:color="FFFFFF"/>
            </w:tcBorders>
            <w:shd w:val="clear" w:color="auto" w:fill="ABABAB"/>
            <w:tcMar>
              <w:top w:w="72" w:type="dxa"/>
              <w:left w:w="142" w:type="dxa"/>
              <w:bottom w:w="72" w:type="dxa"/>
              <w:right w:w="142" w:type="dxa"/>
            </w:tcMar>
            <w:hideMark/>
          </w:tcPr>
          <w:p w14:paraId="10CEC02F" w14:textId="77777777" w:rsidR="008C59A3" w:rsidRPr="00A07BE9" w:rsidRDefault="008C59A3" w:rsidP="006B4251">
            <w:pPr>
              <w:spacing w:after="0" w:line="240" w:lineRule="auto"/>
              <w:jc w:val="both"/>
              <w:rPr>
                <w:rFonts w:ascii="Arial" w:eastAsia="Times New Roman" w:hAnsi="Arial" w:cs="Arial"/>
                <w:b/>
                <w:sz w:val="20"/>
                <w:szCs w:val="20"/>
                <w:lang w:eastAsia="es-ES"/>
              </w:rPr>
            </w:pPr>
            <w:r w:rsidRPr="00A07BE9">
              <w:rPr>
                <w:rFonts w:ascii="Open Sans" w:eastAsia="Open Sans" w:hAnsi="Open Sans" w:cs="Open Sans"/>
                <w:b/>
                <w:color w:val="27251F"/>
                <w:kern w:val="24"/>
                <w:sz w:val="20"/>
                <w:szCs w:val="20"/>
                <w:lang w:eastAsia="es-ES"/>
              </w:rPr>
              <w:t>Prestar asesoramiento y dar respuesta a consultas sobre prevención del fraude, la corrupción y el fomento de la integridad pública</w:t>
            </w:r>
          </w:p>
        </w:tc>
      </w:tr>
      <w:tr w:rsidR="008C59A3" w:rsidRPr="00A07BE9" w14:paraId="65F49521" w14:textId="77777777" w:rsidTr="002B2AC3">
        <w:trPr>
          <w:trHeight w:val="20"/>
        </w:trPr>
        <w:tc>
          <w:tcPr>
            <w:tcW w:w="460" w:type="pct"/>
            <w:tcBorders>
              <w:top w:val="single" w:sz="2" w:space="0" w:color="FFFFFF"/>
              <w:left w:val="single" w:sz="2" w:space="0" w:color="FFFFFF"/>
              <w:bottom w:val="single" w:sz="2" w:space="0" w:color="FFFFFF"/>
              <w:right w:val="single" w:sz="2" w:space="0" w:color="FFFFFF"/>
            </w:tcBorders>
            <w:shd w:val="clear" w:color="auto" w:fill="C6C6C6"/>
            <w:tcMar>
              <w:top w:w="72" w:type="dxa"/>
              <w:left w:w="142" w:type="dxa"/>
              <w:bottom w:w="72" w:type="dxa"/>
              <w:right w:w="142" w:type="dxa"/>
            </w:tcMar>
            <w:hideMark/>
          </w:tcPr>
          <w:p w14:paraId="752F3D8C" w14:textId="77777777" w:rsidR="008C59A3" w:rsidRPr="00A07BE9" w:rsidRDefault="008C59A3" w:rsidP="008C59A3">
            <w:pPr>
              <w:spacing w:after="0" w:line="240" w:lineRule="auto"/>
              <w:rPr>
                <w:rFonts w:ascii="Arial" w:eastAsia="Times New Roman" w:hAnsi="Arial" w:cs="Arial"/>
                <w:sz w:val="20"/>
                <w:szCs w:val="20"/>
                <w:lang w:eastAsia="es-ES"/>
              </w:rPr>
            </w:pPr>
            <w:r w:rsidRPr="00A07BE9">
              <w:rPr>
                <w:rFonts w:ascii="Open Sans" w:eastAsia="Open Sans" w:hAnsi="Open Sans" w:cs="Open Sans"/>
                <w:b/>
                <w:bCs/>
                <w:color w:val="9D2235"/>
                <w:kern w:val="24"/>
                <w:sz w:val="20"/>
                <w:szCs w:val="20"/>
                <w:lang w:eastAsia="es-ES"/>
              </w:rPr>
              <w:t>LE.11</w:t>
            </w:r>
          </w:p>
        </w:tc>
        <w:tc>
          <w:tcPr>
            <w:tcW w:w="4540" w:type="pct"/>
            <w:tcBorders>
              <w:top w:val="single" w:sz="2" w:space="0" w:color="FFFFFF"/>
              <w:left w:val="single" w:sz="2" w:space="0" w:color="FFFFFF"/>
              <w:bottom w:val="single" w:sz="2" w:space="0" w:color="FFFFFF"/>
              <w:right w:val="single" w:sz="2" w:space="0" w:color="FFFFFF"/>
            </w:tcBorders>
            <w:shd w:val="clear" w:color="auto" w:fill="C6C6C6"/>
            <w:tcMar>
              <w:top w:w="72" w:type="dxa"/>
              <w:left w:w="142" w:type="dxa"/>
              <w:bottom w:w="72" w:type="dxa"/>
              <w:right w:w="142" w:type="dxa"/>
            </w:tcMar>
            <w:hideMark/>
          </w:tcPr>
          <w:p w14:paraId="30591E85" w14:textId="77777777" w:rsidR="008C59A3" w:rsidRPr="00A07BE9" w:rsidRDefault="008C59A3" w:rsidP="006B4251">
            <w:pPr>
              <w:spacing w:after="0" w:line="240" w:lineRule="auto"/>
              <w:jc w:val="both"/>
              <w:rPr>
                <w:rFonts w:ascii="Arial" w:eastAsia="Times New Roman" w:hAnsi="Arial" w:cs="Arial"/>
                <w:b/>
                <w:sz w:val="20"/>
                <w:szCs w:val="20"/>
                <w:lang w:eastAsia="es-ES"/>
              </w:rPr>
            </w:pPr>
            <w:r w:rsidRPr="00A07BE9">
              <w:rPr>
                <w:rFonts w:ascii="Open Sans" w:eastAsia="Open Sans" w:hAnsi="Open Sans" w:cs="Open Sans"/>
                <w:b/>
                <w:color w:val="27251F"/>
                <w:kern w:val="24"/>
                <w:sz w:val="20"/>
                <w:szCs w:val="20"/>
                <w:lang w:eastAsia="es-ES"/>
              </w:rPr>
              <w:t>Colaborar con personas, entidades interesadas, universidades y organismos de control en investigaciones de Prevención, su difusión, así como a proponer criterios previos, claros y estables de control de la acción pública</w:t>
            </w:r>
          </w:p>
        </w:tc>
      </w:tr>
    </w:tbl>
    <w:p w14:paraId="44ED56C2" w14:textId="3A8CB527" w:rsidR="00A140F9" w:rsidRPr="00A07BE9" w:rsidRDefault="00A140F9" w:rsidP="00A140F9">
      <w:pPr>
        <w:spacing w:after="0" w:line="276" w:lineRule="auto"/>
        <w:jc w:val="both"/>
        <w:rPr>
          <w:rFonts w:ascii="Open Sans" w:hAnsi="Open Sans" w:cs="Open Sans"/>
          <w:sz w:val="21"/>
          <w:szCs w:val="21"/>
        </w:rPr>
      </w:pPr>
    </w:p>
    <w:p w14:paraId="602626CB" w14:textId="77777777"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 xml:space="preserve">De forma paralela a la confección y aprobación del plan estratégico, el Servicio de Prevención ya está recopilando y analizando información para su ejecución. </w:t>
      </w:r>
    </w:p>
    <w:p w14:paraId="32AB1D2D" w14:textId="77777777" w:rsidR="00A140F9" w:rsidRPr="00A07BE9" w:rsidRDefault="00A140F9" w:rsidP="00A140F9">
      <w:pPr>
        <w:spacing w:after="0" w:line="276" w:lineRule="auto"/>
        <w:jc w:val="both"/>
        <w:rPr>
          <w:rFonts w:ascii="Open Sans" w:hAnsi="Open Sans" w:cs="Open Sans"/>
          <w:sz w:val="20"/>
          <w:szCs w:val="20"/>
        </w:rPr>
      </w:pPr>
    </w:p>
    <w:p w14:paraId="698B229C" w14:textId="0837DC41"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Así, por ejemplo, este servicio está analizando los informes de intervención contrarios a reparos recibidos en la Agencia (</w:t>
      </w:r>
      <w:r w:rsidR="003408CE" w:rsidRPr="00A07BE9">
        <w:rPr>
          <w:rFonts w:ascii="Open Sans" w:hAnsi="Open Sans" w:cs="Open Sans"/>
          <w:sz w:val="20"/>
          <w:szCs w:val="20"/>
        </w:rPr>
        <w:t>artículo</w:t>
      </w:r>
      <w:r w:rsidRPr="00A07BE9">
        <w:rPr>
          <w:rFonts w:ascii="Open Sans" w:hAnsi="Open Sans" w:cs="Open Sans"/>
          <w:sz w:val="20"/>
          <w:szCs w:val="20"/>
        </w:rPr>
        <w:t xml:space="preserve"> 218 </w:t>
      </w:r>
      <w:hyperlink r:id="rId33" w:history="1">
        <w:r w:rsidRPr="00A07BE9">
          <w:rPr>
            <w:rStyle w:val="Hipervnculo"/>
            <w:rFonts w:ascii="Open Sans" w:hAnsi="Open Sans" w:cs="Open Sans"/>
            <w:sz w:val="20"/>
            <w:szCs w:val="20"/>
          </w:rPr>
          <w:t>TRLRHL</w:t>
        </w:r>
      </w:hyperlink>
      <w:r w:rsidRPr="00A07BE9">
        <w:rPr>
          <w:rFonts w:ascii="Open Sans" w:hAnsi="Open Sans" w:cs="Open Sans"/>
          <w:sz w:val="20"/>
          <w:szCs w:val="20"/>
        </w:rPr>
        <w:t>); sistematizando los supuestos de enriquecimiento injusto, y contrastándolos con la doctrina y la jurisprudencia aplicables, así como con las situaciones descritas en las denuncias entrantes en la Agencia sobre este tema. Todo ello como trabajos preparatorios para la elaboración de una futura recomendación general sobre este tema</w:t>
      </w:r>
      <w:r w:rsidR="006133A7" w:rsidRPr="00A07BE9">
        <w:rPr>
          <w:rFonts w:ascii="Open Sans" w:hAnsi="Open Sans" w:cs="Open Sans"/>
          <w:sz w:val="20"/>
          <w:szCs w:val="20"/>
        </w:rPr>
        <w:t>.</w:t>
      </w:r>
    </w:p>
    <w:p w14:paraId="164E3D46" w14:textId="77777777" w:rsidR="006133A7" w:rsidRPr="00A07BE9" w:rsidRDefault="006133A7" w:rsidP="00A140F9">
      <w:pPr>
        <w:spacing w:after="0" w:line="276" w:lineRule="auto"/>
        <w:jc w:val="both"/>
        <w:rPr>
          <w:rFonts w:ascii="Open Sans" w:hAnsi="Open Sans" w:cs="Open Sans"/>
          <w:sz w:val="20"/>
          <w:szCs w:val="20"/>
        </w:rPr>
      </w:pPr>
    </w:p>
    <w:p w14:paraId="126E66F9" w14:textId="7B41DA3B" w:rsidR="004A3C1B"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 xml:space="preserve">Por otro lado, también se ha investigado y sistematizado las diferentes metodologías de prevención y análisis de riesgos existentes tanto a nivel nacional como internacional, trabajos que servirán de base para la propuesta de metodología y de contenido mínimo de planes de prevención. En este caso, esta recopilación ha servido para elaborar el catálogo de riesgos comunes en cualquier proceso de toma de decisiones y cuyo contenido hemos </w:t>
      </w:r>
      <w:r w:rsidRPr="00A07BE9">
        <w:rPr>
          <w:rFonts w:ascii="Open Sans" w:hAnsi="Open Sans" w:cs="Open Sans"/>
          <w:sz w:val="20"/>
          <w:szCs w:val="20"/>
        </w:rPr>
        <w:lastRenderedPageBreak/>
        <w:t>desarrollado en la recomendación dirigida a los cargos electos locales sobre esta materia, que describimos en el siguiente epígrafe.</w:t>
      </w:r>
    </w:p>
    <w:p w14:paraId="285DF063" w14:textId="36DBCF9F" w:rsidR="008A1A7A" w:rsidRDefault="008A1A7A" w:rsidP="00A140F9">
      <w:pPr>
        <w:spacing w:after="0" w:line="276" w:lineRule="auto"/>
        <w:jc w:val="both"/>
        <w:rPr>
          <w:sz w:val="20"/>
          <w:szCs w:val="20"/>
        </w:rPr>
      </w:pPr>
    </w:p>
    <w:p w14:paraId="29B8CF72" w14:textId="77777777" w:rsidR="008A1A7A" w:rsidRPr="00A07BE9" w:rsidRDefault="008A1A7A" w:rsidP="00A140F9">
      <w:pPr>
        <w:spacing w:after="0" w:line="276" w:lineRule="auto"/>
        <w:jc w:val="both"/>
        <w:rPr>
          <w:sz w:val="20"/>
          <w:szCs w:val="20"/>
        </w:rPr>
      </w:pPr>
    </w:p>
    <w:p w14:paraId="0134B2E7" w14:textId="77777777" w:rsidR="00A140F9" w:rsidRPr="00A07BE9" w:rsidRDefault="00A140F9" w:rsidP="00A140F9">
      <w:pPr>
        <w:suppressAutoHyphens/>
        <w:spacing w:after="0" w:line="240" w:lineRule="auto"/>
        <w:jc w:val="both"/>
        <w:rPr>
          <w:rFonts w:ascii="Open Sans" w:eastAsia="Times New Roman" w:hAnsi="Open Sans" w:cs="Open Sans"/>
          <w:b/>
          <w:bCs/>
          <w:smallCaps/>
          <w:color w:val="9D2235"/>
          <w:sz w:val="28"/>
          <w:szCs w:val="28"/>
          <w:lang w:eastAsia="es-ES"/>
        </w:rPr>
      </w:pPr>
      <w:r w:rsidRPr="00A07BE9">
        <w:rPr>
          <w:rFonts w:ascii="Open Sans" w:eastAsia="Times New Roman" w:hAnsi="Open Sans" w:cs="Open Sans"/>
          <w:b/>
          <w:bCs/>
          <w:smallCaps/>
          <w:color w:val="9D2235"/>
          <w:sz w:val="28"/>
          <w:szCs w:val="28"/>
          <w:lang w:eastAsia="es-ES"/>
        </w:rPr>
        <w:t>2.1.4. Recomendaciones</w:t>
      </w:r>
    </w:p>
    <w:p w14:paraId="5DBFE5D0" w14:textId="77777777" w:rsidR="00A140F9" w:rsidRPr="00A07BE9" w:rsidRDefault="00A140F9" w:rsidP="00A140F9">
      <w:pPr>
        <w:spacing w:after="0" w:line="276" w:lineRule="auto"/>
        <w:jc w:val="both"/>
        <w:rPr>
          <w:rFonts w:ascii="Open Sans" w:hAnsi="Open Sans" w:cs="Open Sans"/>
          <w:color w:val="9D2235"/>
          <w:sz w:val="20"/>
          <w:szCs w:val="20"/>
        </w:rPr>
      </w:pPr>
    </w:p>
    <w:p w14:paraId="25E0489D" w14:textId="12D6A5CC"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En desarrollo de las funciones de la Agencia dirigidas a asesorar y formular propuestas y recomendaciones en materia de integridad y ética públicas, y prevención de la corrupción, con ocasión de la celebración de las elecciones locales y el inicio del mandato corporativo, el Servicio de Prevención elaboró una recomendación dirigida principalmente a los cargos electos locales, relativa a las herramientas de prevención de los riesgos de corrupción en el proceso de toma de decisiones (</w:t>
      </w:r>
      <w:hyperlink r:id="rId34" w:history="1">
        <w:r w:rsidRPr="00A07BE9">
          <w:rPr>
            <w:rStyle w:val="Hipervnculo"/>
            <w:rFonts w:ascii="Open Sans" w:hAnsi="Open Sans" w:cs="Open Sans"/>
            <w:sz w:val="20"/>
            <w:szCs w:val="20"/>
          </w:rPr>
          <w:t>PR1/2019</w:t>
        </w:r>
      </w:hyperlink>
      <w:r w:rsidRPr="00A07BE9">
        <w:rPr>
          <w:rFonts w:ascii="Open Sans" w:hAnsi="Open Sans" w:cs="Open Sans"/>
          <w:sz w:val="20"/>
          <w:szCs w:val="20"/>
        </w:rPr>
        <w:t>), que puede consultarse en la página web de la Agencia.</w:t>
      </w:r>
    </w:p>
    <w:p w14:paraId="284E6B21" w14:textId="77777777" w:rsidR="00A140F9" w:rsidRPr="00A07BE9" w:rsidRDefault="00A140F9" w:rsidP="00A140F9">
      <w:pPr>
        <w:spacing w:after="0" w:line="276" w:lineRule="auto"/>
        <w:jc w:val="both"/>
        <w:rPr>
          <w:rFonts w:ascii="Open Sans" w:hAnsi="Open Sans" w:cs="Open Sans"/>
          <w:sz w:val="20"/>
          <w:szCs w:val="20"/>
        </w:rPr>
      </w:pPr>
    </w:p>
    <w:p w14:paraId="63709E63" w14:textId="77777777"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La recomendación se difundió a todas los Ayuntamientos de la Comunitat Valenciana, a la Dirección General de Administración Local, al Colegio de Secretarios Interventores y Tesoreros de Valencia, Castellón y Alicante y a la Federación Valenciana de Municipios y Provincias).</w:t>
      </w:r>
    </w:p>
    <w:p w14:paraId="72792E27" w14:textId="77777777" w:rsidR="00A140F9" w:rsidRPr="00A07BE9" w:rsidRDefault="00A140F9" w:rsidP="00A140F9">
      <w:pPr>
        <w:spacing w:after="0" w:line="276" w:lineRule="auto"/>
        <w:jc w:val="both"/>
        <w:rPr>
          <w:rFonts w:ascii="Open Sans" w:hAnsi="Open Sans" w:cs="Open Sans"/>
          <w:sz w:val="20"/>
          <w:szCs w:val="20"/>
        </w:rPr>
      </w:pPr>
    </w:p>
    <w:p w14:paraId="2DEC877A" w14:textId="77777777"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Con esta actuación la Agencia argumenta que el proceso de toma de decisiones en el que participan los miembros de las corporaciones locales, que son los protagonistas legitimados democráticamente para ello, no está exento de riesgos de corrupción. La recomendación enfatiza la importancia de gestionar adecuadamente los riesgos de corrupción en esta fase y sugiere a los cargos electos que conozcan los principios y las herramientas que el ordenamiento jurídico pone a su disposición para minimizarlos, con pleno convencimiento de su utilidad, oportunidad y razón de ser.</w:t>
      </w:r>
    </w:p>
    <w:p w14:paraId="66163028" w14:textId="26280E3D" w:rsidR="00A140F9" w:rsidRPr="00A07BE9" w:rsidRDefault="00A140F9" w:rsidP="00A140F9">
      <w:pPr>
        <w:spacing w:after="0" w:line="276" w:lineRule="auto"/>
        <w:jc w:val="both"/>
        <w:rPr>
          <w:rFonts w:ascii="Open Sans" w:hAnsi="Open Sans" w:cs="Open Sans"/>
          <w:sz w:val="21"/>
          <w:szCs w:val="21"/>
        </w:rPr>
      </w:pPr>
    </w:p>
    <w:p w14:paraId="7C424A64" w14:textId="1D27AC4B"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En definitiva, el objetivo es facilitar la información que ayude a consolidar también las decisiones políticas desde la perspectiva de la integridad pública y a fortalecer la confianza de la ciudadanía en los poderes y en las instituciones públicas.</w:t>
      </w:r>
    </w:p>
    <w:p w14:paraId="16096BD3" w14:textId="05802CA3" w:rsidR="000A6829" w:rsidRPr="00A07BE9" w:rsidRDefault="000A6829" w:rsidP="00A140F9">
      <w:pPr>
        <w:spacing w:after="0" w:line="276" w:lineRule="auto"/>
        <w:jc w:val="both"/>
        <w:rPr>
          <w:rFonts w:ascii="Open Sans" w:hAnsi="Open Sans" w:cs="Open Sans"/>
          <w:sz w:val="20"/>
          <w:szCs w:val="20"/>
        </w:rPr>
      </w:pPr>
      <w:r w:rsidRPr="00A07BE9">
        <w:rPr>
          <w:rFonts w:ascii="Open Sans" w:hAnsi="Open Sans" w:cs="Open Sans"/>
          <w:noProof/>
          <w:sz w:val="20"/>
          <w:szCs w:val="20"/>
        </w:rPr>
        <w:drawing>
          <wp:anchor distT="0" distB="0" distL="114300" distR="114300" simplePos="0" relativeHeight="251769856" behindDoc="1" locked="0" layoutInCell="1" allowOverlap="1" wp14:anchorId="67A3939C" wp14:editId="2ACD65F3">
            <wp:simplePos x="0" y="0"/>
            <wp:positionH relativeFrom="margin">
              <wp:align>right</wp:align>
            </wp:positionH>
            <wp:positionV relativeFrom="paragraph">
              <wp:posOffset>197485</wp:posOffset>
            </wp:positionV>
            <wp:extent cx="5400675" cy="2247900"/>
            <wp:effectExtent l="0" t="0" r="9525" b="0"/>
            <wp:wrapTight wrapText="bothSides">
              <wp:wrapPolygon edited="0">
                <wp:start x="13638" y="0"/>
                <wp:lineTo x="13714" y="2929"/>
                <wp:lineTo x="1448" y="5125"/>
                <wp:lineTo x="1448" y="5858"/>
                <wp:lineTo x="0" y="6407"/>
                <wp:lineTo x="0" y="15925"/>
                <wp:lineTo x="8076" y="17573"/>
                <wp:lineTo x="13714" y="17573"/>
                <wp:lineTo x="13638" y="21417"/>
                <wp:lineTo x="14095" y="21417"/>
                <wp:lineTo x="16229" y="17573"/>
                <wp:lineTo x="16762" y="17573"/>
                <wp:lineTo x="21562" y="15010"/>
                <wp:lineTo x="21562" y="6041"/>
                <wp:lineTo x="17371" y="5858"/>
                <wp:lineTo x="14095" y="0"/>
                <wp:lineTo x="13638" y="0"/>
              </wp:wrapPolygon>
            </wp:wrapTight>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5400675" cy="2247900"/>
                    </a:xfrm>
                    <a:prstGeom prst="rect">
                      <a:avLst/>
                    </a:prstGeom>
                    <a:noFill/>
                  </pic:spPr>
                </pic:pic>
              </a:graphicData>
            </a:graphic>
            <wp14:sizeRelH relativeFrom="margin">
              <wp14:pctWidth>0</wp14:pctWidth>
            </wp14:sizeRelH>
            <wp14:sizeRelV relativeFrom="margin">
              <wp14:pctHeight>0</wp14:pctHeight>
            </wp14:sizeRelV>
          </wp:anchor>
        </w:drawing>
      </w:r>
    </w:p>
    <w:p w14:paraId="374CA331" w14:textId="7BABB65E" w:rsidR="006B4251" w:rsidRPr="00A07BE9" w:rsidRDefault="006B4251" w:rsidP="00A140F9">
      <w:pPr>
        <w:spacing w:after="0" w:line="276" w:lineRule="auto"/>
        <w:jc w:val="both"/>
        <w:rPr>
          <w:rFonts w:ascii="Open Sans" w:hAnsi="Open Sans" w:cs="Open Sans"/>
          <w:noProof/>
          <w:sz w:val="20"/>
          <w:szCs w:val="20"/>
        </w:rPr>
      </w:pPr>
    </w:p>
    <w:p w14:paraId="091F7CFA" w14:textId="7C1D2474" w:rsidR="006B4251" w:rsidRPr="00A07BE9" w:rsidRDefault="006B4251" w:rsidP="00A140F9">
      <w:pPr>
        <w:spacing w:after="0" w:line="276" w:lineRule="auto"/>
        <w:jc w:val="both"/>
        <w:rPr>
          <w:rFonts w:ascii="Open Sans" w:hAnsi="Open Sans" w:cs="Open Sans"/>
          <w:sz w:val="20"/>
          <w:szCs w:val="20"/>
        </w:rPr>
      </w:pPr>
    </w:p>
    <w:p w14:paraId="58ACCBFB" w14:textId="77777777" w:rsidR="006B4251" w:rsidRPr="00A07BE9" w:rsidRDefault="006B4251" w:rsidP="00A140F9">
      <w:pPr>
        <w:spacing w:after="0" w:line="276" w:lineRule="auto"/>
        <w:jc w:val="both"/>
        <w:rPr>
          <w:rFonts w:ascii="Open Sans" w:hAnsi="Open Sans" w:cs="Open Sans"/>
          <w:sz w:val="20"/>
          <w:szCs w:val="20"/>
        </w:rPr>
      </w:pPr>
    </w:p>
    <w:p w14:paraId="237FD45C" w14:textId="35674116" w:rsidR="006B4251" w:rsidRPr="00A07BE9" w:rsidRDefault="006B4251" w:rsidP="00A140F9">
      <w:pPr>
        <w:spacing w:after="0" w:line="276" w:lineRule="auto"/>
        <w:jc w:val="both"/>
        <w:rPr>
          <w:rFonts w:ascii="Open Sans" w:hAnsi="Open Sans" w:cs="Open Sans"/>
          <w:sz w:val="20"/>
          <w:szCs w:val="20"/>
        </w:rPr>
      </w:pPr>
    </w:p>
    <w:p w14:paraId="1DC3F080" w14:textId="47AE4FD6" w:rsidR="000A6829" w:rsidRPr="00A07BE9" w:rsidRDefault="000A6829" w:rsidP="00A140F9">
      <w:pPr>
        <w:spacing w:after="0" w:line="276" w:lineRule="auto"/>
        <w:jc w:val="both"/>
        <w:rPr>
          <w:rFonts w:ascii="Open Sans" w:hAnsi="Open Sans" w:cs="Open Sans"/>
          <w:sz w:val="20"/>
          <w:szCs w:val="20"/>
        </w:rPr>
      </w:pPr>
    </w:p>
    <w:p w14:paraId="250E4C7A" w14:textId="77777777" w:rsidR="000A6829" w:rsidRPr="00A07BE9" w:rsidRDefault="000A6829" w:rsidP="00A140F9">
      <w:pPr>
        <w:spacing w:after="0" w:line="276" w:lineRule="auto"/>
        <w:jc w:val="both"/>
        <w:rPr>
          <w:rFonts w:ascii="Open Sans" w:hAnsi="Open Sans" w:cs="Open Sans"/>
          <w:sz w:val="20"/>
          <w:szCs w:val="20"/>
        </w:rPr>
      </w:pPr>
    </w:p>
    <w:p w14:paraId="021EEC9A" w14:textId="31FB033C" w:rsidR="000A6829" w:rsidRDefault="00A140F9" w:rsidP="005F0A1F">
      <w:pPr>
        <w:spacing w:after="0" w:line="276" w:lineRule="auto"/>
        <w:jc w:val="both"/>
        <w:rPr>
          <w:rFonts w:ascii="Open Sans" w:hAnsi="Open Sans" w:cs="Open Sans"/>
          <w:sz w:val="20"/>
          <w:szCs w:val="20"/>
        </w:rPr>
      </w:pPr>
      <w:r w:rsidRPr="00A07BE9">
        <w:rPr>
          <w:rFonts w:ascii="Open Sans" w:hAnsi="Open Sans" w:cs="Open Sans"/>
          <w:sz w:val="20"/>
          <w:szCs w:val="20"/>
        </w:rPr>
        <w:lastRenderedPageBreak/>
        <w:t>En este ejercicio, el Servicio de Prevención también ha ejercido las funciones de asesoramiento preventivo en colaboración con la Dirección de Análisis e Investigación elaborando propuestas de recomendaciones específicas sobre determinadas actuaciones investigadas. Concretamente, durante el 2019 se colaboró en relación con las materias de mayor riesgo de fraude o corrupción, atendiendo a las denuncias con entrada en la Agencia:</w:t>
      </w:r>
    </w:p>
    <w:p w14:paraId="05B7DED4" w14:textId="77777777" w:rsidR="008A1A7A" w:rsidRPr="00A07BE9" w:rsidRDefault="008A1A7A" w:rsidP="005F0A1F">
      <w:pPr>
        <w:spacing w:after="0" w:line="276" w:lineRule="auto"/>
        <w:jc w:val="both"/>
        <w:rPr>
          <w:rFonts w:ascii="Open Sans" w:hAnsi="Open Sans" w:cs="Open Sans"/>
          <w:sz w:val="20"/>
          <w:szCs w:val="20"/>
        </w:rPr>
      </w:pPr>
    </w:p>
    <w:p w14:paraId="2CEAE372" w14:textId="796711B3" w:rsidR="0073187C" w:rsidRPr="00A07BE9" w:rsidRDefault="00A140F9" w:rsidP="00A140F9">
      <w:pPr>
        <w:spacing w:after="0" w:line="276" w:lineRule="auto"/>
        <w:ind w:right="44"/>
        <w:rPr>
          <w:rFonts w:ascii="Open Sans" w:hAnsi="Open Sans" w:cs="Open Sans"/>
          <w:i/>
          <w:iCs/>
          <w:color w:val="000000"/>
          <w:kern w:val="2"/>
          <w:sz w:val="16"/>
          <w:szCs w:val="16"/>
        </w:rPr>
      </w:pPr>
      <w:r w:rsidRPr="00A07BE9">
        <w:rPr>
          <w:rFonts w:ascii="Open Sans" w:hAnsi="Open Sans" w:cs="Open Sans"/>
          <w:b/>
          <w:iCs/>
          <w:color w:val="9D2235"/>
          <w:kern w:val="2"/>
          <w:sz w:val="20"/>
          <w:szCs w:val="20"/>
        </w:rPr>
        <w:t xml:space="preserve">Gráfico </w:t>
      </w:r>
      <w:r w:rsidR="00E46707" w:rsidRPr="00A07BE9">
        <w:rPr>
          <w:rFonts w:ascii="Open Sans" w:hAnsi="Open Sans" w:cs="Open Sans"/>
          <w:b/>
          <w:iCs/>
          <w:color w:val="9D2235"/>
          <w:kern w:val="2"/>
          <w:sz w:val="20"/>
          <w:szCs w:val="20"/>
        </w:rPr>
        <w:t>1</w:t>
      </w:r>
      <w:r w:rsidRPr="00A07BE9">
        <w:rPr>
          <w:rFonts w:ascii="Open Sans" w:hAnsi="Open Sans" w:cs="Open Sans"/>
          <w:b/>
          <w:iCs/>
          <w:color w:val="9D2235"/>
          <w:kern w:val="2"/>
          <w:sz w:val="20"/>
          <w:szCs w:val="20"/>
        </w:rPr>
        <w:t>.</w:t>
      </w:r>
      <w:r w:rsidRPr="00A07BE9">
        <w:rPr>
          <w:rFonts w:ascii="Open Sans" w:hAnsi="Open Sans" w:cs="Open Sans"/>
          <w:b/>
          <w:iCs/>
          <w:color w:val="000000"/>
          <w:kern w:val="2"/>
          <w:sz w:val="20"/>
          <w:szCs w:val="20"/>
        </w:rPr>
        <w:t xml:space="preserve"> </w:t>
      </w:r>
      <w:r w:rsidRPr="00A07BE9">
        <w:rPr>
          <w:rFonts w:ascii="Open Sans" w:hAnsi="Open Sans" w:cs="Open Sans"/>
          <w:b/>
          <w:i/>
          <w:iCs/>
          <w:color w:val="000000"/>
          <w:kern w:val="2"/>
          <w:sz w:val="16"/>
          <w:szCs w:val="16"/>
        </w:rPr>
        <w:t xml:space="preserve"> </w:t>
      </w:r>
      <w:r w:rsidRPr="00A07BE9">
        <w:rPr>
          <w:rFonts w:ascii="Open Sans" w:hAnsi="Open Sans" w:cs="Open Sans"/>
          <w:b/>
          <w:iCs/>
          <w:color w:val="000000"/>
          <w:kern w:val="2"/>
          <w:sz w:val="20"/>
          <w:szCs w:val="20"/>
        </w:rPr>
        <w:t>Denuncias con entrada en la Agencia Valenciana Antifrau</w:t>
      </w:r>
      <w:r w:rsidR="00E51418" w:rsidRPr="00A07BE9">
        <w:rPr>
          <w:rFonts w:ascii="Open Sans" w:hAnsi="Open Sans" w:cs="Open Sans"/>
          <w:b/>
          <w:iCs/>
          <w:color w:val="000000"/>
          <w:kern w:val="2"/>
          <w:sz w:val="20"/>
          <w:szCs w:val="20"/>
        </w:rPr>
        <w:t>de</w:t>
      </w:r>
      <w:r w:rsidRPr="00A07BE9">
        <w:rPr>
          <w:rFonts w:ascii="Open Sans" w:hAnsi="Open Sans" w:cs="Open Sans"/>
          <w:b/>
          <w:iCs/>
          <w:color w:val="000000"/>
          <w:kern w:val="2"/>
          <w:sz w:val="20"/>
          <w:szCs w:val="20"/>
        </w:rPr>
        <w:t xml:space="preserve"> (2019).</w:t>
      </w:r>
      <w:r w:rsidRPr="00A07BE9">
        <w:rPr>
          <w:rFonts w:ascii="Open Sans" w:hAnsi="Open Sans" w:cs="Open Sans"/>
          <w:i/>
          <w:iCs/>
          <w:color w:val="000000"/>
          <w:kern w:val="2"/>
          <w:sz w:val="16"/>
          <w:szCs w:val="16"/>
        </w:rPr>
        <w:t xml:space="preserve"> </w:t>
      </w:r>
    </w:p>
    <w:p w14:paraId="098617B6" w14:textId="1900CE52" w:rsidR="00A140F9" w:rsidRPr="00A07BE9" w:rsidRDefault="0073187C" w:rsidP="00A140F9">
      <w:pPr>
        <w:spacing w:after="0" w:line="276" w:lineRule="auto"/>
        <w:jc w:val="both"/>
        <w:rPr>
          <w:rFonts w:ascii="Open Sans" w:hAnsi="Open Sans" w:cs="Open Sans"/>
          <w:sz w:val="20"/>
          <w:szCs w:val="20"/>
        </w:rPr>
      </w:pPr>
      <w:r w:rsidRPr="00A07BE9">
        <w:rPr>
          <w:noProof/>
        </w:rPr>
        <w:drawing>
          <wp:inline distT="0" distB="0" distL="0" distR="0" wp14:anchorId="24FE2461" wp14:editId="2D187D65">
            <wp:extent cx="5438140" cy="2371725"/>
            <wp:effectExtent l="0" t="0" r="10160" b="9525"/>
            <wp:docPr id="104" name="Gráfico 104">
              <a:extLst xmlns:a="http://schemas.openxmlformats.org/drawingml/2006/main">
                <a:ext uri="{FF2B5EF4-FFF2-40B4-BE49-F238E27FC236}">
                  <a16:creationId xmlns:a16="http://schemas.microsoft.com/office/drawing/2014/main" id="{C27A00D3-8317-4AA7-BE4F-9D48012CB1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CBA9357" w14:textId="77777777" w:rsidR="00A140F9" w:rsidRPr="00A07BE9" w:rsidRDefault="00A140F9" w:rsidP="00E46707">
      <w:pPr>
        <w:spacing w:after="0" w:line="276" w:lineRule="auto"/>
        <w:ind w:right="1077"/>
        <w:rPr>
          <w:rFonts w:ascii="Open Sans" w:hAnsi="Open Sans" w:cs="Open Sans"/>
          <w:b/>
          <w:i/>
          <w:iCs/>
          <w:color w:val="000000"/>
          <w:kern w:val="2"/>
          <w:sz w:val="16"/>
          <w:szCs w:val="16"/>
        </w:rPr>
      </w:pPr>
    </w:p>
    <w:p w14:paraId="2E411ECC" w14:textId="4FA334A3" w:rsidR="006133A7"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 xml:space="preserve">A título enunciativo se formuló una propuesta de recomendación de prevención, que se incorporó en la resolución de conclusión de las actuaciones de investigación, sobre la necesaria planificación en la contratación, cuya síntesis se reproduce a continuación: </w:t>
      </w:r>
    </w:p>
    <w:p w14:paraId="43272D87" w14:textId="77777777" w:rsidR="006415EB" w:rsidRPr="00A07BE9" w:rsidRDefault="006415EB" w:rsidP="00A140F9">
      <w:pPr>
        <w:spacing w:after="0" w:line="276" w:lineRule="auto"/>
        <w:jc w:val="both"/>
        <w:rPr>
          <w:rFonts w:ascii="Open Sans" w:hAnsi="Open Sans" w:cs="Open Sans"/>
          <w:sz w:val="20"/>
          <w:szCs w:val="20"/>
        </w:rPr>
      </w:pPr>
    </w:p>
    <w:p w14:paraId="58F00AFC" w14:textId="77777777" w:rsidR="00A140F9" w:rsidRPr="00A07BE9" w:rsidRDefault="00A140F9" w:rsidP="00A140F9">
      <w:pPr>
        <w:spacing w:after="0" w:line="276" w:lineRule="auto"/>
        <w:ind w:left="567"/>
        <w:jc w:val="both"/>
        <w:rPr>
          <w:rFonts w:ascii="Open Sans" w:hAnsi="Open Sans" w:cs="Open Sans"/>
          <w:sz w:val="18"/>
          <w:szCs w:val="18"/>
        </w:rPr>
      </w:pPr>
      <w:r w:rsidRPr="00A07BE9">
        <w:rPr>
          <w:rFonts w:ascii="Open Sans" w:hAnsi="Open Sans" w:cs="Open Sans"/>
          <w:sz w:val="18"/>
          <w:szCs w:val="18"/>
        </w:rPr>
        <w:t>“(…) A este respecto, se recomienda que, previa la oportuna planificación de las necesidades del órgano de contratación, se promueva en lo sucesivo la contratación del mantenimiento y reparación, de carácter recurrente, licitándose por alguno de los procedimientos legales con publicidad y concurrencia (ya sea a través de un procedimiento abierto, con licitación por lotes, ya sea acudiendo a las nuevas modalidades del mismo que contempla la vigente Ley 9/2017, de 8 de noviembre, de Contratos del Sector Público en su artículo 159). De este modo, se estará actuando con el máximo respeto no solo a la normativa europea y española de contratación sino también a los principios de buena gestión que deben presidir toda actuación pública (máxime cuando se trata del mantenimiento y conservación de un bien de servicio público municipal …) propiciando asimismo una mayor eficiencia en la asignación de los recursos públicos. No en vano, el adecuado uso del contrato menor debe circunscribirse a cubrir de forma inmediata necesidades puntuales y de escasa cuantía pues, en otro caso, la restricción de la libre concurrencia con eventuales mermas en las economías de escala no sería respetuosa con el marco legal vigente ni con el necesario impulso de la integridad en todo proceso de contratación sufragado con dinero de la ciudadanía. (…)”</w:t>
      </w:r>
    </w:p>
    <w:p w14:paraId="0BE25C29" w14:textId="77777777" w:rsidR="00A140F9" w:rsidRPr="00A07BE9" w:rsidRDefault="00A140F9" w:rsidP="00A140F9">
      <w:pPr>
        <w:spacing w:after="0" w:line="276" w:lineRule="auto"/>
        <w:ind w:left="567"/>
        <w:jc w:val="both"/>
        <w:rPr>
          <w:sz w:val="18"/>
          <w:szCs w:val="18"/>
        </w:rPr>
      </w:pPr>
    </w:p>
    <w:p w14:paraId="05F658FB" w14:textId="77777777"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Otra de las propuestas de recomendación de prevención, que se incorporó en la resolución de conclusión de las actuaciones de investigación, sobre las funciones del personal eventual, en los términos siguientes:</w:t>
      </w:r>
    </w:p>
    <w:p w14:paraId="56C03E9E" w14:textId="77777777" w:rsidR="00A140F9" w:rsidRPr="00A07BE9" w:rsidRDefault="00A140F9" w:rsidP="00A140F9">
      <w:pPr>
        <w:spacing w:after="0" w:line="276" w:lineRule="auto"/>
        <w:jc w:val="both"/>
        <w:rPr>
          <w:rFonts w:ascii="Open Sans" w:hAnsi="Open Sans" w:cs="Open Sans"/>
          <w:sz w:val="20"/>
          <w:szCs w:val="20"/>
        </w:rPr>
      </w:pPr>
    </w:p>
    <w:p w14:paraId="4B5EC987" w14:textId="79EC302C" w:rsidR="004A3C1B" w:rsidRDefault="00A140F9" w:rsidP="005F0A1F">
      <w:pPr>
        <w:spacing w:after="0" w:line="276" w:lineRule="auto"/>
        <w:ind w:left="567"/>
        <w:jc w:val="both"/>
        <w:rPr>
          <w:rFonts w:ascii="Open Sans" w:hAnsi="Open Sans" w:cs="Open Sans"/>
          <w:sz w:val="18"/>
          <w:szCs w:val="18"/>
        </w:rPr>
      </w:pPr>
      <w:r w:rsidRPr="00A07BE9">
        <w:rPr>
          <w:rFonts w:ascii="Open Sans" w:hAnsi="Open Sans" w:cs="Open Sans"/>
          <w:sz w:val="18"/>
          <w:szCs w:val="18"/>
        </w:rPr>
        <w:lastRenderedPageBreak/>
        <w:t>“(…) Se recomienda que se garantice y, posteriormente, controle la adecuada asignación de funciones a los cargos de confianza (personal eventual). En particular, se recuerda que habrán de asignarse a través de la plantilla municipal para “funciones de confianza o asesoramiento especial”. Tales funciones son distintas de las de asesoramiento general, que se corresponden con los cometidos profesionales de emisión de informes o dictámenes, jurídicos o técnicos, en actividades propias y de carácter permanente de la Administración Pública, propias del funcionariado de carrera y del personal directivo. De este modo, se estará actuando con el máximo respeto a la normativa en materia de función pública así como a los principios de imparcialidad, objetividad, integridad y buena administración (…)”</w:t>
      </w:r>
    </w:p>
    <w:p w14:paraId="7500FAEC" w14:textId="41A72226" w:rsidR="008A1A7A" w:rsidRPr="008A1A7A" w:rsidRDefault="008A1A7A" w:rsidP="005F0A1F">
      <w:pPr>
        <w:spacing w:after="0" w:line="276" w:lineRule="auto"/>
        <w:ind w:left="567"/>
        <w:jc w:val="both"/>
        <w:rPr>
          <w:rFonts w:ascii="Open Sans" w:hAnsi="Open Sans" w:cs="Open Sans"/>
          <w:sz w:val="20"/>
          <w:szCs w:val="20"/>
        </w:rPr>
      </w:pPr>
    </w:p>
    <w:p w14:paraId="43D5F3BB" w14:textId="77777777" w:rsidR="008A1A7A" w:rsidRPr="008A1A7A" w:rsidRDefault="008A1A7A" w:rsidP="005F0A1F">
      <w:pPr>
        <w:spacing w:after="0" w:line="276" w:lineRule="auto"/>
        <w:ind w:left="567"/>
        <w:jc w:val="both"/>
        <w:rPr>
          <w:rFonts w:ascii="Open Sans" w:hAnsi="Open Sans" w:cs="Open Sans"/>
          <w:sz w:val="20"/>
          <w:szCs w:val="20"/>
        </w:rPr>
      </w:pPr>
    </w:p>
    <w:p w14:paraId="19FAE43A" w14:textId="77777777" w:rsidR="00A140F9" w:rsidRPr="00A07BE9" w:rsidRDefault="00A140F9" w:rsidP="00A140F9">
      <w:pPr>
        <w:suppressAutoHyphens/>
        <w:spacing w:after="0" w:line="240" w:lineRule="auto"/>
        <w:jc w:val="both"/>
        <w:rPr>
          <w:rFonts w:ascii="Open Sans" w:eastAsia="Times New Roman" w:hAnsi="Open Sans" w:cs="Open Sans"/>
          <w:b/>
          <w:bCs/>
          <w:smallCaps/>
          <w:color w:val="9D2235"/>
          <w:sz w:val="28"/>
          <w:szCs w:val="28"/>
          <w:lang w:eastAsia="es-ES"/>
        </w:rPr>
      </w:pPr>
      <w:r w:rsidRPr="00A07BE9">
        <w:rPr>
          <w:rFonts w:ascii="Open Sans" w:eastAsia="Times New Roman" w:hAnsi="Open Sans" w:cs="Open Sans"/>
          <w:b/>
          <w:bCs/>
          <w:smallCaps/>
          <w:color w:val="9D2235"/>
          <w:sz w:val="28"/>
          <w:szCs w:val="28"/>
          <w:lang w:eastAsia="es-ES"/>
        </w:rPr>
        <w:t>2.1.5. Propuestas sobre Disposiciones Normativas</w:t>
      </w:r>
    </w:p>
    <w:p w14:paraId="49125000" w14:textId="77777777" w:rsidR="00A140F9" w:rsidRPr="00A07BE9" w:rsidRDefault="00A140F9" w:rsidP="00A140F9">
      <w:pPr>
        <w:spacing w:after="0" w:line="276" w:lineRule="auto"/>
        <w:jc w:val="both"/>
        <w:rPr>
          <w:rFonts w:ascii="Open Sans" w:hAnsi="Open Sans" w:cs="Open Sans"/>
          <w:sz w:val="20"/>
          <w:szCs w:val="20"/>
        </w:rPr>
      </w:pPr>
    </w:p>
    <w:p w14:paraId="5E93DC0D" w14:textId="122E5DAC"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 xml:space="preserve">De acuerdo con los artículos 4.f) de la </w:t>
      </w:r>
      <w:hyperlink r:id="rId37" w:history="1">
        <w:r w:rsidR="004C14BF" w:rsidRPr="00A07BE9">
          <w:rPr>
            <w:rStyle w:val="Hipervnculo"/>
            <w:rFonts w:ascii="Open Sans" w:hAnsi="Open Sans" w:cs="Open Sans"/>
            <w:sz w:val="20"/>
            <w:szCs w:val="20"/>
          </w:rPr>
          <w:t>Ley 11/2016, de 28 de noviembre</w:t>
        </w:r>
      </w:hyperlink>
      <w:r w:rsidR="004C14BF" w:rsidRPr="00A07BE9">
        <w:rPr>
          <w:rFonts w:ascii="Open Sans" w:hAnsi="Open Sans" w:cs="Open Sans"/>
          <w:sz w:val="20"/>
          <w:szCs w:val="20"/>
        </w:rPr>
        <w:t xml:space="preserve"> </w:t>
      </w:r>
      <w:r w:rsidRPr="00A07BE9">
        <w:rPr>
          <w:rFonts w:ascii="Open Sans" w:hAnsi="Open Sans" w:cs="Open Sans"/>
          <w:sz w:val="20"/>
          <w:szCs w:val="20"/>
        </w:rPr>
        <w:t xml:space="preserve">y 19.h) del </w:t>
      </w:r>
      <w:hyperlink r:id="rId38" w:history="1">
        <w:r w:rsidRPr="00A07BE9">
          <w:rPr>
            <w:rStyle w:val="Hipervnculo"/>
            <w:rFonts w:ascii="Open Sans" w:hAnsi="Open Sans" w:cs="Open Sans"/>
            <w:sz w:val="20"/>
            <w:szCs w:val="20"/>
          </w:rPr>
          <w:t>Reglamento de funcionamiento y régimen interior</w:t>
        </w:r>
      </w:hyperlink>
      <w:r w:rsidRPr="00A07BE9">
        <w:rPr>
          <w:rFonts w:ascii="Open Sans" w:hAnsi="Open Sans" w:cs="Open Sans"/>
          <w:sz w:val="20"/>
          <w:szCs w:val="20"/>
        </w:rPr>
        <w:t xml:space="preserve">, la Agencia tiene la función de asesorar y formular propuestas y recomendaciones a </w:t>
      </w:r>
      <w:r w:rsidR="00934635" w:rsidRPr="00A07BE9">
        <w:rPr>
          <w:rFonts w:ascii="Open Sans" w:hAnsi="Open Sans" w:cs="Open Sans"/>
          <w:sz w:val="20"/>
          <w:szCs w:val="20"/>
        </w:rPr>
        <w:t>l</w:t>
      </w:r>
      <w:r w:rsidRPr="00A07BE9">
        <w:rPr>
          <w:rFonts w:ascii="Open Sans" w:hAnsi="Open Sans" w:cs="Open Sans"/>
          <w:sz w:val="20"/>
          <w:szCs w:val="20"/>
        </w:rPr>
        <w:t>es Corts, al Consell de la Generalitat y a las entidades incluidas en su ámbito de actuación en materia de integridad, ética pública y prevención y lucha contra la corrupción, sobre disposiciones normativas vigentes o en trámite de aprobación.</w:t>
      </w:r>
    </w:p>
    <w:p w14:paraId="696DC692" w14:textId="77777777" w:rsidR="00A140F9" w:rsidRPr="00A07BE9" w:rsidRDefault="00A140F9" w:rsidP="00A140F9">
      <w:pPr>
        <w:spacing w:after="0" w:line="276" w:lineRule="auto"/>
        <w:jc w:val="both"/>
        <w:rPr>
          <w:rFonts w:ascii="Open Sans" w:hAnsi="Open Sans" w:cs="Open Sans"/>
          <w:sz w:val="20"/>
          <w:szCs w:val="20"/>
        </w:rPr>
      </w:pPr>
    </w:p>
    <w:p w14:paraId="3367C5CD" w14:textId="04C74FCC"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 xml:space="preserve">El 23 de julio de 2019, el </w:t>
      </w:r>
      <w:r w:rsidRPr="00A07BE9">
        <w:rPr>
          <w:rFonts w:ascii="Open Sans" w:hAnsi="Open Sans" w:cs="Open Sans"/>
          <w:i/>
          <w:sz w:val="20"/>
          <w:szCs w:val="20"/>
        </w:rPr>
        <w:t>Diari Oficial de la Generalitat Valenciana</w:t>
      </w:r>
      <w:r w:rsidRPr="00A07BE9">
        <w:rPr>
          <w:rFonts w:ascii="Open Sans" w:hAnsi="Open Sans" w:cs="Open Sans"/>
          <w:sz w:val="20"/>
          <w:szCs w:val="20"/>
        </w:rPr>
        <w:t xml:space="preserve"> núm. 8597 publicó el anuncio de la Conselleria de Participación, Transparencia, Cooperación y Calidad Democrática en el que se informaba del plazo de información pública y audiencia de la propuesta de modificación de la </w:t>
      </w:r>
      <w:hyperlink r:id="rId39" w:history="1">
        <w:r w:rsidRPr="00A07BE9">
          <w:rPr>
            <w:rStyle w:val="Hipervnculo"/>
            <w:rFonts w:ascii="Open Sans" w:hAnsi="Open Sans" w:cs="Open Sans"/>
            <w:sz w:val="20"/>
            <w:szCs w:val="20"/>
          </w:rPr>
          <w:t>Ley 8/2016, de 28 de octubre, de Incompatibilidades y Conflictos de Intereses de Personas con Cargos Públicos No Electos</w:t>
        </w:r>
      </w:hyperlink>
      <w:r w:rsidRPr="00A07BE9">
        <w:rPr>
          <w:rFonts w:ascii="Open Sans" w:hAnsi="Open Sans" w:cs="Open Sans"/>
          <w:sz w:val="20"/>
          <w:szCs w:val="20"/>
        </w:rPr>
        <w:t>.</w:t>
      </w:r>
    </w:p>
    <w:p w14:paraId="04649682" w14:textId="77777777" w:rsidR="004C14BF" w:rsidRPr="00A07BE9" w:rsidRDefault="004C14BF" w:rsidP="00A140F9">
      <w:pPr>
        <w:spacing w:after="0" w:line="276" w:lineRule="auto"/>
        <w:jc w:val="both"/>
        <w:rPr>
          <w:rFonts w:ascii="Open Sans" w:hAnsi="Open Sans" w:cs="Open Sans"/>
          <w:sz w:val="20"/>
          <w:szCs w:val="20"/>
        </w:rPr>
      </w:pPr>
    </w:p>
    <w:p w14:paraId="64F0EC54" w14:textId="77777777"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Entre otros aspectos, la propuesta de modificación de la Ley apunta la necesidad de excluir de su ámbito de aplicación subjetivo a las personas titulares de puestos el nombramiento de los cuales efectúe el Consell y que no comporte retribución o no tenga atribuidas funciones ejecutivas o directivas, para que no les sea exigible el estricto régimen de incompatibilidades y obligaciones derivadas de esta Ley. La propuesta de modificación añade, en este punto, que el espíritu de la Ley se vincula a razones derivadas de la dedicación al cargo, al control sobre un posible enriquecimiento indebido o un conflicto de intereses, “circunstancias, todas ellas, de difícil, si no imposible, concurrencia en nombramientos con las características de estos».</w:t>
      </w:r>
    </w:p>
    <w:p w14:paraId="09A73E44" w14:textId="77777777" w:rsidR="00A140F9" w:rsidRPr="00A07BE9" w:rsidRDefault="00A140F9" w:rsidP="00A140F9">
      <w:pPr>
        <w:spacing w:after="0" w:line="276" w:lineRule="auto"/>
        <w:jc w:val="both"/>
        <w:rPr>
          <w:rFonts w:ascii="Open Sans" w:hAnsi="Open Sans" w:cs="Open Sans"/>
          <w:sz w:val="20"/>
          <w:szCs w:val="20"/>
        </w:rPr>
      </w:pPr>
    </w:p>
    <w:p w14:paraId="700C71D2" w14:textId="0AE0A705"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 xml:space="preserve">Al amparo del citado mandato y en la fase de información pública y audiencia del proyecto de ley, la Agencia formuló sus observaciones a la propuesta de modificación de la </w:t>
      </w:r>
      <w:hyperlink r:id="rId40" w:history="1">
        <w:r w:rsidRPr="00A07BE9">
          <w:rPr>
            <w:rStyle w:val="Hipervnculo"/>
            <w:rFonts w:ascii="Open Sans" w:hAnsi="Open Sans" w:cs="Open Sans"/>
            <w:sz w:val="20"/>
            <w:szCs w:val="20"/>
          </w:rPr>
          <w:t>Ley 8/2016, de 28 de octubre</w:t>
        </w:r>
      </w:hyperlink>
      <w:r w:rsidRPr="00A07BE9">
        <w:rPr>
          <w:rFonts w:ascii="Open Sans" w:hAnsi="Open Sans" w:cs="Open Sans"/>
          <w:sz w:val="20"/>
          <w:szCs w:val="20"/>
        </w:rPr>
        <w:t xml:space="preserve">, que directa o indirectamente guardan relación con los ámbitos sobre los cuales recaen las funciones que la </w:t>
      </w:r>
      <w:hyperlink r:id="rId41" w:history="1">
        <w:r w:rsidR="004C14BF" w:rsidRPr="00A07BE9">
          <w:rPr>
            <w:rStyle w:val="Hipervnculo"/>
            <w:rFonts w:ascii="Open Sans" w:hAnsi="Open Sans" w:cs="Open Sans"/>
            <w:sz w:val="20"/>
            <w:szCs w:val="20"/>
          </w:rPr>
          <w:t>Ley 11/2016</w:t>
        </w:r>
        <w:r w:rsidR="004C14BF" w:rsidRPr="00A07BE9">
          <w:rPr>
            <w:rStyle w:val="Hipervnculo"/>
            <w:rFonts w:ascii="Open Sans" w:hAnsi="Open Sans" w:cs="Open Sans"/>
            <w:color w:val="auto"/>
            <w:sz w:val="20"/>
            <w:szCs w:val="20"/>
            <w:u w:val="none"/>
          </w:rPr>
          <w:t>, de 28 de noviembre</w:t>
        </w:r>
      </w:hyperlink>
      <w:r w:rsidR="004C14BF" w:rsidRPr="00A07BE9">
        <w:rPr>
          <w:rFonts w:ascii="Open Sans" w:hAnsi="Open Sans" w:cs="Open Sans"/>
          <w:sz w:val="20"/>
          <w:szCs w:val="20"/>
        </w:rPr>
        <w:t xml:space="preserve"> </w:t>
      </w:r>
      <w:r w:rsidRPr="00A07BE9">
        <w:rPr>
          <w:rFonts w:ascii="Open Sans" w:hAnsi="Open Sans" w:cs="Open Sans"/>
          <w:sz w:val="20"/>
          <w:szCs w:val="20"/>
        </w:rPr>
        <w:t>atribuye a la Agencia.</w:t>
      </w:r>
    </w:p>
    <w:p w14:paraId="28776B31" w14:textId="77777777" w:rsidR="00A140F9" w:rsidRPr="00A07BE9" w:rsidRDefault="00A140F9" w:rsidP="00A140F9">
      <w:pPr>
        <w:spacing w:after="0" w:line="276" w:lineRule="auto"/>
        <w:jc w:val="both"/>
        <w:rPr>
          <w:rFonts w:ascii="Open Sans" w:hAnsi="Open Sans" w:cs="Open Sans"/>
          <w:sz w:val="20"/>
          <w:szCs w:val="20"/>
        </w:rPr>
      </w:pPr>
    </w:p>
    <w:p w14:paraId="085811D8" w14:textId="77777777"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 xml:space="preserve">En este sentido, formulamos estas sugerencias al valorar que las situaciones de conflictos de interés pueden afectar la imparcialidad y la objetividad con que tienen que actuar los servidores públicos, y son uno de los riesgos más importantes de fraude y corrupción. De </w:t>
      </w:r>
      <w:r w:rsidRPr="00A07BE9">
        <w:rPr>
          <w:rFonts w:ascii="Open Sans" w:hAnsi="Open Sans" w:cs="Open Sans"/>
          <w:sz w:val="20"/>
          <w:szCs w:val="20"/>
        </w:rPr>
        <w:lastRenderedPageBreak/>
        <w:t>aquí la importancia de una buena regulación del fenómeno, que aporte seguridad jurídica, así como de una gestión adecuada de estas situaciones.</w:t>
      </w:r>
    </w:p>
    <w:p w14:paraId="35B1332F" w14:textId="77777777" w:rsidR="00A140F9" w:rsidRPr="00A07BE9" w:rsidRDefault="00A140F9" w:rsidP="00A140F9">
      <w:pPr>
        <w:spacing w:after="0" w:line="276" w:lineRule="auto"/>
        <w:jc w:val="both"/>
        <w:rPr>
          <w:rFonts w:ascii="Open Sans" w:hAnsi="Open Sans" w:cs="Open Sans"/>
          <w:sz w:val="20"/>
          <w:szCs w:val="20"/>
        </w:rPr>
      </w:pPr>
    </w:p>
    <w:p w14:paraId="6A054FE3" w14:textId="77777777"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Estas observaciones se dirigieron a la Conselleria de Participación, Transparencia, Cooperación y Calidad Democrática, para su libre consideración, con la voluntad de coadyuvar en la mejora de la calidad normativa y con el convencimiento que una adecuada medida de prevención es que la norma incorpore, desde el momento de su gestación, la perspectiva de la integridad pública.</w:t>
      </w:r>
    </w:p>
    <w:p w14:paraId="68D6B20C" w14:textId="77777777" w:rsidR="00A140F9" w:rsidRPr="00A07BE9" w:rsidRDefault="00A140F9" w:rsidP="00A140F9">
      <w:pPr>
        <w:spacing w:after="0" w:line="276" w:lineRule="auto"/>
        <w:jc w:val="both"/>
        <w:rPr>
          <w:rFonts w:ascii="Open Sans" w:hAnsi="Open Sans" w:cs="Open Sans"/>
          <w:sz w:val="20"/>
          <w:szCs w:val="20"/>
        </w:rPr>
      </w:pPr>
    </w:p>
    <w:p w14:paraId="0F79567F" w14:textId="360C54CE"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 xml:space="preserve">En concreto, observamos que el carácter honorífico o el desarrollo de funciones no retribuidas no evitan el riesgo de incurrir en situación de conflicto de interés en el ejercicio de las funciones del cargo, en cualquier proceso de toma de decisiones que se participe. A su vez, también indicamos que el artículo 3 del </w:t>
      </w:r>
      <w:hyperlink r:id="rId42" w:history="1">
        <w:r w:rsidRPr="00A07BE9">
          <w:rPr>
            <w:rStyle w:val="Hipervnculo"/>
            <w:rFonts w:ascii="Open Sans" w:hAnsi="Open Sans" w:cs="Open Sans"/>
            <w:sz w:val="20"/>
            <w:szCs w:val="20"/>
          </w:rPr>
          <w:t>Decreto 65/2018, de 18 de mayo</w:t>
        </w:r>
      </w:hyperlink>
      <w:r w:rsidRPr="00A07BE9">
        <w:rPr>
          <w:rFonts w:ascii="Open Sans" w:hAnsi="Open Sans" w:cs="Open Sans"/>
          <w:sz w:val="20"/>
          <w:szCs w:val="20"/>
        </w:rPr>
        <w:t>, que despliega la Ley que se propone modificar, ya ofrece una solución para que cumplir con el régimen de incompatibilidades y conflictos de interés por parte de cargos no remunerados no sea tan gravoso, garantizando que el resto del marco continúe siendo de aplicación.</w:t>
      </w:r>
    </w:p>
    <w:p w14:paraId="3CF7FB56" w14:textId="77777777" w:rsidR="00A140F9" w:rsidRPr="00A07BE9" w:rsidRDefault="00A140F9" w:rsidP="00A140F9">
      <w:pPr>
        <w:spacing w:after="0" w:line="276" w:lineRule="auto"/>
        <w:jc w:val="both"/>
        <w:rPr>
          <w:rFonts w:ascii="Open Sans" w:hAnsi="Open Sans" w:cs="Open Sans"/>
          <w:sz w:val="20"/>
          <w:szCs w:val="20"/>
        </w:rPr>
      </w:pPr>
    </w:p>
    <w:p w14:paraId="7D46F5A0" w14:textId="5B8A0B2F"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Por ello, señalamos que hay que ser especialmente cuidadosos en la regulación de cualquier régimen de excepcionalidad (y/o graduación de su aplicación) del marco normativo vigente que regula el régimen de incompatibilidades y conflictos de intereses de personas con cargos públicos no electos.</w:t>
      </w:r>
    </w:p>
    <w:p w14:paraId="59DBF66B" w14:textId="77777777" w:rsidR="00931814" w:rsidRPr="00A07BE9" w:rsidRDefault="00931814" w:rsidP="00A140F9">
      <w:pPr>
        <w:spacing w:after="0" w:line="276" w:lineRule="auto"/>
        <w:jc w:val="both"/>
        <w:rPr>
          <w:rFonts w:ascii="Open Sans" w:hAnsi="Open Sans" w:cs="Open Sans"/>
          <w:sz w:val="20"/>
          <w:szCs w:val="20"/>
        </w:rPr>
      </w:pPr>
    </w:p>
    <w:p w14:paraId="2649F855" w14:textId="77777777"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En este sentido, consideramos que hay que velar para que, cualquier modificación de la ley que nos ocupa, se adecúe a una interpretación sistemática del ordenamiento jurídico, así como integrada con la norma que se quiere modificar y con la normativa de desarrollo, evitando generar inseguridad jurídica y, sobre todo, atendiendo también a su espíritu y a la voluntad del legislador de regular las situaciones de conflictos de interés, según la descripción que, de este, se determina a su artículo 3:</w:t>
      </w:r>
    </w:p>
    <w:p w14:paraId="7EC89C6F" w14:textId="77777777" w:rsidR="00A140F9" w:rsidRPr="00A07BE9" w:rsidRDefault="00A140F9" w:rsidP="00A140F9">
      <w:pPr>
        <w:spacing w:after="0" w:line="276" w:lineRule="auto"/>
        <w:jc w:val="both"/>
        <w:rPr>
          <w:rFonts w:ascii="Open Sans" w:hAnsi="Open Sans" w:cs="Open Sans"/>
          <w:sz w:val="20"/>
          <w:szCs w:val="20"/>
        </w:rPr>
      </w:pPr>
    </w:p>
    <w:p w14:paraId="71263A12" w14:textId="77777777" w:rsidR="00A140F9" w:rsidRPr="00A07BE9" w:rsidRDefault="00A140F9" w:rsidP="00A140F9">
      <w:pPr>
        <w:spacing w:after="0" w:line="276" w:lineRule="auto"/>
        <w:ind w:left="567"/>
        <w:jc w:val="both"/>
        <w:rPr>
          <w:rFonts w:ascii="Open Sans" w:hAnsi="Open Sans" w:cs="Open Sans"/>
          <w:sz w:val="18"/>
          <w:szCs w:val="18"/>
        </w:rPr>
      </w:pPr>
      <w:r w:rsidRPr="00A07BE9">
        <w:rPr>
          <w:rFonts w:ascii="Open Sans" w:hAnsi="Open Sans" w:cs="Open Sans"/>
          <w:sz w:val="18"/>
          <w:szCs w:val="18"/>
        </w:rPr>
        <w:t>“Se entiende por conflicto de intereses aquella situación en que, por acción u omisión, incurre un cargo público no electo que, vinculado por un deber de servicio al interés general, subordina este interés general a su interés particular o ajeno en forma de ánimo de lucro pecuniario o en especie, incluso en el supuesto de que no consiguiera con su acción u omisión su propósito.”</w:t>
      </w:r>
    </w:p>
    <w:p w14:paraId="628EA62B" w14:textId="77777777" w:rsidR="00A140F9" w:rsidRPr="00A07BE9" w:rsidRDefault="00A140F9" w:rsidP="00A140F9">
      <w:pPr>
        <w:spacing w:after="0" w:line="276" w:lineRule="auto"/>
        <w:jc w:val="both"/>
        <w:rPr>
          <w:rFonts w:ascii="Open Sans" w:hAnsi="Open Sans" w:cs="Open Sans"/>
          <w:sz w:val="20"/>
          <w:szCs w:val="20"/>
        </w:rPr>
      </w:pPr>
    </w:p>
    <w:p w14:paraId="1589B38A" w14:textId="77777777"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En el informe sobre el resultado del proceso del trámite de audiencia, la conselleria manifestó:</w:t>
      </w:r>
    </w:p>
    <w:p w14:paraId="5EB96888" w14:textId="77777777" w:rsidR="00A140F9" w:rsidRPr="00A07BE9" w:rsidRDefault="00A140F9" w:rsidP="00A140F9">
      <w:pPr>
        <w:spacing w:after="0" w:line="276" w:lineRule="auto"/>
        <w:jc w:val="both"/>
        <w:rPr>
          <w:rFonts w:ascii="Open Sans" w:hAnsi="Open Sans" w:cs="Open Sans"/>
          <w:sz w:val="21"/>
          <w:szCs w:val="21"/>
        </w:rPr>
      </w:pPr>
    </w:p>
    <w:p w14:paraId="09EC1A7A" w14:textId="77777777" w:rsidR="00A140F9" w:rsidRPr="00A07BE9" w:rsidRDefault="00A140F9" w:rsidP="00A140F9">
      <w:pPr>
        <w:spacing w:after="0" w:line="276" w:lineRule="auto"/>
        <w:ind w:left="567"/>
        <w:jc w:val="both"/>
        <w:rPr>
          <w:rFonts w:ascii="Open Sans" w:hAnsi="Open Sans" w:cs="Open Sans"/>
          <w:sz w:val="18"/>
          <w:szCs w:val="18"/>
        </w:rPr>
      </w:pPr>
      <w:r w:rsidRPr="00A07BE9">
        <w:rPr>
          <w:rFonts w:ascii="Open Sans" w:hAnsi="Open Sans" w:cs="Open Sans"/>
          <w:sz w:val="18"/>
          <w:szCs w:val="18"/>
        </w:rPr>
        <w:t xml:space="preserve">“(…) Se participa en que podría existir el riesgo de que las personas que sean nombradas para ejercer cargos honoríficos o no retribuidos pudieran llegar a incurrir en situación de conflicto de intereses, pero no es menos cierto que esa “capacidad de influencia” que se les podría presuponer cabría hacerse extensiva, también, a un elevado número de personas que no están incluidas en el ámbito de aplicación de la Ley 8/2016 y que mantienen un contacto directo o indirecto con las personas que, por ocupar un alto cargo, sí que lo están. Además, la excepcionalidad de nombramientos de estas características no puede ser desligada de las funciones que vayan a desempeñar las personas que así sean nombradas, procurándose que </w:t>
      </w:r>
      <w:r w:rsidRPr="00A07BE9">
        <w:rPr>
          <w:rFonts w:ascii="Open Sans" w:hAnsi="Open Sans" w:cs="Open Sans"/>
          <w:sz w:val="18"/>
          <w:szCs w:val="18"/>
        </w:rPr>
        <w:lastRenderedPageBreak/>
        <w:t>estén alejados de ámbitos de gestión o decisión que pudieran afectar o, incluso, ser susceptible de utilizarse en beneficio de intereses privados.</w:t>
      </w:r>
    </w:p>
    <w:p w14:paraId="41C07178" w14:textId="77777777" w:rsidR="00A140F9" w:rsidRPr="00A07BE9" w:rsidRDefault="00A140F9" w:rsidP="00A140F9">
      <w:pPr>
        <w:spacing w:after="0" w:line="276" w:lineRule="auto"/>
        <w:ind w:left="567"/>
        <w:jc w:val="both"/>
        <w:rPr>
          <w:rFonts w:ascii="Open Sans" w:hAnsi="Open Sans" w:cs="Open Sans"/>
          <w:sz w:val="18"/>
          <w:szCs w:val="18"/>
        </w:rPr>
      </w:pPr>
    </w:p>
    <w:p w14:paraId="0ECDD673" w14:textId="77777777" w:rsidR="00A140F9" w:rsidRPr="00A07BE9" w:rsidRDefault="00A140F9" w:rsidP="00A140F9">
      <w:pPr>
        <w:spacing w:after="0" w:line="276" w:lineRule="auto"/>
        <w:ind w:left="567"/>
        <w:jc w:val="both"/>
        <w:rPr>
          <w:rFonts w:ascii="Open Sans" w:hAnsi="Open Sans" w:cs="Open Sans"/>
          <w:sz w:val="18"/>
          <w:szCs w:val="18"/>
        </w:rPr>
      </w:pPr>
      <w:r w:rsidRPr="00A07BE9">
        <w:rPr>
          <w:rFonts w:ascii="Open Sans" w:hAnsi="Open Sans" w:cs="Open Sans"/>
          <w:sz w:val="18"/>
          <w:szCs w:val="18"/>
        </w:rPr>
        <w:t>Valorándose y compartiéndose plenamente la filosofía manifestada por la Agencia en cuanto a la mejora de la calidad normativa y la adopción de medidas de prevención y refuerzo de la integridad pública, las alegaciones formuladas por la misma no se aceptan a los efectos de la modificación positiva de los preceptos de la Ley 8/2016, de 28 de octubre (…)”.</w:t>
      </w:r>
    </w:p>
    <w:p w14:paraId="686DA017" w14:textId="50A38AD7" w:rsidR="005F0A1F" w:rsidRPr="00A07BE9" w:rsidRDefault="005F0A1F" w:rsidP="00A140F9">
      <w:pPr>
        <w:spacing w:after="0" w:line="276" w:lineRule="auto"/>
        <w:jc w:val="both"/>
        <w:rPr>
          <w:rFonts w:ascii="Open Sans" w:hAnsi="Open Sans" w:cs="Open Sans"/>
          <w:sz w:val="20"/>
          <w:szCs w:val="20"/>
        </w:rPr>
      </w:pPr>
    </w:p>
    <w:p w14:paraId="2D1236F1" w14:textId="77777777" w:rsidR="005F0A1F" w:rsidRPr="00A07BE9" w:rsidRDefault="005F0A1F" w:rsidP="00A140F9">
      <w:pPr>
        <w:spacing w:after="0" w:line="276" w:lineRule="auto"/>
        <w:jc w:val="both"/>
        <w:rPr>
          <w:rFonts w:ascii="Open Sans" w:hAnsi="Open Sans" w:cs="Open Sans"/>
          <w:sz w:val="20"/>
          <w:szCs w:val="20"/>
        </w:rPr>
      </w:pPr>
    </w:p>
    <w:p w14:paraId="3EE43F53" w14:textId="77777777" w:rsidR="00A140F9" w:rsidRPr="00A07BE9" w:rsidRDefault="00A140F9" w:rsidP="00A140F9">
      <w:pPr>
        <w:suppressAutoHyphens/>
        <w:spacing w:after="0" w:line="240" w:lineRule="auto"/>
        <w:jc w:val="both"/>
        <w:rPr>
          <w:rFonts w:ascii="Open Sans" w:eastAsia="Times New Roman" w:hAnsi="Open Sans" w:cs="Open Sans"/>
          <w:b/>
          <w:bCs/>
          <w:smallCaps/>
          <w:color w:val="9D2235"/>
          <w:sz w:val="28"/>
          <w:szCs w:val="28"/>
          <w:lang w:eastAsia="es-ES"/>
        </w:rPr>
      </w:pPr>
      <w:r w:rsidRPr="00A07BE9">
        <w:rPr>
          <w:rFonts w:ascii="Open Sans" w:eastAsia="Times New Roman" w:hAnsi="Open Sans" w:cs="Open Sans"/>
          <w:b/>
          <w:bCs/>
          <w:smallCaps/>
          <w:color w:val="9D2235"/>
          <w:sz w:val="28"/>
          <w:szCs w:val="28"/>
          <w:lang w:eastAsia="es-ES"/>
        </w:rPr>
        <w:t>2.1.6. Consultoría, Difusión y Otras Colaboraciones</w:t>
      </w:r>
    </w:p>
    <w:p w14:paraId="555E3947" w14:textId="77777777" w:rsidR="00A140F9" w:rsidRPr="00A07BE9" w:rsidRDefault="00A140F9" w:rsidP="00A140F9">
      <w:pPr>
        <w:spacing w:after="0" w:line="276" w:lineRule="auto"/>
        <w:jc w:val="both"/>
        <w:rPr>
          <w:rFonts w:ascii="Open Sans" w:hAnsi="Open Sans" w:cs="Open Sans"/>
          <w:sz w:val="20"/>
          <w:szCs w:val="20"/>
        </w:rPr>
      </w:pPr>
    </w:p>
    <w:p w14:paraId="1AC848BD" w14:textId="77777777"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 xml:space="preserve">El Servicio de Prevención tiene entre sus funciones la de prestar asesoramiento y respuesta a las consultas que plantee cualquier persona en relación con las funciones preventivas de la Agencia, contribuyendo así a disipar dudas en materia de prevención del fraude, la corrupción y la integridad públicas. </w:t>
      </w:r>
    </w:p>
    <w:p w14:paraId="109B3C60" w14:textId="77777777" w:rsidR="00A140F9" w:rsidRPr="00A07BE9" w:rsidRDefault="00A140F9" w:rsidP="00A140F9">
      <w:pPr>
        <w:spacing w:after="0" w:line="276" w:lineRule="auto"/>
        <w:jc w:val="both"/>
        <w:rPr>
          <w:rFonts w:ascii="Open Sans" w:hAnsi="Open Sans" w:cs="Open Sans"/>
          <w:sz w:val="20"/>
          <w:szCs w:val="20"/>
        </w:rPr>
      </w:pPr>
    </w:p>
    <w:p w14:paraId="2E67EDD1" w14:textId="0ED68941"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 xml:space="preserve">A título enunciativo, durante este ejercicio se han mantenido encuentros, entre otros, con representantes del Consorcio de Residuos V5-COR y de la Entidad Pública de Saneamiento de Aguas Residuales (EPSAR), que plantearon solicitudes de acompañamiento para elaborar y aplicar planes de prevención, pendientes de concreción, en línea con la tesis que expusimos en la </w:t>
      </w:r>
      <w:hyperlink r:id="rId43" w:history="1">
        <w:r w:rsidR="00294CA2" w:rsidRPr="00A07BE9">
          <w:rPr>
            <w:rStyle w:val="Hipervnculo"/>
            <w:rFonts w:ascii="Open Sans" w:hAnsi="Open Sans" w:cs="Open Sans"/>
            <w:sz w:val="20"/>
            <w:szCs w:val="20"/>
          </w:rPr>
          <w:t>M</w:t>
        </w:r>
        <w:r w:rsidRPr="00A07BE9">
          <w:rPr>
            <w:rStyle w:val="Hipervnculo"/>
            <w:rFonts w:ascii="Open Sans" w:hAnsi="Open Sans" w:cs="Open Sans"/>
            <w:sz w:val="20"/>
            <w:szCs w:val="20"/>
          </w:rPr>
          <w:t>emoria del ejercicio 2018</w:t>
        </w:r>
      </w:hyperlink>
      <w:r w:rsidRPr="00A07BE9">
        <w:rPr>
          <w:rFonts w:ascii="Open Sans" w:hAnsi="Open Sans" w:cs="Open Sans"/>
          <w:sz w:val="20"/>
          <w:szCs w:val="20"/>
        </w:rPr>
        <w:t>, relativa al necesario impulso del marco de integridad del sector público instrumental de la Generalitat Valenciana.</w:t>
      </w:r>
    </w:p>
    <w:p w14:paraId="26B94F78" w14:textId="77777777" w:rsidR="004C14BF" w:rsidRPr="00A07BE9" w:rsidRDefault="004C14BF" w:rsidP="00A140F9">
      <w:pPr>
        <w:spacing w:after="0" w:line="276" w:lineRule="auto"/>
        <w:jc w:val="both"/>
        <w:rPr>
          <w:rFonts w:ascii="Open Sans" w:hAnsi="Open Sans" w:cs="Open Sans"/>
          <w:sz w:val="20"/>
          <w:szCs w:val="20"/>
        </w:rPr>
      </w:pPr>
    </w:p>
    <w:p w14:paraId="641B3494" w14:textId="77777777"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Así mismo, se han mantenido encuentros con representantes de la Conselleria de Participación, Transparencia, Cooperación y Calidad Democrática para valorar una posible colaboración y acompañamiento en la elaboración de una propuesta de código ético para los servidores públicos de la Generalitat y de su sistema de seguimiento y evaluación.</w:t>
      </w:r>
    </w:p>
    <w:p w14:paraId="02BD00D0" w14:textId="77777777" w:rsidR="00A140F9" w:rsidRPr="00A07BE9" w:rsidRDefault="00A140F9" w:rsidP="00A140F9">
      <w:pPr>
        <w:spacing w:after="0" w:line="276" w:lineRule="auto"/>
        <w:jc w:val="both"/>
        <w:rPr>
          <w:rFonts w:ascii="Open Sans" w:hAnsi="Open Sans" w:cs="Open Sans"/>
          <w:sz w:val="20"/>
          <w:szCs w:val="20"/>
        </w:rPr>
      </w:pPr>
    </w:p>
    <w:p w14:paraId="27D4E662" w14:textId="49D1D953"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El Servicio de Prevención ha colaborado en la elaboración de contenidos y en la impartición, como ponentes, de diversas acciones formativas realizadas por la Agencia, cuya descripción más pormenorizada se relata en el epígrafe correspondiente al Servicio de Formación. En concreto, ha participado con la ponencia “Antes, durante y después del contrato: integridad”, del curso sobre “Integridad y Prevención en la Contratación Pública en la Comuni</w:t>
      </w:r>
      <w:r w:rsidR="009D7139" w:rsidRPr="00A07BE9">
        <w:rPr>
          <w:rFonts w:ascii="Open Sans" w:hAnsi="Open Sans" w:cs="Open Sans"/>
          <w:sz w:val="20"/>
          <w:szCs w:val="20"/>
        </w:rPr>
        <w:t>t</w:t>
      </w:r>
      <w:r w:rsidRPr="00A07BE9">
        <w:rPr>
          <w:rFonts w:ascii="Open Sans" w:hAnsi="Open Sans" w:cs="Open Sans"/>
          <w:sz w:val="20"/>
          <w:szCs w:val="20"/>
        </w:rPr>
        <w:t>a</w:t>
      </w:r>
      <w:r w:rsidR="009D7139" w:rsidRPr="00A07BE9">
        <w:rPr>
          <w:rFonts w:ascii="Open Sans" w:hAnsi="Open Sans" w:cs="Open Sans"/>
          <w:sz w:val="20"/>
          <w:szCs w:val="20"/>
        </w:rPr>
        <w:t>t</w:t>
      </w:r>
      <w:r w:rsidRPr="00A07BE9">
        <w:rPr>
          <w:rFonts w:ascii="Open Sans" w:hAnsi="Open Sans" w:cs="Open Sans"/>
          <w:sz w:val="20"/>
          <w:szCs w:val="20"/>
        </w:rPr>
        <w:t xml:space="preserve"> Valenciana”, en colaboración con el IVAP.</w:t>
      </w:r>
    </w:p>
    <w:p w14:paraId="2D9707A2" w14:textId="77777777" w:rsidR="00A140F9" w:rsidRPr="00A07BE9" w:rsidRDefault="00A140F9" w:rsidP="00A140F9">
      <w:pPr>
        <w:spacing w:after="0" w:line="276" w:lineRule="auto"/>
        <w:jc w:val="both"/>
        <w:rPr>
          <w:rFonts w:ascii="Open Sans" w:hAnsi="Open Sans" w:cs="Open Sans"/>
          <w:sz w:val="20"/>
          <w:szCs w:val="20"/>
        </w:rPr>
      </w:pPr>
    </w:p>
    <w:p w14:paraId="160CAE04" w14:textId="77777777"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También ha participado con la ponencia “Integridad pública en el ejercicio del cargo”, en el curso Dival Directia Cargos Electos, organizado por la Diputación Provincial de Valencia. Esta ponencia toma como punto de partida la recomendación general sobre los riesgos contrarios a la integridad pública en el proceso de toma de decisiones, para después abordar estos riesgos en cada una de las áreas de práctica más judicializadas por corrupción (contratación; subvenciones; función pública; urbanismo; patrimonio; presupuestos, etc.) y finalizar con una descripción de los mecanismos existentes para su prevención.</w:t>
      </w:r>
    </w:p>
    <w:p w14:paraId="7F7C92F6" w14:textId="77777777" w:rsidR="00A140F9" w:rsidRPr="00A07BE9" w:rsidRDefault="00A140F9" w:rsidP="00A140F9">
      <w:pPr>
        <w:spacing w:after="0" w:line="276" w:lineRule="auto"/>
        <w:jc w:val="both"/>
        <w:rPr>
          <w:rFonts w:ascii="Open Sans" w:hAnsi="Open Sans" w:cs="Open Sans"/>
          <w:sz w:val="21"/>
          <w:szCs w:val="21"/>
        </w:rPr>
      </w:pPr>
    </w:p>
    <w:p w14:paraId="691EDA74" w14:textId="67095034" w:rsidR="00A140F9" w:rsidRPr="00A07BE9" w:rsidRDefault="00A140F9" w:rsidP="00A140F9">
      <w:pPr>
        <w:spacing w:after="0" w:line="276" w:lineRule="auto"/>
        <w:jc w:val="both"/>
        <w:rPr>
          <w:sz w:val="20"/>
          <w:szCs w:val="20"/>
        </w:rPr>
      </w:pPr>
      <w:r w:rsidRPr="00A07BE9">
        <w:rPr>
          <w:rFonts w:ascii="Open Sans" w:hAnsi="Open Sans" w:cs="Open Sans"/>
          <w:sz w:val="20"/>
          <w:szCs w:val="20"/>
        </w:rPr>
        <w:lastRenderedPageBreak/>
        <w:t xml:space="preserve">Desde la Dirección de Prevención, Formación y Documentación también se ha participado en actividades de carácter institucional, para dar a conocer qué es la Agencia y sus funciones, por ejemplo difundiendo y facilitando información sobre el funcionamiento del </w:t>
      </w:r>
      <w:hyperlink r:id="rId44" w:history="1">
        <w:r w:rsidR="008447AD" w:rsidRPr="00A07BE9">
          <w:rPr>
            <w:rStyle w:val="Hipervnculo"/>
            <w:rFonts w:ascii="Open Sans" w:hAnsi="Open Sans" w:cs="Open Sans"/>
            <w:sz w:val="20"/>
            <w:szCs w:val="20"/>
          </w:rPr>
          <w:t>B</w:t>
        </w:r>
        <w:r w:rsidRPr="00A07BE9">
          <w:rPr>
            <w:rStyle w:val="Hipervnculo"/>
            <w:rFonts w:ascii="Open Sans" w:hAnsi="Open Sans" w:cs="Open Sans"/>
            <w:sz w:val="20"/>
            <w:szCs w:val="20"/>
          </w:rPr>
          <w:t xml:space="preserve">uzón de </w:t>
        </w:r>
        <w:r w:rsidR="008447AD" w:rsidRPr="00A07BE9">
          <w:rPr>
            <w:rStyle w:val="Hipervnculo"/>
            <w:rFonts w:ascii="Open Sans" w:hAnsi="Open Sans" w:cs="Open Sans"/>
            <w:sz w:val="20"/>
            <w:szCs w:val="20"/>
          </w:rPr>
          <w:t>D</w:t>
        </w:r>
        <w:r w:rsidRPr="00A07BE9">
          <w:rPr>
            <w:rStyle w:val="Hipervnculo"/>
            <w:rFonts w:ascii="Open Sans" w:hAnsi="Open Sans" w:cs="Open Sans"/>
            <w:sz w:val="20"/>
            <w:szCs w:val="20"/>
          </w:rPr>
          <w:t>enuncias</w:t>
        </w:r>
      </w:hyperlink>
      <w:r w:rsidRPr="00A07BE9">
        <w:rPr>
          <w:rFonts w:ascii="Open Sans" w:hAnsi="Open Sans" w:cs="Open Sans"/>
          <w:sz w:val="20"/>
          <w:szCs w:val="20"/>
        </w:rPr>
        <w:t>, así como para fomentar y participar en foros de opinión sobre materias vinculadas a las funciones de prevención, como puede ser la transparencia y el fomento de la publicidad activa de la información pública.</w:t>
      </w:r>
    </w:p>
    <w:p w14:paraId="5FAF9457" w14:textId="77777777" w:rsidR="00A140F9" w:rsidRPr="00A07BE9" w:rsidRDefault="00A140F9" w:rsidP="00A140F9">
      <w:pPr>
        <w:spacing w:after="0" w:line="276" w:lineRule="auto"/>
        <w:jc w:val="both"/>
        <w:rPr>
          <w:rFonts w:ascii="Open Sans" w:hAnsi="Open Sans" w:cs="Open Sans"/>
          <w:sz w:val="20"/>
          <w:szCs w:val="20"/>
        </w:rPr>
      </w:pPr>
    </w:p>
    <w:p w14:paraId="6DDAC5A3" w14:textId="107FC7FB"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En este sentido, el 1 de abril la Agencia participó en la “Jornada whistleblowing 2019 -tecnologías, procedimientos y experiencias-“, organizada por la Cátedra de Transparencia de la Universi</w:t>
      </w:r>
      <w:r w:rsidR="009D7139" w:rsidRPr="00A07BE9">
        <w:rPr>
          <w:rFonts w:ascii="Open Sans" w:hAnsi="Open Sans" w:cs="Open Sans"/>
          <w:sz w:val="20"/>
          <w:szCs w:val="20"/>
        </w:rPr>
        <w:t>t</w:t>
      </w:r>
      <w:r w:rsidRPr="00A07BE9">
        <w:rPr>
          <w:rFonts w:ascii="Open Sans" w:hAnsi="Open Sans" w:cs="Open Sans"/>
          <w:sz w:val="20"/>
          <w:szCs w:val="20"/>
        </w:rPr>
        <w:t>a</w:t>
      </w:r>
      <w:r w:rsidR="009D7139" w:rsidRPr="00A07BE9">
        <w:rPr>
          <w:rFonts w:ascii="Open Sans" w:hAnsi="Open Sans" w:cs="Open Sans"/>
          <w:sz w:val="20"/>
          <w:szCs w:val="20"/>
        </w:rPr>
        <w:t>t</w:t>
      </w:r>
      <w:r w:rsidRPr="00A07BE9">
        <w:rPr>
          <w:rFonts w:ascii="Open Sans" w:hAnsi="Open Sans" w:cs="Open Sans"/>
          <w:sz w:val="20"/>
          <w:szCs w:val="20"/>
        </w:rPr>
        <w:t xml:space="preserve"> Politécnica de Val</w:t>
      </w:r>
      <w:r w:rsidR="009D7139" w:rsidRPr="00A07BE9">
        <w:rPr>
          <w:rFonts w:ascii="Open Sans" w:hAnsi="Open Sans" w:cs="Open Sans"/>
          <w:sz w:val="20"/>
          <w:szCs w:val="20"/>
        </w:rPr>
        <w:t>è</w:t>
      </w:r>
      <w:r w:rsidRPr="00A07BE9">
        <w:rPr>
          <w:rFonts w:ascii="Open Sans" w:hAnsi="Open Sans" w:cs="Open Sans"/>
          <w:sz w:val="20"/>
          <w:szCs w:val="20"/>
        </w:rPr>
        <w:t xml:space="preserve">ncia, en la mesa de debate sobre las herramientas tecnológicas: denuncias anónimas y seguras, con una ponencia sobre el </w:t>
      </w:r>
      <w:hyperlink r:id="rId45" w:history="1">
        <w:r w:rsidR="008447AD" w:rsidRPr="00A07BE9">
          <w:rPr>
            <w:rStyle w:val="Hipervnculo"/>
            <w:rFonts w:ascii="Open Sans" w:hAnsi="Open Sans" w:cs="Open Sans"/>
            <w:sz w:val="20"/>
            <w:szCs w:val="20"/>
          </w:rPr>
          <w:t>B</w:t>
        </w:r>
        <w:r w:rsidRPr="00A07BE9">
          <w:rPr>
            <w:rStyle w:val="Hipervnculo"/>
            <w:rFonts w:ascii="Open Sans" w:hAnsi="Open Sans" w:cs="Open Sans"/>
            <w:sz w:val="20"/>
            <w:szCs w:val="20"/>
          </w:rPr>
          <w:t xml:space="preserve">uzón de </w:t>
        </w:r>
        <w:r w:rsidR="008447AD" w:rsidRPr="00A07BE9">
          <w:rPr>
            <w:rStyle w:val="Hipervnculo"/>
            <w:rFonts w:ascii="Open Sans" w:hAnsi="Open Sans" w:cs="Open Sans"/>
            <w:sz w:val="20"/>
            <w:szCs w:val="20"/>
          </w:rPr>
          <w:t>D</w:t>
        </w:r>
        <w:r w:rsidRPr="00A07BE9">
          <w:rPr>
            <w:rStyle w:val="Hipervnculo"/>
            <w:rFonts w:ascii="Open Sans" w:hAnsi="Open Sans" w:cs="Open Sans"/>
            <w:sz w:val="20"/>
            <w:szCs w:val="20"/>
          </w:rPr>
          <w:t>enuncias</w:t>
        </w:r>
      </w:hyperlink>
      <w:r w:rsidRPr="00A07BE9">
        <w:rPr>
          <w:rFonts w:ascii="Open Sans" w:hAnsi="Open Sans" w:cs="Open Sans"/>
          <w:sz w:val="20"/>
          <w:szCs w:val="20"/>
        </w:rPr>
        <w:t>. Esta ponencia también se impartió el 27 de septiembre, en el marco del grupo de trabajo sobre nuevas formas de prevención y lucha contra el fraude, de las XIII Encuentros Técnicos OCEX (organismos de control externo), celebrados en Valencia y organizados por la Sindicatura de Comptes de la Comunitat Valenciana.</w:t>
      </w:r>
    </w:p>
    <w:p w14:paraId="7CDCFDF7" w14:textId="77777777" w:rsidR="00A140F9" w:rsidRPr="00A07BE9" w:rsidRDefault="00A140F9" w:rsidP="00A140F9">
      <w:pPr>
        <w:spacing w:after="0" w:line="276" w:lineRule="auto"/>
        <w:jc w:val="both"/>
        <w:rPr>
          <w:rFonts w:ascii="Open Sans" w:hAnsi="Open Sans" w:cs="Open Sans"/>
          <w:sz w:val="20"/>
          <w:szCs w:val="20"/>
        </w:rPr>
      </w:pPr>
    </w:p>
    <w:p w14:paraId="4507E165" w14:textId="579782F4" w:rsidR="00A140F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Por otro lado, la Agencia ha colaborado en la organización y ha participado en el “Focus group sobre los efectos de la aplicación de la ley de transparencia. Retos y oportunidades”, que se celebró el 13 de diciembre, organizado por el Observatorio de Go</w:t>
      </w:r>
      <w:r w:rsidR="002B637B" w:rsidRPr="00A07BE9">
        <w:rPr>
          <w:rFonts w:ascii="Open Sans" w:hAnsi="Open Sans" w:cs="Open Sans"/>
          <w:sz w:val="20"/>
          <w:szCs w:val="20"/>
        </w:rPr>
        <w:t>b</w:t>
      </w:r>
      <w:r w:rsidRPr="00A07BE9">
        <w:rPr>
          <w:rFonts w:ascii="Open Sans" w:hAnsi="Open Sans" w:cs="Open Sans"/>
          <w:sz w:val="20"/>
          <w:szCs w:val="20"/>
        </w:rPr>
        <w:t>ernanza, Transparencia y RSC de la Universidad Cardenal Herrera y el Laboratorio de Periodismo y Comunicación para la Ciudadanía Plural de la Universidad Autónoma de Barcelona.</w:t>
      </w:r>
    </w:p>
    <w:p w14:paraId="6A87A813" w14:textId="77777777" w:rsidR="002406F8" w:rsidRPr="00A07BE9" w:rsidRDefault="002406F8" w:rsidP="00A140F9">
      <w:pPr>
        <w:spacing w:after="0" w:line="276" w:lineRule="auto"/>
        <w:jc w:val="both"/>
        <w:rPr>
          <w:sz w:val="20"/>
          <w:szCs w:val="20"/>
        </w:rPr>
      </w:pPr>
    </w:p>
    <w:p w14:paraId="7DF2343B" w14:textId="77777777" w:rsidR="00A140F9" w:rsidRPr="00A07BE9" w:rsidRDefault="00A140F9" w:rsidP="00A140F9">
      <w:pPr>
        <w:spacing w:after="0" w:line="276" w:lineRule="auto"/>
        <w:jc w:val="both"/>
        <w:rPr>
          <w:rFonts w:ascii="Open Sans" w:hAnsi="Open Sans" w:cs="Open Sans"/>
          <w:sz w:val="20"/>
          <w:szCs w:val="20"/>
        </w:rPr>
      </w:pPr>
      <w:r w:rsidRPr="00A07BE9">
        <w:rPr>
          <w:rFonts w:ascii="Open Sans" w:hAnsi="Open Sans" w:cs="Open Sans"/>
          <w:sz w:val="20"/>
          <w:szCs w:val="20"/>
        </w:rPr>
        <w:t>En esta jornada participaron representantes de entidades y administraciones públicas valencianas vinculadas a las funciones de transparencia, publicidad activa de la información pública, administración electrónica e innovación pública, con el objetivo de crear y consolidar un grupo de debate sobre la transparencia y la calidad de la información de las administraciones públicas.</w:t>
      </w:r>
    </w:p>
    <w:p w14:paraId="4FCABEEF" w14:textId="77777777" w:rsidR="00A140F9" w:rsidRPr="00A07BE9" w:rsidRDefault="00A140F9" w:rsidP="00A140F9">
      <w:pPr>
        <w:spacing w:after="0" w:line="276" w:lineRule="auto"/>
        <w:jc w:val="both"/>
        <w:rPr>
          <w:rFonts w:ascii="Open Sans" w:hAnsi="Open Sans" w:cs="Open Sans"/>
          <w:sz w:val="20"/>
          <w:szCs w:val="20"/>
        </w:rPr>
      </w:pPr>
    </w:p>
    <w:p w14:paraId="300BA846" w14:textId="77777777" w:rsidR="00A140F9" w:rsidRPr="00A07BE9" w:rsidRDefault="00A140F9" w:rsidP="00A140F9">
      <w:pPr>
        <w:suppressAutoHyphens/>
        <w:spacing w:after="0" w:line="240" w:lineRule="auto"/>
        <w:jc w:val="both"/>
        <w:rPr>
          <w:rFonts w:ascii="Open Sans" w:hAnsi="Open Sans" w:cs="Open Sans"/>
          <w:sz w:val="20"/>
          <w:szCs w:val="20"/>
        </w:rPr>
      </w:pPr>
    </w:p>
    <w:p w14:paraId="4A4349EA" w14:textId="3CFD4121" w:rsidR="00A140F9" w:rsidRPr="00A07BE9" w:rsidRDefault="00A140F9" w:rsidP="00A140F9">
      <w:pPr>
        <w:suppressAutoHyphens/>
        <w:spacing w:after="0" w:line="240" w:lineRule="auto"/>
        <w:jc w:val="both"/>
        <w:rPr>
          <w:rFonts w:ascii="Open Sans" w:eastAsia="Times New Roman" w:hAnsi="Open Sans" w:cs="Open Sans"/>
          <w:b/>
          <w:bCs/>
          <w:smallCaps/>
          <w:color w:val="9D2235"/>
          <w:sz w:val="32"/>
          <w:szCs w:val="32"/>
          <w:lang w:eastAsia="es-ES"/>
        </w:rPr>
      </w:pPr>
      <w:r w:rsidRPr="00A07BE9">
        <w:rPr>
          <w:rFonts w:ascii="Open Sans" w:eastAsia="Times New Roman" w:hAnsi="Open Sans" w:cs="Open Sans"/>
          <w:b/>
          <w:bCs/>
          <w:smallCaps/>
          <w:color w:val="9D2235"/>
          <w:sz w:val="32"/>
          <w:szCs w:val="32"/>
          <w:lang w:eastAsia="es-ES"/>
        </w:rPr>
        <w:t>2.2.</w:t>
      </w:r>
      <w:r w:rsidR="0039426D" w:rsidRPr="00A07BE9">
        <w:rPr>
          <w:rFonts w:ascii="Open Sans" w:eastAsia="Times New Roman" w:hAnsi="Open Sans" w:cs="Open Sans"/>
          <w:b/>
          <w:bCs/>
          <w:smallCaps/>
          <w:color w:val="9D2235"/>
          <w:sz w:val="32"/>
          <w:szCs w:val="32"/>
          <w:lang w:eastAsia="es-ES"/>
        </w:rPr>
        <w:t xml:space="preserve"> EL </w:t>
      </w:r>
      <w:r w:rsidRPr="00A07BE9">
        <w:rPr>
          <w:rFonts w:ascii="Open Sans" w:eastAsia="Times New Roman" w:hAnsi="Open Sans" w:cs="Open Sans"/>
          <w:b/>
          <w:bCs/>
          <w:smallCaps/>
          <w:color w:val="9D2235"/>
          <w:sz w:val="32"/>
          <w:szCs w:val="32"/>
          <w:lang w:eastAsia="es-ES"/>
        </w:rPr>
        <w:t>SERVICIO DE FORMACIÓN</w:t>
      </w:r>
    </w:p>
    <w:p w14:paraId="12777099" w14:textId="77777777" w:rsidR="00A140F9" w:rsidRPr="00A07BE9" w:rsidRDefault="00A140F9" w:rsidP="00A140F9">
      <w:pPr>
        <w:suppressAutoHyphens/>
        <w:spacing w:after="0" w:line="240" w:lineRule="auto"/>
        <w:jc w:val="both"/>
        <w:rPr>
          <w:rFonts w:ascii="Open Sans" w:eastAsia="Times New Roman" w:hAnsi="Open Sans" w:cs="Open Sans"/>
          <w:b/>
          <w:bCs/>
          <w:smallCaps/>
          <w:color w:val="9D2235"/>
          <w:sz w:val="20"/>
          <w:szCs w:val="20"/>
          <w:lang w:eastAsia="es-ES"/>
        </w:rPr>
      </w:pPr>
    </w:p>
    <w:p w14:paraId="0B276837" w14:textId="77777777" w:rsidR="00A140F9" w:rsidRPr="00A07BE9" w:rsidRDefault="00A140F9" w:rsidP="00A140F9">
      <w:pPr>
        <w:suppressAutoHyphens/>
        <w:spacing w:after="0" w:line="240" w:lineRule="auto"/>
        <w:jc w:val="both"/>
        <w:rPr>
          <w:rFonts w:ascii="Open Sans" w:eastAsia="Times New Roman" w:hAnsi="Open Sans" w:cs="Open Sans"/>
          <w:b/>
          <w:bCs/>
          <w:smallCaps/>
          <w:color w:val="9D2235"/>
          <w:sz w:val="28"/>
          <w:szCs w:val="28"/>
          <w:lang w:eastAsia="es-ES"/>
        </w:rPr>
      </w:pPr>
      <w:r w:rsidRPr="00A07BE9">
        <w:rPr>
          <w:rFonts w:ascii="Open Sans" w:eastAsia="Times New Roman" w:hAnsi="Open Sans" w:cs="Open Sans"/>
          <w:b/>
          <w:bCs/>
          <w:smallCaps/>
          <w:color w:val="9D2235"/>
          <w:sz w:val="28"/>
          <w:szCs w:val="28"/>
          <w:lang w:eastAsia="es-ES"/>
        </w:rPr>
        <w:t>2.2.1. Funciones</w:t>
      </w:r>
    </w:p>
    <w:p w14:paraId="01D5B62A" w14:textId="77777777" w:rsidR="00A140F9" w:rsidRPr="00A07BE9" w:rsidRDefault="00A140F9" w:rsidP="00A140F9">
      <w:pPr>
        <w:spacing w:after="0" w:line="276" w:lineRule="auto"/>
        <w:jc w:val="both"/>
        <w:rPr>
          <w:rFonts w:ascii="Open Sans" w:eastAsiaTheme="minorHAnsi" w:hAnsi="Open Sans" w:cs="Open Sans"/>
          <w:sz w:val="20"/>
          <w:szCs w:val="20"/>
        </w:rPr>
      </w:pPr>
    </w:p>
    <w:p w14:paraId="7EBA14DD" w14:textId="77777777"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El Servicio de Formación desarrolla las acciones necesarias para cumplir con las funciones de la Agencia relativas a:</w:t>
      </w:r>
    </w:p>
    <w:p w14:paraId="43BF578D" w14:textId="77777777" w:rsidR="00A140F9" w:rsidRPr="00A07BE9" w:rsidRDefault="00A140F9" w:rsidP="00A140F9">
      <w:pPr>
        <w:spacing w:after="0" w:line="276" w:lineRule="auto"/>
        <w:jc w:val="both"/>
        <w:rPr>
          <w:rFonts w:ascii="Open Sans" w:eastAsiaTheme="minorHAnsi" w:hAnsi="Open Sans" w:cs="Open Sans"/>
          <w:sz w:val="20"/>
          <w:szCs w:val="20"/>
        </w:rPr>
      </w:pPr>
    </w:p>
    <w:p w14:paraId="1E8E90F8" w14:textId="77777777" w:rsidR="00A140F9" w:rsidRPr="00A07BE9" w:rsidRDefault="00A140F9" w:rsidP="00A140F9">
      <w:pPr>
        <w:numPr>
          <w:ilvl w:val="0"/>
          <w:numId w:val="6"/>
        </w:numPr>
        <w:spacing w:after="0" w:line="276" w:lineRule="auto"/>
        <w:contextualSpacing/>
        <w:jc w:val="both"/>
        <w:rPr>
          <w:rFonts w:ascii="Open Sans" w:eastAsiaTheme="minorHAnsi" w:hAnsi="Open Sans" w:cs="Open Sans"/>
          <w:sz w:val="20"/>
          <w:szCs w:val="20"/>
        </w:rPr>
      </w:pPr>
      <w:r w:rsidRPr="00A07BE9">
        <w:rPr>
          <w:rFonts w:ascii="Open Sans" w:eastAsiaTheme="minorHAnsi" w:hAnsi="Open Sans" w:cs="Open Sans"/>
          <w:sz w:val="20"/>
          <w:szCs w:val="20"/>
        </w:rPr>
        <w:t>La formación de los servidores públicos en materia de integridad y ética públicas;</w:t>
      </w:r>
    </w:p>
    <w:p w14:paraId="5E5C3E47" w14:textId="77777777" w:rsidR="00A140F9" w:rsidRPr="00A07BE9" w:rsidRDefault="00A140F9" w:rsidP="00A140F9">
      <w:pPr>
        <w:numPr>
          <w:ilvl w:val="0"/>
          <w:numId w:val="6"/>
        </w:numPr>
        <w:spacing w:after="0" w:line="276" w:lineRule="auto"/>
        <w:contextualSpacing/>
        <w:jc w:val="both"/>
        <w:rPr>
          <w:rFonts w:ascii="Open Sans" w:eastAsiaTheme="minorHAnsi" w:hAnsi="Open Sans" w:cs="Open Sans"/>
          <w:sz w:val="20"/>
          <w:szCs w:val="20"/>
        </w:rPr>
      </w:pPr>
      <w:r w:rsidRPr="00A07BE9">
        <w:rPr>
          <w:rFonts w:ascii="Open Sans" w:eastAsiaTheme="minorHAnsi" w:hAnsi="Open Sans" w:cs="Open Sans"/>
          <w:sz w:val="20"/>
          <w:szCs w:val="20"/>
        </w:rPr>
        <w:t>La realización de programas de sensibilización de la ciudadanía;</w:t>
      </w:r>
    </w:p>
    <w:p w14:paraId="13CE0EE0" w14:textId="77777777" w:rsidR="00A140F9" w:rsidRPr="00A07BE9" w:rsidRDefault="00A140F9" w:rsidP="00A140F9">
      <w:pPr>
        <w:numPr>
          <w:ilvl w:val="0"/>
          <w:numId w:val="6"/>
        </w:numPr>
        <w:spacing w:after="0" w:line="276" w:lineRule="auto"/>
        <w:contextualSpacing/>
        <w:jc w:val="both"/>
        <w:rPr>
          <w:rFonts w:ascii="Open Sans" w:eastAsiaTheme="minorHAnsi" w:hAnsi="Open Sans" w:cs="Open Sans"/>
          <w:sz w:val="20"/>
          <w:szCs w:val="20"/>
        </w:rPr>
      </w:pPr>
      <w:r w:rsidRPr="00A07BE9">
        <w:rPr>
          <w:rFonts w:ascii="Open Sans" w:eastAsiaTheme="minorHAnsi" w:hAnsi="Open Sans" w:cs="Open Sans"/>
          <w:sz w:val="20"/>
          <w:szCs w:val="20"/>
        </w:rPr>
        <w:t>La capacitación técnica y formación continuada del personal de la Agencia.</w:t>
      </w:r>
    </w:p>
    <w:p w14:paraId="631D5C1F" w14:textId="77777777" w:rsidR="00A140F9" w:rsidRPr="00A07BE9" w:rsidRDefault="00A140F9" w:rsidP="00A140F9">
      <w:pPr>
        <w:spacing w:after="0" w:line="276" w:lineRule="auto"/>
        <w:jc w:val="both"/>
        <w:rPr>
          <w:rFonts w:ascii="Open Sans" w:eastAsiaTheme="minorHAnsi" w:hAnsi="Open Sans" w:cs="Open Sans"/>
          <w:sz w:val="20"/>
          <w:szCs w:val="20"/>
        </w:rPr>
      </w:pPr>
    </w:p>
    <w:p w14:paraId="3146DC2E" w14:textId="7147CE25"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La Agencia tiene que contribuir a crear una cultura social de rechazo de la corrupción y la formación ética es un</w:t>
      </w:r>
      <w:r w:rsidR="002B637B" w:rsidRPr="00A07BE9">
        <w:rPr>
          <w:rFonts w:ascii="Open Sans" w:eastAsiaTheme="minorHAnsi" w:hAnsi="Open Sans" w:cs="Open Sans"/>
          <w:sz w:val="20"/>
          <w:szCs w:val="20"/>
        </w:rPr>
        <w:t>o</w:t>
      </w:r>
      <w:r w:rsidRPr="00A07BE9">
        <w:rPr>
          <w:rFonts w:ascii="Open Sans" w:eastAsiaTheme="minorHAnsi" w:hAnsi="Open Sans" w:cs="Open Sans"/>
          <w:sz w:val="20"/>
          <w:szCs w:val="20"/>
        </w:rPr>
        <w:t xml:space="preserve"> de los componentes fundamentales de cualquier estrategia para prevenir la corrupción y mejorar la integridad pública.</w:t>
      </w:r>
    </w:p>
    <w:p w14:paraId="0679A575" w14:textId="668BE7A6"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lastRenderedPageBreak/>
        <w:t xml:space="preserve">De acuerdo con el </w:t>
      </w:r>
      <w:hyperlink r:id="rId46" w:history="1">
        <w:r w:rsidRPr="00A07BE9">
          <w:rPr>
            <w:rStyle w:val="Hipervnculo"/>
            <w:rFonts w:ascii="Open Sans" w:eastAsiaTheme="minorHAnsi" w:hAnsi="Open Sans" w:cs="Open Sans"/>
            <w:sz w:val="20"/>
            <w:szCs w:val="20"/>
          </w:rPr>
          <w:t>Reglamento de funcionamiento y régimen interior</w:t>
        </w:r>
        <w:r w:rsidRPr="00A07BE9">
          <w:rPr>
            <w:rStyle w:val="Hipervnculo"/>
            <w:rFonts w:ascii="Open Sans" w:eastAsiaTheme="minorHAnsi" w:hAnsi="Open Sans" w:cs="Open Sans"/>
            <w:color w:val="auto"/>
            <w:sz w:val="20"/>
            <w:szCs w:val="20"/>
            <w:u w:val="none"/>
          </w:rPr>
          <w:t xml:space="preserve"> de la Agencia</w:t>
        </w:r>
      </w:hyperlink>
      <w:r w:rsidRPr="00A07BE9">
        <w:rPr>
          <w:rFonts w:ascii="Open Sans" w:eastAsiaTheme="minorHAnsi" w:hAnsi="Open Sans" w:cs="Open Sans"/>
          <w:sz w:val="20"/>
          <w:szCs w:val="20"/>
        </w:rPr>
        <w:t xml:space="preserve">, el </w:t>
      </w:r>
      <w:r w:rsidR="005A4C72" w:rsidRPr="00A07BE9">
        <w:rPr>
          <w:rFonts w:ascii="Open Sans" w:eastAsiaTheme="minorHAnsi" w:hAnsi="Open Sans" w:cs="Open Sans"/>
          <w:sz w:val="20"/>
          <w:szCs w:val="20"/>
        </w:rPr>
        <w:t>S</w:t>
      </w:r>
      <w:r w:rsidRPr="00A07BE9">
        <w:rPr>
          <w:rFonts w:ascii="Open Sans" w:eastAsiaTheme="minorHAnsi" w:hAnsi="Open Sans" w:cs="Open Sans"/>
          <w:sz w:val="20"/>
          <w:szCs w:val="20"/>
        </w:rPr>
        <w:t xml:space="preserve">ervicio de </w:t>
      </w:r>
      <w:r w:rsidR="005A4C72" w:rsidRPr="00A07BE9">
        <w:rPr>
          <w:rFonts w:ascii="Open Sans" w:eastAsiaTheme="minorHAnsi" w:hAnsi="Open Sans" w:cs="Open Sans"/>
          <w:sz w:val="20"/>
          <w:szCs w:val="20"/>
        </w:rPr>
        <w:t>F</w:t>
      </w:r>
      <w:r w:rsidRPr="00A07BE9">
        <w:rPr>
          <w:rFonts w:ascii="Open Sans" w:eastAsiaTheme="minorHAnsi" w:hAnsi="Open Sans" w:cs="Open Sans"/>
          <w:sz w:val="20"/>
          <w:szCs w:val="20"/>
        </w:rPr>
        <w:t xml:space="preserve">ormación debe desarrollar programas, guías formativas y asesoramiento especializado en materia de lucha contra el fraude y la corrupción. </w:t>
      </w:r>
    </w:p>
    <w:p w14:paraId="03CD3DB1" w14:textId="77777777" w:rsidR="00A140F9" w:rsidRPr="00A07BE9" w:rsidRDefault="00A140F9" w:rsidP="00A140F9">
      <w:pPr>
        <w:spacing w:after="0" w:line="276" w:lineRule="auto"/>
        <w:jc w:val="both"/>
        <w:rPr>
          <w:rFonts w:ascii="Open Sans" w:eastAsiaTheme="minorHAnsi" w:hAnsi="Open Sans" w:cs="Open Sans"/>
          <w:sz w:val="20"/>
          <w:szCs w:val="20"/>
        </w:rPr>
      </w:pPr>
    </w:p>
    <w:p w14:paraId="73C46E03" w14:textId="121E2F31"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Las acciones formativas pueden dirigirse a los servidores públicos, a las empresas y a las entidades que se relacionan con la administración, al alumnado de la educación secundaria, bachillerato, grados, posgrados universitarios y, en general, a las personas y a los colectivos que tengan interés en la materia.</w:t>
      </w:r>
    </w:p>
    <w:p w14:paraId="2B0521CD" w14:textId="77777777" w:rsidR="00127219" w:rsidRPr="00A07BE9" w:rsidRDefault="00127219" w:rsidP="00A140F9">
      <w:pPr>
        <w:spacing w:after="0" w:line="276" w:lineRule="auto"/>
        <w:jc w:val="both"/>
        <w:rPr>
          <w:rFonts w:ascii="Open Sans" w:eastAsiaTheme="minorHAnsi" w:hAnsi="Open Sans" w:cs="Open Sans"/>
          <w:sz w:val="20"/>
          <w:szCs w:val="20"/>
        </w:rPr>
      </w:pPr>
    </w:p>
    <w:p w14:paraId="17221978" w14:textId="02CACA2B" w:rsidR="005B3E0E" w:rsidRPr="00A07BE9" w:rsidRDefault="00A140F9" w:rsidP="00A140F9">
      <w:pPr>
        <w:spacing w:after="0" w:line="276" w:lineRule="auto"/>
        <w:jc w:val="both"/>
        <w:rPr>
          <w:rFonts w:ascii="Open Sans" w:hAnsi="Open Sans" w:cs="Open Sans"/>
          <w:sz w:val="20"/>
          <w:szCs w:val="20"/>
        </w:rPr>
      </w:pPr>
      <w:r w:rsidRPr="00A07BE9">
        <w:rPr>
          <w:rFonts w:ascii="Open Sans" w:eastAsiaTheme="minorHAnsi" w:hAnsi="Open Sans" w:cs="Open Sans"/>
          <w:sz w:val="20"/>
          <w:szCs w:val="20"/>
        </w:rPr>
        <w:t xml:space="preserve">Las acciones se desarrollan en colaboración con los órganos competentes en la formación de servidores públicos, los universitarios, las organizaciones y colegios profesionales o </w:t>
      </w:r>
      <w:r w:rsidRPr="00A07BE9">
        <w:rPr>
          <w:rFonts w:ascii="Open Sans" w:hAnsi="Open Sans" w:cs="Open Sans"/>
          <w:sz w:val="20"/>
          <w:szCs w:val="20"/>
        </w:rPr>
        <w:t>cualquier otra entidad de educación superior.</w:t>
      </w:r>
    </w:p>
    <w:p w14:paraId="24679FDC" w14:textId="366C8A59" w:rsidR="004A3C1B" w:rsidRPr="00A07BE9" w:rsidRDefault="004A3C1B" w:rsidP="00A140F9">
      <w:pPr>
        <w:spacing w:after="0" w:line="276" w:lineRule="auto"/>
        <w:jc w:val="both"/>
        <w:rPr>
          <w:rFonts w:ascii="Open Sans" w:hAnsi="Open Sans" w:cs="Open Sans"/>
          <w:sz w:val="20"/>
          <w:szCs w:val="20"/>
        </w:rPr>
      </w:pPr>
    </w:p>
    <w:p w14:paraId="7D04407C" w14:textId="77777777" w:rsidR="004A3C1B" w:rsidRPr="00A07BE9" w:rsidRDefault="004A3C1B" w:rsidP="00A140F9">
      <w:pPr>
        <w:spacing w:after="0" w:line="276" w:lineRule="auto"/>
        <w:jc w:val="both"/>
        <w:rPr>
          <w:rFonts w:ascii="Open Sans" w:hAnsi="Open Sans" w:cs="Open Sans"/>
          <w:sz w:val="20"/>
          <w:szCs w:val="20"/>
        </w:rPr>
      </w:pPr>
    </w:p>
    <w:p w14:paraId="6E053582" w14:textId="59D6DC59" w:rsidR="00A140F9" w:rsidRPr="00A07BE9" w:rsidRDefault="00A140F9" w:rsidP="00A140F9">
      <w:pPr>
        <w:suppressAutoHyphens/>
        <w:spacing w:after="0" w:line="240" w:lineRule="auto"/>
        <w:jc w:val="both"/>
        <w:rPr>
          <w:rFonts w:ascii="Open Sans" w:eastAsia="Times New Roman" w:hAnsi="Open Sans" w:cs="Open Sans"/>
          <w:b/>
          <w:bCs/>
          <w:smallCaps/>
          <w:color w:val="9D2235"/>
          <w:sz w:val="28"/>
          <w:szCs w:val="28"/>
          <w:lang w:eastAsia="es-ES"/>
        </w:rPr>
      </w:pPr>
      <w:r w:rsidRPr="00A07BE9">
        <w:rPr>
          <w:rFonts w:ascii="Open Sans" w:eastAsia="Times New Roman" w:hAnsi="Open Sans" w:cs="Open Sans"/>
          <w:b/>
          <w:bCs/>
          <w:smallCaps/>
          <w:color w:val="9D2235"/>
          <w:sz w:val="28"/>
          <w:szCs w:val="28"/>
          <w:lang w:eastAsia="es-ES"/>
        </w:rPr>
        <w:t>2.2.2. Plan de Formación 2019-2020 de la Agencia</w:t>
      </w:r>
    </w:p>
    <w:p w14:paraId="58E2BF33" w14:textId="77777777" w:rsidR="00A140F9" w:rsidRPr="00A07BE9" w:rsidRDefault="00A140F9" w:rsidP="00A140F9">
      <w:pPr>
        <w:spacing w:after="0" w:line="276" w:lineRule="auto"/>
        <w:jc w:val="both"/>
        <w:rPr>
          <w:rFonts w:ascii="Open Sans" w:eastAsiaTheme="minorHAnsi" w:hAnsi="Open Sans" w:cs="Open Sans"/>
          <w:sz w:val="20"/>
          <w:szCs w:val="20"/>
        </w:rPr>
      </w:pPr>
    </w:p>
    <w:p w14:paraId="0DCDF4DA" w14:textId="77777777"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Desde el primer momento de creación y puesta en marcha, la Agencia ha incorporado la herramienta de la formación como eje básico para su desarrollo y evolución.</w:t>
      </w:r>
    </w:p>
    <w:p w14:paraId="31370332" w14:textId="77777777" w:rsidR="00A140F9" w:rsidRPr="00A07BE9" w:rsidRDefault="00A140F9" w:rsidP="00A140F9">
      <w:pPr>
        <w:spacing w:after="0" w:line="276" w:lineRule="auto"/>
        <w:jc w:val="both"/>
        <w:rPr>
          <w:rFonts w:ascii="Open Sans" w:eastAsiaTheme="minorHAnsi" w:hAnsi="Open Sans" w:cs="Open Sans"/>
          <w:sz w:val="20"/>
          <w:szCs w:val="20"/>
        </w:rPr>
      </w:pPr>
    </w:p>
    <w:p w14:paraId="26827141" w14:textId="77777777"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 xml:space="preserve">En la Memoria del ejercicio 2018 relatamos las acciones formativas y de difusión llevadas a cabo, con mayor intensidad a partir del mes de abril, cuando el servicio y la dirección al que este está adscrito empezó a disponer de recursos humanos. </w:t>
      </w:r>
    </w:p>
    <w:p w14:paraId="753F8727" w14:textId="77777777" w:rsidR="00A140F9" w:rsidRPr="00A07BE9" w:rsidRDefault="00A140F9" w:rsidP="00A140F9">
      <w:pPr>
        <w:spacing w:after="0" w:line="276" w:lineRule="auto"/>
        <w:jc w:val="both"/>
        <w:rPr>
          <w:rFonts w:ascii="Open Sans" w:eastAsiaTheme="minorHAnsi" w:hAnsi="Open Sans" w:cs="Open Sans"/>
          <w:sz w:val="20"/>
          <w:szCs w:val="20"/>
        </w:rPr>
      </w:pPr>
    </w:p>
    <w:p w14:paraId="2130DA62" w14:textId="77777777"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La descripción, síntesis y evaluación de esas actividades, así como las conclusiones obtenidas, nos permitió articular nuevas propuestas, en un proyecto de plan de formación, de carácter bianual, para articular un modelo de formación ética:</w:t>
      </w:r>
    </w:p>
    <w:p w14:paraId="6A3694C6" w14:textId="77777777" w:rsidR="00A140F9" w:rsidRPr="00A07BE9" w:rsidRDefault="00A140F9" w:rsidP="00A140F9">
      <w:pPr>
        <w:spacing w:after="0" w:line="276" w:lineRule="auto"/>
        <w:jc w:val="both"/>
        <w:rPr>
          <w:rFonts w:ascii="Open Sans" w:eastAsiaTheme="minorHAnsi" w:hAnsi="Open Sans" w:cs="Open Sans"/>
          <w:sz w:val="20"/>
          <w:szCs w:val="20"/>
        </w:rPr>
      </w:pPr>
    </w:p>
    <w:p w14:paraId="696BD2BF" w14:textId="15509035" w:rsidR="00801280" w:rsidRPr="00A07BE9" w:rsidRDefault="00A140F9" w:rsidP="00F639BB">
      <w:pPr>
        <w:numPr>
          <w:ilvl w:val="0"/>
          <w:numId w:val="4"/>
        </w:numPr>
        <w:spacing w:after="0" w:line="276" w:lineRule="auto"/>
        <w:contextualSpacing/>
        <w:jc w:val="both"/>
        <w:rPr>
          <w:rFonts w:ascii="Open Sans" w:eastAsiaTheme="minorHAnsi" w:hAnsi="Open Sans" w:cs="Open Sans"/>
          <w:sz w:val="20"/>
          <w:szCs w:val="20"/>
        </w:rPr>
      </w:pPr>
      <w:r w:rsidRPr="00A07BE9">
        <w:rPr>
          <w:rFonts w:ascii="Open Sans" w:eastAsiaTheme="minorHAnsi" w:hAnsi="Open Sans" w:cs="Open Sans"/>
          <w:sz w:val="20"/>
          <w:szCs w:val="20"/>
        </w:rPr>
        <w:t xml:space="preserve">De acuerdo con las recomendaciones que surgen del análisis comparado de diversos modelos de formación ética en nuestro ámbito de actuación, que también referenciamos en la </w:t>
      </w:r>
      <w:hyperlink r:id="rId47" w:history="1">
        <w:r w:rsidRPr="00A07BE9">
          <w:rPr>
            <w:rStyle w:val="Hipervnculo"/>
            <w:rFonts w:ascii="Open Sans" w:eastAsiaTheme="minorHAnsi" w:hAnsi="Open Sans" w:cs="Open Sans"/>
            <w:sz w:val="20"/>
            <w:szCs w:val="20"/>
          </w:rPr>
          <w:t>Memoria del año 2018</w:t>
        </w:r>
      </w:hyperlink>
      <w:r w:rsidRPr="00A07BE9">
        <w:rPr>
          <w:rFonts w:ascii="Open Sans" w:eastAsiaTheme="minorHAnsi" w:hAnsi="Open Sans" w:cs="Open Sans"/>
          <w:sz w:val="20"/>
          <w:szCs w:val="20"/>
        </w:rPr>
        <w:t>;</w:t>
      </w:r>
    </w:p>
    <w:p w14:paraId="30BFA35F" w14:textId="763A04D8" w:rsidR="00801280" w:rsidRPr="00A07BE9" w:rsidRDefault="00A140F9" w:rsidP="00392F00">
      <w:pPr>
        <w:numPr>
          <w:ilvl w:val="0"/>
          <w:numId w:val="4"/>
        </w:numPr>
        <w:spacing w:after="0" w:line="276" w:lineRule="auto"/>
        <w:contextualSpacing/>
        <w:jc w:val="both"/>
        <w:rPr>
          <w:rFonts w:ascii="Open Sans" w:eastAsiaTheme="minorHAnsi" w:hAnsi="Open Sans" w:cs="Open Sans"/>
          <w:sz w:val="20"/>
          <w:szCs w:val="20"/>
        </w:rPr>
      </w:pPr>
      <w:r w:rsidRPr="00A07BE9">
        <w:rPr>
          <w:rFonts w:ascii="Open Sans" w:eastAsiaTheme="minorHAnsi" w:hAnsi="Open Sans" w:cs="Open Sans"/>
          <w:sz w:val="20"/>
          <w:szCs w:val="20"/>
        </w:rPr>
        <w:t>A partir de un diseño participado por el conjunto de profesionales de la Agencia, a través de la técnica de la encuesta y mediante el debate y posterior aprobación del proyecto por parte del Consejo de Dirección;</w:t>
      </w:r>
    </w:p>
    <w:p w14:paraId="2EF191E3" w14:textId="6AF4E892" w:rsidR="00801280" w:rsidRPr="00A07BE9" w:rsidRDefault="00A140F9" w:rsidP="00F639BB">
      <w:pPr>
        <w:numPr>
          <w:ilvl w:val="0"/>
          <w:numId w:val="4"/>
        </w:numPr>
        <w:spacing w:after="0" w:line="276" w:lineRule="auto"/>
        <w:contextualSpacing/>
        <w:jc w:val="both"/>
        <w:rPr>
          <w:rFonts w:ascii="Open Sans" w:eastAsiaTheme="minorHAnsi" w:hAnsi="Open Sans" w:cs="Open Sans"/>
          <w:sz w:val="20"/>
          <w:szCs w:val="20"/>
        </w:rPr>
      </w:pPr>
      <w:r w:rsidRPr="00A07BE9">
        <w:rPr>
          <w:rFonts w:ascii="Open Sans" w:eastAsiaTheme="minorHAnsi" w:hAnsi="Open Sans" w:cs="Open Sans"/>
          <w:sz w:val="20"/>
          <w:szCs w:val="20"/>
        </w:rPr>
        <w:t>Que pretende favorecer la competencia y la cohesión interna;</w:t>
      </w:r>
    </w:p>
    <w:p w14:paraId="3EDBB28D" w14:textId="77777777" w:rsidR="00A140F9" w:rsidRPr="00A07BE9" w:rsidRDefault="00A140F9" w:rsidP="00A140F9">
      <w:pPr>
        <w:numPr>
          <w:ilvl w:val="0"/>
          <w:numId w:val="4"/>
        </w:numPr>
        <w:spacing w:after="0" w:line="276" w:lineRule="auto"/>
        <w:contextualSpacing/>
        <w:jc w:val="both"/>
        <w:rPr>
          <w:rFonts w:ascii="Open Sans" w:eastAsiaTheme="minorHAnsi" w:hAnsi="Open Sans" w:cs="Open Sans"/>
          <w:sz w:val="20"/>
          <w:szCs w:val="20"/>
        </w:rPr>
      </w:pPr>
      <w:r w:rsidRPr="00A07BE9">
        <w:rPr>
          <w:rFonts w:ascii="Open Sans" w:eastAsiaTheme="minorHAnsi" w:hAnsi="Open Sans" w:cs="Open Sans"/>
          <w:sz w:val="20"/>
          <w:szCs w:val="20"/>
        </w:rPr>
        <w:t>Con la voluntad y el convencimiento pleno de la necesaria coordinación interinstitucional para su ejecución, que favorezca sinergias y rentabilidad de esfuerzos, desde la independencia de la Agencia.</w:t>
      </w:r>
    </w:p>
    <w:p w14:paraId="0D5D9CE6" w14:textId="77777777" w:rsidR="00A140F9" w:rsidRPr="00A07BE9" w:rsidRDefault="00A140F9" w:rsidP="00A140F9">
      <w:pPr>
        <w:spacing w:after="0" w:line="276" w:lineRule="auto"/>
        <w:jc w:val="both"/>
        <w:rPr>
          <w:rFonts w:ascii="Open Sans" w:eastAsiaTheme="minorHAnsi" w:hAnsi="Open Sans" w:cs="Open Sans"/>
          <w:sz w:val="20"/>
          <w:szCs w:val="20"/>
        </w:rPr>
      </w:pPr>
    </w:p>
    <w:p w14:paraId="5B58D694" w14:textId="7C2D25AA"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 xml:space="preserve">El </w:t>
      </w:r>
      <w:r w:rsidR="00BF3B5B" w:rsidRPr="00A07BE9">
        <w:rPr>
          <w:rFonts w:ascii="Open Sans" w:eastAsiaTheme="minorHAnsi" w:hAnsi="Open Sans" w:cs="Open Sans"/>
          <w:sz w:val="20"/>
          <w:szCs w:val="20"/>
        </w:rPr>
        <w:t>P</w:t>
      </w:r>
      <w:r w:rsidRPr="00A07BE9">
        <w:rPr>
          <w:rFonts w:ascii="Open Sans" w:eastAsiaTheme="minorHAnsi" w:hAnsi="Open Sans" w:cs="Open Sans"/>
          <w:sz w:val="20"/>
          <w:szCs w:val="20"/>
        </w:rPr>
        <w:t xml:space="preserve">lan de </w:t>
      </w:r>
      <w:r w:rsidR="00BF3B5B" w:rsidRPr="00A07BE9">
        <w:rPr>
          <w:rFonts w:ascii="Open Sans" w:eastAsiaTheme="minorHAnsi" w:hAnsi="Open Sans" w:cs="Open Sans"/>
          <w:sz w:val="20"/>
          <w:szCs w:val="20"/>
        </w:rPr>
        <w:t>F</w:t>
      </w:r>
      <w:r w:rsidRPr="00A07BE9">
        <w:rPr>
          <w:rFonts w:ascii="Open Sans" w:eastAsiaTheme="minorHAnsi" w:hAnsi="Open Sans" w:cs="Open Sans"/>
          <w:sz w:val="20"/>
          <w:szCs w:val="20"/>
        </w:rPr>
        <w:t xml:space="preserve">ormación 2019-2020, aprobado por </w:t>
      </w:r>
      <w:r w:rsidR="00BF3B5B" w:rsidRPr="00A07BE9">
        <w:rPr>
          <w:rFonts w:ascii="Open Sans" w:eastAsiaTheme="minorHAnsi" w:hAnsi="Open Sans" w:cs="Open Sans"/>
          <w:sz w:val="20"/>
          <w:szCs w:val="20"/>
        </w:rPr>
        <w:t>R</w:t>
      </w:r>
      <w:r w:rsidRPr="00A07BE9">
        <w:rPr>
          <w:rFonts w:ascii="Open Sans" w:eastAsiaTheme="minorHAnsi" w:hAnsi="Open Sans" w:cs="Open Sans"/>
          <w:sz w:val="20"/>
          <w:szCs w:val="20"/>
        </w:rPr>
        <w:t xml:space="preserve">esolución del director de la Agencia el 26 de febrero de 2019, presenta una oferta de formación interna y externa, con un orden de priorización consensuado, con el correspondiente cronograma, una metodología para identificar las necesidades formativas y una descripción de los elementos estructurales para </w:t>
      </w:r>
      <w:r w:rsidRPr="00A07BE9">
        <w:rPr>
          <w:rFonts w:ascii="Open Sans" w:eastAsiaTheme="minorHAnsi" w:hAnsi="Open Sans" w:cs="Open Sans"/>
          <w:sz w:val="20"/>
          <w:szCs w:val="20"/>
        </w:rPr>
        <w:lastRenderedPageBreak/>
        <w:t>su desarrollo (comisión de asesoramiento docente; personal formador, gestión de procesos documentales, coordinación institucional, gestión de la homologación y la acreditación, etc.).</w:t>
      </w:r>
    </w:p>
    <w:p w14:paraId="7A2CE05A" w14:textId="77777777" w:rsidR="00A140F9" w:rsidRPr="00A07BE9" w:rsidRDefault="00A140F9" w:rsidP="00A140F9">
      <w:pPr>
        <w:spacing w:after="0" w:line="276" w:lineRule="auto"/>
        <w:jc w:val="both"/>
        <w:rPr>
          <w:rFonts w:ascii="Open Sans" w:eastAsiaTheme="minorHAnsi" w:hAnsi="Open Sans" w:cs="Open Sans"/>
          <w:sz w:val="20"/>
          <w:szCs w:val="20"/>
        </w:rPr>
      </w:pPr>
    </w:p>
    <w:p w14:paraId="26A7CED0" w14:textId="22A0A02E"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 xml:space="preserve">El </w:t>
      </w:r>
      <w:r w:rsidR="00BF3B5B" w:rsidRPr="00A07BE9">
        <w:rPr>
          <w:rFonts w:ascii="Open Sans" w:eastAsiaTheme="minorHAnsi" w:hAnsi="Open Sans" w:cs="Open Sans"/>
          <w:sz w:val="20"/>
          <w:szCs w:val="20"/>
        </w:rPr>
        <w:t>P</w:t>
      </w:r>
      <w:r w:rsidRPr="00A07BE9">
        <w:rPr>
          <w:rFonts w:ascii="Open Sans" w:eastAsiaTheme="minorHAnsi" w:hAnsi="Open Sans" w:cs="Open Sans"/>
          <w:sz w:val="20"/>
          <w:szCs w:val="20"/>
        </w:rPr>
        <w:t xml:space="preserve">lan de </w:t>
      </w:r>
      <w:r w:rsidR="00BF3B5B" w:rsidRPr="00A07BE9">
        <w:rPr>
          <w:rFonts w:ascii="Open Sans" w:eastAsiaTheme="minorHAnsi" w:hAnsi="Open Sans" w:cs="Open Sans"/>
          <w:sz w:val="20"/>
          <w:szCs w:val="20"/>
        </w:rPr>
        <w:t>F</w:t>
      </w:r>
      <w:r w:rsidRPr="00A07BE9">
        <w:rPr>
          <w:rFonts w:ascii="Open Sans" w:eastAsiaTheme="minorHAnsi" w:hAnsi="Open Sans" w:cs="Open Sans"/>
          <w:sz w:val="20"/>
          <w:szCs w:val="20"/>
        </w:rPr>
        <w:t>ormación nos ha permitido asentar las bases del trabajo del servicio para comenzar a dar respuesta a las necesidades formativas detectadas, de mayor trascendencia para los servidores públicos y para el conjunto de la sociedad. Este año evaluaremos su ejecución y valoraremos la reformulación, en su caso.</w:t>
      </w:r>
    </w:p>
    <w:p w14:paraId="30CDEF60" w14:textId="67650659" w:rsidR="004A3C1B" w:rsidRPr="00A07BE9" w:rsidRDefault="004A3C1B" w:rsidP="00A140F9">
      <w:pPr>
        <w:spacing w:after="0" w:line="276" w:lineRule="auto"/>
        <w:jc w:val="both"/>
        <w:rPr>
          <w:rFonts w:ascii="Open Sans" w:eastAsiaTheme="minorHAnsi" w:hAnsi="Open Sans" w:cs="Open Sans"/>
          <w:sz w:val="20"/>
          <w:szCs w:val="20"/>
        </w:rPr>
      </w:pPr>
    </w:p>
    <w:p w14:paraId="6F78BC06" w14:textId="77777777" w:rsidR="005F0A1F" w:rsidRPr="00A07BE9" w:rsidRDefault="005F0A1F" w:rsidP="00A140F9">
      <w:pPr>
        <w:spacing w:after="0" w:line="276" w:lineRule="auto"/>
        <w:jc w:val="both"/>
        <w:rPr>
          <w:rFonts w:ascii="Open Sans" w:eastAsiaTheme="minorHAnsi" w:hAnsi="Open Sans" w:cs="Open Sans"/>
          <w:sz w:val="20"/>
          <w:szCs w:val="20"/>
        </w:rPr>
      </w:pPr>
    </w:p>
    <w:p w14:paraId="17D5BFDE" w14:textId="77777777" w:rsidR="00A140F9" w:rsidRPr="00A07BE9" w:rsidRDefault="00A140F9" w:rsidP="00A140F9">
      <w:pPr>
        <w:suppressAutoHyphens/>
        <w:spacing w:after="0" w:line="240" w:lineRule="auto"/>
        <w:jc w:val="both"/>
        <w:rPr>
          <w:rFonts w:ascii="Open Sans" w:eastAsia="Times New Roman" w:hAnsi="Open Sans" w:cs="Open Sans"/>
          <w:b/>
          <w:bCs/>
          <w:smallCaps/>
          <w:color w:val="9D2235"/>
          <w:sz w:val="28"/>
          <w:szCs w:val="28"/>
          <w:lang w:eastAsia="es-ES"/>
        </w:rPr>
      </w:pPr>
      <w:r w:rsidRPr="00A07BE9">
        <w:rPr>
          <w:rFonts w:ascii="Open Sans" w:eastAsia="Times New Roman" w:hAnsi="Open Sans" w:cs="Open Sans"/>
          <w:b/>
          <w:bCs/>
          <w:smallCaps/>
          <w:color w:val="9D2235"/>
          <w:sz w:val="28"/>
          <w:szCs w:val="28"/>
          <w:lang w:eastAsia="es-ES"/>
        </w:rPr>
        <w:t>2.2.3. Formación Interna</w:t>
      </w:r>
    </w:p>
    <w:p w14:paraId="7E2E5760" w14:textId="77777777" w:rsidR="00A140F9" w:rsidRPr="00A07BE9" w:rsidRDefault="00A140F9" w:rsidP="00A140F9">
      <w:pPr>
        <w:suppressAutoHyphens/>
        <w:spacing w:after="0" w:line="240" w:lineRule="auto"/>
        <w:jc w:val="both"/>
        <w:rPr>
          <w:rFonts w:ascii="Open Sans" w:eastAsia="Times New Roman" w:hAnsi="Open Sans" w:cs="Open Sans"/>
          <w:b/>
          <w:bCs/>
          <w:smallCaps/>
          <w:color w:val="993333"/>
          <w:sz w:val="20"/>
          <w:szCs w:val="20"/>
          <w:lang w:eastAsia="es-ES"/>
        </w:rPr>
      </w:pPr>
    </w:p>
    <w:p w14:paraId="52DAF2C3" w14:textId="61A0A237"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 xml:space="preserve">El </w:t>
      </w:r>
      <w:r w:rsidR="00BF3B5B" w:rsidRPr="00A07BE9">
        <w:rPr>
          <w:rFonts w:ascii="Open Sans" w:eastAsiaTheme="minorHAnsi" w:hAnsi="Open Sans" w:cs="Open Sans"/>
          <w:sz w:val="20"/>
          <w:szCs w:val="20"/>
        </w:rPr>
        <w:t>Pl</w:t>
      </w:r>
      <w:r w:rsidRPr="00A07BE9">
        <w:rPr>
          <w:rFonts w:ascii="Open Sans" w:eastAsiaTheme="minorHAnsi" w:hAnsi="Open Sans" w:cs="Open Sans"/>
          <w:sz w:val="20"/>
          <w:szCs w:val="20"/>
        </w:rPr>
        <w:t xml:space="preserve">an de </w:t>
      </w:r>
      <w:r w:rsidR="00BF3B5B" w:rsidRPr="00A07BE9">
        <w:rPr>
          <w:rFonts w:ascii="Open Sans" w:eastAsiaTheme="minorHAnsi" w:hAnsi="Open Sans" w:cs="Open Sans"/>
          <w:sz w:val="20"/>
          <w:szCs w:val="20"/>
        </w:rPr>
        <w:t>F</w:t>
      </w:r>
      <w:r w:rsidRPr="00A07BE9">
        <w:rPr>
          <w:rFonts w:ascii="Open Sans" w:eastAsiaTheme="minorHAnsi" w:hAnsi="Open Sans" w:cs="Open Sans"/>
          <w:sz w:val="20"/>
          <w:szCs w:val="20"/>
        </w:rPr>
        <w:t>ormación 2019-2020 determina las acciones de formación interna en tres ámbitos de actuación, de acuerdo con el modelo de gestión que se quiere impulsar y qué se debe hacer o saber para cumplirlos:</w:t>
      </w:r>
    </w:p>
    <w:p w14:paraId="34A00A77" w14:textId="77777777" w:rsidR="00A140F9" w:rsidRPr="00A07BE9" w:rsidRDefault="00A140F9" w:rsidP="00A140F9">
      <w:pPr>
        <w:spacing w:after="0" w:line="276" w:lineRule="auto"/>
        <w:jc w:val="both"/>
        <w:rPr>
          <w:rFonts w:ascii="Open Sans" w:eastAsiaTheme="minorHAnsi" w:hAnsi="Open Sans" w:cs="Open Sans"/>
          <w:sz w:val="20"/>
          <w:szCs w:val="20"/>
        </w:rPr>
      </w:pPr>
    </w:p>
    <w:p w14:paraId="7ABE5915" w14:textId="77777777" w:rsidR="00A140F9" w:rsidRPr="00A07BE9" w:rsidRDefault="00A140F9" w:rsidP="00A140F9">
      <w:pPr>
        <w:numPr>
          <w:ilvl w:val="0"/>
          <w:numId w:val="5"/>
        </w:numPr>
        <w:spacing w:after="0" w:line="276" w:lineRule="auto"/>
        <w:contextualSpacing/>
        <w:jc w:val="both"/>
        <w:rPr>
          <w:rFonts w:ascii="Open Sans" w:eastAsiaTheme="minorHAnsi" w:hAnsi="Open Sans" w:cs="Open Sans"/>
          <w:sz w:val="20"/>
          <w:szCs w:val="20"/>
        </w:rPr>
      </w:pPr>
      <w:r w:rsidRPr="00A07BE9">
        <w:rPr>
          <w:rFonts w:ascii="Open Sans" w:eastAsiaTheme="minorHAnsi" w:hAnsi="Open Sans" w:cs="Open Sans"/>
          <w:sz w:val="20"/>
          <w:szCs w:val="20"/>
        </w:rPr>
        <w:t>Institucional: mejora del funcionamiento del equipo</w:t>
      </w:r>
    </w:p>
    <w:p w14:paraId="736C835F" w14:textId="77777777" w:rsidR="00A140F9" w:rsidRPr="00A07BE9" w:rsidRDefault="00A140F9" w:rsidP="00A140F9">
      <w:pPr>
        <w:numPr>
          <w:ilvl w:val="0"/>
          <w:numId w:val="5"/>
        </w:numPr>
        <w:spacing w:after="0" w:line="276" w:lineRule="auto"/>
        <w:contextualSpacing/>
        <w:jc w:val="both"/>
        <w:rPr>
          <w:rFonts w:ascii="Open Sans" w:eastAsiaTheme="minorHAnsi" w:hAnsi="Open Sans" w:cs="Open Sans"/>
          <w:sz w:val="20"/>
          <w:szCs w:val="20"/>
        </w:rPr>
      </w:pPr>
      <w:r w:rsidRPr="00A07BE9">
        <w:rPr>
          <w:rFonts w:ascii="Open Sans" w:eastAsiaTheme="minorHAnsi" w:hAnsi="Open Sans" w:cs="Open Sans"/>
          <w:sz w:val="20"/>
          <w:szCs w:val="20"/>
        </w:rPr>
        <w:t>Departamental: mejora de los conocimientos específicos de cara área de trabajo</w:t>
      </w:r>
    </w:p>
    <w:p w14:paraId="24F8C062" w14:textId="77777777" w:rsidR="00A140F9" w:rsidRPr="00A07BE9" w:rsidRDefault="00A140F9" w:rsidP="00A140F9">
      <w:pPr>
        <w:numPr>
          <w:ilvl w:val="0"/>
          <w:numId w:val="5"/>
        </w:numPr>
        <w:spacing w:after="0" w:line="276" w:lineRule="auto"/>
        <w:contextualSpacing/>
        <w:jc w:val="both"/>
        <w:rPr>
          <w:rFonts w:ascii="Open Sans" w:eastAsiaTheme="minorHAnsi" w:hAnsi="Open Sans" w:cs="Open Sans"/>
          <w:sz w:val="20"/>
          <w:szCs w:val="20"/>
        </w:rPr>
      </w:pPr>
      <w:r w:rsidRPr="00A07BE9">
        <w:rPr>
          <w:rFonts w:ascii="Open Sans" w:eastAsiaTheme="minorHAnsi" w:hAnsi="Open Sans" w:cs="Open Sans"/>
          <w:sz w:val="20"/>
          <w:szCs w:val="20"/>
        </w:rPr>
        <w:t>Instrumental: mejora de la capacitación profesional</w:t>
      </w:r>
    </w:p>
    <w:p w14:paraId="3C3B0B2D" w14:textId="77777777" w:rsidR="00A140F9" w:rsidRPr="00A07BE9" w:rsidRDefault="00A140F9" w:rsidP="00801280">
      <w:pPr>
        <w:spacing w:after="0" w:line="276" w:lineRule="auto"/>
        <w:contextualSpacing/>
        <w:rPr>
          <w:rFonts w:ascii="Open Sans" w:eastAsiaTheme="minorHAnsi" w:hAnsi="Open Sans" w:cs="Open Sans"/>
          <w:b/>
          <w:sz w:val="21"/>
          <w:szCs w:val="21"/>
        </w:rPr>
      </w:pPr>
    </w:p>
    <w:p w14:paraId="4028A2CD" w14:textId="7B00F5B9" w:rsidR="00A140F9" w:rsidRPr="00A07BE9" w:rsidRDefault="00801280" w:rsidP="00712E1B">
      <w:pPr>
        <w:spacing w:after="0" w:line="276" w:lineRule="auto"/>
        <w:contextualSpacing/>
        <w:rPr>
          <w:rFonts w:ascii="Open Sans" w:eastAsiaTheme="minorHAnsi" w:hAnsi="Open Sans" w:cs="Open Sans"/>
          <w:b/>
          <w:color w:val="993333"/>
          <w:sz w:val="21"/>
          <w:szCs w:val="21"/>
        </w:rPr>
      </w:pPr>
      <w:r w:rsidRPr="00A07BE9">
        <w:rPr>
          <w:rFonts w:ascii="Open Sans" w:eastAsiaTheme="minorHAnsi" w:hAnsi="Open Sans" w:cs="Open Sans"/>
          <w:b/>
          <w:color w:val="993333"/>
          <w:sz w:val="21"/>
          <w:szCs w:val="21"/>
        </w:rPr>
        <w:t>Tabla 2</w:t>
      </w:r>
      <w:r w:rsidR="00712E1B" w:rsidRPr="00A07BE9">
        <w:rPr>
          <w:rFonts w:ascii="Open Sans" w:eastAsiaTheme="minorHAnsi" w:hAnsi="Open Sans" w:cs="Open Sans"/>
          <w:b/>
          <w:color w:val="993333"/>
          <w:sz w:val="21"/>
          <w:szCs w:val="21"/>
        </w:rPr>
        <w:t xml:space="preserve">. </w:t>
      </w:r>
      <w:r w:rsidR="00A140F9" w:rsidRPr="00A07BE9">
        <w:rPr>
          <w:rFonts w:ascii="Open Sans" w:eastAsiaTheme="minorHAnsi" w:hAnsi="Open Sans" w:cs="Open Sans"/>
          <w:b/>
          <w:sz w:val="21"/>
          <w:szCs w:val="21"/>
        </w:rPr>
        <w:t>Formación de la A</w:t>
      </w:r>
      <w:r w:rsidR="009D7139" w:rsidRPr="00A07BE9">
        <w:rPr>
          <w:rFonts w:ascii="Open Sans" w:eastAsiaTheme="minorHAnsi" w:hAnsi="Open Sans" w:cs="Open Sans"/>
          <w:b/>
          <w:sz w:val="21"/>
          <w:szCs w:val="21"/>
        </w:rPr>
        <w:t>gencia</w:t>
      </w:r>
      <w:r w:rsidR="00A140F9" w:rsidRPr="00A07BE9">
        <w:rPr>
          <w:rFonts w:ascii="Open Sans" w:eastAsiaTheme="minorHAnsi" w:hAnsi="Open Sans" w:cs="Open Sans"/>
          <w:b/>
          <w:sz w:val="21"/>
          <w:szCs w:val="21"/>
        </w:rPr>
        <w:t xml:space="preserve"> 2019</w:t>
      </w:r>
    </w:p>
    <w:tbl>
      <w:tblPr>
        <w:tblStyle w:val="Tablaconcuadrcula2"/>
        <w:tblpPr w:leftFromText="141" w:rightFromText="141" w:vertAnchor="text" w:horzAnchor="margin" w:tblpXSpec="center" w:tblpY="189"/>
        <w:tblW w:w="0" w:type="auto"/>
        <w:tblLook w:val="04A0" w:firstRow="1" w:lastRow="0" w:firstColumn="1" w:lastColumn="0" w:noHBand="0" w:noVBand="1"/>
      </w:tblPr>
      <w:tblGrid>
        <w:gridCol w:w="2552"/>
        <w:gridCol w:w="236"/>
        <w:gridCol w:w="2552"/>
        <w:gridCol w:w="236"/>
        <w:gridCol w:w="2552"/>
      </w:tblGrid>
      <w:tr w:rsidR="00801280" w:rsidRPr="00A07BE9" w14:paraId="466BA5C4" w14:textId="77777777" w:rsidTr="00801280">
        <w:tc>
          <w:tcPr>
            <w:tcW w:w="2552" w:type="dxa"/>
            <w:tcBorders>
              <w:top w:val="nil"/>
              <w:left w:val="nil"/>
              <w:bottom w:val="nil"/>
              <w:right w:val="nil"/>
            </w:tcBorders>
            <w:shd w:val="clear" w:color="auto" w:fill="000000" w:themeFill="text1"/>
          </w:tcPr>
          <w:p w14:paraId="00E1F507" w14:textId="77777777" w:rsidR="00801280" w:rsidRPr="00A07BE9" w:rsidRDefault="00801280" w:rsidP="00801280">
            <w:pPr>
              <w:jc w:val="center"/>
              <w:rPr>
                <w:rFonts w:ascii="Open Sans" w:hAnsi="Open Sans" w:cs="Open Sans"/>
                <w:b/>
                <w:sz w:val="16"/>
                <w:szCs w:val="16"/>
              </w:rPr>
            </w:pPr>
            <w:r w:rsidRPr="00A07BE9">
              <w:rPr>
                <w:rFonts w:ascii="Open Sans" w:hAnsi="Open Sans" w:cs="Open Sans"/>
                <w:b/>
                <w:sz w:val="16"/>
                <w:szCs w:val="16"/>
              </w:rPr>
              <w:t>Institucional</w:t>
            </w:r>
          </w:p>
        </w:tc>
        <w:tc>
          <w:tcPr>
            <w:tcW w:w="236" w:type="dxa"/>
            <w:tcBorders>
              <w:top w:val="nil"/>
              <w:left w:val="nil"/>
              <w:bottom w:val="nil"/>
              <w:right w:val="nil"/>
            </w:tcBorders>
            <w:shd w:val="clear" w:color="auto" w:fill="FFFFFF" w:themeFill="background1"/>
          </w:tcPr>
          <w:p w14:paraId="7781B28E" w14:textId="77777777" w:rsidR="00801280" w:rsidRPr="00A07BE9" w:rsidRDefault="00801280" w:rsidP="00801280">
            <w:pPr>
              <w:jc w:val="center"/>
              <w:rPr>
                <w:rFonts w:ascii="Open Sans" w:hAnsi="Open Sans" w:cs="Open Sans"/>
                <w:b/>
                <w:sz w:val="16"/>
                <w:szCs w:val="16"/>
              </w:rPr>
            </w:pPr>
          </w:p>
        </w:tc>
        <w:tc>
          <w:tcPr>
            <w:tcW w:w="2552" w:type="dxa"/>
            <w:tcBorders>
              <w:top w:val="nil"/>
              <w:left w:val="nil"/>
              <w:bottom w:val="nil"/>
              <w:right w:val="nil"/>
            </w:tcBorders>
            <w:shd w:val="clear" w:color="auto" w:fill="000000" w:themeFill="text1"/>
          </w:tcPr>
          <w:p w14:paraId="45ABE773" w14:textId="77777777" w:rsidR="00801280" w:rsidRPr="00A07BE9" w:rsidRDefault="00801280" w:rsidP="00801280">
            <w:pPr>
              <w:jc w:val="center"/>
              <w:rPr>
                <w:rFonts w:ascii="Open Sans" w:hAnsi="Open Sans" w:cs="Open Sans"/>
                <w:b/>
                <w:sz w:val="16"/>
                <w:szCs w:val="16"/>
              </w:rPr>
            </w:pPr>
            <w:r w:rsidRPr="00A07BE9">
              <w:rPr>
                <w:rFonts w:ascii="Open Sans" w:hAnsi="Open Sans" w:cs="Open Sans"/>
                <w:b/>
                <w:sz w:val="16"/>
                <w:szCs w:val="16"/>
              </w:rPr>
              <w:t>Departamental</w:t>
            </w:r>
          </w:p>
        </w:tc>
        <w:tc>
          <w:tcPr>
            <w:tcW w:w="236" w:type="dxa"/>
            <w:tcBorders>
              <w:top w:val="nil"/>
              <w:left w:val="nil"/>
              <w:bottom w:val="nil"/>
              <w:right w:val="nil"/>
            </w:tcBorders>
            <w:shd w:val="clear" w:color="auto" w:fill="FFFFFF" w:themeFill="background1"/>
          </w:tcPr>
          <w:p w14:paraId="6EDB0183" w14:textId="77777777" w:rsidR="00801280" w:rsidRPr="00A07BE9" w:rsidRDefault="00801280" w:rsidP="00801280">
            <w:pPr>
              <w:jc w:val="center"/>
              <w:rPr>
                <w:rFonts w:ascii="Open Sans" w:hAnsi="Open Sans" w:cs="Open Sans"/>
                <w:b/>
                <w:sz w:val="16"/>
                <w:szCs w:val="16"/>
              </w:rPr>
            </w:pPr>
          </w:p>
        </w:tc>
        <w:tc>
          <w:tcPr>
            <w:tcW w:w="2552" w:type="dxa"/>
            <w:tcBorders>
              <w:top w:val="nil"/>
              <w:left w:val="nil"/>
              <w:bottom w:val="nil"/>
              <w:right w:val="nil"/>
            </w:tcBorders>
            <w:shd w:val="clear" w:color="auto" w:fill="000000" w:themeFill="text1"/>
          </w:tcPr>
          <w:p w14:paraId="62D5FD84" w14:textId="77777777" w:rsidR="00801280" w:rsidRPr="00A07BE9" w:rsidRDefault="00801280" w:rsidP="00801280">
            <w:pPr>
              <w:jc w:val="center"/>
              <w:rPr>
                <w:rFonts w:ascii="Open Sans" w:hAnsi="Open Sans" w:cs="Open Sans"/>
                <w:b/>
                <w:sz w:val="16"/>
                <w:szCs w:val="16"/>
              </w:rPr>
            </w:pPr>
            <w:r w:rsidRPr="00A07BE9">
              <w:rPr>
                <w:rFonts w:ascii="Open Sans" w:hAnsi="Open Sans" w:cs="Open Sans"/>
                <w:b/>
                <w:sz w:val="16"/>
                <w:szCs w:val="16"/>
              </w:rPr>
              <w:t>Instrumental</w:t>
            </w:r>
          </w:p>
        </w:tc>
      </w:tr>
      <w:tr w:rsidR="00801280" w:rsidRPr="00A07BE9" w14:paraId="18F21BB8" w14:textId="77777777" w:rsidTr="000A6829">
        <w:trPr>
          <w:trHeight w:val="4312"/>
        </w:trPr>
        <w:tc>
          <w:tcPr>
            <w:tcW w:w="2552" w:type="dxa"/>
            <w:tcBorders>
              <w:top w:val="nil"/>
              <w:left w:val="nil"/>
              <w:bottom w:val="nil"/>
              <w:right w:val="nil"/>
            </w:tcBorders>
            <w:shd w:val="clear" w:color="auto" w:fill="C6C6C6"/>
            <w:tcMar>
              <w:left w:w="115" w:type="dxa"/>
              <w:right w:w="115" w:type="dxa"/>
            </w:tcMar>
          </w:tcPr>
          <w:p w14:paraId="2AC330DD" w14:textId="77777777" w:rsidR="00801280" w:rsidRPr="00A07BE9" w:rsidRDefault="00801280" w:rsidP="00801280">
            <w:pPr>
              <w:jc w:val="both"/>
              <w:rPr>
                <w:rFonts w:ascii="Open Sans" w:hAnsi="Open Sans" w:cs="Open Sans"/>
                <w:b/>
                <w:sz w:val="15"/>
                <w:szCs w:val="15"/>
              </w:rPr>
            </w:pPr>
          </w:p>
          <w:p w14:paraId="1D364DE7" w14:textId="5C52278C" w:rsidR="00801280" w:rsidRPr="00A07BE9" w:rsidRDefault="00801280" w:rsidP="00637696">
            <w:pPr>
              <w:numPr>
                <w:ilvl w:val="0"/>
                <w:numId w:val="15"/>
              </w:numPr>
              <w:contextualSpacing/>
              <w:jc w:val="both"/>
              <w:rPr>
                <w:rFonts w:ascii="Open Sans" w:hAnsi="Open Sans" w:cs="Open Sans"/>
                <w:b/>
                <w:sz w:val="15"/>
                <w:szCs w:val="15"/>
              </w:rPr>
            </w:pPr>
            <w:r w:rsidRPr="00A07BE9">
              <w:rPr>
                <w:rFonts w:ascii="Open Sans" w:hAnsi="Open Sans" w:cs="Open Sans"/>
                <w:b/>
                <w:sz w:val="15"/>
                <w:szCs w:val="15"/>
              </w:rPr>
              <w:t xml:space="preserve">Seminario sobre los Objetivos de Desarrollo Sostenible </w:t>
            </w:r>
            <w:r w:rsidR="009D7139" w:rsidRPr="00A07BE9">
              <w:rPr>
                <w:rFonts w:ascii="Open Sans" w:hAnsi="Open Sans" w:cs="Open Sans"/>
                <w:b/>
                <w:sz w:val="15"/>
                <w:szCs w:val="15"/>
              </w:rPr>
              <w:t>y la Agencia</w:t>
            </w:r>
          </w:p>
          <w:p w14:paraId="47575290" w14:textId="77777777" w:rsidR="00801280" w:rsidRPr="00A07BE9" w:rsidRDefault="00801280" w:rsidP="00801280">
            <w:pPr>
              <w:ind w:left="144"/>
              <w:contextualSpacing/>
              <w:jc w:val="both"/>
              <w:rPr>
                <w:rFonts w:ascii="Open Sans" w:hAnsi="Open Sans" w:cs="Open Sans"/>
                <w:b/>
                <w:sz w:val="15"/>
                <w:szCs w:val="15"/>
              </w:rPr>
            </w:pPr>
          </w:p>
          <w:p w14:paraId="7C072843" w14:textId="77777777" w:rsidR="00801280" w:rsidRPr="00A07BE9" w:rsidRDefault="00801280" w:rsidP="00637696">
            <w:pPr>
              <w:numPr>
                <w:ilvl w:val="0"/>
                <w:numId w:val="15"/>
              </w:numPr>
              <w:contextualSpacing/>
              <w:jc w:val="both"/>
              <w:rPr>
                <w:rFonts w:ascii="Open Sans" w:hAnsi="Open Sans" w:cs="Open Sans"/>
                <w:b/>
                <w:sz w:val="15"/>
                <w:szCs w:val="15"/>
              </w:rPr>
            </w:pPr>
            <w:r w:rsidRPr="00A07BE9">
              <w:rPr>
                <w:rFonts w:ascii="Open Sans" w:hAnsi="Open Sans" w:cs="Open Sans"/>
                <w:b/>
                <w:sz w:val="15"/>
                <w:szCs w:val="15"/>
              </w:rPr>
              <w:t>Conferencia Manuel    Villoria «Combatir la corrupción»</w:t>
            </w:r>
          </w:p>
          <w:p w14:paraId="39A09D42" w14:textId="77777777" w:rsidR="00801280" w:rsidRPr="00A07BE9" w:rsidRDefault="00801280" w:rsidP="00801280">
            <w:pPr>
              <w:ind w:left="144"/>
              <w:contextualSpacing/>
              <w:jc w:val="both"/>
              <w:rPr>
                <w:rFonts w:ascii="Open Sans" w:hAnsi="Open Sans" w:cs="Open Sans"/>
                <w:b/>
                <w:sz w:val="15"/>
                <w:szCs w:val="15"/>
              </w:rPr>
            </w:pPr>
          </w:p>
          <w:p w14:paraId="61BDBDD3" w14:textId="77777777" w:rsidR="00801280" w:rsidRPr="00A07BE9" w:rsidRDefault="00801280" w:rsidP="00801280">
            <w:pPr>
              <w:ind w:left="144"/>
              <w:contextualSpacing/>
              <w:jc w:val="both"/>
              <w:rPr>
                <w:rFonts w:ascii="Open Sans" w:hAnsi="Open Sans" w:cs="Open Sans"/>
                <w:b/>
                <w:sz w:val="15"/>
                <w:szCs w:val="15"/>
              </w:rPr>
            </w:pPr>
          </w:p>
          <w:p w14:paraId="4728211E" w14:textId="77777777" w:rsidR="00801280" w:rsidRPr="00A07BE9" w:rsidRDefault="00801280" w:rsidP="00801280">
            <w:pPr>
              <w:ind w:left="144"/>
              <w:contextualSpacing/>
              <w:jc w:val="both"/>
              <w:rPr>
                <w:rFonts w:ascii="Open Sans" w:hAnsi="Open Sans" w:cs="Open Sans"/>
                <w:b/>
                <w:sz w:val="15"/>
                <w:szCs w:val="15"/>
              </w:rPr>
            </w:pPr>
          </w:p>
          <w:p w14:paraId="698B5117" w14:textId="77777777" w:rsidR="00801280" w:rsidRPr="00A07BE9" w:rsidRDefault="00801280" w:rsidP="00801280">
            <w:pPr>
              <w:ind w:left="144"/>
              <w:contextualSpacing/>
              <w:jc w:val="both"/>
              <w:rPr>
                <w:rFonts w:ascii="Open Sans" w:hAnsi="Open Sans" w:cs="Open Sans"/>
                <w:b/>
                <w:sz w:val="15"/>
                <w:szCs w:val="15"/>
              </w:rPr>
            </w:pPr>
          </w:p>
        </w:tc>
        <w:tc>
          <w:tcPr>
            <w:tcW w:w="236" w:type="dxa"/>
            <w:tcBorders>
              <w:top w:val="nil"/>
              <w:left w:val="nil"/>
              <w:bottom w:val="nil"/>
              <w:right w:val="nil"/>
            </w:tcBorders>
          </w:tcPr>
          <w:p w14:paraId="20B2CD5A" w14:textId="77777777" w:rsidR="00801280" w:rsidRPr="00A07BE9" w:rsidRDefault="00801280" w:rsidP="00801280">
            <w:pPr>
              <w:jc w:val="both"/>
              <w:rPr>
                <w:sz w:val="15"/>
                <w:szCs w:val="15"/>
              </w:rPr>
            </w:pPr>
          </w:p>
        </w:tc>
        <w:tc>
          <w:tcPr>
            <w:tcW w:w="2552" w:type="dxa"/>
            <w:tcBorders>
              <w:top w:val="nil"/>
              <w:left w:val="nil"/>
              <w:bottom w:val="nil"/>
              <w:right w:val="nil"/>
            </w:tcBorders>
            <w:shd w:val="clear" w:color="auto" w:fill="EABAC2"/>
          </w:tcPr>
          <w:p w14:paraId="067CC20D" w14:textId="77777777" w:rsidR="00801280" w:rsidRPr="00A07BE9" w:rsidRDefault="00801280" w:rsidP="00801280">
            <w:pPr>
              <w:ind w:left="360"/>
              <w:contextualSpacing/>
              <w:jc w:val="both"/>
              <w:rPr>
                <w:rFonts w:ascii="Open Sans" w:hAnsi="Open Sans" w:cs="Open Sans"/>
                <w:sz w:val="15"/>
                <w:szCs w:val="15"/>
              </w:rPr>
            </w:pPr>
          </w:p>
          <w:p w14:paraId="7B2D23B7" w14:textId="77777777" w:rsidR="00801280" w:rsidRPr="00A07BE9" w:rsidRDefault="00801280" w:rsidP="00637696">
            <w:pPr>
              <w:numPr>
                <w:ilvl w:val="0"/>
                <w:numId w:val="15"/>
              </w:numPr>
              <w:contextualSpacing/>
              <w:jc w:val="both"/>
              <w:rPr>
                <w:rFonts w:ascii="Open Sans" w:hAnsi="Open Sans" w:cs="Open Sans"/>
                <w:b/>
                <w:sz w:val="15"/>
                <w:szCs w:val="15"/>
              </w:rPr>
            </w:pPr>
            <w:r w:rsidRPr="00A07BE9">
              <w:rPr>
                <w:rFonts w:ascii="Open Sans" w:hAnsi="Open Sans" w:cs="Open Sans"/>
                <w:b/>
                <w:sz w:val="15"/>
                <w:szCs w:val="15"/>
              </w:rPr>
              <w:t>Urbanismo, planificación, contratación y riesgos de corrupción</w:t>
            </w:r>
          </w:p>
          <w:p w14:paraId="0DC03020" w14:textId="77777777" w:rsidR="00801280" w:rsidRPr="00A07BE9" w:rsidRDefault="00801280" w:rsidP="00801280">
            <w:pPr>
              <w:ind w:left="144"/>
              <w:contextualSpacing/>
              <w:jc w:val="both"/>
              <w:rPr>
                <w:rFonts w:ascii="Open Sans" w:hAnsi="Open Sans" w:cs="Open Sans"/>
                <w:b/>
                <w:sz w:val="15"/>
                <w:szCs w:val="15"/>
              </w:rPr>
            </w:pPr>
          </w:p>
          <w:p w14:paraId="2102ECDB" w14:textId="77777777" w:rsidR="00801280" w:rsidRPr="00A07BE9" w:rsidRDefault="00801280" w:rsidP="00637696">
            <w:pPr>
              <w:numPr>
                <w:ilvl w:val="0"/>
                <w:numId w:val="15"/>
              </w:numPr>
              <w:contextualSpacing/>
              <w:jc w:val="both"/>
              <w:rPr>
                <w:rFonts w:ascii="Open Sans" w:hAnsi="Open Sans" w:cs="Open Sans"/>
                <w:b/>
                <w:sz w:val="15"/>
                <w:szCs w:val="15"/>
              </w:rPr>
            </w:pPr>
            <w:r w:rsidRPr="00A07BE9">
              <w:rPr>
                <w:rFonts w:ascii="Open Sans" w:hAnsi="Open Sans" w:cs="Open Sans"/>
                <w:b/>
                <w:sz w:val="15"/>
                <w:szCs w:val="15"/>
              </w:rPr>
              <w:t>Espacio Compliance: El denunciante desamparado</w:t>
            </w:r>
          </w:p>
          <w:p w14:paraId="08454E00" w14:textId="77777777" w:rsidR="00801280" w:rsidRPr="00A07BE9" w:rsidRDefault="00801280" w:rsidP="00801280">
            <w:pPr>
              <w:ind w:left="144"/>
              <w:contextualSpacing/>
              <w:jc w:val="both"/>
              <w:rPr>
                <w:rFonts w:ascii="Open Sans" w:hAnsi="Open Sans" w:cs="Open Sans"/>
                <w:b/>
                <w:sz w:val="15"/>
                <w:szCs w:val="15"/>
              </w:rPr>
            </w:pPr>
          </w:p>
          <w:p w14:paraId="65CE1191" w14:textId="77777777" w:rsidR="00801280" w:rsidRPr="00A07BE9" w:rsidRDefault="00801280" w:rsidP="00637696">
            <w:pPr>
              <w:numPr>
                <w:ilvl w:val="0"/>
                <w:numId w:val="15"/>
              </w:numPr>
              <w:contextualSpacing/>
              <w:jc w:val="both"/>
              <w:rPr>
                <w:rFonts w:ascii="Open Sans" w:hAnsi="Open Sans" w:cs="Open Sans"/>
                <w:b/>
                <w:sz w:val="15"/>
                <w:szCs w:val="15"/>
              </w:rPr>
            </w:pPr>
            <w:r w:rsidRPr="00A07BE9">
              <w:rPr>
                <w:rFonts w:ascii="Open Sans" w:hAnsi="Open Sans" w:cs="Open Sans"/>
                <w:b/>
                <w:sz w:val="15"/>
                <w:szCs w:val="15"/>
              </w:rPr>
              <w:t>III Congreso de Compliance en el Sector Público</w:t>
            </w:r>
          </w:p>
          <w:p w14:paraId="2D84D107" w14:textId="77777777" w:rsidR="00801280" w:rsidRPr="00A07BE9" w:rsidRDefault="00801280" w:rsidP="00801280">
            <w:pPr>
              <w:ind w:left="144"/>
              <w:contextualSpacing/>
              <w:jc w:val="both"/>
              <w:rPr>
                <w:rFonts w:ascii="Open Sans" w:hAnsi="Open Sans" w:cs="Open Sans"/>
                <w:b/>
                <w:sz w:val="15"/>
                <w:szCs w:val="15"/>
              </w:rPr>
            </w:pPr>
          </w:p>
          <w:p w14:paraId="5B53BBDA" w14:textId="77777777" w:rsidR="00801280" w:rsidRPr="00A07BE9" w:rsidRDefault="00801280" w:rsidP="00637696">
            <w:pPr>
              <w:numPr>
                <w:ilvl w:val="0"/>
                <w:numId w:val="15"/>
              </w:numPr>
              <w:contextualSpacing/>
              <w:jc w:val="both"/>
              <w:rPr>
                <w:rFonts w:ascii="Open Sans" w:hAnsi="Open Sans" w:cs="Open Sans"/>
                <w:b/>
                <w:sz w:val="15"/>
                <w:szCs w:val="15"/>
              </w:rPr>
            </w:pPr>
            <w:r w:rsidRPr="00A07BE9">
              <w:rPr>
                <w:rFonts w:ascii="Open Sans" w:hAnsi="Open Sans" w:cs="Open Sans"/>
                <w:b/>
                <w:sz w:val="15"/>
                <w:szCs w:val="15"/>
              </w:rPr>
              <w:t>Contratación Pública y Compliance</w:t>
            </w:r>
          </w:p>
          <w:p w14:paraId="365A90E2" w14:textId="77777777" w:rsidR="00801280" w:rsidRPr="00A07BE9" w:rsidRDefault="00801280" w:rsidP="00801280">
            <w:pPr>
              <w:ind w:left="144"/>
              <w:contextualSpacing/>
              <w:jc w:val="both"/>
              <w:rPr>
                <w:rFonts w:ascii="Open Sans" w:hAnsi="Open Sans" w:cs="Open Sans"/>
                <w:b/>
                <w:sz w:val="15"/>
                <w:szCs w:val="15"/>
              </w:rPr>
            </w:pPr>
          </w:p>
          <w:p w14:paraId="4B74FD27" w14:textId="77777777" w:rsidR="00801280" w:rsidRPr="00A07BE9" w:rsidRDefault="00801280" w:rsidP="00637696">
            <w:pPr>
              <w:numPr>
                <w:ilvl w:val="0"/>
                <w:numId w:val="15"/>
              </w:numPr>
              <w:contextualSpacing/>
              <w:jc w:val="both"/>
              <w:rPr>
                <w:rFonts w:ascii="Open Sans" w:hAnsi="Open Sans" w:cs="Open Sans"/>
                <w:b/>
                <w:sz w:val="15"/>
                <w:szCs w:val="15"/>
              </w:rPr>
            </w:pPr>
            <w:r w:rsidRPr="00A07BE9">
              <w:rPr>
                <w:rFonts w:ascii="Open Sans" w:hAnsi="Open Sans" w:cs="Open Sans"/>
                <w:b/>
                <w:sz w:val="15"/>
                <w:szCs w:val="15"/>
              </w:rPr>
              <w:t>Los contratos menores y sus alternativas</w:t>
            </w:r>
          </w:p>
          <w:p w14:paraId="62208CD8" w14:textId="77777777" w:rsidR="00801280" w:rsidRPr="00A07BE9" w:rsidRDefault="00801280" w:rsidP="00801280">
            <w:pPr>
              <w:ind w:left="144"/>
              <w:contextualSpacing/>
              <w:jc w:val="both"/>
              <w:rPr>
                <w:rFonts w:ascii="Open Sans" w:hAnsi="Open Sans" w:cs="Open Sans"/>
                <w:b/>
                <w:sz w:val="15"/>
                <w:szCs w:val="15"/>
              </w:rPr>
            </w:pPr>
          </w:p>
          <w:p w14:paraId="15C825D8" w14:textId="77777777" w:rsidR="00801280" w:rsidRPr="00A07BE9" w:rsidRDefault="00801280" w:rsidP="00637696">
            <w:pPr>
              <w:numPr>
                <w:ilvl w:val="0"/>
                <w:numId w:val="15"/>
              </w:numPr>
              <w:contextualSpacing/>
              <w:jc w:val="both"/>
              <w:rPr>
                <w:rFonts w:ascii="Open Sans" w:hAnsi="Open Sans" w:cs="Open Sans"/>
                <w:b/>
                <w:sz w:val="15"/>
                <w:szCs w:val="15"/>
              </w:rPr>
            </w:pPr>
            <w:r w:rsidRPr="00A07BE9">
              <w:rPr>
                <w:rFonts w:ascii="Open Sans" w:hAnsi="Open Sans" w:cs="Open Sans"/>
                <w:b/>
                <w:sz w:val="15"/>
                <w:szCs w:val="15"/>
              </w:rPr>
              <w:t>La reforma de la contabilidad pública de la Generalitat Valenciana: Adaptación al PGCP 2010</w:t>
            </w:r>
          </w:p>
          <w:p w14:paraId="3A608E1C" w14:textId="77777777" w:rsidR="00801280" w:rsidRPr="00A07BE9" w:rsidRDefault="00801280" w:rsidP="00801280">
            <w:pPr>
              <w:ind w:left="720"/>
              <w:contextualSpacing/>
              <w:jc w:val="both"/>
              <w:rPr>
                <w:rFonts w:ascii="Open Sans" w:hAnsi="Open Sans" w:cs="Open Sans"/>
                <w:b/>
                <w:sz w:val="15"/>
                <w:szCs w:val="15"/>
              </w:rPr>
            </w:pPr>
          </w:p>
          <w:p w14:paraId="25389C51" w14:textId="77777777" w:rsidR="00801280" w:rsidRPr="00A07BE9" w:rsidRDefault="00801280" w:rsidP="00801280">
            <w:pPr>
              <w:jc w:val="both"/>
              <w:rPr>
                <w:rFonts w:ascii="Open Sans" w:hAnsi="Open Sans" w:cs="Open Sans"/>
                <w:sz w:val="15"/>
                <w:szCs w:val="15"/>
              </w:rPr>
            </w:pPr>
          </w:p>
        </w:tc>
        <w:tc>
          <w:tcPr>
            <w:tcW w:w="236" w:type="dxa"/>
            <w:tcBorders>
              <w:top w:val="nil"/>
              <w:left w:val="nil"/>
              <w:bottom w:val="nil"/>
              <w:right w:val="nil"/>
            </w:tcBorders>
          </w:tcPr>
          <w:p w14:paraId="07D1A898" w14:textId="77777777" w:rsidR="00801280" w:rsidRPr="00A07BE9" w:rsidRDefault="00801280" w:rsidP="00801280">
            <w:pPr>
              <w:jc w:val="both"/>
              <w:rPr>
                <w:sz w:val="15"/>
                <w:szCs w:val="15"/>
              </w:rPr>
            </w:pPr>
          </w:p>
        </w:tc>
        <w:tc>
          <w:tcPr>
            <w:tcW w:w="2552" w:type="dxa"/>
            <w:tcBorders>
              <w:top w:val="nil"/>
              <w:left w:val="nil"/>
              <w:bottom w:val="nil"/>
              <w:right w:val="nil"/>
            </w:tcBorders>
            <w:shd w:val="clear" w:color="auto" w:fill="E7957F"/>
          </w:tcPr>
          <w:p w14:paraId="113D888B" w14:textId="77777777" w:rsidR="00801280" w:rsidRPr="00A07BE9" w:rsidRDefault="00801280" w:rsidP="00801280">
            <w:pPr>
              <w:ind w:left="144"/>
              <w:contextualSpacing/>
              <w:jc w:val="both"/>
              <w:rPr>
                <w:rFonts w:ascii="Open Sans" w:hAnsi="Open Sans" w:cs="Open Sans"/>
                <w:b/>
                <w:sz w:val="15"/>
                <w:szCs w:val="15"/>
              </w:rPr>
            </w:pPr>
          </w:p>
          <w:p w14:paraId="00ABEE41" w14:textId="76651DE7" w:rsidR="00801280" w:rsidRPr="00A07BE9" w:rsidRDefault="00801280" w:rsidP="00637696">
            <w:pPr>
              <w:numPr>
                <w:ilvl w:val="0"/>
                <w:numId w:val="15"/>
              </w:numPr>
              <w:contextualSpacing/>
              <w:jc w:val="both"/>
              <w:rPr>
                <w:rFonts w:ascii="Open Sans" w:hAnsi="Open Sans" w:cs="Open Sans"/>
                <w:b/>
                <w:sz w:val="15"/>
                <w:szCs w:val="15"/>
              </w:rPr>
            </w:pPr>
            <w:r w:rsidRPr="00A07BE9">
              <w:rPr>
                <w:rFonts w:ascii="Open Sans" w:hAnsi="Open Sans" w:cs="Open Sans"/>
                <w:b/>
                <w:sz w:val="15"/>
                <w:szCs w:val="15"/>
              </w:rPr>
              <w:t xml:space="preserve">Principales Novedades de la Ley </w:t>
            </w:r>
            <w:r w:rsidR="001B2790" w:rsidRPr="00A07BE9">
              <w:rPr>
                <w:rFonts w:ascii="Open Sans" w:hAnsi="Open Sans" w:cs="Open Sans"/>
                <w:b/>
                <w:sz w:val="15"/>
                <w:szCs w:val="15"/>
              </w:rPr>
              <w:t>O</w:t>
            </w:r>
            <w:r w:rsidRPr="00A07BE9">
              <w:rPr>
                <w:rFonts w:ascii="Open Sans" w:hAnsi="Open Sans" w:cs="Open Sans"/>
                <w:b/>
                <w:sz w:val="15"/>
                <w:szCs w:val="15"/>
              </w:rPr>
              <w:t>rgánica sobre Protección de Datos Personales y garantía de los derechos digitales</w:t>
            </w:r>
          </w:p>
          <w:p w14:paraId="5EDFD81A" w14:textId="77777777" w:rsidR="00801280" w:rsidRPr="00A07BE9" w:rsidRDefault="00801280" w:rsidP="00801280">
            <w:pPr>
              <w:ind w:left="144"/>
              <w:contextualSpacing/>
              <w:jc w:val="both"/>
              <w:rPr>
                <w:rFonts w:ascii="Open Sans" w:hAnsi="Open Sans" w:cs="Open Sans"/>
                <w:b/>
                <w:sz w:val="15"/>
                <w:szCs w:val="15"/>
              </w:rPr>
            </w:pPr>
          </w:p>
          <w:p w14:paraId="4C7248E5" w14:textId="77777777" w:rsidR="00801280" w:rsidRPr="00A07BE9" w:rsidRDefault="00801280" w:rsidP="00637696">
            <w:pPr>
              <w:numPr>
                <w:ilvl w:val="0"/>
                <w:numId w:val="15"/>
              </w:numPr>
              <w:contextualSpacing/>
              <w:jc w:val="both"/>
              <w:rPr>
                <w:rFonts w:ascii="Open Sans" w:hAnsi="Open Sans" w:cs="Open Sans"/>
                <w:b/>
                <w:sz w:val="15"/>
                <w:szCs w:val="15"/>
              </w:rPr>
            </w:pPr>
            <w:r w:rsidRPr="00A07BE9">
              <w:rPr>
                <w:rFonts w:ascii="Open Sans" w:hAnsi="Open Sans" w:cs="Open Sans"/>
                <w:b/>
                <w:sz w:val="15"/>
                <w:szCs w:val="15"/>
              </w:rPr>
              <w:t>Lenguaje inclusivo en valenciano</w:t>
            </w:r>
          </w:p>
          <w:p w14:paraId="57634A43" w14:textId="77777777" w:rsidR="00801280" w:rsidRPr="00A07BE9" w:rsidRDefault="00801280" w:rsidP="00801280">
            <w:pPr>
              <w:ind w:left="144"/>
              <w:contextualSpacing/>
              <w:jc w:val="both"/>
              <w:rPr>
                <w:rFonts w:ascii="Open Sans" w:hAnsi="Open Sans" w:cs="Open Sans"/>
                <w:b/>
                <w:sz w:val="15"/>
                <w:szCs w:val="15"/>
              </w:rPr>
            </w:pPr>
          </w:p>
          <w:p w14:paraId="1724DAB6" w14:textId="77777777" w:rsidR="00801280" w:rsidRPr="00A07BE9" w:rsidRDefault="00801280" w:rsidP="00637696">
            <w:pPr>
              <w:numPr>
                <w:ilvl w:val="0"/>
                <w:numId w:val="15"/>
              </w:numPr>
              <w:contextualSpacing/>
              <w:jc w:val="both"/>
              <w:rPr>
                <w:rFonts w:ascii="Open Sans" w:hAnsi="Open Sans" w:cs="Open Sans"/>
                <w:b/>
                <w:sz w:val="15"/>
                <w:szCs w:val="15"/>
              </w:rPr>
            </w:pPr>
            <w:r w:rsidRPr="00A07BE9">
              <w:rPr>
                <w:rFonts w:ascii="Open Sans" w:hAnsi="Open Sans" w:cs="Open Sans"/>
                <w:b/>
                <w:sz w:val="15"/>
                <w:szCs w:val="15"/>
              </w:rPr>
              <w:t>Cursos de valenciano</w:t>
            </w:r>
          </w:p>
          <w:p w14:paraId="7BE740F2" w14:textId="77777777" w:rsidR="00801280" w:rsidRPr="00A07BE9" w:rsidRDefault="00801280" w:rsidP="00801280">
            <w:pPr>
              <w:ind w:left="144"/>
              <w:contextualSpacing/>
              <w:jc w:val="both"/>
              <w:rPr>
                <w:rFonts w:ascii="Open Sans" w:hAnsi="Open Sans" w:cs="Open Sans"/>
                <w:b/>
                <w:sz w:val="15"/>
                <w:szCs w:val="15"/>
              </w:rPr>
            </w:pPr>
          </w:p>
          <w:p w14:paraId="71B37308" w14:textId="77777777" w:rsidR="00801280" w:rsidRPr="00A07BE9" w:rsidRDefault="00801280" w:rsidP="00637696">
            <w:pPr>
              <w:numPr>
                <w:ilvl w:val="0"/>
                <w:numId w:val="15"/>
              </w:numPr>
              <w:contextualSpacing/>
              <w:jc w:val="both"/>
              <w:rPr>
                <w:rFonts w:ascii="Open Sans" w:hAnsi="Open Sans" w:cs="Open Sans"/>
                <w:b/>
                <w:sz w:val="15"/>
                <w:szCs w:val="15"/>
              </w:rPr>
            </w:pPr>
            <w:r w:rsidRPr="00A07BE9">
              <w:rPr>
                <w:rFonts w:ascii="Open Sans" w:hAnsi="Open Sans" w:cs="Open Sans"/>
                <w:b/>
                <w:sz w:val="15"/>
                <w:szCs w:val="15"/>
              </w:rPr>
              <w:t>Cursos Administración electrónica I-II</w:t>
            </w:r>
          </w:p>
          <w:p w14:paraId="0C50E223" w14:textId="77777777" w:rsidR="00801280" w:rsidRPr="00A07BE9" w:rsidRDefault="00801280" w:rsidP="00801280">
            <w:pPr>
              <w:ind w:left="144"/>
              <w:contextualSpacing/>
              <w:jc w:val="both"/>
              <w:rPr>
                <w:rFonts w:ascii="Open Sans" w:hAnsi="Open Sans" w:cs="Open Sans"/>
                <w:b/>
                <w:sz w:val="15"/>
                <w:szCs w:val="15"/>
              </w:rPr>
            </w:pPr>
          </w:p>
          <w:p w14:paraId="15FFFF4E" w14:textId="2C1FE1EE" w:rsidR="00801280" w:rsidRPr="00A07BE9" w:rsidRDefault="00801280" w:rsidP="00637696">
            <w:pPr>
              <w:numPr>
                <w:ilvl w:val="0"/>
                <w:numId w:val="15"/>
              </w:numPr>
              <w:contextualSpacing/>
              <w:jc w:val="both"/>
              <w:rPr>
                <w:rFonts w:ascii="Open Sans" w:hAnsi="Open Sans" w:cs="Open Sans"/>
                <w:b/>
                <w:sz w:val="15"/>
                <w:szCs w:val="15"/>
              </w:rPr>
            </w:pPr>
            <w:r w:rsidRPr="00A07BE9">
              <w:rPr>
                <w:rFonts w:ascii="Open Sans" w:hAnsi="Open Sans" w:cs="Open Sans"/>
                <w:b/>
                <w:sz w:val="15"/>
                <w:szCs w:val="15"/>
              </w:rPr>
              <w:t xml:space="preserve">Seminario de gestión documental </w:t>
            </w:r>
            <w:r w:rsidR="009D7139" w:rsidRPr="00A07BE9">
              <w:rPr>
                <w:rFonts w:ascii="Open Sans" w:hAnsi="Open Sans" w:cs="Open Sans"/>
                <w:b/>
                <w:sz w:val="15"/>
                <w:szCs w:val="15"/>
              </w:rPr>
              <w:t>de la Agencia</w:t>
            </w:r>
          </w:p>
        </w:tc>
      </w:tr>
    </w:tbl>
    <w:p w14:paraId="697D7E77" w14:textId="77777777" w:rsidR="00801280" w:rsidRPr="00A07BE9" w:rsidRDefault="00801280" w:rsidP="00A140F9">
      <w:pPr>
        <w:keepNext/>
        <w:keepLines/>
        <w:spacing w:after="0" w:line="276" w:lineRule="auto"/>
        <w:outlineLvl w:val="2"/>
        <w:rPr>
          <w:rFonts w:ascii="Open Sans" w:eastAsiaTheme="majorEastAsia" w:hAnsi="Open Sans" w:cs="Open Sans"/>
          <w:color w:val="1F3763" w:themeColor="accent1" w:themeShade="7F"/>
          <w:sz w:val="20"/>
          <w:szCs w:val="20"/>
        </w:rPr>
      </w:pPr>
    </w:p>
    <w:p w14:paraId="28DA3EF8" w14:textId="77777777" w:rsidR="00A140F9" w:rsidRPr="00A07BE9" w:rsidRDefault="00A140F9" w:rsidP="00A140F9">
      <w:pPr>
        <w:suppressAutoHyphens/>
        <w:spacing w:after="0" w:line="240" w:lineRule="auto"/>
        <w:jc w:val="both"/>
        <w:rPr>
          <w:rFonts w:ascii="Open Sans" w:eastAsia="Times New Roman" w:hAnsi="Open Sans" w:cs="Open Sans"/>
          <w:b/>
          <w:bCs/>
          <w:smallCaps/>
          <w:color w:val="9D2235"/>
          <w:sz w:val="24"/>
          <w:szCs w:val="24"/>
          <w:lang w:eastAsia="es-ES"/>
        </w:rPr>
      </w:pPr>
      <w:r w:rsidRPr="00A07BE9">
        <w:rPr>
          <w:rFonts w:ascii="Open Sans" w:eastAsia="Times New Roman" w:hAnsi="Open Sans" w:cs="Open Sans"/>
          <w:b/>
          <w:bCs/>
          <w:smallCaps/>
          <w:color w:val="9D2235"/>
          <w:sz w:val="24"/>
          <w:szCs w:val="24"/>
          <w:lang w:eastAsia="es-ES"/>
        </w:rPr>
        <w:t>2.2.3.1. Formación institucional</w:t>
      </w:r>
    </w:p>
    <w:p w14:paraId="57AE7314" w14:textId="77777777" w:rsidR="00A140F9" w:rsidRPr="00A07BE9" w:rsidRDefault="00A140F9" w:rsidP="00A140F9">
      <w:pPr>
        <w:spacing w:after="0" w:line="276" w:lineRule="auto"/>
        <w:jc w:val="both"/>
        <w:rPr>
          <w:rFonts w:ascii="Open Sans" w:eastAsiaTheme="minorHAnsi" w:hAnsi="Open Sans" w:cs="Open Sans"/>
          <w:sz w:val="20"/>
          <w:szCs w:val="20"/>
        </w:rPr>
      </w:pPr>
    </w:p>
    <w:p w14:paraId="5A81AEF0" w14:textId="77777777"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El objetivo de este enfoque es establecer las bases para la mejora del funcionamiento del equipo de profesionales de la Agencia.</w:t>
      </w:r>
    </w:p>
    <w:p w14:paraId="3C2123E0" w14:textId="77777777" w:rsidR="00A140F9" w:rsidRPr="00A07BE9" w:rsidRDefault="00A140F9" w:rsidP="00A140F9">
      <w:pPr>
        <w:spacing w:after="0" w:line="276" w:lineRule="auto"/>
        <w:jc w:val="both"/>
        <w:rPr>
          <w:rFonts w:ascii="Open Sans" w:eastAsiaTheme="minorHAnsi" w:hAnsi="Open Sans" w:cs="Open Sans"/>
          <w:sz w:val="20"/>
          <w:szCs w:val="20"/>
        </w:rPr>
      </w:pPr>
    </w:p>
    <w:p w14:paraId="5E6A176C" w14:textId="77777777"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lastRenderedPageBreak/>
        <w:t xml:space="preserve">Se da preeminencia a la mejora de la gestión del conjunto de la organización, mediante el trabajo sobre aspectos relacionados con el trabajo colaborativo, transversal y transparente, que fomente la proximidad, la participación y, al mismo tiempo, el reconocimiento de la autonomía. Y de forma especial, por las características de la Agencia, poseen valor de forma prioritaria la seguridad en todas sus vertientes (información, física y psicológica), así como, una gestión eficaz de las dinámicas de grupo. </w:t>
      </w:r>
    </w:p>
    <w:p w14:paraId="27117C47" w14:textId="77777777" w:rsidR="00A140F9" w:rsidRPr="00A07BE9" w:rsidRDefault="00A140F9" w:rsidP="00A140F9">
      <w:pPr>
        <w:spacing w:after="0" w:line="276" w:lineRule="auto"/>
        <w:jc w:val="both"/>
        <w:rPr>
          <w:rFonts w:ascii="Open Sans" w:eastAsiaTheme="minorHAnsi" w:hAnsi="Open Sans" w:cs="Open Sans"/>
          <w:sz w:val="20"/>
          <w:szCs w:val="20"/>
        </w:rPr>
      </w:pPr>
    </w:p>
    <w:p w14:paraId="64D974CD" w14:textId="77777777"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En el año 2019 destacamos en este ámbito dos acciones, por su carácter transversal en la organización:</w:t>
      </w:r>
    </w:p>
    <w:p w14:paraId="0562C17B" w14:textId="77777777" w:rsidR="00A140F9" w:rsidRPr="00A07BE9" w:rsidRDefault="00A140F9" w:rsidP="00A140F9">
      <w:pPr>
        <w:spacing w:after="0" w:line="276" w:lineRule="auto"/>
        <w:jc w:val="both"/>
        <w:rPr>
          <w:rFonts w:ascii="Open Sans" w:eastAsiaTheme="minorHAnsi" w:hAnsi="Open Sans" w:cs="Open Sans"/>
          <w:sz w:val="20"/>
          <w:szCs w:val="20"/>
        </w:rPr>
      </w:pPr>
    </w:p>
    <w:p w14:paraId="359A6365" w14:textId="5334C226" w:rsidR="00A140F9" w:rsidRPr="00A07BE9" w:rsidRDefault="00A140F9" w:rsidP="0015081D">
      <w:pPr>
        <w:numPr>
          <w:ilvl w:val="0"/>
          <w:numId w:val="11"/>
        </w:numPr>
        <w:spacing w:after="0" w:line="276" w:lineRule="auto"/>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 xml:space="preserve">24 de mayo. </w:t>
      </w:r>
      <w:r w:rsidRPr="00A07BE9">
        <w:rPr>
          <w:rFonts w:ascii="Open Sans" w:eastAsia="Times New Roman" w:hAnsi="Open Sans" w:cs="Open Sans"/>
          <w:b/>
          <w:sz w:val="20"/>
          <w:szCs w:val="20"/>
          <w:lang w:eastAsia="es-ES"/>
        </w:rPr>
        <w:t>Conferencia del Dr. Manuel Villoria sobre “Combatir la corrupción”</w:t>
      </w:r>
      <w:r w:rsidRPr="00A07BE9">
        <w:rPr>
          <w:rFonts w:ascii="Open Sans" w:eastAsia="Times New Roman" w:hAnsi="Open Sans" w:cs="Open Sans"/>
          <w:sz w:val="20"/>
          <w:szCs w:val="20"/>
          <w:lang w:eastAsia="es-ES"/>
        </w:rPr>
        <w:t>. En esta actividad, el catedrático de Ciencia Política y de la Administración, propuso una reflexión conjunta sobre los aspectos más significativos de la lucha contra el fraude y la corrupción ante el foro (26:</w:t>
      </w:r>
      <w:r w:rsidRPr="00A07BE9">
        <w:rPr>
          <w:rFonts w:ascii="Open Sans" w:eastAsiaTheme="minorHAnsi" w:hAnsi="Open Sans" w:cs="Open Sans"/>
          <w:noProof/>
          <w:sz w:val="20"/>
          <w:szCs w:val="20"/>
        </w:rPr>
        <w:t xml:space="preserve"> 17 mujeres y 9 hombres</w:t>
      </w:r>
      <w:r w:rsidRPr="00A07BE9">
        <w:rPr>
          <w:rFonts w:ascii="Open Sans" w:eastAsia="Times New Roman" w:hAnsi="Open Sans" w:cs="Open Sans"/>
          <w:sz w:val="20"/>
          <w:szCs w:val="20"/>
          <w:lang w:eastAsia="es-ES"/>
        </w:rPr>
        <w:t>) de los profesionales de la Agencia. Duración: 2 horas.</w:t>
      </w:r>
    </w:p>
    <w:p w14:paraId="2A0905CC" w14:textId="77777777" w:rsidR="00BF3B5B" w:rsidRPr="00A07BE9" w:rsidRDefault="00BF3B5B" w:rsidP="00BF3B5B">
      <w:pPr>
        <w:spacing w:after="0" w:line="276" w:lineRule="auto"/>
        <w:ind w:left="720"/>
        <w:contextualSpacing/>
        <w:jc w:val="both"/>
        <w:rPr>
          <w:rFonts w:ascii="Open Sans" w:eastAsia="Times New Roman" w:hAnsi="Open Sans" w:cs="Open Sans"/>
          <w:sz w:val="20"/>
          <w:szCs w:val="20"/>
          <w:lang w:eastAsia="es-ES"/>
        </w:rPr>
      </w:pPr>
    </w:p>
    <w:p w14:paraId="7EE3F95F" w14:textId="77777777" w:rsidR="00A140F9" w:rsidRPr="00A07BE9" w:rsidRDefault="00A140F9" w:rsidP="00637696">
      <w:pPr>
        <w:numPr>
          <w:ilvl w:val="0"/>
          <w:numId w:val="11"/>
        </w:numPr>
        <w:spacing w:after="0" w:line="276" w:lineRule="auto"/>
        <w:contextualSpacing/>
        <w:jc w:val="both"/>
        <w:rPr>
          <w:rFonts w:ascii="Open Sans" w:eastAsia="Times New Roman" w:hAnsi="Open Sans" w:cs="Open Sans"/>
          <w:b/>
          <w:sz w:val="20"/>
          <w:szCs w:val="20"/>
          <w:lang w:eastAsia="es-ES"/>
        </w:rPr>
      </w:pPr>
      <w:r w:rsidRPr="00A07BE9">
        <w:rPr>
          <w:rFonts w:ascii="Open Sans" w:eastAsia="Times New Roman" w:hAnsi="Open Sans" w:cs="Open Sans"/>
          <w:sz w:val="20"/>
          <w:szCs w:val="20"/>
          <w:lang w:eastAsia="es-ES"/>
        </w:rPr>
        <w:t xml:space="preserve">17 de junio. </w:t>
      </w:r>
      <w:r w:rsidRPr="00A07BE9">
        <w:rPr>
          <w:rFonts w:ascii="Open Sans" w:eastAsia="Times New Roman" w:hAnsi="Open Sans" w:cs="Open Sans"/>
          <w:b/>
          <w:sz w:val="20"/>
          <w:szCs w:val="20"/>
          <w:lang w:eastAsia="es-ES"/>
        </w:rPr>
        <w:t>Seminario sobre los</w:t>
      </w:r>
      <w:r w:rsidRPr="00A07BE9">
        <w:rPr>
          <w:rFonts w:ascii="Open Sans" w:eastAsia="Times New Roman" w:hAnsi="Open Sans" w:cs="Open Sans"/>
          <w:sz w:val="20"/>
          <w:szCs w:val="20"/>
          <w:lang w:eastAsia="es-ES"/>
        </w:rPr>
        <w:t xml:space="preserve"> </w:t>
      </w:r>
      <w:r w:rsidRPr="00A07BE9">
        <w:rPr>
          <w:rFonts w:ascii="Open Sans" w:eastAsia="Times New Roman" w:hAnsi="Open Sans" w:cs="Open Sans"/>
          <w:b/>
          <w:sz w:val="20"/>
          <w:szCs w:val="20"/>
          <w:lang w:eastAsia="es-ES"/>
        </w:rPr>
        <w:t xml:space="preserve">Objetivos de Desarrollo Sostenible y la Agencia Valenciana Antifraude. </w:t>
      </w:r>
      <w:r w:rsidRPr="00A07BE9">
        <w:rPr>
          <w:rFonts w:ascii="Open Sans" w:eastAsia="Times New Roman" w:hAnsi="Open Sans" w:cs="Open Sans"/>
          <w:sz w:val="20"/>
          <w:szCs w:val="20"/>
          <w:lang w:eastAsia="es-ES"/>
        </w:rPr>
        <w:t>Actividad para dar a conocer la Agenda 2030, los ODS y reflexionar sobre el papel de la Agencia en su cumplimiento, con un estudio detallado de las metas del objetivo 16 y del objetivo 17 y la generación de alianzas para el cumplimiento de los ODS. La participación del conjunto de la Agencia (27: 18 mujeres</w:t>
      </w:r>
      <w:r w:rsidRPr="00A07BE9">
        <w:rPr>
          <w:rFonts w:ascii="Open Sans" w:eastAsiaTheme="minorHAnsi" w:hAnsi="Open Sans" w:cs="Open Sans"/>
          <w:noProof/>
          <w:sz w:val="20"/>
          <w:szCs w:val="20"/>
        </w:rPr>
        <w:t xml:space="preserve"> y </w:t>
      </w:r>
      <w:r w:rsidRPr="00A07BE9">
        <w:rPr>
          <w:rFonts w:ascii="Open Sans" w:eastAsia="Times New Roman" w:hAnsi="Open Sans" w:cs="Open Sans"/>
          <w:sz w:val="20"/>
          <w:szCs w:val="20"/>
          <w:lang w:eastAsia="es-ES"/>
        </w:rPr>
        <w:t>9 hombres) permitió un análisis en profundidad sobre la temática con una valoración final muy positiva (8,7/10). Duración: 5 horas.</w:t>
      </w:r>
    </w:p>
    <w:p w14:paraId="0AE2AFFF" w14:textId="77777777" w:rsidR="00A140F9" w:rsidRPr="00A07BE9" w:rsidRDefault="00A140F9" w:rsidP="00931814">
      <w:pPr>
        <w:spacing w:after="0" w:line="276" w:lineRule="auto"/>
        <w:contextualSpacing/>
        <w:jc w:val="both"/>
        <w:rPr>
          <w:rFonts w:ascii="Open Sans" w:eastAsia="Times New Roman" w:hAnsi="Open Sans" w:cs="Open Sans"/>
          <w:b/>
          <w:sz w:val="20"/>
          <w:szCs w:val="20"/>
          <w:lang w:eastAsia="es-ES"/>
        </w:rPr>
      </w:pPr>
    </w:p>
    <w:p w14:paraId="35866E21" w14:textId="77777777" w:rsidR="00A140F9" w:rsidRPr="00A07BE9" w:rsidRDefault="00A140F9" w:rsidP="00A140F9">
      <w:pPr>
        <w:keepNext/>
        <w:keepLines/>
        <w:spacing w:after="0" w:line="276" w:lineRule="auto"/>
        <w:outlineLvl w:val="2"/>
        <w:rPr>
          <w:rFonts w:ascii="Open Sans" w:eastAsiaTheme="majorEastAsia" w:hAnsi="Open Sans" w:cs="Open Sans"/>
          <w:b/>
          <w:color w:val="9D2235"/>
          <w:sz w:val="24"/>
          <w:szCs w:val="24"/>
        </w:rPr>
      </w:pPr>
      <w:r w:rsidRPr="00A07BE9">
        <w:rPr>
          <w:rFonts w:ascii="Open Sans" w:eastAsiaTheme="majorEastAsia" w:hAnsi="Open Sans" w:cs="Open Sans"/>
          <w:b/>
          <w:color w:val="9D2235"/>
          <w:sz w:val="24"/>
          <w:szCs w:val="24"/>
        </w:rPr>
        <w:t xml:space="preserve">2.2.3.2. </w:t>
      </w:r>
      <w:r w:rsidRPr="00A07BE9">
        <w:rPr>
          <w:rFonts w:ascii="Open Sans" w:eastAsia="Times New Roman" w:hAnsi="Open Sans" w:cs="Open Sans"/>
          <w:b/>
          <w:bCs/>
          <w:smallCaps/>
          <w:color w:val="9D2235"/>
          <w:sz w:val="24"/>
          <w:szCs w:val="24"/>
          <w:lang w:eastAsia="es-ES"/>
        </w:rPr>
        <w:t>Formación departamental</w:t>
      </w:r>
    </w:p>
    <w:p w14:paraId="013BAD14" w14:textId="77777777" w:rsidR="00A140F9" w:rsidRPr="00A07BE9" w:rsidRDefault="00A140F9" w:rsidP="00A140F9">
      <w:pPr>
        <w:spacing w:after="0" w:line="276" w:lineRule="auto"/>
        <w:jc w:val="both"/>
        <w:rPr>
          <w:rFonts w:ascii="Open Sans" w:eastAsiaTheme="minorHAnsi" w:hAnsi="Open Sans" w:cs="Open Sans"/>
          <w:sz w:val="20"/>
          <w:szCs w:val="20"/>
        </w:rPr>
      </w:pPr>
    </w:p>
    <w:p w14:paraId="696B7782" w14:textId="77777777"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 xml:space="preserve">La formación departamental pretende la mejora de la eficiencia especializada. A partir de identificar y priorizar las necesidades de los equipos de profesionales de cada dirección y unidad administrativa de la Agencia, aborda de forma específica los temas de estudio para profundizar y actualizar conocimientos. </w:t>
      </w:r>
    </w:p>
    <w:p w14:paraId="5AD4AC9D" w14:textId="77777777" w:rsidR="00A140F9" w:rsidRPr="00A07BE9" w:rsidRDefault="00A140F9" w:rsidP="00A140F9">
      <w:pPr>
        <w:spacing w:after="0" w:line="276" w:lineRule="auto"/>
        <w:jc w:val="both"/>
        <w:rPr>
          <w:rFonts w:ascii="Open Sans" w:eastAsiaTheme="minorHAnsi" w:hAnsi="Open Sans" w:cs="Open Sans"/>
          <w:sz w:val="20"/>
          <w:szCs w:val="20"/>
        </w:rPr>
      </w:pPr>
    </w:p>
    <w:p w14:paraId="2BEEE80A" w14:textId="77777777"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En el año 2019, destacamos en este ámbito, las siguientes acciones:</w:t>
      </w:r>
    </w:p>
    <w:p w14:paraId="07489BC8" w14:textId="77777777" w:rsidR="00A140F9" w:rsidRPr="00A07BE9" w:rsidRDefault="00A140F9" w:rsidP="00A140F9">
      <w:pPr>
        <w:spacing w:after="0" w:line="276" w:lineRule="auto"/>
        <w:jc w:val="both"/>
        <w:rPr>
          <w:rFonts w:ascii="Open Sans" w:eastAsiaTheme="minorHAnsi" w:hAnsi="Open Sans" w:cs="Open Sans"/>
          <w:sz w:val="20"/>
          <w:szCs w:val="20"/>
        </w:rPr>
      </w:pPr>
    </w:p>
    <w:p w14:paraId="078CFA76" w14:textId="77777777" w:rsidR="00A140F9" w:rsidRPr="00A07BE9" w:rsidRDefault="00A140F9" w:rsidP="00637696">
      <w:pPr>
        <w:numPr>
          <w:ilvl w:val="0"/>
          <w:numId w:val="9"/>
        </w:numPr>
        <w:spacing w:after="0" w:line="276" w:lineRule="auto"/>
        <w:contextualSpacing/>
        <w:jc w:val="both"/>
        <w:rPr>
          <w:rFonts w:ascii="Open Sans" w:eastAsiaTheme="minorHAnsi" w:hAnsi="Open Sans" w:cs="Open Sans"/>
          <w:sz w:val="20"/>
          <w:szCs w:val="20"/>
        </w:rPr>
      </w:pPr>
      <w:r w:rsidRPr="00A07BE9">
        <w:rPr>
          <w:rFonts w:ascii="Open Sans" w:eastAsiaTheme="minorHAnsi" w:hAnsi="Open Sans" w:cs="Open Sans"/>
          <w:sz w:val="20"/>
          <w:szCs w:val="20"/>
        </w:rPr>
        <w:t xml:space="preserve">13 de febrero. </w:t>
      </w:r>
      <w:r w:rsidRPr="00A07BE9">
        <w:rPr>
          <w:rFonts w:ascii="Open Sans" w:eastAsiaTheme="minorHAnsi" w:hAnsi="Open Sans" w:cs="Open Sans"/>
          <w:b/>
          <w:sz w:val="20"/>
          <w:szCs w:val="20"/>
        </w:rPr>
        <w:t>10ª Jornada Urbanismo, planificación, contratación y riesgos de corrupción</w:t>
      </w:r>
      <w:r w:rsidRPr="00A07BE9">
        <w:rPr>
          <w:rFonts w:ascii="Open Sans" w:eastAsiaTheme="minorHAnsi" w:hAnsi="Open Sans" w:cs="Open Sans"/>
          <w:sz w:val="20"/>
          <w:szCs w:val="20"/>
        </w:rPr>
        <w:t>. Organizado por la Agència de Transparència del Àrea Metropolitana de Barcelona. El objetivo de la Jornada era abordar de manera interdisciplinaria, cómo lograr un buen gobierno y una buena administración en el ejercicio de la actividad urbanística y económica que se deriva, y a la vez informar sobre los riesgos penales derivados del ejercicio de las autoridades y de los funcionarios públicos, y del sector privado, en el ámbito urbanístico y en materia de contratación. A esta jornada asistió un profesional de la Dirección de Análisis e Investigación, especialista en temas de urbanismo, con una valoración muy positiva de la actividad (9/10). Duración 5 horas.</w:t>
      </w:r>
    </w:p>
    <w:p w14:paraId="46713A30" w14:textId="77777777" w:rsidR="00A140F9" w:rsidRPr="00A07BE9" w:rsidRDefault="00A140F9" w:rsidP="00A140F9">
      <w:pPr>
        <w:spacing w:after="0" w:line="276" w:lineRule="auto"/>
        <w:ind w:left="720"/>
        <w:contextualSpacing/>
        <w:jc w:val="both"/>
        <w:rPr>
          <w:rFonts w:ascii="Open Sans" w:eastAsiaTheme="minorHAnsi" w:hAnsi="Open Sans" w:cs="Open Sans"/>
          <w:sz w:val="20"/>
          <w:szCs w:val="20"/>
        </w:rPr>
      </w:pPr>
    </w:p>
    <w:p w14:paraId="1777E171" w14:textId="685F7F6B" w:rsidR="00A140F9" w:rsidRPr="00A07BE9" w:rsidRDefault="00A140F9" w:rsidP="00637696">
      <w:pPr>
        <w:numPr>
          <w:ilvl w:val="0"/>
          <w:numId w:val="9"/>
        </w:numPr>
        <w:spacing w:after="0" w:line="276" w:lineRule="auto"/>
        <w:contextualSpacing/>
        <w:jc w:val="both"/>
        <w:rPr>
          <w:rFonts w:ascii="Open Sans" w:eastAsiaTheme="minorHAnsi" w:hAnsi="Open Sans" w:cs="Open Sans"/>
          <w:sz w:val="20"/>
          <w:szCs w:val="20"/>
        </w:rPr>
      </w:pPr>
      <w:r w:rsidRPr="00A07BE9">
        <w:rPr>
          <w:rFonts w:ascii="Open Sans" w:eastAsiaTheme="minorHAnsi" w:hAnsi="Open Sans" w:cs="Open Sans"/>
          <w:sz w:val="20"/>
          <w:szCs w:val="20"/>
        </w:rPr>
        <w:lastRenderedPageBreak/>
        <w:t xml:space="preserve">12 y 13 de marzo. </w:t>
      </w:r>
      <w:r w:rsidRPr="00A07BE9">
        <w:rPr>
          <w:rFonts w:ascii="Open Sans" w:eastAsiaTheme="minorHAnsi" w:hAnsi="Open Sans" w:cs="Open Sans"/>
          <w:b/>
          <w:sz w:val="20"/>
          <w:szCs w:val="20"/>
        </w:rPr>
        <w:t xml:space="preserve">Jornadas Espacio Compliance: El denunciante desamparado. </w:t>
      </w:r>
      <w:r w:rsidRPr="00A07BE9">
        <w:rPr>
          <w:rFonts w:ascii="Open Sans" w:eastAsiaTheme="minorHAnsi" w:hAnsi="Open Sans" w:cs="Open Sans"/>
          <w:sz w:val="20"/>
          <w:szCs w:val="20"/>
        </w:rPr>
        <w:t>La Comisión Nacional de Valores y la Competencia organizó en Madrid estas jornadas con la participación de (</w:t>
      </w:r>
      <w:r w:rsidR="00542F05">
        <w:rPr>
          <w:rFonts w:ascii="Open Sans" w:eastAsiaTheme="minorHAnsi" w:hAnsi="Open Sans" w:cs="Open Sans"/>
          <w:sz w:val="20"/>
          <w:szCs w:val="20"/>
        </w:rPr>
        <w:t>2</w:t>
      </w:r>
      <w:r w:rsidRPr="00A07BE9">
        <w:rPr>
          <w:rFonts w:ascii="Open Sans" w:eastAsiaTheme="minorHAnsi" w:hAnsi="Open Sans" w:cs="Open Sans"/>
          <w:noProof/>
          <w:sz w:val="20"/>
          <w:szCs w:val="20"/>
        </w:rPr>
        <w:t xml:space="preserve"> </w:t>
      </w:r>
      <w:r w:rsidR="00967F71" w:rsidRPr="00A07BE9">
        <w:rPr>
          <w:rFonts w:ascii="Open Sans" w:eastAsiaTheme="minorHAnsi" w:hAnsi="Open Sans" w:cs="Open Sans"/>
          <w:noProof/>
          <w:sz w:val="20"/>
          <w:szCs w:val="20"/>
        </w:rPr>
        <w:t>mujeres</w:t>
      </w:r>
      <w:r w:rsidRPr="00A07BE9">
        <w:rPr>
          <w:rFonts w:ascii="Open Sans" w:eastAsiaTheme="minorHAnsi" w:hAnsi="Open Sans" w:cs="Open Sans"/>
          <w:sz w:val="20"/>
          <w:szCs w:val="20"/>
        </w:rPr>
        <w:t xml:space="preserve">) representantes de la Dirección de Asuntos Jurídicos. Con una valoración muy positiva de la actividad (9/10). Duración: 4 horas. </w:t>
      </w:r>
    </w:p>
    <w:p w14:paraId="0175F6BD" w14:textId="77777777" w:rsidR="004C14BF" w:rsidRPr="00A07BE9" w:rsidRDefault="004C14BF" w:rsidP="004C14BF">
      <w:pPr>
        <w:spacing w:after="0" w:line="276" w:lineRule="auto"/>
        <w:contextualSpacing/>
        <w:jc w:val="both"/>
        <w:rPr>
          <w:rFonts w:ascii="Open Sans" w:eastAsiaTheme="minorHAnsi" w:hAnsi="Open Sans" w:cs="Open Sans"/>
          <w:sz w:val="20"/>
          <w:szCs w:val="20"/>
        </w:rPr>
      </w:pPr>
    </w:p>
    <w:p w14:paraId="6D107122" w14:textId="77777777" w:rsidR="00A140F9" w:rsidRPr="00A07BE9" w:rsidRDefault="00A140F9" w:rsidP="00637696">
      <w:pPr>
        <w:numPr>
          <w:ilvl w:val="0"/>
          <w:numId w:val="9"/>
        </w:numPr>
        <w:spacing w:after="0" w:line="276" w:lineRule="auto"/>
        <w:contextualSpacing/>
        <w:jc w:val="both"/>
        <w:rPr>
          <w:rFonts w:ascii="Open Sans" w:eastAsiaTheme="minorHAnsi" w:hAnsi="Open Sans" w:cs="Open Sans"/>
          <w:bCs/>
          <w:sz w:val="20"/>
          <w:szCs w:val="20"/>
        </w:rPr>
      </w:pPr>
      <w:r w:rsidRPr="00A07BE9">
        <w:rPr>
          <w:rFonts w:ascii="Open Sans" w:eastAsiaTheme="minorHAnsi" w:hAnsi="Open Sans" w:cs="Open Sans"/>
          <w:sz w:val="20"/>
          <w:szCs w:val="20"/>
        </w:rPr>
        <w:t xml:space="preserve">27 de marzo. </w:t>
      </w:r>
      <w:r w:rsidRPr="00A07BE9">
        <w:rPr>
          <w:rFonts w:ascii="Open Sans" w:eastAsiaTheme="minorHAnsi" w:hAnsi="Open Sans" w:cs="Open Sans"/>
          <w:b/>
          <w:bCs/>
          <w:sz w:val="20"/>
          <w:szCs w:val="20"/>
        </w:rPr>
        <w:t>II Congreso de Compliance en el Sector Público.</w:t>
      </w:r>
      <w:r w:rsidRPr="00A07BE9">
        <w:rPr>
          <w:rFonts w:ascii="Open Sans" w:eastAsiaTheme="minorHAnsi" w:hAnsi="Open Sans" w:cs="Open Sans"/>
          <w:sz w:val="20"/>
          <w:szCs w:val="20"/>
        </w:rPr>
        <w:t xml:space="preserve"> El congreso está destinado a debatir sobre cómo incorporar en las organizaciones públicas herramientas y estrategias de compliance, como conjunto de procedimientos y buenas prácticas para identificar y clasificar los riesgos operativos y legales y establecer mecanismos internos de prevención, gestión, control y reacción frente aquellos. </w:t>
      </w:r>
      <w:r w:rsidRPr="00A07BE9">
        <w:rPr>
          <w:rFonts w:ascii="Open Sans" w:eastAsiaTheme="minorHAnsi" w:hAnsi="Open Sans" w:cs="Open Sans"/>
          <w:bCs/>
          <w:sz w:val="20"/>
          <w:szCs w:val="20"/>
        </w:rPr>
        <w:t>La representación de la Agencia fue de la responsable de la Dirección de Prevención, Formación y Documentación. Duración: 10 horas.</w:t>
      </w:r>
    </w:p>
    <w:p w14:paraId="2AD11CD4" w14:textId="77777777" w:rsidR="00A140F9" w:rsidRPr="00A07BE9" w:rsidRDefault="00A140F9" w:rsidP="00A140F9">
      <w:pPr>
        <w:spacing w:after="0" w:line="276" w:lineRule="auto"/>
        <w:ind w:left="720"/>
        <w:contextualSpacing/>
        <w:jc w:val="both"/>
        <w:rPr>
          <w:rFonts w:ascii="Open Sans" w:eastAsiaTheme="minorHAnsi" w:hAnsi="Open Sans" w:cs="Open Sans"/>
          <w:bCs/>
          <w:sz w:val="20"/>
          <w:szCs w:val="20"/>
        </w:rPr>
      </w:pPr>
    </w:p>
    <w:p w14:paraId="334BA970" w14:textId="2BA8F420" w:rsidR="00A140F9" w:rsidRPr="00A07BE9" w:rsidRDefault="00A140F9" w:rsidP="00637696">
      <w:pPr>
        <w:numPr>
          <w:ilvl w:val="0"/>
          <w:numId w:val="9"/>
        </w:numPr>
        <w:spacing w:after="0" w:line="276" w:lineRule="auto"/>
        <w:contextualSpacing/>
        <w:jc w:val="both"/>
        <w:rPr>
          <w:rFonts w:ascii="Open Sans" w:eastAsiaTheme="minorHAnsi" w:hAnsi="Open Sans" w:cs="Open Sans"/>
          <w:sz w:val="20"/>
          <w:szCs w:val="20"/>
        </w:rPr>
      </w:pPr>
      <w:r w:rsidRPr="00A07BE9">
        <w:rPr>
          <w:rFonts w:ascii="Open Sans" w:eastAsiaTheme="minorHAnsi" w:hAnsi="Open Sans" w:cs="Open Sans"/>
          <w:sz w:val="20"/>
          <w:szCs w:val="20"/>
        </w:rPr>
        <w:t>Del 1 al 3 de abril.</w:t>
      </w:r>
      <w:r w:rsidRPr="00A07BE9">
        <w:rPr>
          <w:rFonts w:ascii="Open Sans" w:eastAsiaTheme="minorHAnsi" w:hAnsi="Open Sans" w:cs="Open Sans"/>
          <w:b/>
          <w:sz w:val="20"/>
          <w:szCs w:val="20"/>
        </w:rPr>
        <w:t xml:space="preserve"> Curso de Contratación pública y Compliance</w:t>
      </w:r>
      <w:r w:rsidRPr="00A07BE9">
        <w:rPr>
          <w:rFonts w:ascii="Open Sans" w:eastAsiaTheme="minorHAnsi" w:hAnsi="Open Sans" w:cs="Open Sans"/>
          <w:sz w:val="20"/>
          <w:szCs w:val="20"/>
        </w:rPr>
        <w:t>, organizado por ADEIT. Después de un año desde la entrada en vigor de la Ley 9/2017, de 8 de noviembre, de Contratos del Sector Público, se analiza el grado de cumplimiento e implantación de la contratación electrónica y las medidas adoptadas en la práctica para evitar el fraude en la contratación y los conflictos de interés. Participan profesionales (7</w:t>
      </w:r>
      <w:r w:rsidRPr="00A07BE9">
        <w:rPr>
          <w:rFonts w:ascii="Open Sans" w:eastAsiaTheme="minorHAnsi" w:hAnsi="Open Sans" w:cs="Open Sans"/>
          <w:noProof/>
          <w:sz w:val="20"/>
          <w:szCs w:val="20"/>
        </w:rPr>
        <w:t xml:space="preserve"> </w:t>
      </w:r>
      <w:r w:rsidR="007A50FD" w:rsidRPr="00A07BE9">
        <w:rPr>
          <w:rFonts w:ascii="Open Sans" w:eastAsiaTheme="minorHAnsi" w:hAnsi="Open Sans" w:cs="Open Sans"/>
          <w:noProof/>
          <w:sz w:val="20"/>
          <w:szCs w:val="20"/>
        </w:rPr>
        <w:t>mujeres</w:t>
      </w:r>
      <w:r w:rsidRPr="00A07BE9">
        <w:rPr>
          <w:rFonts w:ascii="Open Sans" w:eastAsiaTheme="minorHAnsi" w:hAnsi="Open Sans" w:cs="Open Sans"/>
          <w:sz w:val="20"/>
          <w:szCs w:val="20"/>
        </w:rPr>
        <w:t>) de tres direcciones de la Agencia: Asuntos Jurídicos, Análisis e Investigación y Administración. Valoración global muy positiva (8/10). Duración 16 horas.</w:t>
      </w:r>
    </w:p>
    <w:p w14:paraId="78AFFEE8" w14:textId="77777777" w:rsidR="00A140F9" w:rsidRPr="00A07BE9" w:rsidRDefault="00A140F9" w:rsidP="00A140F9">
      <w:pPr>
        <w:spacing w:after="0" w:line="276" w:lineRule="auto"/>
        <w:contextualSpacing/>
        <w:jc w:val="both"/>
        <w:rPr>
          <w:rFonts w:ascii="Open Sans" w:eastAsiaTheme="minorHAnsi" w:hAnsi="Open Sans" w:cs="Open Sans"/>
          <w:sz w:val="20"/>
          <w:szCs w:val="20"/>
        </w:rPr>
      </w:pPr>
      <w:bookmarkStart w:id="7" w:name="_Hlk34815779"/>
    </w:p>
    <w:p w14:paraId="12D30697" w14:textId="3049C20C" w:rsidR="00A140F9" w:rsidRPr="00A07BE9" w:rsidRDefault="00A140F9" w:rsidP="00637696">
      <w:pPr>
        <w:numPr>
          <w:ilvl w:val="0"/>
          <w:numId w:val="9"/>
        </w:numPr>
        <w:spacing w:after="0" w:line="276" w:lineRule="auto"/>
        <w:contextualSpacing/>
        <w:jc w:val="both"/>
        <w:rPr>
          <w:rFonts w:ascii="Open Sans" w:eastAsiaTheme="minorHAnsi" w:hAnsi="Open Sans" w:cs="Open Sans"/>
          <w:sz w:val="20"/>
          <w:szCs w:val="20"/>
        </w:rPr>
      </w:pPr>
      <w:r w:rsidRPr="00A07BE9">
        <w:rPr>
          <w:rFonts w:ascii="Open Sans" w:eastAsiaTheme="minorHAnsi" w:hAnsi="Open Sans" w:cs="Open Sans"/>
          <w:sz w:val="20"/>
          <w:szCs w:val="20"/>
        </w:rPr>
        <w:t xml:space="preserve">27 de mayo al 23 de junio. </w:t>
      </w:r>
      <w:r w:rsidRPr="00A07BE9">
        <w:rPr>
          <w:rFonts w:ascii="Open Sans" w:eastAsiaTheme="minorHAnsi" w:hAnsi="Open Sans" w:cs="Open Sans"/>
          <w:b/>
          <w:sz w:val="20"/>
          <w:szCs w:val="20"/>
        </w:rPr>
        <w:t xml:space="preserve">Curso sobre el contrato menor, alternativas (en línea). </w:t>
      </w:r>
      <w:r w:rsidRPr="00A07BE9">
        <w:rPr>
          <w:rFonts w:ascii="Open Sans" w:eastAsiaTheme="minorHAnsi" w:hAnsi="Open Sans" w:cs="Open Sans"/>
          <w:sz w:val="20"/>
          <w:szCs w:val="20"/>
        </w:rPr>
        <w:t>Participaron 7 profesionales de la Agencia (6</w:t>
      </w:r>
      <w:r w:rsidRPr="00A07BE9">
        <w:rPr>
          <w:rFonts w:ascii="Open Sans" w:eastAsiaTheme="minorHAnsi" w:hAnsi="Open Sans" w:cs="Open Sans"/>
          <w:noProof/>
          <w:sz w:val="20"/>
          <w:szCs w:val="20"/>
        </w:rPr>
        <w:t xml:space="preserve"> </w:t>
      </w:r>
      <w:r w:rsidR="00967F71" w:rsidRPr="00A07BE9">
        <w:rPr>
          <w:rFonts w:ascii="Open Sans" w:eastAsiaTheme="minorHAnsi" w:hAnsi="Open Sans" w:cs="Open Sans"/>
          <w:noProof/>
          <w:sz w:val="20"/>
          <w:szCs w:val="20"/>
        </w:rPr>
        <w:t>mujeres</w:t>
      </w:r>
      <w:r w:rsidRPr="00A07BE9">
        <w:rPr>
          <w:rFonts w:ascii="Open Sans" w:eastAsiaTheme="minorHAnsi" w:hAnsi="Open Sans" w:cs="Open Sans"/>
          <w:noProof/>
          <w:sz w:val="20"/>
          <w:szCs w:val="20"/>
        </w:rPr>
        <w:t xml:space="preserve"> y</w:t>
      </w:r>
      <w:r w:rsidRPr="00A07BE9">
        <w:rPr>
          <w:rFonts w:ascii="Open Sans" w:eastAsiaTheme="minorHAnsi" w:hAnsi="Open Sans" w:cs="Open Sans"/>
          <w:sz w:val="20"/>
          <w:szCs w:val="20"/>
        </w:rPr>
        <w:t xml:space="preserve"> 1</w:t>
      </w:r>
      <w:r w:rsidRPr="00A07BE9">
        <w:rPr>
          <w:rFonts w:ascii="Open Sans" w:eastAsiaTheme="minorHAnsi" w:hAnsi="Open Sans" w:cs="Open Sans"/>
          <w:noProof/>
          <w:sz w:val="20"/>
          <w:szCs w:val="20"/>
        </w:rPr>
        <w:t xml:space="preserve"> </w:t>
      </w:r>
      <w:r w:rsidR="00967F71" w:rsidRPr="00A07BE9">
        <w:rPr>
          <w:rFonts w:ascii="Open Sans" w:eastAsiaTheme="minorHAnsi" w:hAnsi="Open Sans" w:cs="Open Sans"/>
          <w:noProof/>
          <w:sz w:val="20"/>
          <w:szCs w:val="20"/>
        </w:rPr>
        <w:t>hombre</w:t>
      </w:r>
      <w:r w:rsidRPr="00A07BE9">
        <w:rPr>
          <w:rFonts w:ascii="Open Sans" w:eastAsiaTheme="minorHAnsi" w:hAnsi="Open Sans" w:cs="Open Sans"/>
          <w:noProof/>
          <w:sz w:val="20"/>
          <w:szCs w:val="20"/>
        </w:rPr>
        <w:t>)</w:t>
      </w:r>
      <w:r w:rsidRPr="00A07BE9">
        <w:rPr>
          <w:rFonts w:ascii="Open Sans" w:eastAsiaTheme="minorHAnsi" w:hAnsi="Open Sans" w:cs="Open Sans"/>
          <w:sz w:val="20"/>
          <w:szCs w:val="20"/>
        </w:rPr>
        <w:t>, organizado por COSITAL Network. Duración: 40 horas.</w:t>
      </w:r>
    </w:p>
    <w:p w14:paraId="44B08F85" w14:textId="77777777" w:rsidR="00A140F9" w:rsidRPr="00A07BE9" w:rsidRDefault="00A140F9" w:rsidP="00A140F9">
      <w:pPr>
        <w:spacing w:after="0" w:line="276" w:lineRule="auto"/>
        <w:ind w:left="720"/>
        <w:contextualSpacing/>
        <w:jc w:val="both"/>
        <w:rPr>
          <w:rFonts w:ascii="Open Sans" w:eastAsiaTheme="minorHAnsi" w:hAnsi="Open Sans" w:cs="Open Sans"/>
          <w:sz w:val="20"/>
          <w:szCs w:val="20"/>
        </w:rPr>
      </w:pPr>
    </w:p>
    <w:p w14:paraId="447EB1CA" w14:textId="2CB738F5" w:rsidR="00A140F9" w:rsidRPr="00A07BE9" w:rsidRDefault="00A140F9" w:rsidP="00637696">
      <w:pPr>
        <w:numPr>
          <w:ilvl w:val="0"/>
          <w:numId w:val="9"/>
        </w:numPr>
        <w:spacing w:after="0" w:line="276" w:lineRule="auto"/>
        <w:contextualSpacing/>
        <w:jc w:val="both"/>
        <w:rPr>
          <w:rFonts w:ascii="Open Sans" w:eastAsiaTheme="minorHAnsi" w:hAnsi="Open Sans" w:cs="Open Sans"/>
          <w:sz w:val="20"/>
          <w:szCs w:val="20"/>
        </w:rPr>
      </w:pPr>
      <w:r w:rsidRPr="00A07BE9">
        <w:rPr>
          <w:rFonts w:ascii="Open Sans" w:eastAsiaTheme="minorHAnsi" w:hAnsi="Open Sans" w:cs="Open Sans"/>
          <w:sz w:val="20"/>
          <w:szCs w:val="20"/>
        </w:rPr>
        <w:t xml:space="preserve">11 y 12 de noviembre. Curso: </w:t>
      </w:r>
      <w:r w:rsidRPr="00A07BE9">
        <w:rPr>
          <w:rFonts w:ascii="Open Sans" w:eastAsiaTheme="minorHAnsi" w:hAnsi="Open Sans" w:cs="Open Sans"/>
          <w:b/>
          <w:sz w:val="20"/>
          <w:szCs w:val="20"/>
        </w:rPr>
        <w:t>La reforma de la contabilidad pública de la Generalitat Valenciana: adaptación al PGCP 2010</w:t>
      </w:r>
      <w:r w:rsidRPr="00A07BE9">
        <w:rPr>
          <w:rFonts w:ascii="Open Sans" w:eastAsiaTheme="minorHAnsi" w:hAnsi="Open Sans" w:cs="Open Sans"/>
          <w:sz w:val="20"/>
          <w:szCs w:val="20"/>
        </w:rPr>
        <w:t xml:space="preserve">, </w:t>
      </w:r>
      <w:bookmarkEnd w:id="7"/>
      <w:r w:rsidRPr="00A07BE9">
        <w:rPr>
          <w:rFonts w:ascii="Open Sans" w:eastAsiaTheme="minorHAnsi" w:hAnsi="Open Sans" w:cs="Open Sans"/>
          <w:sz w:val="20"/>
          <w:szCs w:val="20"/>
        </w:rPr>
        <w:t xml:space="preserve">organizado por el ADEIT. Participaron dos </w:t>
      </w:r>
      <w:r w:rsidR="00CB4BD6" w:rsidRPr="00A07BE9">
        <w:rPr>
          <w:rFonts w:ascii="Open Sans" w:eastAsiaTheme="minorHAnsi" w:hAnsi="Open Sans" w:cs="Open Sans"/>
          <w:sz w:val="20"/>
          <w:szCs w:val="20"/>
        </w:rPr>
        <w:t>mujeres</w:t>
      </w:r>
      <w:r w:rsidRPr="00A07BE9">
        <w:rPr>
          <w:rFonts w:ascii="Open Sans" w:eastAsiaTheme="minorHAnsi" w:hAnsi="Open Sans" w:cs="Open Sans"/>
          <w:sz w:val="20"/>
          <w:szCs w:val="20"/>
        </w:rPr>
        <w:t xml:space="preserve"> del área de Administración de la Agencia. Duración: 15 horas.</w:t>
      </w:r>
    </w:p>
    <w:p w14:paraId="4B776F5E" w14:textId="77777777" w:rsidR="00A140F9" w:rsidRPr="00A07BE9" w:rsidRDefault="00A140F9" w:rsidP="00A140F9">
      <w:pPr>
        <w:keepNext/>
        <w:keepLines/>
        <w:spacing w:after="0" w:line="276" w:lineRule="auto"/>
        <w:outlineLvl w:val="2"/>
        <w:rPr>
          <w:rFonts w:ascii="Open Sans" w:eastAsiaTheme="majorEastAsia" w:hAnsi="Open Sans" w:cs="Open Sans"/>
          <w:color w:val="1F3763" w:themeColor="accent1" w:themeShade="7F"/>
          <w:sz w:val="20"/>
          <w:szCs w:val="20"/>
        </w:rPr>
      </w:pPr>
    </w:p>
    <w:p w14:paraId="3FF852F3" w14:textId="651E0B7D" w:rsidR="00A140F9" w:rsidRPr="00A07BE9" w:rsidRDefault="00A140F9" w:rsidP="00A140F9">
      <w:pPr>
        <w:keepNext/>
        <w:keepLines/>
        <w:spacing w:after="0" w:line="276" w:lineRule="auto"/>
        <w:outlineLvl w:val="2"/>
        <w:rPr>
          <w:rFonts w:ascii="Open Sans" w:eastAsiaTheme="majorEastAsia" w:hAnsi="Open Sans" w:cs="Open Sans"/>
          <w:b/>
          <w:color w:val="9D2235"/>
          <w:sz w:val="24"/>
          <w:szCs w:val="24"/>
        </w:rPr>
      </w:pPr>
      <w:r w:rsidRPr="00A07BE9">
        <w:rPr>
          <w:rFonts w:ascii="Open Sans" w:eastAsiaTheme="majorEastAsia" w:hAnsi="Open Sans" w:cs="Open Sans"/>
          <w:b/>
          <w:color w:val="9D2235"/>
          <w:sz w:val="24"/>
          <w:szCs w:val="24"/>
        </w:rPr>
        <w:t>2.2.3.</w:t>
      </w:r>
      <w:r w:rsidR="00CE2DC9">
        <w:rPr>
          <w:rFonts w:ascii="Open Sans" w:eastAsiaTheme="majorEastAsia" w:hAnsi="Open Sans" w:cs="Open Sans"/>
          <w:b/>
          <w:color w:val="9D2235"/>
          <w:sz w:val="24"/>
          <w:szCs w:val="24"/>
        </w:rPr>
        <w:t>3</w:t>
      </w:r>
      <w:r w:rsidRPr="00A07BE9">
        <w:rPr>
          <w:rFonts w:ascii="Open Sans" w:eastAsiaTheme="majorEastAsia" w:hAnsi="Open Sans" w:cs="Open Sans"/>
          <w:b/>
          <w:color w:val="9D2235"/>
          <w:sz w:val="24"/>
          <w:szCs w:val="24"/>
        </w:rPr>
        <w:t xml:space="preserve">. </w:t>
      </w:r>
      <w:r w:rsidRPr="00A07BE9">
        <w:rPr>
          <w:rFonts w:ascii="Open Sans" w:eastAsia="Times New Roman" w:hAnsi="Open Sans" w:cs="Open Sans"/>
          <w:b/>
          <w:bCs/>
          <w:smallCaps/>
          <w:color w:val="9D2235"/>
          <w:sz w:val="24"/>
          <w:szCs w:val="24"/>
          <w:lang w:eastAsia="es-ES"/>
        </w:rPr>
        <w:t>Formación instrumental</w:t>
      </w:r>
    </w:p>
    <w:p w14:paraId="3492FA09" w14:textId="77777777" w:rsidR="00A140F9" w:rsidRPr="00A07BE9" w:rsidRDefault="00A140F9" w:rsidP="00A140F9">
      <w:pPr>
        <w:spacing w:after="0" w:line="276" w:lineRule="auto"/>
        <w:rPr>
          <w:rFonts w:ascii="Open Sans" w:eastAsiaTheme="minorHAnsi" w:hAnsi="Open Sans" w:cs="Open Sans"/>
          <w:sz w:val="20"/>
          <w:szCs w:val="20"/>
        </w:rPr>
      </w:pPr>
    </w:p>
    <w:p w14:paraId="058F093C" w14:textId="34C08427"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 xml:space="preserve">La formación Instrumental está destinada a la mejora de la capacitación profesional del personal de la Agencia. Tienen que ver con conocimientos y habilidad profesionales necesarias en el ámbito de la administración pública, para garantizar su buena gestión: Idiomas; Administración digital y seguridad; </w:t>
      </w:r>
      <w:r w:rsidR="00374AC9" w:rsidRPr="00A07BE9">
        <w:rPr>
          <w:rFonts w:ascii="Open Sans" w:eastAsiaTheme="minorHAnsi" w:hAnsi="Open Sans" w:cs="Open Sans"/>
          <w:sz w:val="20"/>
          <w:szCs w:val="20"/>
        </w:rPr>
        <w:t>c</w:t>
      </w:r>
      <w:r w:rsidRPr="00A07BE9">
        <w:rPr>
          <w:rFonts w:ascii="Open Sans" w:eastAsiaTheme="minorHAnsi" w:hAnsi="Open Sans" w:cs="Open Sans"/>
          <w:sz w:val="20"/>
          <w:szCs w:val="20"/>
        </w:rPr>
        <w:t xml:space="preserve">omunicación y </w:t>
      </w:r>
      <w:r w:rsidR="00374AC9" w:rsidRPr="00A07BE9">
        <w:rPr>
          <w:rFonts w:ascii="Open Sans" w:eastAsiaTheme="minorHAnsi" w:hAnsi="Open Sans" w:cs="Open Sans"/>
          <w:sz w:val="20"/>
          <w:szCs w:val="20"/>
        </w:rPr>
        <w:t>n</w:t>
      </w:r>
      <w:r w:rsidRPr="00A07BE9">
        <w:rPr>
          <w:rFonts w:ascii="Open Sans" w:eastAsiaTheme="minorHAnsi" w:hAnsi="Open Sans" w:cs="Open Sans"/>
          <w:sz w:val="20"/>
          <w:szCs w:val="20"/>
        </w:rPr>
        <w:t>ormativa básica.</w:t>
      </w:r>
    </w:p>
    <w:p w14:paraId="5B61EDBB" w14:textId="77777777" w:rsidR="00A140F9" w:rsidRPr="00A07BE9" w:rsidRDefault="00A140F9" w:rsidP="00A140F9">
      <w:pPr>
        <w:spacing w:after="0" w:line="276" w:lineRule="auto"/>
        <w:jc w:val="both"/>
        <w:rPr>
          <w:rFonts w:ascii="Open Sans" w:eastAsiaTheme="minorHAnsi" w:hAnsi="Open Sans" w:cs="Open Sans"/>
          <w:sz w:val="20"/>
          <w:szCs w:val="20"/>
        </w:rPr>
      </w:pPr>
    </w:p>
    <w:p w14:paraId="56E9FBD8" w14:textId="77777777"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En el año 2019 se han llevado a cabo las siguientes actividades:</w:t>
      </w:r>
    </w:p>
    <w:p w14:paraId="696F704C" w14:textId="77777777" w:rsidR="00A140F9" w:rsidRPr="00A07BE9" w:rsidRDefault="00A140F9" w:rsidP="00A140F9">
      <w:pPr>
        <w:spacing w:after="0" w:line="276" w:lineRule="auto"/>
        <w:jc w:val="both"/>
        <w:rPr>
          <w:rFonts w:ascii="Open Sans" w:eastAsiaTheme="minorHAnsi" w:hAnsi="Open Sans" w:cs="Open Sans"/>
          <w:sz w:val="20"/>
          <w:szCs w:val="20"/>
        </w:rPr>
      </w:pPr>
    </w:p>
    <w:p w14:paraId="2D849FC8" w14:textId="58414B8E" w:rsidR="00A140F9" w:rsidRPr="00A07BE9" w:rsidRDefault="00A140F9" w:rsidP="006133A7">
      <w:pPr>
        <w:numPr>
          <w:ilvl w:val="0"/>
          <w:numId w:val="10"/>
        </w:numPr>
        <w:spacing w:after="0" w:line="276" w:lineRule="auto"/>
        <w:contextualSpacing/>
        <w:jc w:val="both"/>
        <w:rPr>
          <w:rFonts w:ascii="Open Sans" w:eastAsiaTheme="minorHAnsi" w:hAnsi="Open Sans" w:cs="Open Sans"/>
          <w:sz w:val="20"/>
          <w:szCs w:val="20"/>
        </w:rPr>
      </w:pPr>
      <w:r w:rsidRPr="00A07BE9">
        <w:rPr>
          <w:rFonts w:ascii="Open Sans" w:eastAsiaTheme="minorHAnsi" w:hAnsi="Open Sans" w:cs="Open Sans"/>
          <w:sz w:val="20"/>
          <w:szCs w:val="20"/>
        </w:rPr>
        <w:t xml:space="preserve">25 y 26 de febrero. </w:t>
      </w:r>
      <w:r w:rsidRPr="00A07BE9">
        <w:rPr>
          <w:rFonts w:ascii="Open Sans" w:eastAsiaTheme="minorHAnsi" w:hAnsi="Open Sans" w:cs="Open Sans"/>
          <w:b/>
          <w:sz w:val="20"/>
          <w:szCs w:val="20"/>
        </w:rPr>
        <w:t xml:space="preserve">Curso Principales Novedades de la Ley Orgánica 3/2018, de 5 de diciembre, de Protección de Datos Personales y garantía de los derechos </w:t>
      </w:r>
      <w:r w:rsidRPr="00A07BE9">
        <w:rPr>
          <w:rFonts w:ascii="Open Sans" w:eastAsiaTheme="minorHAnsi" w:hAnsi="Open Sans" w:cs="Open Sans"/>
          <w:b/>
          <w:sz w:val="20"/>
          <w:szCs w:val="20"/>
        </w:rPr>
        <w:lastRenderedPageBreak/>
        <w:t xml:space="preserve">digitales (LOPD-GDD), organizado por ADEIT. </w:t>
      </w:r>
      <w:r w:rsidRPr="00A07BE9">
        <w:rPr>
          <w:rFonts w:ascii="Open Sans" w:eastAsiaTheme="minorHAnsi" w:hAnsi="Open Sans" w:cs="Open Sans"/>
          <w:sz w:val="20"/>
          <w:szCs w:val="20"/>
        </w:rPr>
        <w:t xml:space="preserve">Participación de seis miembros (4 </w:t>
      </w:r>
      <w:r w:rsidR="00967F71" w:rsidRPr="00A07BE9">
        <w:rPr>
          <w:rFonts w:ascii="Open Sans" w:eastAsiaTheme="minorHAnsi" w:hAnsi="Open Sans" w:cs="Open Sans"/>
          <w:sz w:val="20"/>
          <w:szCs w:val="20"/>
        </w:rPr>
        <w:t>mujeres</w:t>
      </w:r>
      <w:r w:rsidRPr="00A07BE9">
        <w:rPr>
          <w:rFonts w:ascii="Open Sans" w:eastAsiaTheme="minorHAnsi" w:hAnsi="Open Sans" w:cs="Open Sans"/>
          <w:noProof/>
          <w:sz w:val="20"/>
          <w:szCs w:val="20"/>
        </w:rPr>
        <w:t xml:space="preserve"> y 2 </w:t>
      </w:r>
      <w:r w:rsidR="00967F71" w:rsidRPr="00A07BE9">
        <w:rPr>
          <w:rFonts w:ascii="Open Sans" w:eastAsiaTheme="minorHAnsi" w:hAnsi="Open Sans" w:cs="Open Sans"/>
          <w:noProof/>
          <w:sz w:val="20"/>
          <w:szCs w:val="20"/>
        </w:rPr>
        <w:t>hombres</w:t>
      </w:r>
      <w:r w:rsidRPr="00A07BE9">
        <w:rPr>
          <w:rFonts w:ascii="Open Sans" w:eastAsiaTheme="minorHAnsi" w:hAnsi="Open Sans" w:cs="Open Sans"/>
          <w:sz w:val="20"/>
          <w:szCs w:val="20"/>
        </w:rPr>
        <w:t>) de tres Direcciones de la Agencia: Asuntos Jurídicos, Análisis e Investigación y Administración, con una valoración global de 6,5. Duración: 15 horas.</w:t>
      </w:r>
    </w:p>
    <w:p w14:paraId="5BFC79DD" w14:textId="77777777" w:rsidR="004C14BF" w:rsidRPr="00A07BE9" w:rsidRDefault="004C14BF" w:rsidP="004C14BF">
      <w:pPr>
        <w:spacing w:after="0" w:line="276" w:lineRule="auto"/>
        <w:ind w:left="720"/>
        <w:contextualSpacing/>
        <w:jc w:val="both"/>
        <w:rPr>
          <w:rFonts w:ascii="Open Sans" w:eastAsiaTheme="minorHAnsi" w:hAnsi="Open Sans" w:cs="Open Sans"/>
          <w:sz w:val="20"/>
          <w:szCs w:val="20"/>
        </w:rPr>
      </w:pPr>
    </w:p>
    <w:p w14:paraId="53F2908D" w14:textId="573B5E22" w:rsidR="00A140F9" w:rsidRPr="00A07BE9" w:rsidRDefault="00A140F9" w:rsidP="00637696">
      <w:pPr>
        <w:numPr>
          <w:ilvl w:val="0"/>
          <w:numId w:val="10"/>
        </w:numPr>
        <w:spacing w:after="0" w:line="276" w:lineRule="auto"/>
        <w:contextualSpacing/>
        <w:jc w:val="both"/>
        <w:rPr>
          <w:rFonts w:ascii="Open Sans" w:eastAsiaTheme="minorHAnsi" w:hAnsi="Open Sans" w:cs="Open Sans"/>
          <w:sz w:val="20"/>
          <w:szCs w:val="20"/>
        </w:rPr>
      </w:pPr>
      <w:r w:rsidRPr="00A07BE9">
        <w:rPr>
          <w:rFonts w:ascii="Open Sans" w:eastAsiaTheme="minorHAnsi" w:hAnsi="Open Sans" w:cs="Open Sans"/>
          <w:sz w:val="20"/>
          <w:szCs w:val="20"/>
        </w:rPr>
        <w:t xml:space="preserve">12 y 13 de marzo. </w:t>
      </w:r>
      <w:r w:rsidRPr="00A07BE9">
        <w:rPr>
          <w:rFonts w:ascii="Open Sans" w:eastAsiaTheme="minorHAnsi" w:hAnsi="Open Sans" w:cs="Open Sans"/>
          <w:b/>
          <w:sz w:val="20"/>
          <w:szCs w:val="20"/>
        </w:rPr>
        <w:t xml:space="preserve">Jornadas ESPACIO COMPLIANCE El denunciante desamparado. </w:t>
      </w:r>
      <w:r w:rsidRPr="00A07BE9">
        <w:rPr>
          <w:rFonts w:ascii="Open Sans" w:eastAsiaTheme="minorHAnsi" w:hAnsi="Open Sans" w:cs="Open Sans"/>
          <w:sz w:val="20"/>
          <w:szCs w:val="20"/>
        </w:rPr>
        <w:t>La Comisión Nacional de Valores y la Competencia organizó en Madrid estas jornadas con la participación de (</w:t>
      </w:r>
      <w:r w:rsidR="0005287A">
        <w:rPr>
          <w:rFonts w:ascii="Open Sans" w:eastAsiaTheme="minorHAnsi" w:hAnsi="Open Sans" w:cs="Open Sans"/>
          <w:sz w:val="20"/>
          <w:szCs w:val="20"/>
        </w:rPr>
        <w:t>2</w:t>
      </w:r>
      <w:r w:rsidRPr="00A07BE9">
        <w:rPr>
          <w:rFonts w:ascii="Open Sans" w:eastAsiaTheme="minorHAnsi" w:hAnsi="Open Sans" w:cs="Open Sans"/>
          <w:sz w:val="20"/>
          <w:szCs w:val="20"/>
        </w:rPr>
        <w:t xml:space="preserve"> </w:t>
      </w:r>
      <w:r w:rsidR="00967F71" w:rsidRPr="00A07BE9">
        <w:rPr>
          <w:rFonts w:ascii="Open Sans" w:eastAsiaTheme="minorHAnsi" w:hAnsi="Open Sans" w:cs="Open Sans"/>
          <w:sz w:val="20"/>
          <w:szCs w:val="20"/>
        </w:rPr>
        <w:t>mujeres</w:t>
      </w:r>
      <w:r w:rsidRPr="00A07BE9">
        <w:rPr>
          <w:rFonts w:ascii="Open Sans" w:eastAsiaTheme="minorHAnsi" w:hAnsi="Open Sans" w:cs="Open Sans"/>
          <w:sz w:val="20"/>
          <w:szCs w:val="20"/>
        </w:rPr>
        <w:t>) representantes de la Dirección de Asuntos Jurídicos. Con una valoración muy positiva de la actividad (9/10). Duración: 4 horas.</w:t>
      </w:r>
    </w:p>
    <w:p w14:paraId="1BA04359" w14:textId="77777777" w:rsidR="00A140F9" w:rsidRPr="00A07BE9" w:rsidRDefault="00A140F9" w:rsidP="00A140F9">
      <w:pPr>
        <w:spacing w:after="0" w:line="276" w:lineRule="auto"/>
        <w:ind w:left="720"/>
        <w:contextualSpacing/>
        <w:jc w:val="both"/>
        <w:rPr>
          <w:rFonts w:ascii="Open Sans" w:eastAsiaTheme="minorHAnsi" w:hAnsi="Open Sans" w:cs="Open Sans"/>
          <w:sz w:val="20"/>
          <w:szCs w:val="20"/>
        </w:rPr>
      </w:pPr>
    </w:p>
    <w:p w14:paraId="6E4463CD" w14:textId="0CFBAC9A" w:rsidR="00A140F9" w:rsidRPr="00A07BE9" w:rsidRDefault="00A140F9" w:rsidP="00637696">
      <w:pPr>
        <w:numPr>
          <w:ilvl w:val="0"/>
          <w:numId w:val="10"/>
        </w:numPr>
        <w:spacing w:after="0" w:line="276" w:lineRule="auto"/>
        <w:contextualSpacing/>
        <w:jc w:val="both"/>
        <w:rPr>
          <w:rFonts w:ascii="Open Sans" w:eastAsiaTheme="minorHAnsi" w:hAnsi="Open Sans" w:cs="Open Sans"/>
          <w:sz w:val="20"/>
          <w:szCs w:val="20"/>
        </w:rPr>
      </w:pPr>
      <w:r w:rsidRPr="00A07BE9">
        <w:rPr>
          <w:rFonts w:ascii="Open Sans" w:eastAsiaTheme="minorHAnsi" w:hAnsi="Open Sans" w:cs="Open Sans"/>
          <w:sz w:val="20"/>
          <w:szCs w:val="20"/>
        </w:rPr>
        <w:t>28 de mayo al 27 de jun</w:t>
      </w:r>
      <w:r w:rsidR="003C2FAB" w:rsidRPr="00A07BE9">
        <w:rPr>
          <w:rFonts w:ascii="Open Sans" w:eastAsiaTheme="minorHAnsi" w:hAnsi="Open Sans" w:cs="Open Sans"/>
          <w:sz w:val="20"/>
          <w:szCs w:val="20"/>
        </w:rPr>
        <w:t>io</w:t>
      </w:r>
      <w:r w:rsidRPr="00A07BE9">
        <w:rPr>
          <w:rFonts w:ascii="Open Sans" w:eastAsiaTheme="minorHAnsi" w:hAnsi="Open Sans" w:cs="Open Sans"/>
          <w:sz w:val="20"/>
          <w:szCs w:val="20"/>
        </w:rPr>
        <w:t>.</w:t>
      </w:r>
      <w:r w:rsidRPr="00A07BE9">
        <w:rPr>
          <w:rFonts w:ascii="Open Sans" w:eastAsiaTheme="minorHAnsi" w:hAnsi="Open Sans" w:cs="Open Sans"/>
          <w:b/>
          <w:sz w:val="20"/>
          <w:szCs w:val="20"/>
        </w:rPr>
        <w:t xml:space="preserve"> Curs inclusiu en valencià (en línea)</w:t>
      </w:r>
      <w:r w:rsidRPr="00A07BE9">
        <w:rPr>
          <w:rFonts w:ascii="Open Sans" w:eastAsiaTheme="minorHAnsi" w:hAnsi="Open Sans" w:cs="Open Sans"/>
          <w:sz w:val="20"/>
          <w:szCs w:val="20"/>
        </w:rPr>
        <w:t xml:space="preserve">. Con la participación de </w:t>
      </w:r>
      <w:r w:rsidR="000D3A46">
        <w:rPr>
          <w:rFonts w:ascii="Open Sans" w:eastAsiaTheme="minorHAnsi" w:hAnsi="Open Sans" w:cs="Open Sans"/>
          <w:sz w:val="20"/>
          <w:szCs w:val="20"/>
        </w:rPr>
        <w:t>1</w:t>
      </w:r>
      <w:r w:rsidRPr="00A07BE9">
        <w:rPr>
          <w:rFonts w:ascii="Open Sans" w:eastAsiaTheme="minorHAnsi" w:hAnsi="Open Sans" w:cs="Open Sans"/>
          <w:sz w:val="20"/>
          <w:szCs w:val="20"/>
        </w:rPr>
        <w:t xml:space="preserve"> representante de la Agencia. Organizado dentro del Plan de Formación de la Diputación Provincial de Valencia. Duración 6 horas.</w:t>
      </w:r>
    </w:p>
    <w:p w14:paraId="50B5B1B3" w14:textId="77777777" w:rsidR="00A140F9" w:rsidRPr="00A07BE9" w:rsidRDefault="00A140F9" w:rsidP="00A140F9">
      <w:pPr>
        <w:spacing w:after="0" w:line="276" w:lineRule="auto"/>
        <w:ind w:left="720"/>
        <w:contextualSpacing/>
        <w:rPr>
          <w:rFonts w:ascii="Open Sans" w:eastAsiaTheme="minorHAnsi" w:hAnsi="Open Sans" w:cs="Open Sans"/>
          <w:sz w:val="20"/>
          <w:szCs w:val="20"/>
        </w:rPr>
      </w:pPr>
    </w:p>
    <w:p w14:paraId="656EEE2D" w14:textId="21F0AC28" w:rsidR="00A140F9" w:rsidRPr="00A07BE9" w:rsidRDefault="00A140F9" w:rsidP="00637696">
      <w:pPr>
        <w:numPr>
          <w:ilvl w:val="0"/>
          <w:numId w:val="10"/>
        </w:numPr>
        <w:spacing w:after="0" w:line="276" w:lineRule="auto"/>
        <w:contextualSpacing/>
        <w:jc w:val="both"/>
        <w:rPr>
          <w:rFonts w:ascii="Open Sans" w:eastAsiaTheme="minorHAnsi" w:hAnsi="Open Sans" w:cs="Open Sans"/>
          <w:sz w:val="20"/>
          <w:szCs w:val="20"/>
        </w:rPr>
      </w:pPr>
      <w:r w:rsidRPr="00A07BE9">
        <w:rPr>
          <w:rFonts w:ascii="Open Sans" w:eastAsiaTheme="minorHAnsi" w:hAnsi="Open Sans" w:cs="Open Sans"/>
          <w:sz w:val="20"/>
          <w:szCs w:val="20"/>
        </w:rPr>
        <w:t xml:space="preserve">Por </w:t>
      </w:r>
      <w:r w:rsidR="00CE2DC9">
        <w:rPr>
          <w:rFonts w:ascii="Open Sans" w:eastAsiaTheme="minorHAnsi" w:hAnsi="Open Sans" w:cs="Open Sans"/>
          <w:sz w:val="20"/>
          <w:szCs w:val="20"/>
        </w:rPr>
        <w:t>R</w:t>
      </w:r>
      <w:r w:rsidRPr="00A07BE9">
        <w:rPr>
          <w:rFonts w:ascii="Open Sans" w:eastAsiaTheme="minorHAnsi" w:hAnsi="Open Sans" w:cs="Open Sans"/>
          <w:sz w:val="20"/>
          <w:szCs w:val="20"/>
        </w:rPr>
        <w:t xml:space="preserve">esolución del Lletrat Major de les Corts Valencianes, de 8 de noviembre de 2019, el personal de la Agencia forma parte de la convocatoria de </w:t>
      </w:r>
      <w:r w:rsidRPr="00A07BE9">
        <w:rPr>
          <w:rFonts w:ascii="Open Sans" w:eastAsiaTheme="minorHAnsi" w:hAnsi="Open Sans" w:cs="Open Sans"/>
          <w:b/>
          <w:sz w:val="20"/>
          <w:szCs w:val="20"/>
        </w:rPr>
        <w:t>cursos de Valencià</w:t>
      </w:r>
      <w:r w:rsidRPr="00A07BE9">
        <w:rPr>
          <w:rFonts w:ascii="Open Sans" w:eastAsiaTheme="minorHAnsi" w:hAnsi="Open Sans" w:cs="Open Sans"/>
          <w:sz w:val="20"/>
          <w:szCs w:val="20"/>
        </w:rPr>
        <w:t xml:space="preserve"> de la Direcció de Política Lingüística i Gestió del Multilingüisme, gestionadas por </w:t>
      </w:r>
      <w:r w:rsidR="00934635" w:rsidRPr="00A07BE9">
        <w:rPr>
          <w:rFonts w:ascii="Open Sans" w:eastAsiaTheme="minorHAnsi" w:hAnsi="Open Sans" w:cs="Open Sans"/>
          <w:sz w:val="20"/>
          <w:szCs w:val="20"/>
        </w:rPr>
        <w:t>l</w:t>
      </w:r>
      <w:r w:rsidRPr="00A07BE9">
        <w:rPr>
          <w:rFonts w:ascii="Open Sans" w:eastAsiaTheme="minorHAnsi" w:hAnsi="Open Sans" w:cs="Open Sans"/>
          <w:sz w:val="20"/>
          <w:szCs w:val="20"/>
        </w:rPr>
        <w:t xml:space="preserve">es Corts en la campaña 2019-2020. Los cursos, en sus diferentes niveles, han permitido el acceso a la formación del valenciano a 22 miembros de la Agencia, 18 </w:t>
      </w:r>
      <w:r w:rsidR="00967F71" w:rsidRPr="00A07BE9">
        <w:rPr>
          <w:rFonts w:ascii="Open Sans" w:eastAsiaTheme="minorHAnsi" w:hAnsi="Open Sans" w:cs="Open Sans"/>
          <w:sz w:val="20"/>
          <w:szCs w:val="20"/>
        </w:rPr>
        <w:t>mujeres</w:t>
      </w:r>
      <w:r w:rsidRPr="00A07BE9">
        <w:rPr>
          <w:rFonts w:ascii="Open Sans" w:eastAsiaTheme="minorHAnsi" w:hAnsi="Open Sans" w:cs="Open Sans"/>
          <w:noProof/>
          <w:sz w:val="20"/>
          <w:szCs w:val="20"/>
        </w:rPr>
        <w:t xml:space="preserve"> </w:t>
      </w:r>
      <w:r w:rsidRPr="00A07BE9">
        <w:rPr>
          <w:rFonts w:ascii="Open Sans" w:eastAsiaTheme="minorHAnsi" w:hAnsi="Open Sans" w:cs="Open Sans"/>
          <w:sz w:val="20"/>
          <w:szCs w:val="20"/>
        </w:rPr>
        <w:t xml:space="preserve">y 4 </w:t>
      </w:r>
      <w:r w:rsidR="00967F71" w:rsidRPr="00A07BE9">
        <w:rPr>
          <w:rFonts w:ascii="Open Sans" w:eastAsiaTheme="minorHAnsi" w:hAnsi="Open Sans" w:cs="Open Sans"/>
          <w:sz w:val="20"/>
          <w:szCs w:val="20"/>
        </w:rPr>
        <w:t>hombres</w:t>
      </w:r>
      <w:r w:rsidRPr="00A07BE9">
        <w:rPr>
          <w:rFonts w:ascii="Open Sans" w:eastAsiaTheme="minorHAnsi" w:hAnsi="Open Sans" w:cs="Open Sans"/>
          <w:sz w:val="20"/>
          <w:szCs w:val="20"/>
        </w:rPr>
        <w:t>.</w:t>
      </w:r>
    </w:p>
    <w:p w14:paraId="6BB41F7E" w14:textId="77777777" w:rsidR="00A140F9" w:rsidRPr="00A07BE9" w:rsidRDefault="00A140F9" w:rsidP="00A140F9">
      <w:pPr>
        <w:spacing w:after="0" w:line="276" w:lineRule="auto"/>
        <w:ind w:left="720"/>
        <w:contextualSpacing/>
        <w:rPr>
          <w:rFonts w:ascii="Open Sans" w:eastAsiaTheme="minorHAnsi" w:hAnsi="Open Sans" w:cs="Open Sans"/>
          <w:sz w:val="20"/>
          <w:szCs w:val="20"/>
        </w:rPr>
      </w:pPr>
    </w:p>
    <w:p w14:paraId="78291B3B" w14:textId="1FE3110F" w:rsidR="00A140F9" w:rsidRPr="00A07BE9" w:rsidRDefault="00A140F9" w:rsidP="00637696">
      <w:pPr>
        <w:numPr>
          <w:ilvl w:val="0"/>
          <w:numId w:val="10"/>
        </w:numPr>
        <w:spacing w:after="0" w:line="276" w:lineRule="auto"/>
        <w:contextualSpacing/>
        <w:jc w:val="both"/>
        <w:rPr>
          <w:rFonts w:ascii="Open Sans" w:eastAsiaTheme="minorHAnsi" w:hAnsi="Open Sans" w:cs="Open Sans"/>
          <w:sz w:val="20"/>
          <w:szCs w:val="20"/>
        </w:rPr>
      </w:pPr>
      <w:r w:rsidRPr="00A07BE9">
        <w:rPr>
          <w:rFonts w:ascii="Open Sans" w:eastAsiaTheme="minorHAnsi" w:hAnsi="Open Sans" w:cs="Open Sans"/>
          <w:sz w:val="20"/>
          <w:szCs w:val="20"/>
        </w:rPr>
        <w:t xml:space="preserve">Los días 18 y 25 de septiembre se celebraron en la sede de la UNED en València, sendos talleres de 5 horas para un primer grupo de profesionales de la Agencia sobre la </w:t>
      </w:r>
      <w:r w:rsidRPr="00A07BE9">
        <w:rPr>
          <w:rFonts w:ascii="Open Sans" w:eastAsiaTheme="minorHAnsi" w:hAnsi="Open Sans" w:cs="Open Sans"/>
          <w:b/>
          <w:sz w:val="20"/>
          <w:szCs w:val="20"/>
        </w:rPr>
        <w:t>Introducción a la Administración Electrónica (I)</w:t>
      </w:r>
      <w:r w:rsidRPr="00A07BE9">
        <w:rPr>
          <w:rFonts w:ascii="Open Sans" w:eastAsiaTheme="minorHAnsi" w:hAnsi="Open Sans" w:cs="Open Sans"/>
          <w:sz w:val="20"/>
          <w:szCs w:val="20"/>
        </w:rPr>
        <w:t>. En esta primera fase donde se impartieron aspectos más generales, por parte de la empresa GUADALTEL, encargada para el desarrollo de la aplicación informática en la Agencia, participaron 14 profesionales (5</w:t>
      </w:r>
      <w:r w:rsidRPr="00A07BE9">
        <w:rPr>
          <w:rFonts w:ascii="Open Sans" w:eastAsiaTheme="minorHAnsi" w:hAnsi="Open Sans" w:cs="Open Sans"/>
          <w:noProof/>
          <w:sz w:val="20"/>
          <w:szCs w:val="20"/>
        </w:rPr>
        <w:t xml:space="preserve"> </w:t>
      </w:r>
      <w:r w:rsidR="00967F71" w:rsidRPr="00A07BE9">
        <w:rPr>
          <w:rFonts w:ascii="Open Sans" w:eastAsiaTheme="minorHAnsi" w:hAnsi="Open Sans" w:cs="Open Sans"/>
          <w:noProof/>
          <w:sz w:val="20"/>
          <w:szCs w:val="20"/>
        </w:rPr>
        <w:t>mujeres</w:t>
      </w:r>
      <w:r w:rsidRPr="00A07BE9">
        <w:rPr>
          <w:rFonts w:ascii="Open Sans" w:eastAsiaTheme="minorHAnsi" w:hAnsi="Open Sans" w:cs="Open Sans"/>
          <w:sz w:val="20"/>
          <w:szCs w:val="20"/>
        </w:rPr>
        <w:t xml:space="preserve"> y 9</w:t>
      </w:r>
      <w:r w:rsidRPr="00A07BE9">
        <w:rPr>
          <w:rFonts w:ascii="Open Sans" w:eastAsiaTheme="minorHAnsi" w:hAnsi="Open Sans" w:cs="Open Sans"/>
          <w:noProof/>
          <w:sz w:val="20"/>
          <w:szCs w:val="20"/>
        </w:rPr>
        <w:t xml:space="preserve"> </w:t>
      </w:r>
      <w:r w:rsidR="00967F71" w:rsidRPr="00A07BE9">
        <w:rPr>
          <w:rFonts w:ascii="Open Sans" w:eastAsiaTheme="minorHAnsi" w:hAnsi="Open Sans" w:cs="Open Sans"/>
          <w:noProof/>
          <w:sz w:val="20"/>
          <w:szCs w:val="20"/>
        </w:rPr>
        <w:t>hombres</w:t>
      </w:r>
      <w:r w:rsidRPr="00A07BE9">
        <w:rPr>
          <w:rFonts w:ascii="Open Sans" w:eastAsiaTheme="minorHAnsi" w:hAnsi="Open Sans" w:cs="Open Sans"/>
          <w:sz w:val="20"/>
          <w:szCs w:val="20"/>
        </w:rPr>
        <w:t>) con una valoración muy positiva (8,3/10).</w:t>
      </w:r>
    </w:p>
    <w:p w14:paraId="5C06AD61" w14:textId="77777777" w:rsidR="00A140F9" w:rsidRPr="00A07BE9" w:rsidRDefault="00A140F9" w:rsidP="00A140F9">
      <w:pPr>
        <w:spacing w:after="0" w:line="276" w:lineRule="auto"/>
        <w:ind w:left="720"/>
        <w:contextualSpacing/>
        <w:jc w:val="both"/>
        <w:rPr>
          <w:rFonts w:ascii="Open Sans" w:eastAsiaTheme="minorHAnsi" w:hAnsi="Open Sans" w:cs="Open Sans"/>
          <w:sz w:val="20"/>
          <w:szCs w:val="20"/>
        </w:rPr>
      </w:pPr>
    </w:p>
    <w:p w14:paraId="07364153" w14:textId="0FEF799C" w:rsidR="00A140F9" w:rsidRPr="00A07BE9" w:rsidRDefault="00A140F9" w:rsidP="00637696">
      <w:pPr>
        <w:numPr>
          <w:ilvl w:val="0"/>
          <w:numId w:val="10"/>
        </w:numPr>
        <w:spacing w:after="0" w:line="276" w:lineRule="auto"/>
        <w:contextualSpacing/>
        <w:jc w:val="both"/>
        <w:rPr>
          <w:rFonts w:ascii="Open Sans" w:eastAsiaTheme="minorHAnsi" w:hAnsi="Open Sans" w:cs="Open Sans"/>
          <w:sz w:val="20"/>
          <w:szCs w:val="20"/>
        </w:rPr>
      </w:pPr>
      <w:r w:rsidRPr="00A07BE9">
        <w:rPr>
          <w:rFonts w:ascii="Open Sans" w:eastAsiaTheme="minorHAnsi" w:hAnsi="Open Sans" w:cs="Open Sans"/>
          <w:sz w:val="20"/>
          <w:szCs w:val="20"/>
        </w:rPr>
        <w:t xml:space="preserve">27 y 28 de noviembre. </w:t>
      </w:r>
      <w:r w:rsidRPr="00A07BE9">
        <w:rPr>
          <w:rFonts w:ascii="Open Sans" w:eastAsiaTheme="minorHAnsi" w:hAnsi="Open Sans" w:cs="Open Sans"/>
          <w:b/>
          <w:sz w:val="20"/>
          <w:szCs w:val="20"/>
        </w:rPr>
        <w:t>Seminario de Gestión Documental</w:t>
      </w:r>
      <w:r w:rsidRPr="00A07BE9">
        <w:rPr>
          <w:rFonts w:ascii="Open Sans" w:eastAsiaTheme="minorHAnsi" w:hAnsi="Open Sans" w:cs="Open Sans"/>
          <w:sz w:val="20"/>
          <w:szCs w:val="20"/>
        </w:rPr>
        <w:t xml:space="preserve">. Formación vinculada al proyecto de confección de un sistema de gestión documental en el contexto de implantación de la administración electrónica en la Agencia. Se abordó el concepto de gestión documental y los instrumentos para desarrollarla, cómo gestionar la información en las organizaciones, el concepto de archivo, con la intención de hacer partícipe a todo el personal de la Agencia en el proceso de transformación digital. Participaron todos los efectivos de la Agencia: 29 (18 </w:t>
      </w:r>
      <w:r w:rsidR="00967F71" w:rsidRPr="00A07BE9">
        <w:rPr>
          <w:rFonts w:ascii="Open Sans" w:eastAsiaTheme="minorHAnsi" w:hAnsi="Open Sans" w:cs="Open Sans"/>
          <w:sz w:val="20"/>
          <w:szCs w:val="20"/>
        </w:rPr>
        <w:t>mujeres</w:t>
      </w:r>
      <w:r w:rsidRPr="00A07BE9">
        <w:rPr>
          <w:rFonts w:ascii="Open Sans" w:eastAsiaTheme="minorHAnsi" w:hAnsi="Open Sans" w:cs="Open Sans"/>
          <w:sz w:val="20"/>
          <w:szCs w:val="20"/>
        </w:rPr>
        <w:t xml:space="preserve"> y 11</w:t>
      </w:r>
      <w:r w:rsidRPr="00A07BE9">
        <w:rPr>
          <w:rFonts w:ascii="Open Sans" w:eastAsiaTheme="minorHAnsi" w:hAnsi="Open Sans" w:cs="Open Sans"/>
          <w:noProof/>
          <w:sz w:val="20"/>
          <w:szCs w:val="20"/>
        </w:rPr>
        <w:t xml:space="preserve"> </w:t>
      </w:r>
      <w:r w:rsidR="00967F71" w:rsidRPr="00A07BE9">
        <w:rPr>
          <w:rFonts w:ascii="Open Sans" w:eastAsiaTheme="minorHAnsi" w:hAnsi="Open Sans" w:cs="Open Sans"/>
          <w:noProof/>
          <w:sz w:val="20"/>
          <w:szCs w:val="20"/>
        </w:rPr>
        <w:t>hombres</w:t>
      </w:r>
      <w:r w:rsidRPr="00A07BE9">
        <w:rPr>
          <w:rFonts w:ascii="Open Sans" w:eastAsiaTheme="minorHAnsi" w:hAnsi="Open Sans" w:cs="Open Sans"/>
          <w:sz w:val="20"/>
          <w:szCs w:val="20"/>
        </w:rPr>
        <w:t>) Duración: 6 horas</w:t>
      </w:r>
      <w:r w:rsidR="00C0591F" w:rsidRPr="00A07BE9">
        <w:rPr>
          <w:rFonts w:ascii="Open Sans" w:eastAsiaTheme="minorHAnsi" w:hAnsi="Open Sans" w:cs="Open Sans"/>
          <w:sz w:val="20"/>
          <w:szCs w:val="20"/>
        </w:rPr>
        <w:t>, con una valoración muy positiva (8,94/10).</w:t>
      </w:r>
      <w:r w:rsidRPr="00A07BE9">
        <w:rPr>
          <w:rFonts w:ascii="Open Sans" w:eastAsiaTheme="minorHAnsi" w:hAnsi="Open Sans" w:cs="Open Sans"/>
          <w:sz w:val="20"/>
          <w:szCs w:val="20"/>
        </w:rPr>
        <w:t xml:space="preserve"> </w:t>
      </w:r>
    </w:p>
    <w:p w14:paraId="4774D3E2" w14:textId="77777777" w:rsidR="00A140F9" w:rsidRPr="00A07BE9" w:rsidRDefault="00A140F9" w:rsidP="00A140F9">
      <w:pPr>
        <w:spacing w:after="0" w:line="276" w:lineRule="auto"/>
        <w:ind w:left="720"/>
        <w:contextualSpacing/>
        <w:jc w:val="both"/>
        <w:rPr>
          <w:rFonts w:ascii="Open Sans" w:eastAsiaTheme="minorHAnsi" w:hAnsi="Open Sans" w:cs="Open Sans"/>
          <w:sz w:val="20"/>
          <w:szCs w:val="20"/>
        </w:rPr>
      </w:pPr>
    </w:p>
    <w:p w14:paraId="24A302BF" w14:textId="626543AD" w:rsidR="0015081D" w:rsidRPr="00A07BE9" w:rsidRDefault="00A140F9" w:rsidP="004A3C1B">
      <w:pPr>
        <w:numPr>
          <w:ilvl w:val="0"/>
          <w:numId w:val="10"/>
        </w:numPr>
        <w:spacing w:after="0" w:line="276" w:lineRule="auto"/>
        <w:contextualSpacing/>
        <w:jc w:val="both"/>
        <w:rPr>
          <w:rFonts w:ascii="Open Sans" w:eastAsiaTheme="minorHAnsi" w:hAnsi="Open Sans" w:cs="Open Sans"/>
          <w:sz w:val="20"/>
          <w:szCs w:val="20"/>
        </w:rPr>
      </w:pPr>
      <w:r w:rsidRPr="00A07BE9">
        <w:rPr>
          <w:rFonts w:ascii="Open Sans" w:eastAsiaTheme="minorHAnsi" w:hAnsi="Open Sans" w:cs="Open Sans"/>
          <w:sz w:val="20"/>
          <w:szCs w:val="20"/>
        </w:rPr>
        <w:t xml:space="preserve">Los días 10 y 12 de diciembre se celebraron, en la sede de la UNED de València, dos nuevos talleres sobre </w:t>
      </w:r>
      <w:r w:rsidRPr="00A07BE9">
        <w:rPr>
          <w:rFonts w:ascii="Open Sans" w:eastAsiaTheme="minorHAnsi" w:hAnsi="Open Sans" w:cs="Open Sans"/>
          <w:b/>
          <w:sz w:val="20"/>
          <w:szCs w:val="20"/>
        </w:rPr>
        <w:t>Administración Electrónica (II)</w:t>
      </w:r>
      <w:r w:rsidRPr="00A07BE9">
        <w:rPr>
          <w:rFonts w:ascii="Open Sans" w:eastAsiaTheme="minorHAnsi" w:hAnsi="Open Sans" w:cs="Open Sans"/>
          <w:sz w:val="20"/>
          <w:szCs w:val="20"/>
        </w:rPr>
        <w:t xml:space="preserve"> donde se avanzó en los contenidos de las distintas fases superadas del proyecto informático: catálogo de procedimientos, gestión de expedientes y ejercicios prácticos. El grupo de participantes de la Agencia fuero 14 profesionales (10</w:t>
      </w:r>
      <w:r w:rsidRPr="00A07BE9">
        <w:rPr>
          <w:rFonts w:ascii="Open Sans" w:eastAsiaTheme="minorHAnsi" w:hAnsi="Open Sans" w:cs="Open Sans"/>
          <w:noProof/>
          <w:sz w:val="20"/>
          <w:szCs w:val="20"/>
        </w:rPr>
        <w:t xml:space="preserve"> </w:t>
      </w:r>
      <w:r w:rsidR="00967F71" w:rsidRPr="00A07BE9">
        <w:rPr>
          <w:rFonts w:ascii="Open Sans" w:eastAsiaTheme="minorHAnsi" w:hAnsi="Open Sans" w:cs="Open Sans"/>
          <w:noProof/>
          <w:sz w:val="20"/>
          <w:szCs w:val="20"/>
        </w:rPr>
        <w:t>mujeres</w:t>
      </w:r>
      <w:r w:rsidRPr="00A07BE9">
        <w:rPr>
          <w:rFonts w:ascii="Open Sans" w:eastAsiaTheme="minorHAnsi" w:hAnsi="Open Sans" w:cs="Open Sans"/>
          <w:noProof/>
          <w:sz w:val="20"/>
          <w:szCs w:val="20"/>
        </w:rPr>
        <w:t xml:space="preserve"> y 4 </w:t>
      </w:r>
      <w:r w:rsidR="00967F71" w:rsidRPr="00A07BE9">
        <w:rPr>
          <w:rFonts w:ascii="Open Sans" w:eastAsiaTheme="minorHAnsi" w:hAnsi="Open Sans" w:cs="Open Sans"/>
          <w:noProof/>
          <w:sz w:val="20"/>
          <w:szCs w:val="20"/>
        </w:rPr>
        <w:t>hombres</w:t>
      </w:r>
      <w:r w:rsidRPr="00A07BE9">
        <w:rPr>
          <w:rFonts w:ascii="Open Sans" w:eastAsiaTheme="minorHAnsi" w:hAnsi="Open Sans" w:cs="Open Sans"/>
          <w:sz w:val="20"/>
          <w:szCs w:val="20"/>
        </w:rPr>
        <w:t xml:space="preserve">). En estas sesiones se evidenció una falta de desarrollo de la aplicación en relación con las </w:t>
      </w:r>
      <w:r w:rsidRPr="00A07BE9">
        <w:rPr>
          <w:rFonts w:ascii="Open Sans" w:eastAsiaTheme="minorHAnsi" w:hAnsi="Open Sans" w:cs="Open Sans"/>
          <w:sz w:val="20"/>
          <w:szCs w:val="20"/>
        </w:rPr>
        <w:lastRenderedPageBreak/>
        <w:t>necesidades de la Agencia, que se tradujo en una imposibilidad de ejecución de las practicas anunciadas y una muy deficiente valoración final (3,5/10).</w:t>
      </w:r>
    </w:p>
    <w:p w14:paraId="41FC196B" w14:textId="77777777" w:rsidR="005F0A1F" w:rsidRPr="00A07BE9" w:rsidRDefault="005F0A1F" w:rsidP="004A3C1B">
      <w:pPr>
        <w:spacing w:after="0" w:line="276" w:lineRule="auto"/>
        <w:contextualSpacing/>
        <w:jc w:val="both"/>
        <w:rPr>
          <w:rFonts w:ascii="Open Sans" w:eastAsiaTheme="minorHAnsi" w:hAnsi="Open Sans" w:cs="Open Sans"/>
          <w:sz w:val="20"/>
          <w:szCs w:val="20"/>
        </w:rPr>
      </w:pPr>
    </w:p>
    <w:p w14:paraId="12424ADC" w14:textId="62A099E0" w:rsidR="00A140F9" w:rsidRPr="00A07BE9" w:rsidRDefault="00B24FF6" w:rsidP="00712E1B">
      <w:pPr>
        <w:spacing w:after="0" w:line="276" w:lineRule="auto"/>
        <w:contextualSpacing/>
        <w:rPr>
          <w:rFonts w:ascii="Open Sans" w:eastAsiaTheme="minorHAnsi" w:hAnsi="Open Sans" w:cs="Open Sans"/>
          <w:b/>
          <w:color w:val="9D2235"/>
          <w:sz w:val="20"/>
          <w:szCs w:val="20"/>
        </w:rPr>
      </w:pPr>
      <w:bookmarkStart w:id="8" w:name="_Hlk31278351"/>
      <w:r w:rsidRPr="00A07BE9">
        <w:rPr>
          <w:rFonts w:ascii="Open Sans" w:eastAsiaTheme="minorHAnsi" w:hAnsi="Open Sans" w:cs="Open Sans"/>
          <w:b/>
          <w:color w:val="9D2235"/>
          <w:sz w:val="20"/>
          <w:szCs w:val="20"/>
        </w:rPr>
        <w:t xml:space="preserve">Tabla </w:t>
      </w:r>
      <w:r w:rsidR="00801280" w:rsidRPr="00A07BE9">
        <w:rPr>
          <w:rFonts w:ascii="Open Sans" w:eastAsiaTheme="minorHAnsi" w:hAnsi="Open Sans" w:cs="Open Sans"/>
          <w:b/>
          <w:color w:val="9D2235"/>
          <w:sz w:val="20"/>
          <w:szCs w:val="20"/>
        </w:rPr>
        <w:t>3</w:t>
      </w:r>
      <w:r w:rsidR="00712E1B" w:rsidRPr="00A07BE9">
        <w:rPr>
          <w:rFonts w:ascii="Open Sans" w:eastAsiaTheme="minorHAnsi" w:hAnsi="Open Sans" w:cs="Open Sans"/>
          <w:b/>
          <w:sz w:val="20"/>
          <w:szCs w:val="20"/>
        </w:rPr>
        <w:t xml:space="preserve">. </w:t>
      </w:r>
      <w:r w:rsidR="00A140F9" w:rsidRPr="00A07BE9">
        <w:rPr>
          <w:rFonts w:ascii="Open Sans" w:eastAsiaTheme="minorHAnsi" w:hAnsi="Open Sans" w:cs="Open Sans"/>
          <w:b/>
          <w:sz w:val="20"/>
          <w:szCs w:val="20"/>
        </w:rPr>
        <w:t xml:space="preserve">Formación </w:t>
      </w:r>
      <w:r w:rsidR="00FA6F43" w:rsidRPr="00A07BE9">
        <w:rPr>
          <w:rFonts w:ascii="Open Sans" w:eastAsiaTheme="minorHAnsi" w:hAnsi="Open Sans" w:cs="Open Sans"/>
          <w:b/>
          <w:sz w:val="20"/>
          <w:szCs w:val="20"/>
        </w:rPr>
        <w:t xml:space="preserve">interna </w:t>
      </w:r>
      <w:r w:rsidR="00A140F9" w:rsidRPr="00A07BE9">
        <w:rPr>
          <w:rFonts w:ascii="Open Sans" w:eastAsiaTheme="minorHAnsi" w:hAnsi="Open Sans" w:cs="Open Sans"/>
          <w:b/>
          <w:sz w:val="20"/>
          <w:szCs w:val="20"/>
        </w:rPr>
        <w:t>de la A</w:t>
      </w:r>
      <w:r w:rsidR="009D7139" w:rsidRPr="00A07BE9">
        <w:rPr>
          <w:rFonts w:ascii="Open Sans" w:eastAsiaTheme="minorHAnsi" w:hAnsi="Open Sans" w:cs="Open Sans"/>
          <w:b/>
          <w:sz w:val="20"/>
          <w:szCs w:val="20"/>
        </w:rPr>
        <w:t>gencia</w:t>
      </w:r>
      <w:r w:rsidR="00A140F9" w:rsidRPr="00A07BE9">
        <w:rPr>
          <w:rFonts w:ascii="Open Sans" w:eastAsiaTheme="minorHAnsi" w:hAnsi="Open Sans" w:cs="Open Sans"/>
          <w:b/>
          <w:sz w:val="20"/>
          <w:szCs w:val="20"/>
        </w:rPr>
        <w:t xml:space="preserve"> 2019</w:t>
      </w:r>
    </w:p>
    <w:tbl>
      <w:tblPr>
        <w:tblStyle w:val="Tablaconcuadrcula"/>
        <w:tblW w:w="5340" w:type="pct"/>
        <w:tblInd w:w="-5" w:type="dxa"/>
        <w:tblLook w:val="04A0" w:firstRow="1" w:lastRow="0" w:firstColumn="1" w:lastColumn="0" w:noHBand="0" w:noVBand="1"/>
      </w:tblPr>
      <w:tblGrid>
        <w:gridCol w:w="2832"/>
        <w:gridCol w:w="1297"/>
        <w:gridCol w:w="1217"/>
        <w:gridCol w:w="824"/>
        <w:gridCol w:w="911"/>
        <w:gridCol w:w="779"/>
        <w:gridCol w:w="628"/>
        <w:gridCol w:w="584"/>
      </w:tblGrid>
      <w:tr w:rsidR="00A140F9" w:rsidRPr="00A07BE9" w14:paraId="3EFFB103" w14:textId="77777777" w:rsidTr="007511DC">
        <w:tc>
          <w:tcPr>
            <w:tcW w:w="5000" w:type="pct"/>
            <w:gridSpan w:val="8"/>
            <w:shd w:val="clear" w:color="auto" w:fill="A6A6A6" w:themeFill="background1" w:themeFillShade="A6"/>
          </w:tcPr>
          <w:p w14:paraId="143E8EF9" w14:textId="77777777" w:rsidR="00A140F9" w:rsidRPr="00A07BE9" w:rsidRDefault="00A140F9" w:rsidP="00A140F9">
            <w:pPr>
              <w:spacing w:line="276" w:lineRule="auto"/>
              <w:jc w:val="center"/>
              <w:rPr>
                <w:rFonts w:ascii="Open Sans" w:hAnsi="Open Sans" w:cs="Open Sans"/>
                <w:color w:val="FFFFFF" w:themeColor="background1"/>
                <w:sz w:val="16"/>
                <w:szCs w:val="16"/>
              </w:rPr>
            </w:pPr>
            <w:bookmarkStart w:id="9" w:name="_Hlk31120055"/>
            <w:bookmarkStart w:id="10" w:name="_Hlk31125503"/>
            <w:bookmarkEnd w:id="8"/>
            <w:r w:rsidRPr="00A07BE9">
              <w:rPr>
                <w:rFonts w:ascii="Open Sans" w:hAnsi="Open Sans" w:cs="Open Sans"/>
                <w:color w:val="FFFFFF" w:themeColor="background1"/>
                <w:sz w:val="16"/>
                <w:szCs w:val="16"/>
              </w:rPr>
              <w:t>FORMACION INTERNA DEL AMBITO INSTITUCIONAL</w:t>
            </w:r>
          </w:p>
        </w:tc>
      </w:tr>
      <w:bookmarkEnd w:id="9"/>
      <w:tr w:rsidR="00A140F9" w:rsidRPr="00A07BE9" w14:paraId="39924DE6" w14:textId="77777777" w:rsidTr="007511DC">
        <w:tc>
          <w:tcPr>
            <w:tcW w:w="1561" w:type="pct"/>
            <w:vAlign w:val="center"/>
          </w:tcPr>
          <w:p w14:paraId="72368FA9"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Actividad</w:t>
            </w:r>
          </w:p>
        </w:tc>
        <w:tc>
          <w:tcPr>
            <w:tcW w:w="715" w:type="pct"/>
            <w:vAlign w:val="center"/>
          </w:tcPr>
          <w:p w14:paraId="323242DA"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Fecha</w:t>
            </w:r>
          </w:p>
        </w:tc>
        <w:tc>
          <w:tcPr>
            <w:tcW w:w="671" w:type="pct"/>
            <w:vAlign w:val="center"/>
          </w:tcPr>
          <w:p w14:paraId="4D3B73CB"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Núm. asistentes</w:t>
            </w:r>
          </w:p>
        </w:tc>
        <w:tc>
          <w:tcPr>
            <w:tcW w:w="454" w:type="pct"/>
            <w:vAlign w:val="center"/>
          </w:tcPr>
          <w:p w14:paraId="7CD62156" w14:textId="77777777" w:rsidR="00A140F9" w:rsidRPr="00A07BE9" w:rsidRDefault="00A140F9" w:rsidP="00A140F9">
            <w:pPr>
              <w:spacing w:line="276" w:lineRule="auto"/>
              <w:jc w:val="center"/>
              <w:rPr>
                <w:rFonts w:ascii="Open Sans" w:hAnsi="Open Sans" w:cs="Open Sans"/>
                <w:noProof/>
                <w:sz w:val="16"/>
                <w:szCs w:val="16"/>
              </w:rPr>
            </w:pPr>
            <w:r w:rsidRPr="00A07BE9">
              <w:rPr>
                <w:rFonts w:ascii="Open Sans" w:hAnsi="Open Sans" w:cs="Open Sans"/>
                <w:noProof/>
                <w:sz w:val="16"/>
                <w:szCs w:val="16"/>
              </w:rPr>
              <w:t>Mujeres</w:t>
            </w:r>
          </w:p>
          <w:p w14:paraId="3DC9E457"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w:t>
            </w:r>
          </w:p>
        </w:tc>
        <w:tc>
          <w:tcPr>
            <w:tcW w:w="502" w:type="pct"/>
            <w:vAlign w:val="center"/>
          </w:tcPr>
          <w:p w14:paraId="0549C071" w14:textId="77777777" w:rsidR="00A140F9" w:rsidRPr="00A07BE9" w:rsidRDefault="00A140F9" w:rsidP="00A140F9">
            <w:pPr>
              <w:spacing w:line="276" w:lineRule="auto"/>
              <w:jc w:val="center"/>
              <w:rPr>
                <w:rFonts w:ascii="Open Sans" w:hAnsi="Open Sans" w:cs="Open Sans"/>
                <w:noProof/>
                <w:sz w:val="16"/>
                <w:szCs w:val="16"/>
              </w:rPr>
            </w:pPr>
            <w:r w:rsidRPr="00A07BE9">
              <w:rPr>
                <w:rFonts w:ascii="Open Sans" w:hAnsi="Open Sans" w:cs="Open Sans"/>
                <w:noProof/>
                <w:sz w:val="16"/>
                <w:szCs w:val="16"/>
              </w:rPr>
              <w:t>Hombres</w:t>
            </w:r>
          </w:p>
          <w:p w14:paraId="79685290"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w:t>
            </w:r>
          </w:p>
        </w:tc>
        <w:tc>
          <w:tcPr>
            <w:tcW w:w="429" w:type="pct"/>
            <w:vAlign w:val="center"/>
          </w:tcPr>
          <w:p w14:paraId="32346243"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Tiempo</w:t>
            </w:r>
          </w:p>
          <w:p w14:paraId="1EAA793C"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(h)</w:t>
            </w:r>
          </w:p>
        </w:tc>
        <w:tc>
          <w:tcPr>
            <w:tcW w:w="346" w:type="pct"/>
            <w:vAlign w:val="center"/>
          </w:tcPr>
          <w:p w14:paraId="0CF9C4EC"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Asist. x h</w:t>
            </w:r>
          </w:p>
        </w:tc>
        <w:tc>
          <w:tcPr>
            <w:tcW w:w="321" w:type="pct"/>
            <w:vAlign w:val="center"/>
          </w:tcPr>
          <w:p w14:paraId="65044835"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Val.</w:t>
            </w:r>
          </w:p>
          <w:p w14:paraId="7052F51D"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(0-10)</w:t>
            </w:r>
          </w:p>
        </w:tc>
      </w:tr>
      <w:tr w:rsidR="00A140F9" w:rsidRPr="00A07BE9" w14:paraId="647010A4" w14:textId="77777777" w:rsidTr="007511DC">
        <w:tc>
          <w:tcPr>
            <w:tcW w:w="1561" w:type="pct"/>
            <w:vAlign w:val="center"/>
          </w:tcPr>
          <w:p w14:paraId="3CC34DD7"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eastAsia="Times New Roman" w:hAnsi="Open Sans" w:cs="Open Sans"/>
                <w:sz w:val="16"/>
                <w:szCs w:val="16"/>
                <w:lang w:eastAsia="es-ES"/>
              </w:rPr>
              <w:t>Conferencia Dr. Manuel Villoria “Combatir la corrupción”</w:t>
            </w:r>
          </w:p>
        </w:tc>
        <w:tc>
          <w:tcPr>
            <w:tcW w:w="715" w:type="pct"/>
            <w:vAlign w:val="center"/>
          </w:tcPr>
          <w:p w14:paraId="2B8E106A"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24/5</w:t>
            </w:r>
          </w:p>
        </w:tc>
        <w:tc>
          <w:tcPr>
            <w:tcW w:w="671" w:type="pct"/>
            <w:vAlign w:val="center"/>
          </w:tcPr>
          <w:p w14:paraId="04188E26"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26</w:t>
            </w:r>
          </w:p>
        </w:tc>
        <w:tc>
          <w:tcPr>
            <w:tcW w:w="454" w:type="pct"/>
            <w:vAlign w:val="center"/>
          </w:tcPr>
          <w:p w14:paraId="3D1200E7"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65%</w:t>
            </w:r>
          </w:p>
        </w:tc>
        <w:tc>
          <w:tcPr>
            <w:tcW w:w="502" w:type="pct"/>
            <w:vAlign w:val="center"/>
          </w:tcPr>
          <w:p w14:paraId="76B96120"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35%</w:t>
            </w:r>
          </w:p>
        </w:tc>
        <w:tc>
          <w:tcPr>
            <w:tcW w:w="429" w:type="pct"/>
            <w:vAlign w:val="center"/>
          </w:tcPr>
          <w:p w14:paraId="40D00635"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 xml:space="preserve">2 </w:t>
            </w:r>
          </w:p>
        </w:tc>
        <w:tc>
          <w:tcPr>
            <w:tcW w:w="346" w:type="pct"/>
            <w:tcBorders>
              <w:top w:val="single" w:sz="4" w:space="0" w:color="auto"/>
              <w:left w:val="single" w:sz="4" w:space="0" w:color="auto"/>
              <w:bottom w:val="single" w:sz="4" w:space="0" w:color="auto"/>
              <w:right w:val="single" w:sz="4" w:space="0" w:color="auto"/>
            </w:tcBorders>
            <w:shd w:val="clear" w:color="auto" w:fill="auto"/>
            <w:vAlign w:val="center"/>
          </w:tcPr>
          <w:p w14:paraId="078AE338" w14:textId="77777777" w:rsidR="00A140F9" w:rsidRPr="00A07BE9" w:rsidRDefault="00A140F9" w:rsidP="00A140F9">
            <w:pPr>
              <w:spacing w:line="276" w:lineRule="auto"/>
              <w:jc w:val="center"/>
              <w:rPr>
                <w:rFonts w:ascii="Open Sans" w:hAnsi="Open Sans" w:cs="Open Sans"/>
                <w:color w:val="000000"/>
                <w:sz w:val="16"/>
                <w:szCs w:val="16"/>
              </w:rPr>
            </w:pPr>
            <w:r w:rsidRPr="00A07BE9">
              <w:rPr>
                <w:rFonts w:ascii="Open Sans" w:hAnsi="Open Sans" w:cs="Open Sans"/>
                <w:color w:val="000000"/>
                <w:sz w:val="16"/>
                <w:szCs w:val="16"/>
              </w:rPr>
              <w:t>52</w:t>
            </w:r>
          </w:p>
        </w:tc>
        <w:tc>
          <w:tcPr>
            <w:tcW w:w="321" w:type="pct"/>
            <w:vAlign w:val="center"/>
          </w:tcPr>
          <w:p w14:paraId="763B8527"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w:t>
            </w:r>
          </w:p>
        </w:tc>
      </w:tr>
      <w:tr w:rsidR="00A140F9" w:rsidRPr="00A07BE9" w14:paraId="291B912E" w14:textId="77777777" w:rsidTr="007511DC">
        <w:tc>
          <w:tcPr>
            <w:tcW w:w="1561" w:type="pct"/>
            <w:tcBorders>
              <w:bottom w:val="single" w:sz="4" w:space="0" w:color="auto"/>
            </w:tcBorders>
            <w:vAlign w:val="center"/>
          </w:tcPr>
          <w:p w14:paraId="3A3B5DF0"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 xml:space="preserve">Seminario Objetivos de Desarrollo Sostenible </w:t>
            </w:r>
          </w:p>
        </w:tc>
        <w:tc>
          <w:tcPr>
            <w:tcW w:w="715" w:type="pct"/>
            <w:tcBorders>
              <w:bottom w:val="single" w:sz="4" w:space="0" w:color="auto"/>
            </w:tcBorders>
            <w:vAlign w:val="center"/>
          </w:tcPr>
          <w:p w14:paraId="128F8B6B"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17/6</w:t>
            </w:r>
          </w:p>
        </w:tc>
        <w:tc>
          <w:tcPr>
            <w:tcW w:w="671" w:type="pct"/>
            <w:tcBorders>
              <w:bottom w:val="single" w:sz="4" w:space="0" w:color="auto"/>
            </w:tcBorders>
            <w:vAlign w:val="center"/>
          </w:tcPr>
          <w:p w14:paraId="27E4496F"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27</w:t>
            </w:r>
          </w:p>
        </w:tc>
        <w:tc>
          <w:tcPr>
            <w:tcW w:w="454" w:type="pct"/>
            <w:tcBorders>
              <w:bottom w:val="single" w:sz="4" w:space="0" w:color="auto"/>
            </w:tcBorders>
            <w:vAlign w:val="center"/>
          </w:tcPr>
          <w:p w14:paraId="7BE1FEB0"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66%</w:t>
            </w:r>
          </w:p>
        </w:tc>
        <w:tc>
          <w:tcPr>
            <w:tcW w:w="502" w:type="pct"/>
            <w:tcBorders>
              <w:bottom w:val="single" w:sz="4" w:space="0" w:color="auto"/>
            </w:tcBorders>
            <w:vAlign w:val="center"/>
          </w:tcPr>
          <w:p w14:paraId="27F49E33"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34%</w:t>
            </w:r>
          </w:p>
        </w:tc>
        <w:tc>
          <w:tcPr>
            <w:tcW w:w="429" w:type="pct"/>
            <w:tcBorders>
              <w:bottom w:val="single" w:sz="4" w:space="0" w:color="auto"/>
            </w:tcBorders>
            <w:vAlign w:val="center"/>
          </w:tcPr>
          <w:p w14:paraId="6E65D288"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 xml:space="preserve">5 </w:t>
            </w:r>
          </w:p>
        </w:tc>
        <w:tc>
          <w:tcPr>
            <w:tcW w:w="346" w:type="pct"/>
            <w:tcBorders>
              <w:top w:val="nil"/>
              <w:left w:val="single" w:sz="4" w:space="0" w:color="auto"/>
              <w:bottom w:val="single" w:sz="4" w:space="0" w:color="auto"/>
              <w:right w:val="single" w:sz="4" w:space="0" w:color="auto"/>
            </w:tcBorders>
            <w:shd w:val="clear" w:color="auto" w:fill="auto"/>
            <w:vAlign w:val="center"/>
          </w:tcPr>
          <w:p w14:paraId="534A9A99" w14:textId="77777777" w:rsidR="00A140F9" w:rsidRPr="00A07BE9" w:rsidRDefault="00A140F9" w:rsidP="00A140F9">
            <w:pPr>
              <w:spacing w:line="276" w:lineRule="auto"/>
              <w:jc w:val="center"/>
              <w:rPr>
                <w:rFonts w:ascii="Open Sans" w:hAnsi="Open Sans" w:cs="Open Sans"/>
                <w:color w:val="000000"/>
                <w:sz w:val="16"/>
                <w:szCs w:val="16"/>
              </w:rPr>
            </w:pPr>
            <w:r w:rsidRPr="00A07BE9">
              <w:rPr>
                <w:rFonts w:ascii="Open Sans" w:hAnsi="Open Sans" w:cs="Open Sans"/>
                <w:color w:val="000000"/>
                <w:sz w:val="16"/>
                <w:szCs w:val="16"/>
              </w:rPr>
              <w:t>135</w:t>
            </w:r>
          </w:p>
        </w:tc>
        <w:tc>
          <w:tcPr>
            <w:tcW w:w="321" w:type="pct"/>
            <w:tcBorders>
              <w:bottom w:val="single" w:sz="4" w:space="0" w:color="auto"/>
            </w:tcBorders>
            <w:vAlign w:val="center"/>
          </w:tcPr>
          <w:p w14:paraId="7019CEB3"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8,7</w:t>
            </w:r>
          </w:p>
        </w:tc>
      </w:tr>
      <w:tr w:rsidR="00A140F9" w:rsidRPr="00A07BE9" w14:paraId="2C3CF40A" w14:textId="77777777" w:rsidTr="007511DC">
        <w:tc>
          <w:tcPr>
            <w:tcW w:w="5000" w:type="pct"/>
            <w:gridSpan w:val="8"/>
            <w:shd w:val="clear" w:color="auto" w:fill="9D2235"/>
            <w:vAlign w:val="center"/>
          </w:tcPr>
          <w:p w14:paraId="219D57C5" w14:textId="77777777" w:rsidR="00A140F9" w:rsidRPr="00A07BE9" w:rsidRDefault="00A140F9" w:rsidP="00A140F9">
            <w:pPr>
              <w:spacing w:line="276" w:lineRule="auto"/>
              <w:jc w:val="center"/>
              <w:rPr>
                <w:rFonts w:ascii="Open Sans" w:hAnsi="Open Sans" w:cs="Open Sans"/>
                <w:color w:val="FFFFFF" w:themeColor="background1"/>
                <w:sz w:val="16"/>
                <w:szCs w:val="16"/>
              </w:rPr>
            </w:pPr>
            <w:bookmarkStart w:id="11" w:name="_Hlk31122296"/>
            <w:r w:rsidRPr="00A07BE9">
              <w:rPr>
                <w:rFonts w:ascii="Open Sans" w:hAnsi="Open Sans" w:cs="Open Sans"/>
                <w:color w:val="FFFFFF" w:themeColor="background1"/>
                <w:sz w:val="16"/>
                <w:szCs w:val="16"/>
              </w:rPr>
              <w:t>FORMACION INTERNA DEL AMBITO DEPARTAMENTAL</w:t>
            </w:r>
          </w:p>
        </w:tc>
      </w:tr>
      <w:bookmarkEnd w:id="11"/>
      <w:tr w:rsidR="00A140F9" w:rsidRPr="00A07BE9" w14:paraId="4193A34C" w14:textId="77777777" w:rsidTr="007511DC">
        <w:tc>
          <w:tcPr>
            <w:tcW w:w="1561" w:type="pct"/>
            <w:vAlign w:val="center"/>
          </w:tcPr>
          <w:p w14:paraId="396AE472"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10a Jornada Urbanismo, planificación, contratación y riesgos de corrupción</w:t>
            </w:r>
          </w:p>
        </w:tc>
        <w:tc>
          <w:tcPr>
            <w:tcW w:w="715" w:type="pct"/>
            <w:vAlign w:val="center"/>
          </w:tcPr>
          <w:p w14:paraId="54CAC7D3"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13/2</w:t>
            </w:r>
          </w:p>
        </w:tc>
        <w:tc>
          <w:tcPr>
            <w:tcW w:w="671" w:type="pct"/>
            <w:vAlign w:val="center"/>
          </w:tcPr>
          <w:p w14:paraId="0260BE66"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1</w:t>
            </w:r>
          </w:p>
        </w:tc>
        <w:tc>
          <w:tcPr>
            <w:tcW w:w="454" w:type="pct"/>
            <w:vAlign w:val="center"/>
          </w:tcPr>
          <w:p w14:paraId="5475133D"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w:t>
            </w:r>
          </w:p>
        </w:tc>
        <w:tc>
          <w:tcPr>
            <w:tcW w:w="502" w:type="pct"/>
            <w:vAlign w:val="center"/>
          </w:tcPr>
          <w:p w14:paraId="2A6FF03E"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100%</w:t>
            </w:r>
          </w:p>
        </w:tc>
        <w:tc>
          <w:tcPr>
            <w:tcW w:w="429" w:type="pct"/>
            <w:vAlign w:val="center"/>
          </w:tcPr>
          <w:p w14:paraId="23604647"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5</w:t>
            </w:r>
          </w:p>
        </w:tc>
        <w:tc>
          <w:tcPr>
            <w:tcW w:w="346" w:type="pct"/>
            <w:tcBorders>
              <w:top w:val="single" w:sz="4" w:space="0" w:color="auto"/>
              <w:left w:val="single" w:sz="4" w:space="0" w:color="auto"/>
              <w:bottom w:val="single" w:sz="4" w:space="0" w:color="auto"/>
              <w:right w:val="single" w:sz="4" w:space="0" w:color="auto"/>
            </w:tcBorders>
            <w:shd w:val="clear" w:color="auto" w:fill="auto"/>
            <w:vAlign w:val="center"/>
          </w:tcPr>
          <w:p w14:paraId="3F74DDC5" w14:textId="77777777" w:rsidR="00A140F9" w:rsidRPr="00A07BE9" w:rsidRDefault="00A140F9" w:rsidP="00A140F9">
            <w:pPr>
              <w:spacing w:line="276" w:lineRule="auto"/>
              <w:jc w:val="center"/>
              <w:rPr>
                <w:rFonts w:ascii="Open Sans" w:hAnsi="Open Sans" w:cs="Open Sans"/>
                <w:color w:val="000000"/>
                <w:sz w:val="16"/>
                <w:szCs w:val="16"/>
              </w:rPr>
            </w:pPr>
            <w:r w:rsidRPr="00A07BE9">
              <w:rPr>
                <w:rFonts w:ascii="Open Sans" w:hAnsi="Open Sans" w:cs="Open Sans"/>
                <w:color w:val="000000"/>
                <w:sz w:val="16"/>
                <w:szCs w:val="16"/>
              </w:rPr>
              <w:t>5</w:t>
            </w:r>
          </w:p>
        </w:tc>
        <w:tc>
          <w:tcPr>
            <w:tcW w:w="321" w:type="pct"/>
            <w:vAlign w:val="center"/>
          </w:tcPr>
          <w:p w14:paraId="016CAF74"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9</w:t>
            </w:r>
          </w:p>
        </w:tc>
      </w:tr>
      <w:tr w:rsidR="00A140F9" w:rsidRPr="00A07BE9" w14:paraId="33A8F4AD" w14:textId="77777777" w:rsidTr="007511DC">
        <w:tc>
          <w:tcPr>
            <w:tcW w:w="1561" w:type="pct"/>
            <w:vAlign w:val="center"/>
          </w:tcPr>
          <w:p w14:paraId="57EC7041"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bCs/>
                <w:sz w:val="16"/>
                <w:szCs w:val="16"/>
              </w:rPr>
              <w:t>Espacio Compliance: el denunciante desamparado</w:t>
            </w:r>
          </w:p>
        </w:tc>
        <w:tc>
          <w:tcPr>
            <w:tcW w:w="715" w:type="pct"/>
            <w:vAlign w:val="center"/>
          </w:tcPr>
          <w:p w14:paraId="249B4428"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12-13/3</w:t>
            </w:r>
          </w:p>
        </w:tc>
        <w:tc>
          <w:tcPr>
            <w:tcW w:w="671" w:type="pct"/>
            <w:vAlign w:val="center"/>
          </w:tcPr>
          <w:p w14:paraId="73928480"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2</w:t>
            </w:r>
          </w:p>
        </w:tc>
        <w:tc>
          <w:tcPr>
            <w:tcW w:w="454" w:type="pct"/>
            <w:vAlign w:val="center"/>
          </w:tcPr>
          <w:p w14:paraId="56F217C3"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100%</w:t>
            </w:r>
          </w:p>
        </w:tc>
        <w:tc>
          <w:tcPr>
            <w:tcW w:w="502" w:type="pct"/>
            <w:vAlign w:val="center"/>
          </w:tcPr>
          <w:p w14:paraId="20867805"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w:t>
            </w:r>
          </w:p>
        </w:tc>
        <w:tc>
          <w:tcPr>
            <w:tcW w:w="429" w:type="pct"/>
            <w:vAlign w:val="center"/>
          </w:tcPr>
          <w:p w14:paraId="61B72C09"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4</w:t>
            </w:r>
          </w:p>
        </w:tc>
        <w:tc>
          <w:tcPr>
            <w:tcW w:w="346" w:type="pct"/>
            <w:tcBorders>
              <w:top w:val="nil"/>
              <w:left w:val="single" w:sz="4" w:space="0" w:color="auto"/>
              <w:bottom w:val="single" w:sz="4" w:space="0" w:color="auto"/>
              <w:right w:val="single" w:sz="4" w:space="0" w:color="auto"/>
            </w:tcBorders>
            <w:shd w:val="clear" w:color="auto" w:fill="auto"/>
            <w:vAlign w:val="center"/>
          </w:tcPr>
          <w:p w14:paraId="4B213567" w14:textId="77777777" w:rsidR="00A140F9" w:rsidRPr="00A07BE9" w:rsidRDefault="00A140F9" w:rsidP="00A140F9">
            <w:pPr>
              <w:spacing w:line="276" w:lineRule="auto"/>
              <w:jc w:val="center"/>
              <w:rPr>
                <w:rFonts w:ascii="Open Sans" w:hAnsi="Open Sans" w:cs="Open Sans"/>
                <w:color w:val="000000"/>
                <w:sz w:val="16"/>
                <w:szCs w:val="16"/>
              </w:rPr>
            </w:pPr>
            <w:r w:rsidRPr="00A07BE9">
              <w:rPr>
                <w:rFonts w:ascii="Open Sans" w:hAnsi="Open Sans" w:cs="Open Sans"/>
                <w:color w:val="000000"/>
                <w:sz w:val="16"/>
                <w:szCs w:val="16"/>
              </w:rPr>
              <w:t>8</w:t>
            </w:r>
          </w:p>
        </w:tc>
        <w:tc>
          <w:tcPr>
            <w:tcW w:w="321" w:type="pct"/>
            <w:vAlign w:val="center"/>
          </w:tcPr>
          <w:p w14:paraId="540A8BFB"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9</w:t>
            </w:r>
          </w:p>
        </w:tc>
      </w:tr>
      <w:tr w:rsidR="00A140F9" w:rsidRPr="00A07BE9" w14:paraId="1C174527" w14:textId="77777777" w:rsidTr="007511DC">
        <w:tc>
          <w:tcPr>
            <w:tcW w:w="1561" w:type="pct"/>
            <w:vAlign w:val="center"/>
          </w:tcPr>
          <w:p w14:paraId="73BF582D"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bCs/>
                <w:sz w:val="16"/>
                <w:szCs w:val="16"/>
              </w:rPr>
              <w:t>II Congreso de Compliance en el Sector Público</w:t>
            </w:r>
          </w:p>
        </w:tc>
        <w:tc>
          <w:tcPr>
            <w:tcW w:w="715" w:type="pct"/>
            <w:vAlign w:val="center"/>
          </w:tcPr>
          <w:p w14:paraId="0EA6B38E"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27/3</w:t>
            </w:r>
          </w:p>
        </w:tc>
        <w:tc>
          <w:tcPr>
            <w:tcW w:w="671" w:type="pct"/>
            <w:vAlign w:val="center"/>
          </w:tcPr>
          <w:p w14:paraId="2C431625"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1</w:t>
            </w:r>
          </w:p>
        </w:tc>
        <w:tc>
          <w:tcPr>
            <w:tcW w:w="454" w:type="pct"/>
            <w:vAlign w:val="center"/>
          </w:tcPr>
          <w:p w14:paraId="24B54ED4"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100%</w:t>
            </w:r>
          </w:p>
        </w:tc>
        <w:tc>
          <w:tcPr>
            <w:tcW w:w="502" w:type="pct"/>
            <w:vAlign w:val="center"/>
          </w:tcPr>
          <w:p w14:paraId="5A9DD622"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w:t>
            </w:r>
          </w:p>
        </w:tc>
        <w:tc>
          <w:tcPr>
            <w:tcW w:w="429" w:type="pct"/>
            <w:vAlign w:val="center"/>
          </w:tcPr>
          <w:p w14:paraId="742CBC40"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10</w:t>
            </w:r>
          </w:p>
        </w:tc>
        <w:tc>
          <w:tcPr>
            <w:tcW w:w="346" w:type="pct"/>
            <w:tcBorders>
              <w:top w:val="nil"/>
              <w:left w:val="single" w:sz="4" w:space="0" w:color="auto"/>
              <w:bottom w:val="single" w:sz="4" w:space="0" w:color="auto"/>
              <w:right w:val="single" w:sz="4" w:space="0" w:color="auto"/>
            </w:tcBorders>
            <w:shd w:val="clear" w:color="auto" w:fill="auto"/>
            <w:vAlign w:val="center"/>
          </w:tcPr>
          <w:p w14:paraId="733EE4A6" w14:textId="77777777" w:rsidR="00A140F9" w:rsidRPr="00A07BE9" w:rsidRDefault="00A140F9" w:rsidP="00A140F9">
            <w:pPr>
              <w:spacing w:line="276" w:lineRule="auto"/>
              <w:jc w:val="center"/>
              <w:rPr>
                <w:rFonts w:ascii="Open Sans" w:hAnsi="Open Sans" w:cs="Open Sans"/>
                <w:color w:val="000000"/>
                <w:sz w:val="16"/>
                <w:szCs w:val="16"/>
              </w:rPr>
            </w:pPr>
            <w:r w:rsidRPr="00A07BE9">
              <w:rPr>
                <w:rFonts w:ascii="Open Sans" w:hAnsi="Open Sans" w:cs="Open Sans"/>
                <w:color w:val="000000"/>
                <w:sz w:val="16"/>
                <w:szCs w:val="16"/>
              </w:rPr>
              <w:t>10</w:t>
            </w:r>
          </w:p>
        </w:tc>
        <w:tc>
          <w:tcPr>
            <w:tcW w:w="321" w:type="pct"/>
            <w:vAlign w:val="center"/>
          </w:tcPr>
          <w:p w14:paraId="4ED6A8D1"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w:t>
            </w:r>
          </w:p>
        </w:tc>
      </w:tr>
      <w:tr w:rsidR="00A140F9" w:rsidRPr="00A07BE9" w14:paraId="4A12B391" w14:textId="77777777" w:rsidTr="007511DC">
        <w:tc>
          <w:tcPr>
            <w:tcW w:w="1561" w:type="pct"/>
            <w:vAlign w:val="center"/>
          </w:tcPr>
          <w:p w14:paraId="43C499DF"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Curso Contratación pública y Compliance</w:t>
            </w:r>
          </w:p>
        </w:tc>
        <w:tc>
          <w:tcPr>
            <w:tcW w:w="715" w:type="pct"/>
            <w:vAlign w:val="center"/>
          </w:tcPr>
          <w:p w14:paraId="684FDC65"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1-3/4</w:t>
            </w:r>
          </w:p>
        </w:tc>
        <w:tc>
          <w:tcPr>
            <w:tcW w:w="671" w:type="pct"/>
            <w:vAlign w:val="center"/>
          </w:tcPr>
          <w:p w14:paraId="5AC70D78"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7</w:t>
            </w:r>
          </w:p>
        </w:tc>
        <w:tc>
          <w:tcPr>
            <w:tcW w:w="454" w:type="pct"/>
            <w:vAlign w:val="center"/>
          </w:tcPr>
          <w:p w14:paraId="215C9B53"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100%</w:t>
            </w:r>
          </w:p>
        </w:tc>
        <w:tc>
          <w:tcPr>
            <w:tcW w:w="502" w:type="pct"/>
            <w:vAlign w:val="center"/>
          </w:tcPr>
          <w:p w14:paraId="78BF73C0"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w:t>
            </w:r>
          </w:p>
        </w:tc>
        <w:tc>
          <w:tcPr>
            <w:tcW w:w="429" w:type="pct"/>
            <w:vAlign w:val="center"/>
          </w:tcPr>
          <w:p w14:paraId="63C87A38"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16</w:t>
            </w:r>
          </w:p>
        </w:tc>
        <w:tc>
          <w:tcPr>
            <w:tcW w:w="346" w:type="pct"/>
            <w:tcBorders>
              <w:top w:val="nil"/>
              <w:left w:val="single" w:sz="4" w:space="0" w:color="auto"/>
              <w:bottom w:val="single" w:sz="4" w:space="0" w:color="auto"/>
              <w:right w:val="single" w:sz="4" w:space="0" w:color="auto"/>
            </w:tcBorders>
            <w:shd w:val="clear" w:color="auto" w:fill="auto"/>
            <w:vAlign w:val="center"/>
          </w:tcPr>
          <w:p w14:paraId="1D059EB9" w14:textId="77777777" w:rsidR="00A140F9" w:rsidRPr="00A07BE9" w:rsidRDefault="00A140F9" w:rsidP="00A140F9">
            <w:pPr>
              <w:spacing w:line="276" w:lineRule="auto"/>
              <w:jc w:val="center"/>
              <w:rPr>
                <w:rFonts w:ascii="Open Sans" w:hAnsi="Open Sans" w:cs="Open Sans"/>
                <w:color w:val="000000"/>
                <w:sz w:val="16"/>
                <w:szCs w:val="16"/>
              </w:rPr>
            </w:pPr>
            <w:r w:rsidRPr="00A07BE9">
              <w:rPr>
                <w:rFonts w:ascii="Open Sans" w:hAnsi="Open Sans" w:cs="Open Sans"/>
                <w:color w:val="000000"/>
                <w:sz w:val="16"/>
                <w:szCs w:val="16"/>
              </w:rPr>
              <w:t>112</w:t>
            </w:r>
          </w:p>
        </w:tc>
        <w:tc>
          <w:tcPr>
            <w:tcW w:w="321" w:type="pct"/>
            <w:vAlign w:val="center"/>
          </w:tcPr>
          <w:p w14:paraId="7BA6D3A7"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8</w:t>
            </w:r>
          </w:p>
        </w:tc>
      </w:tr>
      <w:tr w:rsidR="00A140F9" w:rsidRPr="00A07BE9" w14:paraId="117BF026" w14:textId="77777777" w:rsidTr="007511DC">
        <w:tc>
          <w:tcPr>
            <w:tcW w:w="1561" w:type="pct"/>
            <w:vAlign w:val="center"/>
          </w:tcPr>
          <w:p w14:paraId="4A7F8BEE"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Curso Alternativas al contrato menor, en línea</w:t>
            </w:r>
          </w:p>
        </w:tc>
        <w:tc>
          <w:tcPr>
            <w:tcW w:w="715" w:type="pct"/>
            <w:vAlign w:val="center"/>
          </w:tcPr>
          <w:p w14:paraId="1A280387"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25/5 -23/6</w:t>
            </w:r>
          </w:p>
        </w:tc>
        <w:tc>
          <w:tcPr>
            <w:tcW w:w="671" w:type="pct"/>
            <w:vAlign w:val="center"/>
          </w:tcPr>
          <w:p w14:paraId="0C1C1243"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7</w:t>
            </w:r>
          </w:p>
        </w:tc>
        <w:tc>
          <w:tcPr>
            <w:tcW w:w="454" w:type="pct"/>
            <w:vAlign w:val="center"/>
          </w:tcPr>
          <w:p w14:paraId="2BF53B01"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86%</w:t>
            </w:r>
          </w:p>
        </w:tc>
        <w:tc>
          <w:tcPr>
            <w:tcW w:w="502" w:type="pct"/>
            <w:vAlign w:val="center"/>
          </w:tcPr>
          <w:p w14:paraId="79E564B6"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14%</w:t>
            </w:r>
          </w:p>
        </w:tc>
        <w:tc>
          <w:tcPr>
            <w:tcW w:w="429" w:type="pct"/>
            <w:vAlign w:val="center"/>
          </w:tcPr>
          <w:p w14:paraId="705581AA"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40</w:t>
            </w:r>
          </w:p>
        </w:tc>
        <w:tc>
          <w:tcPr>
            <w:tcW w:w="346" w:type="pct"/>
            <w:tcBorders>
              <w:top w:val="nil"/>
              <w:left w:val="single" w:sz="4" w:space="0" w:color="auto"/>
              <w:bottom w:val="single" w:sz="4" w:space="0" w:color="auto"/>
              <w:right w:val="single" w:sz="4" w:space="0" w:color="auto"/>
            </w:tcBorders>
            <w:shd w:val="clear" w:color="auto" w:fill="auto"/>
            <w:vAlign w:val="center"/>
          </w:tcPr>
          <w:p w14:paraId="1B5C5829" w14:textId="77777777" w:rsidR="00A140F9" w:rsidRPr="00A07BE9" w:rsidRDefault="00A140F9" w:rsidP="00A140F9">
            <w:pPr>
              <w:spacing w:line="276" w:lineRule="auto"/>
              <w:jc w:val="center"/>
              <w:rPr>
                <w:rFonts w:ascii="Open Sans" w:hAnsi="Open Sans" w:cs="Open Sans"/>
                <w:color w:val="000000"/>
                <w:sz w:val="16"/>
                <w:szCs w:val="16"/>
              </w:rPr>
            </w:pPr>
            <w:r w:rsidRPr="00A07BE9">
              <w:rPr>
                <w:rFonts w:ascii="Open Sans" w:hAnsi="Open Sans" w:cs="Open Sans"/>
                <w:color w:val="000000"/>
                <w:sz w:val="16"/>
                <w:szCs w:val="16"/>
              </w:rPr>
              <w:t>280</w:t>
            </w:r>
          </w:p>
        </w:tc>
        <w:tc>
          <w:tcPr>
            <w:tcW w:w="321" w:type="pct"/>
            <w:vAlign w:val="center"/>
          </w:tcPr>
          <w:p w14:paraId="40AEEB0C"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w:t>
            </w:r>
          </w:p>
        </w:tc>
      </w:tr>
      <w:tr w:rsidR="00A140F9" w:rsidRPr="00A07BE9" w14:paraId="4156F7F8" w14:textId="77777777" w:rsidTr="007511DC">
        <w:tc>
          <w:tcPr>
            <w:tcW w:w="1561" w:type="pct"/>
            <w:tcBorders>
              <w:bottom w:val="single" w:sz="4" w:space="0" w:color="auto"/>
            </w:tcBorders>
            <w:vAlign w:val="center"/>
          </w:tcPr>
          <w:p w14:paraId="5AB88B8A"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La reforma de la contabilidad pública de la Generalitat: adaptación al PGCP 2010</w:t>
            </w:r>
          </w:p>
        </w:tc>
        <w:tc>
          <w:tcPr>
            <w:tcW w:w="715" w:type="pct"/>
            <w:tcBorders>
              <w:bottom w:val="single" w:sz="4" w:space="0" w:color="auto"/>
            </w:tcBorders>
            <w:vAlign w:val="center"/>
          </w:tcPr>
          <w:p w14:paraId="74CE0DA3"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11-12/11</w:t>
            </w:r>
          </w:p>
        </w:tc>
        <w:tc>
          <w:tcPr>
            <w:tcW w:w="671" w:type="pct"/>
            <w:tcBorders>
              <w:bottom w:val="single" w:sz="4" w:space="0" w:color="auto"/>
            </w:tcBorders>
            <w:vAlign w:val="center"/>
          </w:tcPr>
          <w:p w14:paraId="1FEE249F"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2</w:t>
            </w:r>
          </w:p>
        </w:tc>
        <w:tc>
          <w:tcPr>
            <w:tcW w:w="454" w:type="pct"/>
            <w:tcBorders>
              <w:bottom w:val="single" w:sz="4" w:space="0" w:color="auto"/>
            </w:tcBorders>
            <w:vAlign w:val="center"/>
          </w:tcPr>
          <w:p w14:paraId="0DFFABBA"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100%</w:t>
            </w:r>
          </w:p>
        </w:tc>
        <w:tc>
          <w:tcPr>
            <w:tcW w:w="502" w:type="pct"/>
            <w:tcBorders>
              <w:bottom w:val="single" w:sz="4" w:space="0" w:color="auto"/>
            </w:tcBorders>
            <w:vAlign w:val="center"/>
          </w:tcPr>
          <w:p w14:paraId="246BA862"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w:t>
            </w:r>
          </w:p>
        </w:tc>
        <w:tc>
          <w:tcPr>
            <w:tcW w:w="429" w:type="pct"/>
            <w:tcBorders>
              <w:bottom w:val="single" w:sz="4" w:space="0" w:color="auto"/>
            </w:tcBorders>
            <w:vAlign w:val="center"/>
          </w:tcPr>
          <w:p w14:paraId="512778B7"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15</w:t>
            </w:r>
          </w:p>
        </w:tc>
        <w:tc>
          <w:tcPr>
            <w:tcW w:w="346" w:type="pct"/>
            <w:tcBorders>
              <w:top w:val="nil"/>
              <w:left w:val="single" w:sz="4" w:space="0" w:color="auto"/>
              <w:bottom w:val="single" w:sz="4" w:space="0" w:color="auto"/>
              <w:right w:val="single" w:sz="4" w:space="0" w:color="auto"/>
            </w:tcBorders>
            <w:shd w:val="clear" w:color="auto" w:fill="auto"/>
            <w:vAlign w:val="center"/>
          </w:tcPr>
          <w:p w14:paraId="724ED866" w14:textId="77777777" w:rsidR="00A140F9" w:rsidRPr="00A07BE9" w:rsidRDefault="00A140F9" w:rsidP="00A140F9">
            <w:pPr>
              <w:spacing w:line="276" w:lineRule="auto"/>
              <w:jc w:val="center"/>
              <w:rPr>
                <w:rFonts w:ascii="Open Sans" w:hAnsi="Open Sans" w:cs="Open Sans"/>
                <w:color w:val="000000"/>
                <w:sz w:val="16"/>
                <w:szCs w:val="16"/>
              </w:rPr>
            </w:pPr>
            <w:r w:rsidRPr="00A07BE9">
              <w:rPr>
                <w:rFonts w:ascii="Open Sans" w:hAnsi="Open Sans" w:cs="Open Sans"/>
                <w:color w:val="000000"/>
                <w:sz w:val="16"/>
                <w:szCs w:val="16"/>
              </w:rPr>
              <w:t>30</w:t>
            </w:r>
          </w:p>
        </w:tc>
        <w:tc>
          <w:tcPr>
            <w:tcW w:w="321" w:type="pct"/>
            <w:tcBorders>
              <w:bottom w:val="single" w:sz="4" w:space="0" w:color="auto"/>
            </w:tcBorders>
            <w:vAlign w:val="center"/>
          </w:tcPr>
          <w:p w14:paraId="55D0ABAD"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w:t>
            </w:r>
          </w:p>
        </w:tc>
      </w:tr>
      <w:tr w:rsidR="00A140F9" w:rsidRPr="00A07BE9" w14:paraId="340EC162" w14:textId="77777777" w:rsidTr="007511DC">
        <w:tc>
          <w:tcPr>
            <w:tcW w:w="5000" w:type="pct"/>
            <w:gridSpan w:val="8"/>
            <w:shd w:val="clear" w:color="auto" w:fill="CE9FA1"/>
            <w:vAlign w:val="center"/>
          </w:tcPr>
          <w:p w14:paraId="4073C30E"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color w:val="FFFFFF" w:themeColor="background1"/>
                <w:sz w:val="16"/>
                <w:szCs w:val="16"/>
              </w:rPr>
              <w:t>FORMACION INTERNA DEL AMBITO INSTRUMENTAL</w:t>
            </w:r>
          </w:p>
        </w:tc>
      </w:tr>
      <w:tr w:rsidR="00A140F9" w:rsidRPr="00A07BE9" w14:paraId="53EA6E92" w14:textId="77777777" w:rsidTr="007511DC">
        <w:tc>
          <w:tcPr>
            <w:tcW w:w="1561" w:type="pct"/>
            <w:vAlign w:val="center"/>
          </w:tcPr>
          <w:p w14:paraId="351DA983"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 xml:space="preserve">Curso Novedades Ley de Protección de datos personales y garantía de los derechos digitales </w:t>
            </w:r>
          </w:p>
        </w:tc>
        <w:tc>
          <w:tcPr>
            <w:tcW w:w="715" w:type="pct"/>
            <w:vAlign w:val="center"/>
          </w:tcPr>
          <w:p w14:paraId="4DFCE96B"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25-26/2</w:t>
            </w:r>
          </w:p>
        </w:tc>
        <w:tc>
          <w:tcPr>
            <w:tcW w:w="671" w:type="pct"/>
            <w:vAlign w:val="center"/>
          </w:tcPr>
          <w:p w14:paraId="7A939E1C"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6</w:t>
            </w:r>
          </w:p>
        </w:tc>
        <w:tc>
          <w:tcPr>
            <w:tcW w:w="454" w:type="pct"/>
            <w:vAlign w:val="center"/>
          </w:tcPr>
          <w:p w14:paraId="0C259C20"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67%</w:t>
            </w:r>
          </w:p>
        </w:tc>
        <w:tc>
          <w:tcPr>
            <w:tcW w:w="502" w:type="pct"/>
            <w:vAlign w:val="center"/>
          </w:tcPr>
          <w:p w14:paraId="19E32628"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27%</w:t>
            </w:r>
          </w:p>
        </w:tc>
        <w:tc>
          <w:tcPr>
            <w:tcW w:w="429" w:type="pct"/>
            <w:vAlign w:val="center"/>
          </w:tcPr>
          <w:p w14:paraId="3A3B9EA7"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15</w:t>
            </w:r>
          </w:p>
        </w:tc>
        <w:tc>
          <w:tcPr>
            <w:tcW w:w="346" w:type="pct"/>
            <w:tcBorders>
              <w:top w:val="single" w:sz="4" w:space="0" w:color="auto"/>
              <w:left w:val="single" w:sz="4" w:space="0" w:color="auto"/>
              <w:bottom w:val="single" w:sz="4" w:space="0" w:color="auto"/>
              <w:right w:val="single" w:sz="4" w:space="0" w:color="auto"/>
            </w:tcBorders>
            <w:shd w:val="clear" w:color="auto" w:fill="auto"/>
            <w:vAlign w:val="center"/>
          </w:tcPr>
          <w:p w14:paraId="1C424982" w14:textId="77777777" w:rsidR="00A140F9" w:rsidRPr="00A07BE9" w:rsidRDefault="00A140F9" w:rsidP="00A140F9">
            <w:pPr>
              <w:spacing w:line="276" w:lineRule="auto"/>
              <w:jc w:val="center"/>
              <w:rPr>
                <w:rFonts w:ascii="Open Sans" w:hAnsi="Open Sans" w:cs="Open Sans"/>
                <w:color w:val="000000"/>
                <w:sz w:val="16"/>
                <w:szCs w:val="16"/>
              </w:rPr>
            </w:pPr>
            <w:r w:rsidRPr="00A07BE9">
              <w:rPr>
                <w:rFonts w:ascii="Open Sans" w:hAnsi="Open Sans" w:cs="Open Sans"/>
                <w:color w:val="000000"/>
                <w:sz w:val="16"/>
                <w:szCs w:val="16"/>
              </w:rPr>
              <w:t>90</w:t>
            </w:r>
          </w:p>
        </w:tc>
        <w:tc>
          <w:tcPr>
            <w:tcW w:w="321" w:type="pct"/>
            <w:vAlign w:val="center"/>
          </w:tcPr>
          <w:p w14:paraId="360AB5BA"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6,5</w:t>
            </w:r>
          </w:p>
        </w:tc>
      </w:tr>
      <w:tr w:rsidR="00A140F9" w:rsidRPr="00A07BE9" w14:paraId="37861633" w14:textId="77777777" w:rsidTr="007511DC">
        <w:tc>
          <w:tcPr>
            <w:tcW w:w="1561" w:type="pct"/>
            <w:vAlign w:val="center"/>
          </w:tcPr>
          <w:p w14:paraId="63A0B43F"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Curso inclusivo en valenciano, en línea</w:t>
            </w:r>
          </w:p>
        </w:tc>
        <w:tc>
          <w:tcPr>
            <w:tcW w:w="715" w:type="pct"/>
            <w:vAlign w:val="center"/>
          </w:tcPr>
          <w:p w14:paraId="272FD398"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28/5 -27/6</w:t>
            </w:r>
          </w:p>
        </w:tc>
        <w:tc>
          <w:tcPr>
            <w:tcW w:w="671" w:type="pct"/>
            <w:vAlign w:val="center"/>
          </w:tcPr>
          <w:p w14:paraId="70D5279C"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1</w:t>
            </w:r>
          </w:p>
        </w:tc>
        <w:tc>
          <w:tcPr>
            <w:tcW w:w="454" w:type="pct"/>
            <w:vAlign w:val="center"/>
          </w:tcPr>
          <w:p w14:paraId="3C5D911F"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100%</w:t>
            </w:r>
          </w:p>
        </w:tc>
        <w:tc>
          <w:tcPr>
            <w:tcW w:w="502" w:type="pct"/>
            <w:vAlign w:val="center"/>
          </w:tcPr>
          <w:p w14:paraId="6C951911"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w:t>
            </w:r>
          </w:p>
        </w:tc>
        <w:tc>
          <w:tcPr>
            <w:tcW w:w="429" w:type="pct"/>
            <w:vAlign w:val="center"/>
          </w:tcPr>
          <w:p w14:paraId="2EEF93F8"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6</w:t>
            </w:r>
          </w:p>
        </w:tc>
        <w:tc>
          <w:tcPr>
            <w:tcW w:w="346" w:type="pct"/>
            <w:tcBorders>
              <w:top w:val="nil"/>
              <w:left w:val="single" w:sz="4" w:space="0" w:color="auto"/>
              <w:bottom w:val="single" w:sz="4" w:space="0" w:color="auto"/>
              <w:right w:val="single" w:sz="4" w:space="0" w:color="auto"/>
            </w:tcBorders>
            <w:shd w:val="clear" w:color="auto" w:fill="auto"/>
            <w:vAlign w:val="center"/>
          </w:tcPr>
          <w:p w14:paraId="380C4F0F" w14:textId="77777777" w:rsidR="00A140F9" w:rsidRPr="00A07BE9" w:rsidRDefault="00A140F9" w:rsidP="00A140F9">
            <w:pPr>
              <w:spacing w:line="276" w:lineRule="auto"/>
              <w:jc w:val="center"/>
              <w:rPr>
                <w:rFonts w:ascii="Open Sans" w:hAnsi="Open Sans" w:cs="Open Sans"/>
                <w:color w:val="000000"/>
                <w:sz w:val="16"/>
                <w:szCs w:val="16"/>
              </w:rPr>
            </w:pPr>
            <w:r w:rsidRPr="00A07BE9">
              <w:rPr>
                <w:rFonts w:ascii="Open Sans" w:hAnsi="Open Sans" w:cs="Open Sans"/>
                <w:color w:val="000000"/>
                <w:sz w:val="16"/>
                <w:szCs w:val="16"/>
              </w:rPr>
              <w:t>6</w:t>
            </w:r>
          </w:p>
        </w:tc>
        <w:tc>
          <w:tcPr>
            <w:tcW w:w="321" w:type="pct"/>
            <w:vAlign w:val="center"/>
          </w:tcPr>
          <w:p w14:paraId="4B41D49B"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w:t>
            </w:r>
          </w:p>
        </w:tc>
      </w:tr>
      <w:tr w:rsidR="00A140F9" w:rsidRPr="00A07BE9" w14:paraId="5FD0DA92" w14:textId="77777777" w:rsidTr="007511DC">
        <w:tc>
          <w:tcPr>
            <w:tcW w:w="1561" w:type="pct"/>
            <w:vAlign w:val="center"/>
          </w:tcPr>
          <w:p w14:paraId="2E0E7ED7"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Cursos de valenciano</w:t>
            </w:r>
          </w:p>
        </w:tc>
        <w:tc>
          <w:tcPr>
            <w:tcW w:w="715" w:type="pct"/>
            <w:vAlign w:val="center"/>
          </w:tcPr>
          <w:p w14:paraId="7D24CF8D"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12/2019</w:t>
            </w:r>
          </w:p>
        </w:tc>
        <w:tc>
          <w:tcPr>
            <w:tcW w:w="671" w:type="pct"/>
            <w:vAlign w:val="center"/>
          </w:tcPr>
          <w:p w14:paraId="083B3F13"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22</w:t>
            </w:r>
          </w:p>
        </w:tc>
        <w:tc>
          <w:tcPr>
            <w:tcW w:w="454" w:type="pct"/>
            <w:vAlign w:val="center"/>
          </w:tcPr>
          <w:p w14:paraId="63EF7046"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82%</w:t>
            </w:r>
          </w:p>
        </w:tc>
        <w:tc>
          <w:tcPr>
            <w:tcW w:w="502" w:type="pct"/>
            <w:vAlign w:val="center"/>
          </w:tcPr>
          <w:p w14:paraId="73B32C5B"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18%</w:t>
            </w:r>
          </w:p>
        </w:tc>
        <w:tc>
          <w:tcPr>
            <w:tcW w:w="429" w:type="pct"/>
            <w:vAlign w:val="center"/>
          </w:tcPr>
          <w:p w14:paraId="3BB993B9"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4</w:t>
            </w:r>
          </w:p>
        </w:tc>
        <w:tc>
          <w:tcPr>
            <w:tcW w:w="346" w:type="pct"/>
            <w:tcBorders>
              <w:top w:val="nil"/>
              <w:left w:val="single" w:sz="4" w:space="0" w:color="auto"/>
              <w:bottom w:val="single" w:sz="4" w:space="0" w:color="auto"/>
              <w:right w:val="single" w:sz="4" w:space="0" w:color="auto"/>
            </w:tcBorders>
            <w:shd w:val="clear" w:color="auto" w:fill="auto"/>
            <w:vAlign w:val="center"/>
          </w:tcPr>
          <w:p w14:paraId="5964F300" w14:textId="77777777" w:rsidR="00A140F9" w:rsidRPr="00A07BE9" w:rsidRDefault="00A140F9" w:rsidP="00A140F9">
            <w:pPr>
              <w:spacing w:line="276" w:lineRule="auto"/>
              <w:jc w:val="center"/>
              <w:rPr>
                <w:rFonts w:ascii="Open Sans" w:hAnsi="Open Sans" w:cs="Open Sans"/>
                <w:color w:val="000000"/>
                <w:sz w:val="16"/>
                <w:szCs w:val="16"/>
              </w:rPr>
            </w:pPr>
            <w:r w:rsidRPr="00A07BE9">
              <w:rPr>
                <w:rFonts w:ascii="Open Sans" w:hAnsi="Open Sans" w:cs="Open Sans"/>
                <w:color w:val="000000"/>
                <w:sz w:val="16"/>
                <w:szCs w:val="16"/>
              </w:rPr>
              <w:t>88</w:t>
            </w:r>
          </w:p>
        </w:tc>
        <w:tc>
          <w:tcPr>
            <w:tcW w:w="321" w:type="pct"/>
            <w:vAlign w:val="center"/>
          </w:tcPr>
          <w:p w14:paraId="10CB3C31" w14:textId="77777777" w:rsidR="00A140F9" w:rsidRPr="00A07BE9" w:rsidRDefault="00A140F9" w:rsidP="00A140F9">
            <w:pPr>
              <w:spacing w:line="276" w:lineRule="auto"/>
              <w:jc w:val="center"/>
              <w:rPr>
                <w:rFonts w:ascii="Open Sans" w:hAnsi="Open Sans" w:cs="Open Sans"/>
                <w:sz w:val="16"/>
                <w:szCs w:val="16"/>
              </w:rPr>
            </w:pPr>
          </w:p>
        </w:tc>
      </w:tr>
      <w:tr w:rsidR="00A140F9" w:rsidRPr="00A07BE9" w14:paraId="24FDBF44" w14:textId="77777777" w:rsidTr="007511DC">
        <w:tc>
          <w:tcPr>
            <w:tcW w:w="1561" w:type="pct"/>
            <w:vAlign w:val="center"/>
          </w:tcPr>
          <w:p w14:paraId="6A5E0AC6"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Introducción a Administración Electrónica (I)</w:t>
            </w:r>
          </w:p>
        </w:tc>
        <w:tc>
          <w:tcPr>
            <w:tcW w:w="715" w:type="pct"/>
            <w:vAlign w:val="center"/>
          </w:tcPr>
          <w:p w14:paraId="34D031CF"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18 y 25 /9</w:t>
            </w:r>
          </w:p>
        </w:tc>
        <w:tc>
          <w:tcPr>
            <w:tcW w:w="671" w:type="pct"/>
            <w:vAlign w:val="center"/>
          </w:tcPr>
          <w:p w14:paraId="3213B0E9"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14</w:t>
            </w:r>
          </w:p>
        </w:tc>
        <w:tc>
          <w:tcPr>
            <w:tcW w:w="454" w:type="pct"/>
            <w:vAlign w:val="center"/>
          </w:tcPr>
          <w:p w14:paraId="3876A4E6"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36%</w:t>
            </w:r>
          </w:p>
        </w:tc>
        <w:tc>
          <w:tcPr>
            <w:tcW w:w="502" w:type="pct"/>
            <w:vAlign w:val="center"/>
          </w:tcPr>
          <w:p w14:paraId="3AA0E59F"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64%</w:t>
            </w:r>
          </w:p>
        </w:tc>
        <w:tc>
          <w:tcPr>
            <w:tcW w:w="429" w:type="pct"/>
            <w:vAlign w:val="center"/>
          </w:tcPr>
          <w:p w14:paraId="4995C4FA"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5</w:t>
            </w:r>
          </w:p>
        </w:tc>
        <w:tc>
          <w:tcPr>
            <w:tcW w:w="346" w:type="pct"/>
            <w:tcBorders>
              <w:top w:val="nil"/>
              <w:left w:val="single" w:sz="4" w:space="0" w:color="auto"/>
              <w:bottom w:val="single" w:sz="4" w:space="0" w:color="auto"/>
              <w:right w:val="single" w:sz="4" w:space="0" w:color="auto"/>
            </w:tcBorders>
            <w:shd w:val="clear" w:color="auto" w:fill="auto"/>
            <w:vAlign w:val="center"/>
          </w:tcPr>
          <w:p w14:paraId="11B277DA" w14:textId="77777777" w:rsidR="00A140F9" w:rsidRPr="00A07BE9" w:rsidRDefault="00A140F9" w:rsidP="00A140F9">
            <w:pPr>
              <w:spacing w:line="276" w:lineRule="auto"/>
              <w:jc w:val="center"/>
              <w:rPr>
                <w:rFonts w:ascii="Open Sans" w:hAnsi="Open Sans" w:cs="Open Sans"/>
                <w:color w:val="000000"/>
                <w:sz w:val="16"/>
                <w:szCs w:val="16"/>
              </w:rPr>
            </w:pPr>
            <w:r w:rsidRPr="00A07BE9">
              <w:rPr>
                <w:rFonts w:ascii="Open Sans" w:hAnsi="Open Sans" w:cs="Open Sans"/>
                <w:color w:val="000000"/>
                <w:sz w:val="16"/>
                <w:szCs w:val="16"/>
              </w:rPr>
              <w:t>70</w:t>
            </w:r>
          </w:p>
        </w:tc>
        <w:tc>
          <w:tcPr>
            <w:tcW w:w="321" w:type="pct"/>
            <w:vAlign w:val="center"/>
          </w:tcPr>
          <w:p w14:paraId="06AC8F2F"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8,3</w:t>
            </w:r>
          </w:p>
        </w:tc>
      </w:tr>
      <w:tr w:rsidR="00A140F9" w:rsidRPr="00A07BE9" w14:paraId="315AC965" w14:textId="77777777" w:rsidTr="007511DC">
        <w:tc>
          <w:tcPr>
            <w:tcW w:w="1561" w:type="pct"/>
            <w:vAlign w:val="center"/>
          </w:tcPr>
          <w:p w14:paraId="359F483B"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Administración Electrónica avanzado (II)</w:t>
            </w:r>
          </w:p>
        </w:tc>
        <w:tc>
          <w:tcPr>
            <w:tcW w:w="715" w:type="pct"/>
            <w:vAlign w:val="center"/>
          </w:tcPr>
          <w:p w14:paraId="3AA2BF93"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11 y 12/12</w:t>
            </w:r>
          </w:p>
        </w:tc>
        <w:tc>
          <w:tcPr>
            <w:tcW w:w="671" w:type="pct"/>
            <w:vAlign w:val="center"/>
          </w:tcPr>
          <w:p w14:paraId="109C3077"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14</w:t>
            </w:r>
          </w:p>
        </w:tc>
        <w:tc>
          <w:tcPr>
            <w:tcW w:w="454" w:type="pct"/>
            <w:vAlign w:val="center"/>
          </w:tcPr>
          <w:p w14:paraId="52FBF256"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71%</w:t>
            </w:r>
          </w:p>
        </w:tc>
        <w:tc>
          <w:tcPr>
            <w:tcW w:w="502" w:type="pct"/>
            <w:vAlign w:val="center"/>
          </w:tcPr>
          <w:p w14:paraId="268CB46C"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29%</w:t>
            </w:r>
          </w:p>
        </w:tc>
        <w:tc>
          <w:tcPr>
            <w:tcW w:w="429" w:type="pct"/>
            <w:vAlign w:val="center"/>
          </w:tcPr>
          <w:p w14:paraId="7EF24B47"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5</w:t>
            </w:r>
          </w:p>
        </w:tc>
        <w:tc>
          <w:tcPr>
            <w:tcW w:w="346" w:type="pct"/>
            <w:tcBorders>
              <w:top w:val="nil"/>
              <w:left w:val="single" w:sz="4" w:space="0" w:color="auto"/>
              <w:bottom w:val="single" w:sz="4" w:space="0" w:color="auto"/>
              <w:right w:val="single" w:sz="4" w:space="0" w:color="auto"/>
            </w:tcBorders>
            <w:shd w:val="clear" w:color="auto" w:fill="auto"/>
            <w:vAlign w:val="center"/>
          </w:tcPr>
          <w:p w14:paraId="303EDDE7" w14:textId="77777777" w:rsidR="00A140F9" w:rsidRPr="00A07BE9" w:rsidRDefault="00A140F9" w:rsidP="00A140F9">
            <w:pPr>
              <w:spacing w:line="276" w:lineRule="auto"/>
              <w:jc w:val="center"/>
              <w:rPr>
                <w:rFonts w:ascii="Open Sans" w:hAnsi="Open Sans" w:cs="Open Sans"/>
                <w:color w:val="000000"/>
                <w:sz w:val="16"/>
                <w:szCs w:val="16"/>
              </w:rPr>
            </w:pPr>
            <w:r w:rsidRPr="00A07BE9">
              <w:rPr>
                <w:rFonts w:ascii="Open Sans" w:hAnsi="Open Sans" w:cs="Open Sans"/>
                <w:color w:val="000000"/>
                <w:sz w:val="16"/>
                <w:szCs w:val="16"/>
              </w:rPr>
              <w:t>70</w:t>
            </w:r>
          </w:p>
        </w:tc>
        <w:tc>
          <w:tcPr>
            <w:tcW w:w="321" w:type="pct"/>
            <w:vAlign w:val="center"/>
          </w:tcPr>
          <w:p w14:paraId="76D3AB2D"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3,5</w:t>
            </w:r>
          </w:p>
        </w:tc>
      </w:tr>
      <w:tr w:rsidR="00A140F9" w:rsidRPr="00A07BE9" w14:paraId="243D6683" w14:textId="77777777" w:rsidTr="007511DC">
        <w:trPr>
          <w:trHeight w:val="87"/>
        </w:trPr>
        <w:tc>
          <w:tcPr>
            <w:tcW w:w="1561" w:type="pct"/>
            <w:tcBorders>
              <w:bottom w:val="single" w:sz="4" w:space="0" w:color="auto"/>
            </w:tcBorders>
            <w:vAlign w:val="center"/>
          </w:tcPr>
          <w:p w14:paraId="02ECFED6"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Seminario de Gestión Documental</w:t>
            </w:r>
          </w:p>
        </w:tc>
        <w:tc>
          <w:tcPr>
            <w:tcW w:w="715" w:type="pct"/>
            <w:tcBorders>
              <w:bottom w:val="single" w:sz="4" w:space="0" w:color="auto"/>
            </w:tcBorders>
            <w:vAlign w:val="center"/>
          </w:tcPr>
          <w:p w14:paraId="58F914BC"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27 y 28/11</w:t>
            </w:r>
          </w:p>
        </w:tc>
        <w:tc>
          <w:tcPr>
            <w:tcW w:w="671" w:type="pct"/>
            <w:vAlign w:val="center"/>
          </w:tcPr>
          <w:p w14:paraId="669D4497"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29</w:t>
            </w:r>
          </w:p>
        </w:tc>
        <w:tc>
          <w:tcPr>
            <w:tcW w:w="454" w:type="pct"/>
            <w:vAlign w:val="center"/>
          </w:tcPr>
          <w:p w14:paraId="3A5D52F6"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62%</w:t>
            </w:r>
          </w:p>
        </w:tc>
        <w:tc>
          <w:tcPr>
            <w:tcW w:w="502" w:type="pct"/>
            <w:vAlign w:val="center"/>
          </w:tcPr>
          <w:p w14:paraId="294475BE"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38%</w:t>
            </w:r>
          </w:p>
        </w:tc>
        <w:tc>
          <w:tcPr>
            <w:tcW w:w="429" w:type="pct"/>
            <w:vAlign w:val="center"/>
          </w:tcPr>
          <w:p w14:paraId="4265D3B6"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6</w:t>
            </w:r>
          </w:p>
        </w:tc>
        <w:tc>
          <w:tcPr>
            <w:tcW w:w="346" w:type="pct"/>
            <w:tcBorders>
              <w:top w:val="nil"/>
              <w:left w:val="single" w:sz="4" w:space="0" w:color="auto"/>
              <w:bottom w:val="single" w:sz="4" w:space="0" w:color="auto"/>
              <w:right w:val="single" w:sz="4" w:space="0" w:color="auto"/>
            </w:tcBorders>
            <w:shd w:val="clear" w:color="auto" w:fill="auto"/>
            <w:vAlign w:val="center"/>
          </w:tcPr>
          <w:p w14:paraId="5777D737" w14:textId="77777777" w:rsidR="00A140F9" w:rsidRPr="00A07BE9" w:rsidRDefault="00A140F9" w:rsidP="00A140F9">
            <w:pPr>
              <w:spacing w:line="276" w:lineRule="auto"/>
              <w:jc w:val="center"/>
              <w:rPr>
                <w:rFonts w:ascii="Open Sans" w:hAnsi="Open Sans" w:cs="Open Sans"/>
                <w:color w:val="000000"/>
                <w:sz w:val="16"/>
                <w:szCs w:val="16"/>
              </w:rPr>
            </w:pPr>
            <w:r w:rsidRPr="00A07BE9">
              <w:rPr>
                <w:rFonts w:ascii="Open Sans" w:hAnsi="Open Sans" w:cs="Open Sans"/>
                <w:color w:val="000000"/>
                <w:sz w:val="16"/>
                <w:szCs w:val="16"/>
              </w:rPr>
              <w:t>174</w:t>
            </w:r>
          </w:p>
        </w:tc>
        <w:tc>
          <w:tcPr>
            <w:tcW w:w="321" w:type="pct"/>
            <w:vAlign w:val="center"/>
          </w:tcPr>
          <w:p w14:paraId="2B883A9D"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w:t>
            </w:r>
          </w:p>
        </w:tc>
      </w:tr>
      <w:tr w:rsidR="00A140F9" w:rsidRPr="00A07BE9" w14:paraId="5BE3508C" w14:textId="77777777" w:rsidTr="007511DC">
        <w:trPr>
          <w:trHeight w:val="87"/>
        </w:trPr>
        <w:tc>
          <w:tcPr>
            <w:tcW w:w="2276" w:type="pct"/>
            <w:gridSpan w:val="2"/>
            <w:tcBorders>
              <w:top w:val="single" w:sz="4" w:space="0" w:color="auto"/>
              <w:left w:val="nil"/>
              <w:bottom w:val="nil"/>
              <w:right w:val="single" w:sz="4" w:space="0" w:color="auto"/>
            </w:tcBorders>
            <w:vAlign w:val="center"/>
          </w:tcPr>
          <w:p w14:paraId="62928262" w14:textId="77777777" w:rsidR="00A140F9" w:rsidRPr="00A07BE9" w:rsidRDefault="00A140F9" w:rsidP="00A140F9">
            <w:pPr>
              <w:spacing w:line="276" w:lineRule="auto"/>
              <w:jc w:val="right"/>
              <w:rPr>
                <w:rFonts w:ascii="Open Sans" w:hAnsi="Open Sans" w:cs="Open Sans"/>
                <w:sz w:val="16"/>
                <w:szCs w:val="16"/>
              </w:rPr>
            </w:pPr>
            <w:r w:rsidRPr="00A07BE9">
              <w:rPr>
                <w:rFonts w:ascii="Open Sans" w:hAnsi="Open Sans" w:cs="Open Sans"/>
                <w:sz w:val="16"/>
                <w:szCs w:val="16"/>
              </w:rPr>
              <w:t>Total</w:t>
            </w:r>
          </w:p>
        </w:tc>
        <w:tc>
          <w:tcPr>
            <w:tcW w:w="671" w:type="pct"/>
            <w:tcBorders>
              <w:top w:val="nil"/>
              <w:left w:val="nil"/>
              <w:bottom w:val="single" w:sz="8" w:space="0" w:color="auto"/>
              <w:right w:val="single" w:sz="8" w:space="0" w:color="auto"/>
            </w:tcBorders>
            <w:shd w:val="clear" w:color="auto" w:fill="auto"/>
            <w:vAlign w:val="center"/>
          </w:tcPr>
          <w:p w14:paraId="29A0DECB" w14:textId="77777777" w:rsidR="00A140F9" w:rsidRPr="00A07BE9" w:rsidRDefault="00A140F9" w:rsidP="00A140F9">
            <w:pPr>
              <w:spacing w:line="276" w:lineRule="auto"/>
              <w:jc w:val="center"/>
              <w:rPr>
                <w:rFonts w:ascii="Open Sans" w:hAnsi="Open Sans" w:cs="Open Sans"/>
                <w:b/>
                <w:color w:val="000000"/>
                <w:sz w:val="16"/>
                <w:szCs w:val="16"/>
              </w:rPr>
            </w:pPr>
            <w:r w:rsidRPr="00A07BE9">
              <w:rPr>
                <w:rFonts w:ascii="Open Sans" w:hAnsi="Open Sans" w:cs="Open Sans"/>
                <w:b/>
                <w:color w:val="000000"/>
                <w:sz w:val="16"/>
                <w:szCs w:val="16"/>
              </w:rPr>
              <w:t>159</w:t>
            </w:r>
          </w:p>
        </w:tc>
        <w:tc>
          <w:tcPr>
            <w:tcW w:w="454" w:type="pct"/>
            <w:tcBorders>
              <w:top w:val="nil"/>
              <w:left w:val="nil"/>
              <w:bottom w:val="single" w:sz="8" w:space="0" w:color="auto"/>
              <w:right w:val="single" w:sz="8" w:space="0" w:color="auto"/>
            </w:tcBorders>
            <w:shd w:val="clear" w:color="auto" w:fill="auto"/>
            <w:vAlign w:val="center"/>
          </w:tcPr>
          <w:p w14:paraId="1B8FC885" w14:textId="77777777" w:rsidR="00A140F9" w:rsidRPr="00A07BE9" w:rsidRDefault="00A140F9" w:rsidP="00A140F9">
            <w:pPr>
              <w:spacing w:line="276" w:lineRule="auto"/>
              <w:jc w:val="center"/>
              <w:rPr>
                <w:rFonts w:ascii="Open Sans" w:hAnsi="Open Sans" w:cs="Open Sans"/>
                <w:b/>
                <w:color w:val="000000"/>
                <w:sz w:val="16"/>
                <w:szCs w:val="16"/>
              </w:rPr>
            </w:pPr>
            <w:r w:rsidRPr="00A07BE9">
              <w:rPr>
                <w:rFonts w:ascii="Open Sans" w:hAnsi="Open Sans" w:cs="Open Sans"/>
                <w:b/>
                <w:sz w:val="16"/>
                <w:szCs w:val="16"/>
              </w:rPr>
              <w:t>74%</w:t>
            </w:r>
          </w:p>
        </w:tc>
        <w:tc>
          <w:tcPr>
            <w:tcW w:w="502" w:type="pct"/>
            <w:tcBorders>
              <w:top w:val="nil"/>
              <w:left w:val="nil"/>
              <w:bottom w:val="single" w:sz="8" w:space="0" w:color="auto"/>
              <w:right w:val="single" w:sz="8" w:space="0" w:color="auto"/>
            </w:tcBorders>
            <w:shd w:val="clear" w:color="auto" w:fill="auto"/>
            <w:vAlign w:val="center"/>
          </w:tcPr>
          <w:p w14:paraId="760C67B0" w14:textId="77777777" w:rsidR="00A140F9" w:rsidRPr="00A07BE9" w:rsidRDefault="00A140F9" w:rsidP="00A140F9">
            <w:pPr>
              <w:spacing w:line="276" w:lineRule="auto"/>
              <w:jc w:val="center"/>
              <w:rPr>
                <w:rFonts w:ascii="Open Sans" w:hAnsi="Open Sans" w:cs="Open Sans"/>
                <w:b/>
                <w:color w:val="000000"/>
                <w:sz w:val="16"/>
                <w:szCs w:val="16"/>
              </w:rPr>
            </w:pPr>
            <w:r w:rsidRPr="00A07BE9">
              <w:rPr>
                <w:rFonts w:ascii="Open Sans" w:hAnsi="Open Sans" w:cs="Open Sans"/>
                <w:b/>
                <w:color w:val="000000"/>
                <w:sz w:val="16"/>
                <w:szCs w:val="16"/>
              </w:rPr>
              <w:t>26%</w:t>
            </w:r>
          </w:p>
        </w:tc>
        <w:tc>
          <w:tcPr>
            <w:tcW w:w="429" w:type="pct"/>
            <w:tcBorders>
              <w:top w:val="nil"/>
              <w:left w:val="nil"/>
              <w:bottom w:val="single" w:sz="8" w:space="0" w:color="auto"/>
              <w:right w:val="single" w:sz="8" w:space="0" w:color="auto"/>
            </w:tcBorders>
            <w:shd w:val="clear" w:color="auto" w:fill="auto"/>
            <w:vAlign w:val="center"/>
          </w:tcPr>
          <w:p w14:paraId="54F2AED1" w14:textId="77777777" w:rsidR="00A140F9" w:rsidRPr="00A07BE9" w:rsidRDefault="00A140F9" w:rsidP="00A140F9">
            <w:pPr>
              <w:spacing w:line="276" w:lineRule="auto"/>
              <w:rPr>
                <w:rFonts w:ascii="Open Sans" w:hAnsi="Open Sans" w:cs="Open Sans"/>
                <w:b/>
                <w:color w:val="000000"/>
                <w:sz w:val="16"/>
                <w:szCs w:val="16"/>
              </w:rPr>
            </w:pPr>
          </w:p>
        </w:tc>
        <w:tc>
          <w:tcPr>
            <w:tcW w:w="346" w:type="pct"/>
            <w:tcBorders>
              <w:top w:val="nil"/>
              <w:left w:val="nil"/>
              <w:bottom w:val="single" w:sz="8" w:space="0" w:color="auto"/>
              <w:right w:val="single" w:sz="8" w:space="0" w:color="auto"/>
            </w:tcBorders>
            <w:shd w:val="clear" w:color="auto" w:fill="auto"/>
            <w:vAlign w:val="center"/>
          </w:tcPr>
          <w:p w14:paraId="7D2966B5" w14:textId="77777777" w:rsidR="00A140F9" w:rsidRPr="00A07BE9" w:rsidRDefault="00A140F9" w:rsidP="00A140F9">
            <w:pPr>
              <w:spacing w:line="276" w:lineRule="auto"/>
              <w:jc w:val="center"/>
              <w:rPr>
                <w:rFonts w:ascii="Open Sans" w:hAnsi="Open Sans" w:cs="Open Sans"/>
                <w:b/>
                <w:color w:val="000000"/>
                <w:sz w:val="16"/>
                <w:szCs w:val="16"/>
              </w:rPr>
            </w:pPr>
            <w:r w:rsidRPr="00A07BE9">
              <w:rPr>
                <w:rFonts w:ascii="Open Sans" w:hAnsi="Open Sans" w:cs="Open Sans"/>
                <w:b/>
                <w:color w:val="000000"/>
                <w:sz w:val="16"/>
                <w:szCs w:val="16"/>
              </w:rPr>
              <w:t>1.130</w:t>
            </w:r>
          </w:p>
        </w:tc>
        <w:tc>
          <w:tcPr>
            <w:tcW w:w="321" w:type="pct"/>
            <w:tcBorders>
              <w:top w:val="nil"/>
              <w:left w:val="nil"/>
              <w:bottom w:val="single" w:sz="8" w:space="0" w:color="auto"/>
              <w:right w:val="single" w:sz="8" w:space="0" w:color="auto"/>
            </w:tcBorders>
          </w:tcPr>
          <w:p w14:paraId="38562557" w14:textId="77777777" w:rsidR="00A140F9" w:rsidRPr="00A07BE9" w:rsidRDefault="00A140F9" w:rsidP="00A140F9">
            <w:pPr>
              <w:spacing w:line="276" w:lineRule="auto"/>
              <w:jc w:val="center"/>
              <w:rPr>
                <w:rFonts w:ascii="Open Sans" w:hAnsi="Open Sans" w:cs="Open Sans"/>
                <w:b/>
                <w:color w:val="000000"/>
                <w:sz w:val="16"/>
                <w:szCs w:val="16"/>
              </w:rPr>
            </w:pPr>
            <w:r w:rsidRPr="00A07BE9">
              <w:rPr>
                <w:rFonts w:ascii="Open Sans" w:hAnsi="Open Sans" w:cs="Open Sans"/>
                <w:b/>
                <w:color w:val="000000"/>
                <w:sz w:val="16"/>
                <w:szCs w:val="16"/>
              </w:rPr>
              <w:t>7,6</w:t>
            </w:r>
          </w:p>
        </w:tc>
      </w:tr>
      <w:bookmarkEnd w:id="10"/>
    </w:tbl>
    <w:p w14:paraId="3A95F1D0" w14:textId="77777777" w:rsidR="00A140F9" w:rsidRPr="00A07BE9" w:rsidRDefault="00A140F9" w:rsidP="00A140F9">
      <w:pPr>
        <w:spacing w:after="0" w:line="276" w:lineRule="auto"/>
        <w:rPr>
          <w:rFonts w:ascii="Open Sans" w:eastAsiaTheme="minorHAnsi" w:hAnsi="Open Sans" w:cs="Open Sans"/>
        </w:rPr>
      </w:pPr>
    </w:p>
    <w:p w14:paraId="256A8212" w14:textId="6B145AD0" w:rsidR="00A140F9" w:rsidRPr="00A07BE9" w:rsidRDefault="00A140F9" w:rsidP="009D7139">
      <w:pPr>
        <w:spacing w:after="0" w:line="276" w:lineRule="auto"/>
        <w:jc w:val="both"/>
        <w:rPr>
          <w:rFonts w:ascii="Open Sans" w:eastAsiaTheme="minorHAnsi" w:hAnsi="Open Sans" w:cs="Open Sans"/>
        </w:rPr>
      </w:pPr>
      <w:r w:rsidRPr="00A07BE9">
        <w:rPr>
          <w:rFonts w:ascii="Open Sans" w:eastAsiaTheme="minorHAnsi" w:hAnsi="Open Sans" w:cs="Open Sans"/>
          <w:sz w:val="20"/>
          <w:szCs w:val="20"/>
        </w:rPr>
        <w:t xml:space="preserve">En promedio se han realizado </w:t>
      </w:r>
      <w:r w:rsidRPr="00A07BE9">
        <w:rPr>
          <w:rFonts w:ascii="Open Sans" w:eastAsiaTheme="minorHAnsi" w:hAnsi="Open Sans" w:cs="Open Sans"/>
          <w:b/>
          <w:sz w:val="20"/>
          <w:szCs w:val="20"/>
        </w:rPr>
        <w:t>37,6 horas</w:t>
      </w:r>
      <w:r w:rsidRPr="00A07BE9">
        <w:rPr>
          <w:rFonts w:ascii="Open Sans" w:eastAsiaTheme="minorHAnsi" w:hAnsi="Open Sans" w:cs="Open Sans"/>
          <w:sz w:val="20"/>
          <w:szCs w:val="20"/>
        </w:rPr>
        <w:t xml:space="preserve"> de formación interna por profesional de</w:t>
      </w:r>
      <w:r w:rsidR="009D7139" w:rsidRPr="00A07BE9">
        <w:rPr>
          <w:rFonts w:ascii="Open Sans" w:eastAsiaTheme="minorHAnsi" w:hAnsi="Open Sans" w:cs="Open Sans"/>
          <w:sz w:val="20"/>
          <w:szCs w:val="20"/>
        </w:rPr>
        <w:t xml:space="preserve"> la Agencia</w:t>
      </w:r>
      <w:r w:rsidR="0096250A" w:rsidRPr="00A07BE9">
        <w:rPr>
          <w:rFonts w:ascii="Open Sans" w:eastAsiaTheme="minorHAnsi" w:hAnsi="Open Sans" w:cs="Open Sans"/>
          <w:sz w:val="20"/>
          <w:szCs w:val="20"/>
        </w:rPr>
        <w:t>.</w:t>
      </w:r>
    </w:p>
    <w:p w14:paraId="3C71E6B5" w14:textId="77777777" w:rsidR="0015081D" w:rsidRPr="00A07BE9" w:rsidRDefault="0015081D" w:rsidP="00A140F9">
      <w:pPr>
        <w:spacing w:after="0" w:line="276" w:lineRule="auto"/>
        <w:rPr>
          <w:rFonts w:ascii="Open Sans" w:eastAsia="Times New Roman" w:hAnsi="Open Sans" w:cs="Open Sans"/>
          <w:b/>
          <w:bCs/>
          <w:smallCaps/>
          <w:color w:val="993333"/>
          <w:sz w:val="20"/>
          <w:szCs w:val="20"/>
          <w:lang w:eastAsia="es-ES"/>
        </w:rPr>
      </w:pPr>
    </w:p>
    <w:p w14:paraId="038B436A" w14:textId="338BD87D" w:rsidR="00A140F9" w:rsidRPr="00A07BE9" w:rsidRDefault="00A140F9" w:rsidP="00A140F9">
      <w:pPr>
        <w:spacing w:after="0" w:line="276" w:lineRule="auto"/>
        <w:rPr>
          <w:rFonts w:ascii="Open Sans" w:eastAsiaTheme="minorHAnsi" w:hAnsi="Open Sans" w:cs="Open Sans"/>
          <w:color w:val="9D2235"/>
          <w:sz w:val="20"/>
          <w:szCs w:val="20"/>
        </w:rPr>
      </w:pPr>
      <w:r w:rsidRPr="00A07BE9">
        <w:rPr>
          <w:rFonts w:ascii="Open Sans" w:eastAsia="Times New Roman" w:hAnsi="Open Sans" w:cs="Open Sans"/>
          <w:b/>
          <w:bCs/>
          <w:smallCaps/>
          <w:color w:val="9D2235"/>
          <w:sz w:val="28"/>
          <w:szCs w:val="28"/>
          <w:lang w:eastAsia="es-ES"/>
        </w:rPr>
        <w:t>2.2.</w:t>
      </w:r>
      <w:r w:rsidR="00C73F90" w:rsidRPr="00A07BE9">
        <w:rPr>
          <w:rFonts w:ascii="Open Sans" w:eastAsia="Times New Roman" w:hAnsi="Open Sans" w:cs="Open Sans"/>
          <w:b/>
          <w:bCs/>
          <w:smallCaps/>
          <w:color w:val="9D2235"/>
          <w:sz w:val="28"/>
          <w:szCs w:val="28"/>
          <w:lang w:eastAsia="es-ES"/>
        </w:rPr>
        <w:t>4</w:t>
      </w:r>
      <w:r w:rsidRPr="00A07BE9">
        <w:rPr>
          <w:rFonts w:ascii="Open Sans" w:eastAsia="Times New Roman" w:hAnsi="Open Sans" w:cs="Open Sans"/>
          <w:b/>
          <w:bCs/>
          <w:smallCaps/>
          <w:color w:val="9D2235"/>
          <w:sz w:val="28"/>
          <w:szCs w:val="28"/>
          <w:lang w:eastAsia="es-ES"/>
        </w:rPr>
        <w:t>. Formación Externa</w:t>
      </w:r>
    </w:p>
    <w:p w14:paraId="10A5F65A" w14:textId="77777777" w:rsidR="00A140F9" w:rsidRPr="00A07BE9" w:rsidRDefault="00A140F9" w:rsidP="00A140F9">
      <w:pPr>
        <w:spacing w:after="0" w:line="276" w:lineRule="auto"/>
        <w:rPr>
          <w:rFonts w:ascii="Open Sans" w:eastAsiaTheme="minorHAnsi" w:hAnsi="Open Sans" w:cs="Open Sans"/>
          <w:sz w:val="20"/>
          <w:szCs w:val="20"/>
        </w:rPr>
      </w:pPr>
    </w:p>
    <w:p w14:paraId="49E8A10D" w14:textId="4BA57A7F"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 xml:space="preserve">De acuerdo con las líneas de trabajo consensuadas y formalizadas en el </w:t>
      </w:r>
      <w:r w:rsidR="007511DC" w:rsidRPr="00A07BE9">
        <w:rPr>
          <w:rFonts w:ascii="Open Sans" w:eastAsiaTheme="minorHAnsi" w:hAnsi="Open Sans" w:cs="Open Sans"/>
          <w:sz w:val="20"/>
          <w:szCs w:val="20"/>
        </w:rPr>
        <w:t>P</w:t>
      </w:r>
      <w:r w:rsidRPr="00A07BE9">
        <w:rPr>
          <w:rFonts w:ascii="Open Sans" w:eastAsiaTheme="minorHAnsi" w:hAnsi="Open Sans" w:cs="Open Sans"/>
          <w:sz w:val="20"/>
          <w:szCs w:val="20"/>
        </w:rPr>
        <w:t>lan de Formación de la Agencia 2019-2020, la formación externa y los programas de sensibilización se explican en función de sus distintos destinatarios.</w:t>
      </w:r>
    </w:p>
    <w:p w14:paraId="7C775F10" w14:textId="77777777" w:rsidR="00A140F9" w:rsidRPr="00A07BE9" w:rsidRDefault="00A140F9" w:rsidP="00A140F9">
      <w:pPr>
        <w:spacing w:after="0" w:line="276" w:lineRule="auto"/>
        <w:jc w:val="both"/>
        <w:rPr>
          <w:rFonts w:ascii="Open Sans" w:eastAsiaTheme="minorHAnsi" w:hAnsi="Open Sans" w:cs="Open Sans"/>
          <w:sz w:val="20"/>
          <w:szCs w:val="20"/>
        </w:rPr>
      </w:pPr>
    </w:p>
    <w:p w14:paraId="742D55A1" w14:textId="0B686181" w:rsidR="00A140F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lastRenderedPageBreak/>
        <w:t>Así pues, podemos distinguir las actividades dirigidas a los empleados públicos de los dos ámbitos más importantes de la función pública: la Generalitat Valenciana y las administraciones locales.</w:t>
      </w:r>
    </w:p>
    <w:p w14:paraId="3E715167" w14:textId="77777777" w:rsidR="0005287A" w:rsidRPr="00A07BE9" w:rsidRDefault="0005287A" w:rsidP="00A140F9">
      <w:pPr>
        <w:spacing w:after="0" w:line="276" w:lineRule="auto"/>
        <w:jc w:val="both"/>
        <w:rPr>
          <w:rFonts w:ascii="Open Sans" w:eastAsiaTheme="minorHAnsi" w:hAnsi="Open Sans" w:cs="Open Sans"/>
          <w:sz w:val="20"/>
          <w:szCs w:val="20"/>
        </w:rPr>
      </w:pPr>
    </w:p>
    <w:p w14:paraId="0A3AF57B" w14:textId="77777777"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 xml:space="preserve">Por otra parte, destacamos las acciones de formación especializadas hacia la población en procesos de formación académica. </w:t>
      </w:r>
    </w:p>
    <w:p w14:paraId="12E82A0E" w14:textId="77777777" w:rsidR="00A140F9" w:rsidRPr="00A07BE9" w:rsidRDefault="00A140F9" w:rsidP="00A140F9">
      <w:pPr>
        <w:spacing w:after="0" w:line="276" w:lineRule="auto"/>
        <w:jc w:val="both"/>
        <w:rPr>
          <w:rFonts w:ascii="Open Sans" w:eastAsiaTheme="minorHAnsi" w:hAnsi="Open Sans" w:cs="Open Sans"/>
          <w:sz w:val="20"/>
          <w:szCs w:val="20"/>
        </w:rPr>
      </w:pPr>
    </w:p>
    <w:p w14:paraId="6FA221AA" w14:textId="77777777"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 xml:space="preserve">En el caso de la Universidad se han desarrollado dos tipos de estrategias: </w:t>
      </w:r>
    </w:p>
    <w:p w14:paraId="39F27B02" w14:textId="77777777" w:rsidR="00A140F9" w:rsidRPr="00A07BE9" w:rsidRDefault="00A140F9" w:rsidP="00A140F9">
      <w:pPr>
        <w:spacing w:after="0" w:line="276" w:lineRule="auto"/>
        <w:jc w:val="both"/>
        <w:rPr>
          <w:rFonts w:ascii="Open Sans" w:eastAsiaTheme="minorHAnsi" w:hAnsi="Open Sans" w:cs="Open Sans"/>
          <w:sz w:val="20"/>
          <w:szCs w:val="20"/>
        </w:rPr>
      </w:pPr>
    </w:p>
    <w:p w14:paraId="2665C622" w14:textId="7D9409BF" w:rsidR="00A140F9" w:rsidRPr="00A07BE9" w:rsidRDefault="00A140F9" w:rsidP="00637696">
      <w:pPr>
        <w:numPr>
          <w:ilvl w:val="0"/>
          <w:numId w:val="8"/>
        </w:numPr>
        <w:spacing w:after="0" w:line="276" w:lineRule="auto"/>
        <w:contextualSpacing/>
        <w:jc w:val="both"/>
        <w:rPr>
          <w:rFonts w:ascii="Open Sans" w:eastAsiaTheme="minorHAnsi" w:hAnsi="Open Sans" w:cs="Open Sans"/>
          <w:sz w:val="20"/>
          <w:szCs w:val="20"/>
        </w:rPr>
      </w:pPr>
      <w:r w:rsidRPr="00A07BE9">
        <w:rPr>
          <w:rFonts w:ascii="Open Sans" w:eastAsiaTheme="minorHAnsi" w:hAnsi="Open Sans" w:cs="Open Sans"/>
          <w:sz w:val="20"/>
          <w:szCs w:val="20"/>
        </w:rPr>
        <w:t>Elaborar material audiovisual y después difundirlo en el marco de la actividad académica, previa identificación de los departamentos de los distintos grados seleccionados en las Universidades de la Comuni</w:t>
      </w:r>
      <w:r w:rsidR="009D7139" w:rsidRPr="00A07BE9">
        <w:rPr>
          <w:rFonts w:ascii="Open Sans" w:eastAsiaTheme="minorHAnsi" w:hAnsi="Open Sans" w:cs="Open Sans"/>
          <w:sz w:val="20"/>
          <w:szCs w:val="20"/>
        </w:rPr>
        <w:t>t</w:t>
      </w:r>
      <w:r w:rsidRPr="00A07BE9">
        <w:rPr>
          <w:rFonts w:ascii="Open Sans" w:eastAsiaTheme="minorHAnsi" w:hAnsi="Open Sans" w:cs="Open Sans"/>
          <w:sz w:val="20"/>
          <w:szCs w:val="20"/>
        </w:rPr>
        <w:t>a</w:t>
      </w:r>
      <w:r w:rsidR="009D7139" w:rsidRPr="00A07BE9">
        <w:rPr>
          <w:rFonts w:ascii="Open Sans" w:eastAsiaTheme="minorHAnsi" w:hAnsi="Open Sans" w:cs="Open Sans"/>
          <w:sz w:val="20"/>
          <w:szCs w:val="20"/>
        </w:rPr>
        <w:t>t</w:t>
      </w:r>
      <w:r w:rsidRPr="00A07BE9">
        <w:rPr>
          <w:rFonts w:ascii="Open Sans" w:eastAsiaTheme="minorHAnsi" w:hAnsi="Open Sans" w:cs="Open Sans"/>
          <w:sz w:val="20"/>
          <w:szCs w:val="20"/>
        </w:rPr>
        <w:t xml:space="preserve"> Valenciana que pudieran estar interesados en participar en esta estrategia. </w:t>
      </w:r>
    </w:p>
    <w:p w14:paraId="296EC7FE" w14:textId="77777777" w:rsidR="00A140F9" w:rsidRPr="00A07BE9" w:rsidRDefault="00A140F9" w:rsidP="00A140F9">
      <w:pPr>
        <w:spacing w:after="0" w:line="276" w:lineRule="auto"/>
        <w:ind w:left="720"/>
        <w:contextualSpacing/>
        <w:jc w:val="both"/>
        <w:rPr>
          <w:rFonts w:ascii="Open Sans" w:eastAsiaTheme="minorHAnsi" w:hAnsi="Open Sans" w:cs="Open Sans"/>
          <w:sz w:val="20"/>
          <w:szCs w:val="20"/>
        </w:rPr>
      </w:pPr>
    </w:p>
    <w:p w14:paraId="19FB133F" w14:textId="3FD8E5AD" w:rsidR="00A140F9" w:rsidRPr="00A07BE9" w:rsidRDefault="00A140F9" w:rsidP="00637696">
      <w:pPr>
        <w:numPr>
          <w:ilvl w:val="0"/>
          <w:numId w:val="8"/>
        </w:numPr>
        <w:spacing w:after="0" w:line="276" w:lineRule="auto"/>
        <w:contextualSpacing/>
        <w:jc w:val="both"/>
        <w:rPr>
          <w:rFonts w:ascii="Open Sans" w:eastAsiaTheme="minorHAnsi" w:hAnsi="Open Sans" w:cs="Open Sans"/>
          <w:sz w:val="20"/>
          <w:szCs w:val="20"/>
        </w:rPr>
      </w:pPr>
      <w:r w:rsidRPr="00A07BE9">
        <w:rPr>
          <w:rFonts w:ascii="Open Sans" w:eastAsiaTheme="minorHAnsi" w:hAnsi="Open Sans" w:cs="Open Sans"/>
          <w:sz w:val="20"/>
          <w:szCs w:val="20"/>
        </w:rPr>
        <w:t>Establecer las bases de colaboración con el Vicerrectorado de Proyección Territorial y Sociedad de la Universi</w:t>
      </w:r>
      <w:r w:rsidR="009D7139" w:rsidRPr="00A07BE9">
        <w:rPr>
          <w:rFonts w:ascii="Open Sans" w:eastAsiaTheme="minorHAnsi" w:hAnsi="Open Sans" w:cs="Open Sans"/>
          <w:sz w:val="20"/>
          <w:szCs w:val="20"/>
        </w:rPr>
        <w:t>t</w:t>
      </w:r>
      <w:r w:rsidRPr="00A07BE9">
        <w:rPr>
          <w:rFonts w:ascii="Open Sans" w:eastAsiaTheme="minorHAnsi" w:hAnsi="Open Sans" w:cs="Open Sans"/>
          <w:sz w:val="20"/>
          <w:szCs w:val="20"/>
        </w:rPr>
        <w:t>a</w:t>
      </w:r>
      <w:r w:rsidR="009D7139" w:rsidRPr="00A07BE9">
        <w:rPr>
          <w:rFonts w:ascii="Open Sans" w:eastAsiaTheme="minorHAnsi" w:hAnsi="Open Sans" w:cs="Open Sans"/>
          <w:sz w:val="20"/>
          <w:szCs w:val="20"/>
        </w:rPr>
        <w:t>t</w:t>
      </w:r>
      <w:r w:rsidRPr="00A07BE9">
        <w:rPr>
          <w:rFonts w:ascii="Open Sans" w:eastAsiaTheme="minorHAnsi" w:hAnsi="Open Sans" w:cs="Open Sans"/>
          <w:sz w:val="20"/>
          <w:szCs w:val="20"/>
        </w:rPr>
        <w:t xml:space="preserve"> de Val</w:t>
      </w:r>
      <w:r w:rsidR="009D7139" w:rsidRPr="00A07BE9">
        <w:rPr>
          <w:rFonts w:ascii="Open Sans" w:eastAsiaTheme="minorHAnsi" w:hAnsi="Open Sans" w:cs="Open Sans"/>
          <w:sz w:val="20"/>
          <w:szCs w:val="20"/>
        </w:rPr>
        <w:t>è</w:t>
      </w:r>
      <w:r w:rsidRPr="00A07BE9">
        <w:rPr>
          <w:rFonts w:ascii="Open Sans" w:eastAsiaTheme="minorHAnsi" w:hAnsi="Open Sans" w:cs="Open Sans"/>
          <w:sz w:val="20"/>
          <w:szCs w:val="20"/>
        </w:rPr>
        <w:t xml:space="preserve">ncia, para desarrollar un proyecto de actividades formativas para el buen gobierno y la ciudadanía, en el territorio valenciano, vinculado al Programa UNISOCIETAT. </w:t>
      </w:r>
    </w:p>
    <w:p w14:paraId="501E25A9" w14:textId="77777777" w:rsidR="00A140F9" w:rsidRPr="00A07BE9" w:rsidRDefault="00A140F9" w:rsidP="00A140F9">
      <w:pPr>
        <w:spacing w:after="0" w:line="276" w:lineRule="auto"/>
        <w:ind w:left="720"/>
        <w:contextualSpacing/>
        <w:rPr>
          <w:rFonts w:ascii="Open Sans" w:eastAsiaTheme="minorHAnsi" w:hAnsi="Open Sans" w:cs="Open Sans"/>
          <w:sz w:val="20"/>
          <w:szCs w:val="20"/>
        </w:rPr>
      </w:pPr>
    </w:p>
    <w:p w14:paraId="2F97B311" w14:textId="348C6564"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En el ámbito preuniversitario, a partir de la reflexión compartida del Consejo de Participación, también se han formulado las bases para lanzar propuestas formativas dirigidas a la población general y, sobre todo, hacia la población más joven. Y en ese mismo sentido, se abre también la opción de trabajo por la integración curricular con la Conselleria de Educación, Cultura y Deporte, como cierre del esquema.</w:t>
      </w:r>
    </w:p>
    <w:p w14:paraId="091A7710" w14:textId="77777777" w:rsidR="005F0A1F" w:rsidRPr="00A07BE9" w:rsidRDefault="005F0A1F" w:rsidP="00A140F9">
      <w:pPr>
        <w:spacing w:after="0" w:line="276" w:lineRule="auto"/>
        <w:jc w:val="both"/>
        <w:rPr>
          <w:rFonts w:ascii="Open Sans" w:eastAsiaTheme="minorHAnsi" w:hAnsi="Open Sans" w:cs="Open Sans"/>
          <w:sz w:val="20"/>
          <w:szCs w:val="20"/>
        </w:rPr>
      </w:pPr>
    </w:p>
    <w:p w14:paraId="69BD5184" w14:textId="77777777" w:rsidR="00A140F9" w:rsidRPr="00A07BE9" w:rsidRDefault="00A140F9" w:rsidP="00A140F9">
      <w:pPr>
        <w:spacing w:after="0" w:line="276" w:lineRule="auto"/>
        <w:jc w:val="both"/>
        <w:rPr>
          <w:rFonts w:ascii="Open Sans" w:eastAsiaTheme="minorHAnsi" w:hAnsi="Open Sans" w:cs="Open Sans"/>
          <w:sz w:val="21"/>
          <w:szCs w:val="21"/>
        </w:rPr>
      </w:pPr>
      <w:r w:rsidRPr="00A07BE9">
        <w:rPr>
          <w:rFonts w:ascii="Open Sans" w:eastAsiaTheme="minorHAnsi" w:hAnsi="Open Sans" w:cs="Open Sans"/>
          <w:noProof/>
        </w:rPr>
        <w:drawing>
          <wp:inline distT="0" distB="0" distL="0" distR="0" wp14:anchorId="1560C291" wp14:editId="7E98080D">
            <wp:extent cx="5477510" cy="3676650"/>
            <wp:effectExtent l="0" t="0" r="27940" b="0"/>
            <wp:docPr id="50" name="Diagrama 50">
              <a:extLst xmlns:a="http://schemas.openxmlformats.org/drawingml/2006/main">
                <a:ext uri="{FF2B5EF4-FFF2-40B4-BE49-F238E27FC236}">
                  <a16:creationId xmlns:a16="http://schemas.microsoft.com/office/drawing/2014/main" id="{070DDBD5-AF99-4E08-82E3-5F6827F40E4E}"/>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14:paraId="1EED1397" w14:textId="77777777" w:rsidR="00A140F9" w:rsidRPr="00A07BE9" w:rsidRDefault="00A140F9" w:rsidP="006719F8">
      <w:pPr>
        <w:keepNext/>
        <w:keepLines/>
        <w:spacing w:after="0" w:line="276" w:lineRule="auto"/>
        <w:jc w:val="both"/>
        <w:outlineLvl w:val="2"/>
        <w:rPr>
          <w:rFonts w:ascii="Open Sans" w:eastAsiaTheme="majorEastAsia" w:hAnsi="Open Sans" w:cs="Open Sans"/>
          <w:sz w:val="20"/>
          <w:szCs w:val="20"/>
        </w:rPr>
      </w:pPr>
      <w:r w:rsidRPr="00A07BE9">
        <w:rPr>
          <w:rFonts w:ascii="Open Sans" w:eastAsiaTheme="majorEastAsia" w:hAnsi="Open Sans" w:cs="Open Sans"/>
          <w:sz w:val="20"/>
          <w:szCs w:val="20"/>
        </w:rPr>
        <w:lastRenderedPageBreak/>
        <w:t>A continuación, pasamos a exponer los aspectos más relevantes de cada una de estas líneas de trabajo.</w:t>
      </w:r>
    </w:p>
    <w:p w14:paraId="08154B25" w14:textId="77777777" w:rsidR="00A140F9" w:rsidRPr="00A07BE9" w:rsidRDefault="00A140F9" w:rsidP="00A140F9">
      <w:pPr>
        <w:keepNext/>
        <w:keepLines/>
        <w:spacing w:after="0" w:line="276" w:lineRule="auto"/>
        <w:outlineLvl w:val="2"/>
        <w:rPr>
          <w:rFonts w:ascii="Open Sans" w:eastAsiaTheme="majorEastAsia" w:hAnsi="Open Sans" w:cs="Open Sans"/>
          <w:color w:val="1F3763" w:themeColor="accent1" w:themeShade="7F"/>
          <w:sz w:val="20"/>
          <w:szCs w:val="20"/>
        </w:rPr>
      </w:pPr>
    </w:p>
    <w:p w14:paraId="33F08244" w14:textId="77777777" w:rsidR="00A140F9" w:rsidRPr="00A07BE9" w:rsidRDefault="00A140F9" w:rsidP="00A140F9">
      <w:pPr>
        <w:keepNext/>
        <w:keepLines/>
        <w:spacing w:after="0" w:line="276" w:lineRule="auto"/>
        <w:outlineLvl w:val="2"/>
        <w:rPr>
          <w:rFonts w:ascii="Open Sans" w:eastAsia="Times New Roman" w:hAnsi="Open Sans" w:cs="Open Sans"/>
          <w:b/>
          <w:bCs/>
          <w:smallCaps/>
          <w:color w:val="9D2235"/>
          <w:sz w:val="24"/>
          <w:szCs w:val="24"/>
          <w:lang w:eastAsia="es-ES"/>
        </w:rPr>
      </w:pPr>
      <w:r w:rsidRPr="00A07BE9">
        <w:rPr>
          <w:rFonts w:ascii="Open Sans" w:eastAsiaTheme="majorEastAsia" w:hAnsi="Open Sans" w:cs="Open Sans"/>
          <w:b/>
          <w:color w:val="9D2235"/>
          <w:sz w:val="24"/>
          <w:szCs w:val="24"/>
        </w:rPr>
        <w:t xml:space="preserve">2.2.4.1. </w:t>
      </w:r>
      <w:r w:rsidRPr="00A07BE9">
        <w:rPr>
          <w:rFonts w:ascii="Open Sans" w:eastAsia="Times New Roman" w:hAnsi="Open Sans" w:cs="Open Sans"/>
          <w:b/>
          <w:bCs/>
          <w:smallCaps/>
          <w:color w:val="9D2235"/>
          <w:sz w:val="24"/>
          <w:szCs w:val="24"/>
          <w:lang w:eastAsia="es-ES"/>
        </w:rPr>
        <w:t>Función pública</w:t>
      </w:r>
    </w:p>
    <w:p w14:paraId="2CC22A8B" w14:textId="77777777" w:rsidR="00A140F9" w:rsidRPr="00A07BE9" w:rsidRDefault="00A140F9" w:rsidP="00A140F9">
      <w:pPr>
        <w:keepNext/>
        <w:keepLines/>
        <w:spacing w:after="0" w:line="276" w:lineRule="auto"/>
        <w:outlineLvl w:val="2"/>
        <w:rPr>
          <w:rFonts w:ascii="Open Sans" w:eastAsiaTheme="majorEastAsia" w:hAnsi="Open Sans" w:cs="Open Sans"/>
          <w:b/>
          <w:color w:val="9D2235"/>
          <w:sz w:val="20"/>
          <w:szCs w:val="20"/>
        </w:rPr>
      </w:pPr>
    </w:p>
    <w:p w14:paraId="2FE6E70C" w14:textId="77777777" w:rsidR="00A140F9" w:rsidRPr="00A07BE9" w:rsidRDefault="00A140F9" w:rsidP="00A140F9">
      <w:pPr>
        <w:keepNext/>
        <w:keepLines/>
        <w:spacing w:after="0" w:line="276" w:lineRule="auto"/>
        <w:outlineLvl w:val="2"/>
        <w:rPr>
          <w:rFonts w:ascii="Open Sans" w:eastAsia="Times New Roman" w:hAnsi="Open Sans" w:cs="Open Sans"/>
          <w:b/>
          <w:bCs/>
          <w:smallCaps/>
          <w:color w:val="9D2235"/>
          <w:sz w:val="24"/>
          <w:szCs w:val="24"/>
          <w:lang w:eastAsia="es-ES"/>
        </w:rPr>
      </w:pPr>
      <w:r w:rsidRPr="00A07BE9">
        <w:rPr>
          <w:rFonts w:ascii="Open Sans" w:eastAsiaTheme="majorEastAsia" w:hAnsi="Open Sans" w:cs="Open Sans"/>
          <w:b/>
          <w:color w:val="9D2235"/>
          <w:sz w:val="24"/>
          <w:szCs w:val="24"/>
        </w:rPr>
        <w:t xml:space="preserve">A. </w:t>
      </w:r>
      <w:r w:rsidRPr="00A07BE9">
        <w:rPr>
          <w:rFonts w:ascii="Open Sans" w:eastAsia="Times New Roman" w:hAnsi="Open Sans" w:cs="Open Sans"/>
          <w:b/>
          <w:bCs/>
          <w:smallCaps/>
          <w:color w:val="9D2235"/>
          <w:sz w:val="24"/>
          <w:szCs w:val="24"/>
          <w:lang w:eastAsia="es-ES"/>
        </w:rPr>
        <w:t>Generalitat valenciana</w:t>
      </w:r>
    </w:p>
    <w:p w14:paraId="483A74F3" w14:textId="77777777" w:rsidR="00A140F9" w:rsidRPr="00A07BE9" w:rsidRDefault="00A140F9" w:rsidP="00A140F9">
      <w:pPr>
        <w:spacing w:after="0" w:line="276" w:lineRule="auto"/>
        <w:rPr>
          <w:rFonts w:ascii="Open Sans" w:eastAsiaTheme="minorHAnsi" w:hAnsi="Open Sans" w:cs="Open Sans"/>
          <w:b/>
          <w:color w:val="9D2235"/>
          <w:sz w:val="20"/>
          <w:szCs w:val="20"/>
        </w:rPr>
      </w:pPr>
    </w:p>
    <w:p w14:paraId="05A573F5" w14:textId="6BF379B1" w:rsidR="00A140F9" w:rsidRPr="00A07BE9" w:rsidRDefault="00A140F9" w:rsidP="00A140F9">
      <w:pPr>
        <w:numPr>
          <w:ilvl w:val="0"/>
          <w:numId w:val="7"/>
        </w:numPr>
        <w:spacing w:after="0" w:line="276" w:lineRule="auto"/>
        <w:contextualSpacing/>
        <w:jc w:val="both"/>
        <w:rPr>
          <w:rFonts w:ascii="Open Sans" w:eastAsiaTheme="minorHAnsi" w:hAnsi="Open Sans" w:cs="Open Sans"/>
          <w:sz w:val="20"/>
          <w:szCs w:val="20"/>
        </w:rPr>
      </w:pPr>
      <w:r w:rsidRPr="00A07BE9">
        <w:rPr>
          <w:rFonts w:ascii="Open Sans" w:eastAsiaTheme="minorHAnsi" w:hAnsi="Open Sans" w:cs="Open Sans"/>
          <w:sz w:val="20"/>
          <w:szCs w:val="20"/>
        </w:rPr>
        <w:t xml:space="preserve">26 y 27 de septiembre, la </w:t>
      </w:r>
      <w:r w:rsidR="00E9433B" w:rsidRPr="00A07BE9">
        <w:rPr>
          <w:rFonts w:ascii="Open Sans" w:eastAsiaTheme="minorHAnsi" w:hAnsi="Open Sans" w:cs="Open Sans"/>
          <w:sz w:val="20"/>
          <w:szCs w:val="20"/>
        </w:rPr>
        <w:t>directora</w:t>
      </w:r>
      <w:r w:rsidRPr="00A07BE9">
        <w:rPr>
          <w:rFonts w:ascii="Open Sans" w:eastAsiaTheme="minorHAnsi" w:hAnsi="Open Sans" w:cs="Open Sans"/>
          <w:sz w:val="20"/>
          <w:szCs w:val="20"/>
        </w:rPr>
        <w:t xml:space="preserve"> de Prevención, Formación y Documentación de la Agencia participó en los XIII Encuentros técnicos OCEX (órganos de control externo), organizado por la Sindicatura de Comptes, con la ponencia “La experiencia del </w:t>
      </w:r>
      <w:hyperlink r:id="rId53" w:history="1">
        <w:r w:rsidR="008447AD" w:rsidRPr="00A07BE9">
          <w:rPr>
            <w:rStyle w:val="Hipervnculo"/>
            <w:rFonts w:ascii="Open Sans" w:eastAsiaTheme="minorHAnsi" w:hAnsi="Open Sans" w:cs="Open Sans"/>
            <w:sz w:val="20"/>
            <w:szCs w:val="20"/>
          </w:rPr>
          <w:t>B</w:t>
        </w:r>
        <w:r w:rsidRPr="00A07BE9">
          <w:rPr>
            <w:rStyle w:val="Hipervnculo"/>
            <w:rFonts w:ascii="Open Sans" w:eastAsiaTheme="minorHAnsi" w:hAnsi="Open Sans" w:cs="Open Sans"/>
            <w:sz w:val="20"/>
            <w:szCs w:val="20"/>
          </w:rPr>
          <w:t xml:space="preserve">uzón de </w:t>
        </w:r>
        <w:r w:rsidR="008447AD" w:rsidRPr="00A07BE9">
          <w:rPr>
            <w:rStyle w:val="Hipervnculo"/>
            <w:rFonts w:ascii="Open Sans" w:eastAsiaTheme="minorHAnsi" w:hAnsi="Open Sans" w:cs="Open Sans"/>
            <w:sz w:val="20"/>
            <w:szCs w:val="20"/>
          </w:rPr>
          <w:t>D</w:t>
        </w:r>
        <w:r w:rsidRPr="00A07BE9">
          <w:rPr>
            <w:rStyle w:val="Hipervnculo"/>
            <w:rFonts w:ascii="Open Sans" w:eastAsiaTheme="minorHAnsi" w:hAnsi="Open Sans" w:cs="Open Sans"/>
            <w:sz w:val="20"/>
            <w:szCs w:val="20"/>
          </w:rPr>
          <w:t>enuncias</w:t>
        </w:r>
      </w:hyperlink>
      <w:r w:rsidRPr="00A07BE9">
        <w:rPr>
          <w:rFonts w:ascii="Open Sans" w:eastAsiaTheme="minorHAnsi" w:hAnsi="Open Sans" w:cs="Open Sans"/>
          <w:sz w:val="20"/>
          <w:szCs w:val="20"/>
        </w:rPr>
        <w:t xml:space="preserve"> en la Agencia Valenciana Antifraude y en otras oficinas antifraude y buen gobierno”</w:t>
      </w:r>
      <w:r w:rsidRPr="00A07BE9">
        <w:rPr>
          <w:rFonts w:ascii="Open Sans" w:eastAsiaTheme="minorHAnsi" w:hAnsi="Open Sans" w:cs="Open Sans"/>
          <w:i/>
          <w:sz w:val="20"/>
          <w:szCs w:val="20"/>
        </w:rPr>
        <w:t>.</w:t>
      </w:r>
      <w:r w:rsidRPr="00A07BE9">
        <w:rPr>
          <w:rFonts w:ascii="Open Sans" w:eastAsiaTheme="minorHAnsi" w:hAnsi="Open Sans" w:cs="Open Sans"/>
          <w:sz w:val="20"/>
          <w:szCs w:val="20"/>
        </w:rPr>
        <w:t xml:space="preserve"> Con una participación de 232 profesionales de 11 CCAA, en la Jornadas y 86 en el grupo de trabajo </w:t>
      </w:r>
      <w:r w:rsidRPr="00A07BE9">
        <w:rPr>
          <w:rFonts w:ascii="Open Sans" w:eastAsiaTheme="minorHAnsi" w:hAnsi="Open Sans" w:cs="Open Sans"/>
          <w:i/>
          <w:sz w:val="20"/>
          <w:szCs w:val="20"/>
        </w:rPr>
        <w:t>Nuevas formas de prevención y lucha contra el fraude</w:t>
      </w:r>
      <w:r w:rsidRPr="00A07BE9">
        <w:rPr>
          <w:rFonts w:ascii="Open Sans" w:eastAsiaTheme="minorHAnsi" w:hAnsi="Open Sans" w:cs="Open Sans"/>
          <w:sz w:val="20"/>
          <w:szCs w:val="20"/>
        </w:rPr>
        <w:t>, donde se impartió la ponencia.</w:t>
      </w:r>
    </w:p>
    <w:p w14:paraId="375E4423" w14:textId="77777777" w:rsidR="00A140F9" w:rsidRPr="00A07BE9" w:rsidRDefault="00A140F9" w:rsidP="00A140F9">
      <w:pPr>
        <w:spacing w:after="0" w:line="276" w:lineRule="auto"/>
        <w:ind w:left="720"/>
        <w:contextualSpacing/>
        <w:jc w:val="both"/>
        <w:rPr>
          <w:rFonts w:ascii="Open Sans" w:eastAsiaTheme="minorHAnsi" w:hAnsi="Open Sans" w:cs="Open Sans"/>
          <w:sz w:val="20"/>
          <w:szCs w:val="20"/>
        </w:rPr>
      </w:pPr>
    </w:p>
    <w:p w14:paraId="3668CD27" w14:textId="42EF74FF" w:rsidR="00A140F9" w:rsidRPr="00A07BE9" w:rsidRDefault="00A140F9" w:rsidP="00A140F9">
      <w:pPr>
        <w:numPr>
          <w:ilvl w:val="0"/>
          <w:numId w:val="7"/>
        </w:numPr>
        <w:spacing w:after="0" w:line="276" w:lineRule="auto"/>
        <w:contextualSpacing/>
        <w:jc w:val="both"/>
        <w:rPr>
          <w:rFonts w:ascii="Open Sans" w:eastAsiaTheme="minorHAnsi" w:hAnsi="Open Sans" w:cs="Open Sans"/>
          <w:sz w:val="20"/>
          <w:szCs w:val="20"/>
        </w:rPr>
      </w:pPr>
      <w:r w:rsidRPr="00A07BE9">
        <w:rPr>
          <w:rFonts w:ascii="Open Sans" w:eastAsiaTheme="minorHAnsi" w:hAnsi="Open Sans" w:cs="Open Sans"/>
          <w:sz w:val="20"/>
          <w:szCs w:val="20"/>
        </w:rPr>
        <w:t>18, 19, 25 y 29 noviembre, se celebró la segunda edición del curso organizado en colaboración con el IVAP (Instituto Valenciano de Administración Pública) sobre “</w:t>
      </w:r>
      <w:r w:rsidRPr="00A07BE9">
        <w:rPr>
          <w:rFonts w:ascii="Open Sans" w:eastAsiaTheme="minorHAnsi" w:hAnsi="Open Sans" w:cs="Open Sans"/>
          <w:b/>
          <w:sz w:val="20"/>
          <w:szCs w:val="20"/>
        </w:rPr>
        <w:t xml:space="preserve">Integridad y prevención en la contratación pública”, </w:t>
      </w:r>
      <w:r w:rsidRPr="00A07BE9">
        <w:rPr>
          <w:rFonts w:ascii="Open Sans" w:eastAsiaTheme="minorHAnsi" w:hAnsi="Open Sans" w:cs="Open Sans"/>
          <w:sz w:val="20"/>
          <w:szCs w:val="20"/>
        </w:rPr>
        <w:t>de 20 horas. El curso lo impartieron profesionales de la Agencia, junto con la Dra. Ángeles Jareño, catedrática de Derecho Penal de la Universi</w:t>
      </w:r>
      <w:r w:rsidR="00DE29D5" w:rsidRPr="00A07BE9">
        <w:rPr>
          <w:rFonts w:ascii="Open Sans" w:eastAsiaTheme="minorHAnsi" w:hAnsi="Open Sans" w:cs="Open Sans"/>
          <w:sz w:val="20"/>
          <w:szCs w:val="20"/>
        </w:rPr>
        <w:t>t</w:t>
      </w:r>
      <w:r w:rsidRPr="00A07BE9">
        <w:rPr>
          <w:rFonts w:ascii="Open Sans" w:eastAsiaTheme="minorHAnsi" w:hAnsi="Open Sans" w:cs="Open Sans"/>
          <w:sz w:val="20"/>
          <w:szCs w:val="20"/>
        </w:rPr>
        <w:t>a</w:t>
      </w:r>
      <w:r w:rsidR="00DE29D5" w:rsidRPr="00A07BE9">
        <w:rPr>
          <w:rFonts w:ascii="Open Sans" w:eastAsiaTheme="minorHAnsi" w:hAnsi="Open Sans" w:cs="Open Sans"/>
          <w:sz w:val="20"/>
          <w:szCs w:val="20"/>
        </w:rPr>
        <w:t>t</w:t>
      </w:r>
      <w:r w:rsidRPr="00A07BE9">
        <w:rPr>
          <w:rFonts w:ascii="Open Sans" w:eastAsiaTheme="minorHAnsi" w:hAnsi="Open Sans" w:cs="Open Sans"/>
          <w:sz w:val="20"/>
          <w:szCs w:val="20"/>
        </w:rPr>
        <w:t xml:space="preserve"> de València. Los 20 alumnos (16 </w:t>
      </w:r>
      <w:r w:rsidRPr="00A07BE9">
        <w:rPr>
          <w:rFonts w:ascii="Open Sans" w:eastAsiaTheme="minorHAnsi" w:hAnsi="Open Sans" w:cs="Open Sans"/>
          <w:noProof/>
          <w:sz w:val="20"/>
          <w:szCs w:val="20"/>
        </w:rPr>
        <w:t>hombres y</w:t>
      </w:r>
      <w:r w:rsidRPr="00A07BE9">
        <w:rPr>
          <w:rFonts w:ascii="Open Sans" w:eastAsiaTheme="minorHAnsi" w:hAnsi="Open Sans" w:cs="Open Sans"/>
          <w:sz w:val="20"/>
          <w:szCs w:val="20"/>
        </w:rPr>
        <w:t xml:space="preserve"> 4</w:t>
      </w:r>
      <w:r w:rsidRPr="00A07BE9">
        <w:rPr>
          <w:rFonts w:ascii="Open Sans" w:eastAsiaTheme="minorHAnsi" w:hAnsi="Open Sans" w:cs="Open Sans"/>
          <w:noProof/>
          <w:sz w:val="20"/>
          <w:szCs w:val="20"/>
        </w:rPr>
        <w:t xml:space="preserve"> mujeres</w:t>
      </w:r>
      <w:r w:rsidRPr="00A07BE9">
        <w:rPr>
          <w:rFonts w:ascii="Open Sans" w:eastAsiaTheme="minorHAnsi" w:hAnsi="Open Sans" w:cs="Open Sans"/>
          <w:sz w:val="20"/>
          <w:szCs w:val="20"/>
        </w:rPr>
        <w:t xml:space="preserve">) pertenecientes a unidades administrativas de las diferentes </w:t>
      </w:r>
      <w:r w:rsidR="008065EF" w:rsidRPr="00A07BE9">
        <w:rPr>
          <w:rFonts w:ascii="Open Sans" w:eastAsiaTheme="minorHAnsi" w:hAnsi="Open Sans" w:cs="Open Sans"/>
          <w:sz w:val="20"/>
          <w:szCs w:val="20"/>
        </w:rPr>
        <w:t>c</w:t>
      </w:r>
      <w:r w:rsidRPr="00A07BE9">
        <w:rPr>
          <w:rFonts w:ascii="Open Sans" w:eastAsiaTheme="minorHAnsi" w:hAnsi="Open Sans" w:cs="Open Sans"/>
          <w:sz w:val="20"/>
          <w:szCs w:val="20"/>
        </w:rPr>
        <w:t>onse</w:t>
      </w:r>
      <w:r w:rsidR="000C2B89" w:rsidRPr="00A07BE9">
        <w:rPr>
          <w:rFonts w:ascii="Open Sans" w:eastAsiaTheme="minorHAnsi" w:hAnsi="Open Sans" w:cs="Open Sans"/>
          <w:sz w:val="20"/>
          <w:szCs w:val="20"/>
        </w:rPr>
        <w:t>ll</w:t>
      </w:r>
      <w:r w:rsidRPr="00A07BE9">
        <w:rPr>
          <w:rFonts w:ascii="Open Sans" w:eastAsiaTheme="minorHAnsi" w:hAnsi="Open Sans" w:cs="Open Sans"/>
          <w:sz w:val="20"/>
          <w:szCs w:val="20"/>
        </w:rPr>
        <w:t>er</w:t>
      </w:r>
      <w:r w:rsidR="004C14BF" w:rsidRPr="00A07BE9">
        <w:rPr>
          <w:rFonts w:ascii="Open Sans" w:eastAsiaTheme="minorHAnsi" w:hAnsi="Open Sans" w:cs="Open Sans"/>
          <w:sz w:val="20"/>
          <w:szCs w:val="20"/>
        </w:rPr>
        <w:t>i</w:t>
      </w:r>
      <w:r w:rsidRPr="00A07BE9">
        <w:rPr>
          <w:rFonts w:ascii="Open Sans" w:eastAsiaTheme="minorHAnsi" w:hAnsi="Open Sans" w:cs="Open Sans"/>
          <w:sz w:val="20"/>
          <w:szCs w:val="20"/>
        </w:rPr>
        <w:t>a</w:t>
      </w:r>
      <w:r w:rsidR="008065EF" w:rsidRPr="00A07BE9">
        <w:rPr>
          <w:rFonts w:ascii="Open Sans" w:eastAsiaTheme="minorHAnsi" w:hAnsi="Open Sans" w:cs="Open Sans"/>
          <w:sz w:val="20"/>
          <w:szCs w:val="20"/>
        </w:rPr>
        <w:t>s</w:t>
      </w:r>
      <w:r w:rsidRPr="00A07BE9">
        <w:rPr>
          <w:rFonts w:ascii="Open Sans" w:eastAsiaTheme="minorHAnsi" w:hAnsi="Open Sans" w:cs="Open Sans"/>
          <w:sz w:val="20"/>
          <w:szCs w:val="20"/>
        </w:rPr>
        <w:t xml:space="preserve"> de la Generalitat valoraron muy positivamente el curso (8,94/10).</w:t>
      </w:r>
    </w:p>
    <w:p w14:paraId="6D933439" w14:textId="77777777" w:rsidR="00A140F9" w:rsidRPr="00A07BE9" w:rsidRDefault="00A140F9" w:rsidP="00A140F9">
      <w:pPr>
        <w:spacing w:after="0" w:line="276" w:lineRule="auto"/>
        <w:jc w:val="both"/>
        <w:rPr>
          <w:rFonts w:ascii="Open Sans" w:eastAsiaTheme="minorHAnsi" w:hAnsi="Open Sans" w:cs="Open Sans"/>
          <w:b/>
          <w:color w:val="9D2235"/>
          <w:sz w:val="20"/>
          <w:szCs w:val="20"/>
        </w:rPr>
      </w:pPr>
    </w:p>
    <w:p w14:paraId="43474D7E" w14:textId="77777777" w:rsidR="00A140F9" w:rsidRPr="00A07BE9" w:rsidRDefault="00A140F9" w:rsidP="00A140F9">
      <w:pPr>
        <w:keepNext/>
        <w:keepLines/>
        <w:spacing w:after="0" w:line="276" w:lineRule="auto"/>
        <w:outlineLvl w:val="2"/>
        <w:rPr>
          <w:rFonts w:ascii="Open Sans" w:eastAsia="Times New Roman" w:hAnsi="Open Sans" w:cs="Open Sans"/>
          <w:b/>
          <w:bCs/>
          <w:smallCaps/>
          <w:color w:val="9D2235"/>
          <w:sz w:val="24"/>
          <w:szCs w:val="24"/>
          <w:lang w:eastAsia="es-ES"/>
        </w:rPr>
      </w:pPr>
      <w:r w:rsidRPr="00A07BE9">
        <w:rPr>
          <w:rFonts w:ascii="Open Sans" w:eastAsiaTheme="majorEastAsia" w:hAnsi="Open Sans" w:cs="Open Sans"/>
          <w:b/>
          <w:color w:val="9D2235"/>
          <w:sz w:val="24"/>
          <w:szCs w:val="24"/>
        </w:rPr>
        <w:t xml:space="preserve">B. </w:t>
      </w:r>
      <w:r w:rsidRPr="00A07BE9">
        <w:rPr>
          <w:rFonts w:ascii="Open Sans" w:eastAsia="Times New Roman" w:hAnsi="Open Sans" w:cs="Open Sans"/>
          <w:b/>
          <w:bCs/>
          <w:smallCaps/>
          <w:color w:val="9D2235"/>
          <w:sz w:val="24"/>
          <w:szCs w:val="24"/>
          <w:lang w:eastAsia="es-ES"/>
        </w:rPr>
        <w:t>Administraciones locales</w:t>
      </w:r>
    </w:p>
    <w:p w14:paraId="2174AC13" w14:textId="77777777" w:rsidR="00A140F9" w:rsidRPr="00A07BE9" w:rsidRDefault="00A140F9" w:rsidP="00A140F9">
      <w:pPr>
        <w:spacing w:after="0" w:line="276" w:lineRule="auto"/>
        <w:ind w:left="720"/>
        <w:contextualSpacing/>
        <w:jc w:val="both"/>
        <w:rPr>
          <w:rFonts w:ascii="Open Sans" w:eastAsiaTheme="minorHAnsi" w:hAnsi="Open Sans" w:cs="Open Sans"/>
          <w:sz w:val="20"/>
          <w:szCs w:val="20"/>
        </w:rPr>
      </w:pPr>
    </w:p>
    <w:p w14:paraId="13FA0B74" w14:textId="6405E7F7" w:rsidR="00A140F9" w:rsidRPr="00A07BE9" w:rsidRDefault="00A140F9" w:rsidP="00A140F9">
      <w:pPr>
        <w:spacing w:after="0" w:line="276" w:lineRule="auto"/>
        <w:ind w:left="720"/>
        <w:contextualSpacing/>
        <w:jc w:val="both"/>
        <w:rPr>
          <w:rFonts w:ascii="Open Sans" w:eastAsiaTheme="minorHAnsi" w:hAnsi="Open Sans" w:cs="Open Sans"/>
          <w:sz w:val="20"/>
          <w:szCs w:val="20"/>
        </w:rPr>
      </w:pPr>
      <w:r w:rsidRPr="00A07BE9">
        <w:rPr>
          <w:rFonts w:ascii="Open Sans" w:eastAsiaTheme="minorHAnsi" w:hAnsi="Open Sans" w:cs="Open Sans"/>
          <w:sz w:val="20"/>
          <w:szCs w:val="20"/>
        </w:rPr>
        <w:t xml:space="preserve">26 de noviembre. 5ª sesión del </w:t>
      </w:r>
      <w:r w:rsidRPr="00A07BE9">
        <w:rPr>
          <w:rFonts w:ascii="Open Sans" w:eastAsiaTheme="minorHAnsi" w:hAnsi="Open Sans" w:cs="Open Sans"/>
          <w:b/>
          <w:sz w:val="20"/>
          <w:szCs w:val="20"/>
        </w:rPr>
        <w:t>Programa de Formación de Cargos Electos 2019</w:t>
      </w:r>
      <w:r w:rsidRPr="00A07BE9">
        <w:rPr>
          <w:rFonts w:ascii="Open Sans" w:eastAsiaTheme="minorHAnsi" w:hAnsi="Open Sans" w:cs="Open Sans"/>
          <w:sz w:val="20"/>
          <w:szCs w:val="20"/>
        </w:rPr>
        <w:t xml:space="preserve">, en el Itinerario de acogida a cargos electos locales organizado por la Diputación Provincial de Valencia. En dicha sesión participó como ponente, la Jefa de Servicio de Prevención de la Agencia y asistieron su </w:t>
      </w:r>
      <w:r w:rsidR="00E9433B" w:rsidRPr="00A07BE9">
        <w:rPr>
          <w:rFonts w:ascii="Open Sans" w:eastAsiaTheme="minorHAnsi" w:hAnsi="Open Sans" w:cs="Open Sans"/>
          <w:sz w:val="20"/>
          <w:szCs w:val="20"/>
        </w:rPr>
        <w:t>d</w:t>
      </w:r>
      <w:r w:rsidRPr="00A07BE9">
        <w:rPr>
          <w:rFonts w:ascii="Open Sans" w:eastAsiaTheme="minorHAnsi" w:hAnsi="Open Sans" w:cs="Open Sans"/>
          <w:sz w:val="20"/>
          <w:szCs w:val="20"/>
        </w:rPr>
        <w:t xml:space="preserve">irector junto con la </w:t>
      </w:r>
      <w:r w:rsidR="00E9433B" w:rsidRPr="00A07BE9">
        <w:rPr>
          <w:rFonts w:ascii="Open Sans" w:eastAsiaTheme="minorHAnsi" w:hAnsi="Open Sans" w:cs="Open Sans"/>
          <w:sz w:val="20"/>
          <w:szCs w:val="20"/>
        </w:rPr>
        <w:t>directora</w:t>
      </w:r>
      <w:r w:rsidRPr="00A07BE9">
        <w:rPr>
          <w:rFonts w:ascii="Open Sans" w:eastAsiaTheme="minorHAnsi" w:hAnsi="Open Sans" w:cs="Open Sans"/>
          <w:sz w:val="20"/>
          <w:szCs w:val="20"/>
        </w:rPr>
        <w:t xml:space="preserve"> de Prevención, Formación y Documentación. Asistieron unos 100 participantes (30 </w:t>
      </w:r>
      <w:r w:rsidRPr="00A07BE9">
        <w:rPr>
          <w:rFonts w:ascii="Open Sans" w:eastAsiaTheme="minorHAnsi" w:hAnsi="Open Sans" w:cs="Open Sans"/>
          <w:noProof/>
          <w:sz w:val="20"/>
          <w:szCs w:val="20"/>
        </w:rPr>
        <w:t xml:space="preserve">mujeres y </w:t>
      </w:r>
      <w:r w:rsidRPr="00A07BE9">
        <w:rPr>
          <w:rFonts w:ascii="Open Sans" w:eastAsiaTheme="minorHAnsi" w:hAnsi="Open Sans" w:cs="Open Sans"/>
          <w:sz w:val="20"/>
          <w:szCs w:val="20"/>
        </w:rPr>
        <w:t>70</w:t>
      </w:r>
      <w:r w:rsidRPr="00A07BE9">
        <w:rPr>
          <w:rFonts w:ascii="Open Sans" w:eastAsiaTheme="minorHAnsi" w:hAnsi="Open Sans" w:cs="Open Sans"/>
          <w:noProof/>
          <w:sz w:val="20"/>
          <w:szCs w:val="20"/>
        </w:rPr>
        <w:t xml:space="preserve"> hombres</w:t>
      </w:r>
      <w:r w:rsidRPr="00A07BE9">
        <w:rPr>
          <w:rFonts w:ascii="Open Sans" w:eastAsiaTheme="minorHAnsi" w:hAnsi="Open Sans" w:cs="Open Sans"/>
          <w:sz w:val="20"/>
          <w:szCs w:val="20"/>
        </w:rPr>
        <w:t xml:space="preserve">), de 15 comarcas, con una valoración global muy positiva (4,3/5). </w:t>
      </w:r>
    </w:p>
    <w:p w14:paraId="7A961D9B" w14:textId="77777777" w:rsidR="00A140F9" w:rsidRPr="00A07BE9" w:rsidRDefault="00A140F9" w:rsidP="00A140F9">
      <w:pPr>
        <w:spacing w:after="0" w:line="276" w:lineRule="auto"/>
        <w:rPr>
          <w:rFonts w:ascii="Open Sans" w:eastAsiaTheme="minorHAnsi" w:hAnsi="Open Sans" w:cs="Open Sans"/>
          <w:sz w:val="20"/>
          <w:szCs w:val="20"/>
        </w:rPr>
      </w:pPr>
    </w:p>
    <w:p w14:paraId="6BFAB38D" w14:textId="00B392D0" w:rsidR="00A140F9" w:rsidRPr="00A07BE9" w:rsidRDefault="00A140F9" w:rsidP="00A140F9">
      <w:pPr>
        <w:keepNext/>
        <w:keepLines/>
        <w:spacing w:after="0" w:line="276" w:lineRule="auto"/>
        <w:outlineLvl w:val="2"/>
        <w:rPr>
          <w:rFonts w:ascii="Open Sans" w:eastAsia="Times New Roman" w:hAnsi="Open Sans" w:cs="Open Sans"/>
          <w:b/>
          <w:bCs/>
          <w:smallCaps/>
          <w:color w:val="9D2235"/>
          <w:sz w:val="24"/>
          <w:szCs w:val="24"/>
          <w:lang w:eastAsia="es-ES"/>
        </w:rPr>
      </w:pPr>
      <w:r w:rsidRPr="00A07BE9">
        <w:rPr>
          <w:rFonts w:ascii="Open Sans" w:eastAsiaTheme="majorEastAsia" w:hAnsi="Open Sans" w:cs="Open Sans"/>
          <w:b/>
          <w:color w:val="9D2235"/>
          <w:sz w:val="24"/>
          <w:szCs w:val="24"/>
        </w:rPr>
        <w:t>2.2.4.</w:t>
      </w:r>
      <w:r w:rsidR="00C73F90" w:rsidRPr="00A07BE9">
        <w:rPr>
          <w:rFonts w:ascii="Open Sans" w:eastAsiaTheme="majorEastAsia" w:hAnsi="Open Sans" w:cs="Open Sans"/>
          <w:b/>
          <w:color w:val="9D2235"/>
          <w:sz w:val="24"/>
          <w:szCs w:val="24"/>
        </w:rPr>
        <w:t>2</w:t>
      </w:r>
      <w:r w:rsidRPr="00A07BE9">
        <w:rPr>
          <w:rFonts w:ascii="Open Sans" w:eastAsiaTheme="majorEastAsia" w:hAnsi="Open Sans" w:cs="Open Sans"/>
          <w:b/>
          <w:color w:val="9D2235"/>
          <w:sz w:val="24"/>
          <w:szCs w:val="24"/>
        </w:rPr>
        <w:t xml:space="preserve">. </w:t>
      </w:r>
      <w:r w:rsidRPr="00A07BE9">
        <w:rPr>
          <w:rFonts w:ascii="Open Sans" w:eastAsia="Times New Roman" w:hAnsi="Open Sans" w:cs="Open Sans"/>
          <w:b/>
          <w:bCs/>
          <w:smallCaps/>
          <w:color w:val="9D2235"/>
          <w:sz w:val="24"/>
          <w:szCs w:val="24"/>
          <w:lang w:eastAsia="es-ES"/>
        </w:rPr>
        <w:t>Ciudadanía</w:t>
      </w:r>
    </w:p>
    <w:p w14:paraId="0BC705F6" w14:textId="77777777" w:rsidR="00A140F9" w:rsidRPr="00A07BE9" w:rsidRDefault="00A140F9" w:rsidP="00A140F9">
      <w:pPr>
        <w:spacing w:after="0" w:line="276" w:lineRule="auto"/>
        <w:jc w:val="both"/>
        <w:rPr>
          <w:rFonts w:ascii="Open Sans" w:eastAsiaTheme="minorHAnsi" w:hAnsi="Open Sans" w:cs="Open Sans"/>
          <w:sz w:val="20"/>
          <w:szCs w:val="20"/>
        </w:rPr>
      </w:pPr>
    </w:p>
    <w:p w14:paraId="41DB5D9F" w14:textId="508B232C"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En este ámbito de la población general no relacionada directamente con la gestión pública, las opciones de intervención se han orientado, por un lado, al sector Universidad, para la capacitación técnica y el fomento de la responsabilidad social de la población universitaria, de forma previa a su posible incorporación al servicio público, por ejemplo. Y por otro, a establecer las bases para dirigirnos a la población más joven, con elementos de formación que hacen referencia a valores y comportamientos, individuales y colectivos, ligados con los Derechos Humanos y la Justicia Social. Con esta perspectiva se han identificado diferentes vías de actuación.</w:t>
      </w:r>
    </w:p>
    <w:p w14:paraId="17A37A80" w14:textId="77777777" w:rsidR="00A140F9" w:rsidRPr="00A07BE9" w:rsidRDefault="00A140F9" w:rsidP="00A140F9">
      <w:pPr>
        <w:keepNext/>
        <w:keepLines/>
        <w:spacing w:after="0" w:line="276" w:lineRule="auto"/>
        <w:outlineLvl w:val="2"/>
        <w:rPr>
          <w:rFonts w:ascii="Open Sans" w:eastAsia="Times New Roman" w:hAnsi="Open Sans" w:cs="Open Sans"/>
          <w:b/>
          <w:bCs/>
          <w:smallCaps/>
          <w:color w:val="9D2235"/>
          <w:sz w:val="24"/>
          <w:szCs w:val="24"/>
          <w:lang w:eastAsia="es-ES"/>
        </w:rPr>
      </w:pPr>
      <w:r w:rsidRPr="00A07BE9">
        <w:rPr>
          <w:rFonts w:ascii="Open Sans" w:eastAsiaTheme="majorEastAsia" w:hAnsi="Open Sans" w:cs="Open Sans"/>
          <w:b/>
          <w:color w:val="9D2235"/>
          <w:sz w:val="24"/>
          <w:szCs w:val="24"/>
        </w:rPr>
        <w:lastRenderedPageBreak/>
        <w:t xml:space="preserve">A. </w:t>
      </w:r>
      <w:r w:rsidRPr="00A07BE9">
        <w:rPr>
          <w:rFonts w:ascii="Open Sans" w:eastAsia="Times New Roman" w:hAnsi="Open Sans" w:cs="Open Sans"/>
          <w:b/>
          <w:bCs/>
          <w:smallCaps/>
          <w:color w:val="9D2235"/>
          <w:sz w:val="24"/>
          <w:szCs w:val="24"/>
          <w:lang w:eastAsia="es-ES"/>
        </w:rPr>
        <w:t>Universidades</w:t>
      </w:r>
    </w:p>
    <w:p w14:paraId="759F3CE4" w14:textId="77777777" w:rsidR="00A140F9" w:rsidRPr="00A07BE9" w:rsidRDefault="00A140F9" w:rsidP="00A140F9">
      <w:pPr>
        <w:keepNext/>
        <w:keepLines/>
        <w:spacing w:after="0" w:line="276" w:lineRule="auto"/>
        <w:outlineLvl w:val="2"/>
        <w:rPr>
          <w:rFonts w:ascii="Open Sans" w:eastAsia="Times New Roman" w:hAnsi="Open Sans" w:cs="Open Sans"/>
          <w:b/>
          <w:bCs/>
          <w:smallCaps/>
          <w:color w:val="993333"/>
          <w:sz w:val="20"/>
          <w:szCs w:val="20"/>
          <w:lang w:eastAsia="es-ES"/>
        </w:rPr>
      </w:pPr>
    </w:p>
    <w:p w14:paraId="78EFE019" w14:textId="2AA6EBCE"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La Agencia reconoce la Universidad como la institución de referencia que acumula todo el potencial del conocimiento y la excelencia en la capacitación de las nuevas generaciones de servidores públicos y, es por eso qué, pretende acercarse y ofrecer su esfuerzo, desde el respeto a la integración en los programas docentes, a la mejora del estudio y la difusión de los temas vinculados con la integridad en la gestión pública y el respeto por el bien común en nuestra comunidad.</w:t>
      </w:r>
    </w:p>
    <w:p w14:paraId="2575273B" w14:textId="77777777" w:rsidR="00A140F9" w:rsidRPr="00A07BE9" w:rsidRDefault="00A140F9" w:rsidP="00A140F9">
      <w:pPr>
        <w:spacing w:after="0" w:line="276" w:lineRule="auto"/>
        <w:jc w:val="both"/>
        <w:rPr>
          <w:rFonts w:ascii="Open Sans" w:eastAsiaTheme="minorHAnsi" w:hAnsi="Open Sans" w:cs="Open Sans"/>
          <w:sz w:val="20"/>
          <w:szCs w:val="20"/>
        </w:rPr>
      </w:pPr>
    </w:p>
    <w:p w14:paraId="1A6EB78F" w14:textId="77777777"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Tal como hemos comentado, una de las funciones de la Agencia es proponer programas de sensibilización, elaborar y gestionar acciones y guías formativas especializadas en materia de integridad y ética pública, así como de prevención del fraude y la corrupción.</w:t>
      </w:r>
    </w:p>
    <w:p w14:paraId="2484BA79" w14:textId="77777777" w:rsidR="00A140F9" w:rsidRPr="00A07BE9" w:rsidRDefault="00A140F9" w:rsidP="00A140F9">
      <w:pPr>
        <w:spacing w:after="0" w:line="276" w:lineRule="auto"/>
        <w:jc w:val="both"/>
        <w:rPr>
          <w:rFonts w:ascii="Open Sans" w:eastAsiaTheme="minorHAnsi" w:hAnsi="Open Sans" w:cs="Open Sans"/>
          <w:sz w:val="20"/>
          <w:szCs w:val="20"/>
        </w:rPr>
      </w:pPr>
    </w:p>
    <w:p w14:paraId="12F27F6A" w14:textId="77777777"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En este marco, la Agencia planteó dos acciones diferenciadas: por un lado, la presentación para su difusión y utilización, de un material audiovisual elaborado por la Agencia, como base para resaltar los temas relacionados con la prevención y lucha contra el fraude y la corrupción. En este caso, con un doble objetivo: favorecer la sensibilización en temas de ética de la gestión pública del alumnado y establecer alianzas con los departamentos universitarios que permitan potenciar redes de activos en la lucha contra la corrupción y el fraude.</w:t>
      </w:r>
    </w:p>
    <w:p w14:paraId="7C0EB59C" w14:textId="77777777" w:rsidR="00A140F9" w:rsidRPr="00A07BE9" w:rsidRDefault="00A140F9" w:rsidP="00A140F9">
      <w:pPr>
        <w:spacing w:after="0" w:line="276" w:lineRule="auto"/>
        <w:jc w:val="both"/>
        <w:rPr>
          <w:rFonts w:ascii="Open Sans" w:eastAsiaTheme="minorHAnsi" w:hAnsi="Open Sans" w:cs="Open Sans"/>
          <w:sz w:val="20"/>
          <w:szCs w:val="20"/>
        </w:rPr>
      </w:pPr>
    </w:p>
    <w:p w14:paraId="5B5A1309" w14:textId="5E4627C9"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 xml:space="preserve">Por otro, la integración de sus propuestas formativas y de sensibilización dentro del </w:t>
      </w:r>
      <w:r w:rsidRPr="00A07BE9">
        <w:rPr>
          <w:rFonts w:ascii="Open Sans" w:eastAsiaTheme="minorHAnsi" w:hAnsi="Open Sans" w:cs="Open Sans"/>
          <w:b/>
          <w:sz w:val="20"/>
          <w:szCs w:val="20"/>
        </w:rPr>
        <w:t>Programa UNISOCIETAT</w:t>
      </w:r>
      <w:r w:rsidRPr="00A07BE9">
        <w:rPr>
          <w:rFonts w:ascii="Open Sans" w:eastAsiaTheme="minorHAnsi" w:hAnsi="Open Sans" w:cs="Open Sans"/>
          <w:sz w:val="20"/>
          <w:szCs w:val="20"/>
        </w:rPr>
        <w:t>, vinculado con el Vicerrectorado de Participación y Proyección Territorial de la Universi</w:t>
      </w:r>
      <w:r w:rsidR="00DE29D5" w:rsidRPr="00A07BE9">
        <w:rPr>
          <w:rFonts w:ascii="Open Sans" w:eastAsiaTheme="minorHAnsi" w:hAnsi="Open Sans" w:cs="Open Sans"/>
          <w:sz w:val="20"/>
          <w:szCs w:val="20"/>
        </w:rPr>
        <w:t>t</w:t>
      </w:r>
      <w:r w:rsidRPr="00A07BE9">
        <w:rPr>
          <w:rFonts w:ascii="Open Sans" w:eastAsiaTheme="minorHAnsi" w:hAnsi="Open Sans" w:cs="Open Sans"/>
          <w:sz w:val="20"/>
          <w:szCs w:val="20"/>
        </w:rPr>
        <w:t>a</w:t>
      </w:r>
      <w:r w:rsidR="00DE29D5" w:rsidRPr="00A07BE9">
        <w:rPr>
          <w:rFonts w:ascii="Open Sans" w:eastAsiaTheme="minorHAnsi" w:hAnsi="Open Sans" w:cs="Open Sans"/>
          <w:sz w:val="20"/>
          <w:szCs w:val="20"/>
        </w:rPr>
        <w:t>t</w:t>
      </w:r>
      <w:r w:rsidRPr="00A07BE9">
        <w:rPr>
          <w:rFonts w:ascii="Open Sans" w:eastAsiaTheme="minorHAnsi" w:hAnsi="Open Sans" w:cs="Open Sans"/>
          <w:sz w:val="20"/>
          <w:szCs w:val="20"/>
        </w:rPr>
        <w:t xml:space="preserve"> de Val</w:t>
      </w:r>
      <w:r w:rsidR="00DE29D5" w:rsidRPr="00A07BE9">
        <w:rPr>
          <w:rFonts w:ascii="Open Sans" w:eastAsiaTheme="minorHAnsi" w:hAnsi="Open Sans" w:cs="Open Sans"/>
          <w:sz w:val="20"/>
          <w:szCs w:val="20"/>
        </w:rPr>
        <w:t>è</w:t>
      </w:r>
      <w:r w:rsidRPr="00A07BE9">
        <w:rPr>
          <w:rFonts w:ascii="Open Sans" w:eastAsiaTheme="minorHAnsi" w:hAnsi="Open Sans" w:cs="Open Sans"/>
          <w:sz w:val="20"/>
          <w:szCs w:val="20"/>
        </w:rPr>
        <w:t>ncia.</w:t>
      </w:r>
    </w:p>
    <w:p w14:paraId="299939BB" w14:textId="77777777" w:rsidR="00A140F9" w:rsidRPr="00A07BE9" w:rsidRDefault="00A140F9" w:rsidP="00A140F9">
      <w:pPr>
        <w:spacing w:after="0" w:line="276" w:lineRule="auto"/>
        <w:jc w:val="both"/>
        <w:rPr>
          <w:rFonts w:ascii="Open Sans" w:eastAsiaTheme="minorHAnsi" w:hAnsi="Open Sans" w:cs="Open Sans"/>
          <w:b/>
          <w:color w:val="9D2235"/>
          <w:sz w:val="20"/>
          <w:szCs w:val="20"/>
        </w:rPr>
      </w:pPr>
    </w:p>
    <w:p w14:paraId="76487F44" w14:textId="77777777" w:rsidR="00A140F9" w:rsidRPr="00A07BE9" w:rsidRDefault="00A140F9" w:rsidP="00A140F9">
      <w:pPr>
        <w:keepNext/>
        <w:keepLines/>
        <w:spacing w:after="0" w:line="276" w:lineRule="auto"/>
        <w:outlineLvl w:val="2"/>
        <w:rPr>
          <w:rFonts w:ascii="Open Sans" w:eastAsia="Times New Roman" w:hAnsi="Open Sans" w:cs="Open Sans"/>
          <w:b/>
          <w:bCs/>
          <w:smallCaps/>
          <w:color w:val="9D2235"/>
          <w:sz w:val="24"/>
          <w:szCs w:val="24"/>
          <w:lang w:eastAsia="es-ES"/>
        </w:rPr>
      </w:pPr>
      <w:r w:rsidRPr="00A07BE9">
        <w:rPr>
          <w:rFonts w:ascii="Open Sans" w:eastAsiaTheme="majorEastAsia" w:hAnsi="Open Sans" w:cs="Open Sans"/>
          <w:b/>
          <w:color w:val="9D2235"/>
          <w:sz w:val="24"/>
          <w:szCs w:val="24"/>
        </w:rPr>
        <w:t xml:space="preserve">A.1. </w:t>
      </w:r>
      <w:r w:rsidRPr="00A07BE9">
        <w:rPr>
          <w:rFonts w:ascii="Open Sans" w:eastAsia="Times New Roman" w:hAnsi="Open Sans" w:cs="Open Sans"/>
          <w:b/>
          <w:bCs/>
          <w:smallCaps/>
          <w:color w:val="9D2235"/>
          <w:sz w:val="24"/>
          <w:szCs w:val="24"/>
          <w:lang w:eastAsia="es-ES"/>
        </w:rPr>
        <w:t>Creación y difusión de material audiovisual</w:t>
      </w:r>
    </w:p>
    <w:p w14:paraId="564746B8" w14:textId="77777777" w:rsidR="00A140F9" w:rsidRPr="00A07BE9" w:rsidRDefault="00A140F9" w:rsidP="00A140F9">
      <w:pPr>
        <w:spacing w:after="0" w:line="276" w:lineRule="auto"/>
        <w:jc w:val="both"/>
        <w:rPr>
          <w:rFonts w:ascii="Open Sans" w:eastAsiaTheme="minorHAnsi" w:hAnsi="Open Sans" w:cs="Open Sans"/>
          <w:sz w:val="20"/>
          <w:szCs w:val="20"/>
        </w:rPr>
      </w:pPr>
    </w:p>
    <w:p w14:paraId="0770D3CB" w14:textId="77777777"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En la Memoria del año 2018, en el apartado destinado a describir los actos organizados por la Agencia, explicábamos la proyección del documental “La corrupción, organismo nocivo”, de Pandora Box TV, acompañado de una conferencia en Castellón, Alicante y Valencia.</w:t>
      </w:r>
    </w:p>
    <w:p w14:paraId="0E79C926" w14:textId="77777777" w:rsidR="00A140F9" w:rsidRPr="00A07BE9" w:rsidRDefault="00A140F9" w:rsidP="00A140F9">
      <w:pPr>
        <w:spacing w:after="0" w:line="276" w:lineRule="auto"/>
        <w:jc w:val="both"/>
        <w:rPr>
          <w:rFonts w:ascii="Open Sans" w:eastAsiaTheme="minorHAnsi" w:hAnsi="Open Sans" w:cs="Open Sans"/>
          <w:sz w:val="20"/>
          <w:szCs w:val="20"/>
        </w:rPr>
      </w:pPr>
    </w:p>
    <w:p w14:paraId="71266555" w14:textId="77777777"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Este año, la proyección del documental se ha llevado a cabo en la sede de CCOO PV y con la colaboración de ACICOM (Associació Ciutadania i Comunicació). El acto tuvo lugar el 22 de marzo, con una afluencia de 20 asistentes que participaron en un coloquio posterior. Duración: 3h.</w:t>
      </w:r>
    </w:p>
    <w:p w14:paraId="690A665D" w14:textId="77777777" w:rsidR="00A140F9" w:rsidRPr="00A07BE9" w:rsidRDefault="00A140F9" w:rsidP="00A140F9">
      <w:pPr>
        <w:spacing w:after="0" w:line="276" w:lineRule="auto"/>
        <w:jc w:val="both"/>
        <w:rPr>
          <w:rFonts w:ascii="Open Sans" w:eastAsiaTheme="minorHAnsi" w:hAnsi="Open Sans" w:cs="Open Sans"/>
          <w:sz w:val="20"/>
          <w:szCs w:val="20"/>
        </w:rPr>
      </w:pPr>
    </w:p>
    <w:p w14:paraId="4F05DA9F" w14:textId="77777777"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Este documental fue la base para una posterior adaptación del mismo, reduciendo su duración a 30’ y actualizando contenidos hasta el 2019, mediante una mesa redonda con miembros de la Agencia junto a personas vinculadas al mundo de la lucha contra el fraude y la corrupción.</w:t>
      </w:r>
    </w:p>
    <w:p w14:paraId="2EA0E1A0" w14:textId="77777777" w:rsidR="00A140F9" w:rsidRPr="00A07BE9" w:rsidRDefault="00A140F9" w:rsidP="00A140F9">
      <w:pPr>
        <w:spacing w:after="0" w:line="276" w:lineRule="auto"/>
        <w:jc w:val="both"/>
        <w:rPr>
          <w:rFonts w:ascii="Open Sans" w:eastAsiaTheme="minorHAnsi" w:hAnsi="Open Sans" w:cs="Open Sans"/>
          <w:sz w:val="20"/>
          <w:szCs w:val="20"/>
        </w:rPr>
      </w:pPr>
    </w:p>
    <w:p w14:paraId="2E8BF9D6" w14:textId="0C80F979" w:rsidR="00A140F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lastRenderedPageBreak/>
        <w:t>El objetivo final era la creación de una herramienta pedagógica, en formato audiovisual, para acompañar las actividades formativas y de sensibilización en el ámbito educativo, de las entidades sociales y del conjunto de la ciudadanía.</w:t>
      </w:r>
    </w:p>
    <w:p w14:paraId="4AEF5B11" w14:textId="77777777" w:rsidR="00C772A3" w:rsidRPr="00A07BE9" w:rsidRDefault="00C772A3" w:rsidP="00A140F9">
      <w:pPr>
        <w:spacing w:after="0" w:line="276" w:lineRule="auto"/>
        <w:jc w:val="both"/>
        <w:rPr>
          <w:rFonts w:ascii="Open Sans" w:eastAsiaTheme="minorHAnsi" w:hAnsi="Open Sans" w:cs="Open Sans"/>
          <w:sz w:val="20"/>
          <w:szCs w:val="20"/>
        </w:rPr>
      </w:pPr>
    </w:p>
    <w:p w14:paraId="4AFC5F15" w14:textId="066AF7D1"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 xml:space="preserve">CORRUPCIONORGANISMONOCIVO, S.L. como empresa propietaria de los </w:t>
      </w:r>
      <w:r w:rsidR="0050483D" w:rsidRPr="00A07BE9">
        <w:rPr>
          <w:rFonts w:ascii="Open Sans" w:eastAsiaTheme="minorHAnsi" w:hAnsi="Open Sans" w:cs="Open Sans"/>
          <w:sz w:val="20"/>
          <w:szCs w:val="20"/>
        </w:rPr>
        <w:t>d</w:t>
      </w:r>
      <w:r w:rsidRPr="00A07BE9">
        <w:rPr>
          <w:rFonts w:ascii="Open Sans" w:eastAsiaTheme="minorHAnsi" w:hAnsi="Open Sans" w:cs="Open Sans"/>
          <w:sz w:val="20"/>
          <w:szCs w:val="20"/>
        </w:rPr>
        <w:t xml:space="preserve">erechos de </w:t>
      </w:r>
      <w:r w:rsidR="0050483D" w:rsidRPr="00A07BE9">
        <w:rPr>
          <w:rFonts w:ascii="Open Sans" w:eastAsiaTheme="minorHAnsi" w:hAnsi="Open Sans" w:cs="Open Sans"/>
          <w:sz w:val="20"/>
          <w:szCs w:val="20"/>
        </w:rPr>
        <w:t>a</w:t>
      </w:r>
      <w:r w:rsidRPr="00A07BE9">
        <w:rPr>
          <w:rFonts w:ascii="Open Sans" w:eastAsiaTheme="minorHAnsi" w:hAnsi="Open Sans" w:cs="Open Sans"/>
          <w:sz w:val="20"/>
          <w:szCs w:val="20"/>
        </w:rPr>
        <w:t xml:space="preserve">utor y de la </w:t>
      </w:r>
      <w:r w:rsidR="0050483D" w:rsidRPr="00A07BE9">
        <w:rPr>
          <w:rFonts w:ascii="Open Sans" w:eastAsiaTheme="minorHAnsi" w:hAnsi="Open Sans" w:cs="Open Sans"/>
          <w:sz w:val="20"/>
          <w:szCs w:val="20"/>
        </w:rPr>
        <w:t>p</w:t>
      </w:r>
      <w:r w:rsidRPr="00A07BE9">
        <w:rPr>
          <w:rFonts w:ascii="Open Sans" w:eastAsiaTheme="minorHAnsi" w:hAnsi="Open Sans" w:cs="Open Sans"/>
          <w:sz w:val="20"/>
          <w:szCs w:val="20"/>
        </w:rPr>
        <w:t xml:space="preserve">ropiedad intelectual, cedió los permisos y derechos de autor, así como la licencia de derechos de explotación y proyección ilimitados a la Agencia Valenciana Antifraude de esta nueva pieza audiovisual de 40’. </w:t>
      </w:r>
    </w:p>
    <w:p w14:paraId="4ED88863" w14:textId="77777777" w:rsidR="00A140F9" w:rsidRPr="00A07BE9" w:rsidRDefault="00A140F9" w:rsidP="00A140F9">
      <w:pPr>
        <w:spacing w:after="0" w:line="276" w:lineRule="auto"/>
        <w:jc w:val="both"/>
        <w:rPr>
          <w:rFonts w:ascii="Open Sans" w:eastAsiaTheme="minorHAnsi" w:hAnsi="Open Sans" w:cs="Open Sans"/>
          <w:sz w:val="20"/>
          <w:szCs w:val="20"/>
        </w:rPr>
      </w:pPr>
    </w:p>
    <w:p w14:paraId="63F51D0C" w14:textId="77777777"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El documental se elaboró entre los meses de abril y julio, y comprendía las siguientes fases: entrega remontaje documental; tareas de preproducción; rodaje Mesa de reflexión en Agencia Valenciana Antifraude; primera maqueta y montaje definitivo.</w:t>
      </w:r>
    </w:p>
    <w:p w14:paraId="4D684274" w14:textId="77777777" w:rsidR="00A140F9" w:rsidRPr="00A07BE9" w:rsidRDefault="00A140F9" w:rsidP="00A140F9">
      <w:pPr>
        <w:spacing w:after="0" w:line="276" w:lineRule="auto"/>
        <w:jc w:val="both"/>
        <w:rPr>
          <w:rFonts w:ascii="Open Sans" w:eastAsiaTheme="minorHAnsi" w:hAnsi="Open Sans" w:cs="Open Sans"/>
          <w:sz w:val="20"/>
          <w:szCs w:val="20"/>
        </w:rPr>
      </w:pPr>
    </w:p>
    <w:p w14:paraId="33CA47F7" w14:textId="77777777"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Así pues, el nuevo documental relata la experiencia sentida de personas alertadoras, junto con el debate de expertos sobre las diversas facetas del fenómeno de la corrupción, en formato de mesa redonda, que se retoma el año 2019, a partir de las funciones de la Agencia Valenciana Antifraude.</w:t>
      </w:r>
    </w:p>
    <w:p w14:paraId="723790D1" w14:textId="77777777" w:rsidR="00A140F9" w:rsidRPr="00A07BE9" w:rsidRDefault="00A140F9" w:rsidP="00A140F9">
      <w:pPr>
        <w:spacing w:after="0" w:line="276" w:lineRule="auto"/>
        <w:jc w:val="both"/>
        <w:rPr>
          <w:rFonts w:ascii="Open Sans" w:eastAsiaTheme="minorHAnsi" w:hAnsi="Open Sans" w:cs="Open Sans"/>
          <w:sz w:val="20"/>
          <w:szCs w:val="20"/>
        </w:rPr>
      </w:pPr>
    </w:p>
    <w:p w14:paraId="58BB83B5" w14:textId="6BE710B0"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 xml:space="preserve">A partir de la finalización del audiovisual y durante el mes de agosto se confeccionó la estrategia de su difusión en el ámbito universitario de todo el territorio de la Comunitat Valenciana para el curso 2019-2020. </w:t>
      </w:r>
    </w:p>
    <w:p w14:paraId="1A780F2D" w14:textId="77777777" w:rsidR="0014011E" w:rsidRPr="00A07BE9" w:rsidRDefault="0014011E" w:rsidP="00A140F9">
      <w:pPr>
        <w:spacing w:after="0" w:line="276" w:lineRule="auto"/>
        <w:jc w:val="both"/>
        <w:rPr>
          <w:rFonts w:ascii="Open Sans" w:eastAsiaTheme="minorHAnsi" w:hAnsi="Open Sans" w:cs="Open Sans"/>
          <w:sz w:val="20"/>
          <w:szCs w:val="20"/>
        </w:rPr>
      </w:pPr>
    </w:p>
    <w:p w14:paraId="51609E68" w14:textId="5B857949" w:rsidR="008A1A7A" w:rsidRPr="00C772A3" w:rsidRDefault="00970E9C" w:rsidP="00A140F9">
      <w:pPr>
        <w:spacing w:after="0" w:line="276" w:lineRule="auto"/>
        <w:jc w:val="both"/>
        <w:rPr>
          <w:rFonts w:ascii="Open Sans" w:eastAsiaTheme="minorHAnsi" w:hAnsi="Open Sans" w:cs="Open Sans"/>
        </w:rPr>
      </w:pPr>
      <w:r w:rsidRPr="00A07BE9">
        <w:rPr>
          <w:rFonts w:ascii="Open Sans" w:eastAsiaTheme="minorHAnsi" w:hAnsi="Open Sans" w:cs="Open Sans"/>
          <w:noProof/>
        </w:rPr>
        <w:drawing>
          <wp:inline distT="0" distB="0" distL="0" distR="0" wp14:anchorId="17BC2B04" wp14:editId="15A2EFA7">
            <wp:extent cx="5410200" cy="4301655"/>
            <wp:effectExtent l="0" t="0" r="0" b="381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17276" cy="4307281"/>
                    </a:xfrm>
                    <a:prstGeom prst="rect">
                      <a:avLst/>
                    </a:prstGeom>
                  </pic:spPr>
                </pic:pic>
              </a:graphicData>
            </a:graphic>
          </wp:inline>
        </w:drawing>
      </w:r>
    </w:p>
    <w:p w14:paraId="3FCF260C" w14:textId="53818758"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lastRenderedPageBreak/>
        <w:t>La estrategia propone dos fases de difusión. En la primera se seleccionó 12 Grados y 18 Departamentos de las 5 Universidades de la Comunitat Valenciana, para el periodo académico 2019-2020. La segunda fase contempla la colaboración con 19 Grados y 23 Departamentos en el mismo ámbito universitario, para el curso 2020-2021.</w:t>
      </w:r>
    </w:p>
    <w:p w14:paraId="08F365D1" w14:textId="77777777" w:rsidR="00A140F9" w:rsidRPr="00A07BE9" w:rsidRDefault="00A140F9" w:rsidP="00A140F9">
      <w:pPr>
        <w:spacing w:after="0" w:line="276" w:lineRule="auto"/>
        <w:jc w:val="both"/>
        <w:rPr>
          <w:rFonts w:ascii="Open Sans" w:eastAsiaTheme="minorHAnsi" w:hAnsi="Open Sans" w:cs="Open Sans"/>
          <w:sz w:val="20"/>
          <w:szCs w:val="20"/>
        </w:rPr>
      </w:pPr>
    </w:p>
    <w:p w14:paraId="7C95B307" w14:textId="77777777"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Paralelamente, se estableció contacto de forma escalonada con los tres niveles de representación y responsabilidad académica.</w:t>
      </w:r>
    </w:p>
    <w:p w14:paraId="160204EA" w14:textId="77777777" w:rsidR="00A140F9" w:rsidRPr="00A07BE9" w:rsidRDefault="00A140F9" w:rsidP="00A140F9">
      <w:pPr>
        <w:spacing w:after="0" w:line="276" w:lineRule="auto"/>
        <w:jc w:val="both"/>
        <w:rPr>
          <w:rFonts w:ascii="Open Sans" w:eastAsiaTheme="minorHAnsi" w:hAnsi="Open Sans" w:cs="Open Sans"/>
          <w:sz w:val="20"/>
          <w:szCs w:val="20"/>
        </w:rPr>
      </w:pPr>
    </w:p>
    <w:p w14:paraId="668331BD" w14:textId="77777777"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 xml:space="preserve">En primer lugar, con los Rectorados de cada una de las Universidades, para presentar la Agencia, la identificación de Grados y el objeto de la propuesta (difusión del documental y generación de debate con los alumnos y los departamentos implicados). </w:t>
      </w:r>
    </w:p>
    <w:p w14:paraId="52180A5B" w14:textId="77777777" w:rsidR="00A140F9" w:rsidRPr="00A07BE9" w:rsidRDefault="00A140F9" w:rsidP="00A140F9">
      <w:pPr>
        <w:spacing w:after="0" w:line="276" w:lineRule="auto"/>
        <w:jc w:val="both"/>
        <w:rPr>
          <w:rFonts w:ascii="Open Sans" w:eastAsiaTheme="minorHAnsi" w:hAnsi="Open Sans" w:cs="Open Sans"/>
          <w:sz w:val="20"/>
          <w:szCs w:val="20"/>
        </w:rPr>
      </w:pPr>
    </w:p>
    <w:p w14:paraId="7F523812" w14:textId="0057D3C2"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Posteriormente, el marco y objeto de la actividad se presentó a l</w:t>
      </w:r>
      <w:r w:rsidR="000139EB" w:rsidRPr="00A07BE9">
        <w:rPr>
          <w:rFonts w:ascii="Open Sans" w:eastAsiaTheme="minorHAnsi" w:hAnsi="Open Sans" w:cs="Open Sans"/>
          <w:sz w:val="20"/>
          <w:szCs w:val="20"/>
        </w:rPr>
        <w:t>os</w:t>
      </w:r>
      <w:r w:rsidRPr="00A07BE9">
        <w:rPr>
          <w:rFonts w:ascii="Open Sans" w:eastAsiaTheme="minorHAnsi" w:hAnsi="Open Sans" w:cs="Open Sans"/>
          <w:sz w:val="20"/>
          <w:szCs w:val="20"/>
        </w:rPr>
        <w:t xml:space="preserve"> Decanatos de los grados seleccionados.</w:t>
      </w:r>
    </w:p>
    <w:p w14:paraId="103E03C7" w14:textId="77777777" w:rsidR="00A140F9" w:rsidRPr="00A07BE9" w:rsidRDefault="00A140F9" w:rsidP="00A140F9">
      <w:pPr>
        <w:spacing w:after="0" w:line="276" w:lineRule="auto"/>
        <w:jc w:val="both"/>
        <w:rPr>
          <w:rFonts w:ascii="Open Sans" w:eastAsiaTheme="minorHAnsi" w:hAnsi="Open Sans" w:cs="Open Sans"/>
          <w:sz w:val="20"/>
          <w:szCs w:val="20"/>
        </w:rPr>
      </w:pPr>
    </w:p>
    <w:p w14:paraId="362398E0" w14:textId="77777777"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Finalmente, la presentación y ofrecimiento de la propuesta a los departamentos identificados más vinculados a su contenido, para valorar e integrar el audiovisual, si así lo consideraban, en su guía docente o en las actividades complementarias, con la participación de la Agencia.</w:t>
      </w:r>
    </w:p>
    <w:p w14:paraId="0EAC89F7" w14:textId="77777777" w:rsidR="00A140F9" w:rsidRPr="00A07BE9" w:rsidRDefault="00A140F9" w:rsidP="00A140F9">
      <w:pPr>
        <w:spacing w:after="0" w:line="276" w:lineRule="auto"/>
        <w:jc w:val="both"/>
        <w:rPr>
          <w:rFonts w:ascii="Open Sans" w:eastAsiaTheme="minorHAnsi" w:hAnsi="Open Sans" w:cs="Open Sans"/>
          <w:sz w:val="20"/>
          <w:szCs w:val="20"/>
        </w:rPr>
      </w:pPr>
    </w:p>
    <w:p w14:paraId="00D1BD17" w14:textId="7B48E990" w:rsidR="001E0358" w:rsidRPr="00A07BE9" w:rsidRDefault="00A140F9" w:rsidP="001E0358">
      <w:pPr>
        <w:spacing w:after="0" w:line="276" w:lineRule="auto"/>
        <w:jc w:val="both"/>
        <w:rPr>
          <w:rFonts w:ascii="Open Sans" w:eastAsiaTheme="majorEastAsia" w:hAnsi="Open Sans" w:cs="Open Sans"/>
          <w:noProof/>
          <w:color w:val="2F5496" w:themeColor="accent1" w:themeShade="BF"/>
        </w:rPr>
      </w:pPr>
      <w:r w:rsidRPr="00A07BE9">
        <w:rPr>
          <w:rFonts w:ascii="Open Sans" w:eastAsiaTheme="minorHAnsi" w:hAnsi="Open Sans" w:cs="Open Sans"/>
          <w:sz w:val="20"/>
          <w:szCs w:val="20"/>
        </w:rPr>
        <w:t>Los grados y departamentos escogidos en la fase 1, correspondiente al año académico 2019-2020, se muestran en el siguiente cuadro:</w:t>
      </w:r>
    </w:p>
    <w:p w14:paraId="37354368" w14:textId="77777777" w:rsidR="00FC45E8" w:rsidRPr="00A07BE9" w:rsidRDefault="00FC45E8" w:rsidP="001E0358">
      <w:pPr>
        <w:spacing w:after="0" w:line="276" w:lineRule="auto"/>
        <w:jc w:val="both"/>
        <w:rPr>
          <w:rFonts w:ascii="Open Sans" w:eastAsiaTheme="majorEastAsia" w:hAnsi="Open Sans" w:cs="Open Sans"/>
          <w:noProof/>
          <w:color w:val="2F5496" w:themeColor="accent1" w:themeShade="BF"/>
        </w:rPr>
      </w:pPr>
    </w:p>
    <w:p w14:paraId="5490E249" w14:textId="1167BDA2" w:rsidR="00FC45E8" w:rsidRPr="00A07BE9" w:rsidRDefault="001E0358" w:rsidP="00A140F9">
      <w:pPr>
        <w:spacing w:after="0" w:line="276" w:lineRule="auto"/>
        <w:jc w:val="both"/>
        <w:rPr>
          <w:rFonts w:ascii="Open Sans" w:eastAsiaTheme="minorHAnsi" w:hAnsi="Open Sans" w:cs="Open Sans"/>
          <w:sz w:val="20"/>
          <w:szCs w:val="20"/>
        </w:rPr>
      </w:pPr>
      <w:r w:rsidRPr="00A07BE9">
        <w:rPr>
          <w:rFonts w:ascii="Open Sans" w:eastAsiaTheme="majorEastAsia" w:hAnsi="Open Sans" w:cs="Open Sans"/>
          <w:noProof/>
          <w:color w:val="2F5496" w:themeColor="accent1" w:themeShade="BF"/>
        </w:rPr>
        <w:lastRenderedPageBreak/>
        <w:drawing>
          <wp:inline distT="0" distB="0" distL="0" distR="0" wp14:anchorId="102FE3DE" wp14:editId="29B04C88">
            <wp:extent cx="4619359" cy="7847937"/>
            <wp:effectExtent l="0" t="0" r="0" b="127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4719178" cy="8017522"/>
                    </a:xfrm>
                    <a:prstGeom prst="rect">
                      <a:avLst/>
                    </a:prstGeom>
                    <a:noFill/>
                  </pic:spPr>
                </pic:pic>
              </a:graphicData>
            </a:graphic>
          </wp:inline>
        </w:drawing>
      </w:r>
    </w:p>
    <w:p w14:paraId="5F5259F7" w14:textId="77777777" w:rsidR="008A1A7A" w:rsidRDefault="008A1A7A" w:rsidP="00A140F9">
      <w:pPr>
        <w:spacing w:after="0" w:line="276" w:lineRule="auto"/>
        <w:jc w:val="both"/>
        <w:rPr>
          <w:rFonts w:ascii="Open Sans" w:hAnsi="Open Sans" w:cs="Open Sans"/>
          <w:bCs/>
          <w:color w:val="000000"/>
          <w:kern w:val="24"/>
          <w:sz w:val="20"/>
          <w:szCs w:val="20"/>
        </w:rPr>
      </w:pPr>
    </w:p>
    <w:p w14:paraId="01952C54" w14:textId="2FFB860C" w:rsidR="00A140F9" w:rsidRPr="00A07BE9" w:rsidRDefault="00A140F9" w:rsidP="00A140F9">
      <w:pPr>
        <w:spacing w:after="0" w:line="276" w:lineRule="auto"/>
        <w:jc w:val="both"/>
        <w:rPr>
          <w:rFonts w:ascii="Open Sans" w:hAnsi="Open Sans" w:cs="Open Sans"/>
          <w:bCs/>
          <w:color w:val="000000"/>
          <w:kern w:val="24"/>
          <w:sz w:val="20"/>
          <w:szCs w:val="20"/>
        </w:rPr>
      </w:pPr>
      <w:r w:rsidRPr="00A07BE9">
        <w:rPr>
          <w:rFonts w:ascii="Open Sans" w:hAnsi="Open Sans" w:cs="Open Sans"/>
          <w:bCs/>
          <w:color w:val="000000"/>
          <w:kern w:val="24"/>
          <w:sz w:val="20"/>
          <w:szCs w:val="20"/>
        </w:rPr>
        <w:t>Una vez comunicada esta propuesta, a lo largo del último trimestre del año se han desarrollado las siguientes acciones.</w:t>
      </w:r>
    </w:p>
    <w:p w14:paraId="38923FD6" w14:textId="77777777" w:rsidR="00FC45E8" w:rsidRPr="00A07BE9" w:rsidRDefault="00FC45E8" w:rsidP="00A140F9">
      <w:pPr>
        <w:spacing w:after="0" w:line="276" w:lineRule="auto"/>
        <w:jc w:val="both"/>
        <w:rPr>
          <w:rFonts w:ascii="Open Sans" w:hAnsi="Open Sans" w:cs="Open Sans"/>
          <w:bCs/>
          <w:color w:val="000000"/>
          <w:kern w:val="24"/>
          <w:sz w:val="20"/>
          <w:szCs w:val="20"/>
        </w:rPr>
      </w:pPr>
    </w:p>
    <w:p w14:paraId="52D23F52" w14:textId="2742C98D" w:rsidR="00A140F9" w:rsidRPr="00A07BE9" w:rsidRDefault="00A140F9" w:rsidP="00BD78E6">
      <w:pPr>
        <w:keepNext/>
        <w:spacing w:after="0" w:line="276" w:lineRule="auto"/>
        <w:jc w:val="both"/>
        <w:rPr>
          <w:rFonts w:ascii="Open Sans" w:hAnsi="Open Sans" w:cs="Open Sans"/>
          <w:sz w:val="18"/>
          <w:szCs w:val="18"/>
        </w:rPr>
      </w:pPr>
      <w:r w:rsidRPr="00A07BE9">
        <w:rPr>
          <w:rFonts w:ascii="Open Sans" w:eastAsiaTheme="minorHAnsi" w:hAnsi="Open Sans" w:cs="Open Sans"/>
          <w:noProof/>
        </w:rPr>
        <w:lastRenderedPageBreak/>
        <w:drawing>
          <wp:inline distT="0" distB="0" distL="0" distR="0" wp14:anchorId="0224F8BF" wp14:editId="5F6772E1">
            <wp:extent cx="5427610" cy="2354238"/>
            <wp:effectExtent l="0" t="0" r="1905" b="825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screen">
                      <a:extLst>
                        <a:ext uri="{28A0092B-C50C-407E-A947-70E740481C1C}">
                          <a14:useLocalDpi xmlns:a14="http://schemas.microsoft.com/office/drawing/2010/main"/>
                        </a:ext>
                      </a:extLst>
                    </a:blip>
                    <a:srcRect/>
                    <a:stretch/>
                  </pic:blipFill>
                  <pic:spPr bwMode="auto">
                    <a:xfrm>
                      <a:off x="0" y="0"/>
                      <a:ext cx="5455955" cy="2366533"/>
                    </a:xfrm>
                    <a:prstGeom prst="rect">
                      <a:avLst/>
                    </a:prstGeom>
                    <a:ln>
                      <a:noFill/>
                    </a:ln>
                    <a:extLst>
                      <a:ext uri="{53640926-AAD7-44D8-BBD7-CCE9431645EC}">
                        <a14:shadowObscured xmlns:a14="http://schemas.microsoft.com/office/drawing/2010/main"/>
                      </a:ext>
                    </a:extLst>
                  </pic:spPr>
                </pic:pic>
              </a:graphicData>
            </a:graphic>
          </wp:inline>
        </w:drawing>
      </w:r>
      <w:r w:rsidR="00BD78E6" w:rsidRPr="00A07BE9">
        <w:rPr>
          <w:rFonts w:ascii="Open Sans" w:hAnsi="Open Sans" w:cs="Open Sans"/>
          <w:sz w:val="18"/>
          <w:szCs w:val="18"/>
        </w:rPr>
        <w:t>Cartel del documental "la corrupción, organismo nocivo"</w:t>
      </w:r>
    </w:p>
    <w:p w14:paraId="40BACD5B" w14:textId="77777777" w:rsidR="00E66420" w:rsidRPr="00A07BE9" w:rsidRDefault="00E66420" w:rsidP="00A140F9">
      <w:pPr>
        <w:spacing w:after="0" w:line="276" w:lineRule="auto"/>
        <w:jc w:val="both"/>
        <w:rPr>
          <w:rFonts w:ascii="Open Sans" w:hAnsi="Open Sans" w:cs="Open Sans"/>
          <w:bCs/>
          <w:color w:val="000000"/>
          <w:kern w:val="24"/>
          <w:sz w:val="21"/>
          <w:szCs w:val="21"/>
        </w:rPr>
      </w:pPr>
    </w:p>
    <w:p w14:paraId="66D41E74" w14:textId="77777777" w:rsidR="00A140F9" w:rsidRPr="00A07BE9" w:rsidRDefault="00A140F9" w:rsidP="00A140F9">
      <w:pPr>
        <w:keepNext/>
        <w:keepLines/>
        <w:spacing w:after="0" w:line="276" w:lineRule="auto"/>
        <w:outlineLvl w:val="2"/>
        <w:rPr>
          <w:rFonts w:ascii="Open Sans" w:eastAsia="Times New Roman" w:hAnsi="Open Sans" w:cs="Open Sans"/>
          <w:b/>
          <w:bCs/>
          <w:smallCaps/>
          <w:color w:val="9D2235"/>
          <w:sz w:val="24"/>
          <w:szCs w:val="24"/>
          <w:lang w:eastAsia="es-ES"/>
        </w:rPr>
      </w:pPr>
      <w:r w:rsidRPr="00A07BE9">
        <w:rPr>
          <w:rFonts w:ascii="Open Sans" w:eastAsiaTheme="majorEastAsia" w:hAnsi="Open Sans" w:cs="Open Sans"/>
          <w:b/>
          <w:color w:val="9D2235"/>
          <w:sz w:val="24"/>
          <w:szCs w:val="24"/>
        </w:rPr>
        <w:t xml:space="preserve">A.1.1. </w:t>
      </w:r>
      <w:r w:rsidRPr="00A07BE9">
        <w:rPr>
          <w:rFonts w:ascii="Open Sans" w:eastAsia="Times New Roman" w:hAnsi="Open Sans" w:cs="Open Sans"/>
          <w:b/>
          <w:bCs/>
          <w:smallCaps/>
          <w:color w:val="9D2235"/>
          <w:sz w:val="24"/>
          <w:szCs w:val="24"/>
          <w:lang w:eastAsia="es-ES"/>
        </w:rPr>
        <w:t>Universidad miguel hernández</w:t>
      </w:r>
    </w:p>
    <w:p w14:paraId="72A1427F" w14:textId="77777777" w:rsidR="00A140F9" w:rsidRPr="00A07BE9" w:rsidRDefault="00A140F9" w:rsidP="00A140F9">
      <w:pPr>
        <w:spacing w:after="0" w:line="276" w:lineRule="auto"/>
        <w:jc w:val="both"/>
        <w:rPr>
          <w:rFonts w:ascii="Open Sans" w:hAnsi="Open Sans" w:cs="Open Sans"/>
          <w:bCs/>
          <w:color w:val="000000"/>
          <w:kern w:val="24"/>
          <w:sz w:val="20"/>
          <w:szCs w:val="20"/>
        </w:rPr>
      </w:pPr>
    </w:p>
    <w:p w14:paraId="2F80F3BB" w14:textId="77777777" w:rsidR="00A140F9" w:rsidRPr="00A07BE9" w:rsidRDefault="00A140F9" w:rsidP="00A140F9">
      <w:pPr>
        <w:spacing w:after="0" w:line="276" w:lineRule="auto"/>
        <w:jc w:val="both"/>
        <w:rPr>
          <w:rFonts w:ascii="Open Sans" w:hAnsi="Open Sans" w:cs="Open Sans"/>
          <w:bCs/>
          <w:color w:val="000000"/>
          <w:kern w:val="24"/>
          <w:sz w:val="20"/>
          <w:szCs w:val="20"/>
        </w:rPr>
      </w:pPr>
      <w:r w:rsidRPr="00A07BE9">
        <w:rPr>
          <w:rFonts w:ascii="Open Sans" w:hAnsi="Open Sans" w:cs="Open Sans"/>
          <w:bCs/>
          <w:color w:val="000000"/>
          <w:kern w:val="24"/>
          <w:sz w:val="20"/>
          <w:szCs w:val="20"/>
        </w:rPr>
        <w:t>Fue el primer centro universitario que dio respuesta a la solicitud de colaboración y a través del Departamento de Ciencia Sociales y Humanas, se tuvo acceso al desarrollo de dos sesiones de Docuforum en base de la versión actualizada del documental “Corrupción: agente nocivo”:</w:t>
      </w:r>
    </w:p>
    <w:p w14:paraId="01130E80" w14:textId="77777777" w:rsidR="00A140F9" w:rsidRPr="00A07BE9" w:rsidRDefault="00A140F9" w:rsidP="00A140F9">
      <w:pPr>
        <w:spacing w:after="0" w:line="276" w:lineRule="auto"/>
        <w:jc w:val="both"/>
        <w:rPr>
          <w:rFonts w:ascii="Open Sans" w:hAnsi="Open Sans" w:cs="Open Sans"/>
          <w:bCs/>
          <w:color w:val="000000"/>
          <w:kern w:val="24"/>
          <w:sz w:val="20"/>
          <w:szCs w:val="20"/>
        </w:rPr>
      </w:pPr>
    </w:p>
    <w:p w14:paraId="72EBBDAB" w14:textId="77777777" w:rsidR="00712E1B" w:rsidRPr="00A07BE9" w:rsidRDefault="00712E1B" w:rsidP="00712E1B">
      <w:pPr>
        <w:pStyle w:val="Prrafodelista"/>
        <w:numPr>
          <w:ilvl w:val="0"/>
          <w:numId w:val="13"/>
        </w:numPr>
        <w:spacing w:after="0" w:line="276" w:lineRule="auto"/>
        <w:ind w:left="567" w:firstLine="0"/>
        <w:jc w:val="both"/>
        <w:rPr>
          <w:rFonts w:ascii="Open Sans" w:hAnsi="Open Sans" w:cs="Open Sans"/>
          <w:bCs/>
          <w:color w:val="000000"/>
          <w:kern w:val="24"/>
          <w:sz w:val="20"/>
          <w:szCs w:val="20"/>
        </w:rPr>
      </w:pPr>
      <w:r w:rsidRPr="00A07BE9">
        <w:rPr>
          <w:rFonts w:ascii="Open Sans" w:hAnsi="Open Sans" w:cs="Open Sans"/>
          <w:bCs/>
          <w:color w:val="000000"/>
          <w:kern w:val="24"/>
          <w:sz w:val="20"/>
          <w:szCs w:val="20"/>
        </w:rPr>
        <w:t xml:space="preserve"> </w:t>
      </w:r>
      <w:r w:rsidR="00A140F9" w:rsidRPr="00A07BE9">
        <w:rPr>
          <w:rFonts w:ascii="Open Sans" w:hAnsi="Open Sans" w:cs="Open Sans"/>
          <w:bCs/>
          <w:color w:val="000000"/>
          <w:kern w:val="24"/>
          <w:sz w:val="20"/>
          <w:szCs w:val="20"/>
        </w:rPr>
        <w:t xml:space="preserve">El 7 de octubre la </w:t>
      </w:r>
      <w:r w:rsidR="00E9433B" w:rsidRPr="00A07BE9">
        <w:rPr>
          <w:rFonts w:ascii="Open Sans" w:hAnsi="Open Sans" w:cs="Open Sans"/>
          <w:bCs/>
          <w:color w:val="000000"/>
          <w:kern w:val="24"/>
          <w:sz w:val="20"/>
          <w:szCs w:val="20"/>
        </w:rPr>
        <w:t>directora</w:t>
      </w:r>
      <w:r w:rsidR="00A140F9" w:rsidRPr="00A07BE9">
        <w:rPr>
          <w:rFonts w:ascii="Open Sans" w:hAnsi="Open Sans" w:cs="Open Sans"/>
          <w:bCs/>
          <w:color w:val="000000"/>
          <w:kern w:val="24"/>
          <w:sz w:val="20"/>
          <w:szCs w:val="20"/>
        </w:rPr>
        <w:t xml:space="preserve"> de Prevención, Formación y Documentación de la Agencia, participa en una Jornada sobre Transparencia y Gobierno Abierto, en la Facultad de Ciencia Sociales y Jurídicas de Orihuela. Hubo 26 (14</w:t>
      </w:r>
      <w:r w:rsidR="00A140F9" w:rsidRPr="00A07BE9">
        <w:rPr>
          <w:rFonts w:ascii="Open Sans" w:eastAsiaTheme="minorHAnsi" w:hAnsi="Open Sans" w:cs="Open Sans"/>
          <w:noProof/>
          <w:sz w:val="20"/>
          <w:szCs w:val="20"/>
        </w:rPr>
        <w:t xml:space="preserve"> mujeres y</w:t>
      </w:r>
      <w:r w:rsidR="00A140F9" w:rsidRPr="00A07BE9">
        <w:rPr>
          <w:rFonts w:ascii="Open Sans" w:hAnsi="Open Sans" w:cs="Open Sans"/>
          <w:bCs/>
          <w:color w:val="000000"/>
          <w:kern w:val="24"/>
          <w:sz w:val="20"/>
          <w:szCs w:val="20"/>
        </w:rPr>
        <w:t>12</w:t>
      </w:r>
      <w:r w:rsidR="00A140F9" w:rsidRPr="00A07BE9">
        <w:rPr>
          <w:rFonts w:ascii="Open Sans" w:eastAsiaTheme="minorHAnsi" w:hAnsi="Open Sans" w:cs="Open Sans"/>
          <w:noProof/>
          <w:sz w:val="20"/>
          <w:szCs w:val="20"/>
        </w:rPr>
        <w:t xml:space="preserve"> hombres</w:t>
      </w:r>
      <w:r w:rsidR="00A140F9" w:rsidRPr="00A07BE9">
        <w:rPr>
          <w:rFonts w:ascii="Open Sans" w:hAnsi="Open Sans" w:cs="Open Sans"/>
          <w:bCs/>
          <w:color w:val="000000"/>
          <w:kern w:val="24"/>
          <w:sz w:val="20"/>
          <w:szCs w:val="20"/>
        </w:rPr>
        <w:t xml:space="preserve">). La Jornada organizada por el Departamento de Ciencias Sociales y Humanas, en colaboración con la Conselleria de Transparencia y Participación Ciudadana en virtud del convenio con la UMH, fue la oportunidad para la presentación material audiovisual elaborado por la Agencia y permitió el primer debate con alumnos junto con profesorado de la UMH y profesorado externo que exponía. La ponencia tuvo como título: “La ejemplaridad y la transparencia: instrumentos para prevenir la corrupción”. </w:t>
      </w:r>
    </w:p>
    <w:p w14:paraId="7B98F172" w14:textId="77777777" w:rsidR="00712E1B" w:rsidRPr="00A07BE9" w:rsidRDefault="00712E1B" w:rsidP="00712E1B">
      <w:pPr>
        <w:pStyle w:val="Prrafodelista"/>
        <w:spacing w:after="0" w:line="276" w:lineRule="auto"/>
        <w:ind w:left="567"/>
        <w:jc w:val="both"/>
        <w:rPr>
          <w:rFonts w:ascii="Open Sans" w:hAnsi="Open Sans" w:cs="Open Sans"/>
          <w:bCs/>
          <w:color w:val="000000"/>
          <w:kern w:val="24"/>
          <w:sz w:val="20"/>
          <w:szCs w:val="20"/>
        </w:rPr>
      </w:pPr>
    </w:p>
    <w:p w14:paraId="7A4FDCC3" w14:textId="0C7A9165" w:rsidR="000A6829" w:rsidRPr="00A07BE9" w:rsidRDefault="00A140F9" w:rsidP="00A140F9">
      <w:pPr>
        <w:pStyle w:val="Prrafodelista"/>
        <w:numPr>
          <w:ilvl w:val="0"/>
          <w:numId w:val="13"/>
        </w:numPr>
        <w:spacing w:after="0" w:line="276" w:lineRule="auto"/>
        <w:ind w:left="567" w:firstLine="0"/>
        <w:jc w:val="both"/>
        <w:rPr>
          <w:rFonts w:ascii="Open Sans" w:hAnsi="Open Sans" w:cs="Open Sans"/>
          <w:bCs/>
          <w:color w:val="000000"/>
          <w:kern w:val="24"/>
          <w:sz w:val="20"/>
          <w:szCs w:val="20"/>
        </w:rPr>
      </w:pPr>
      <w:r w:rsidRPr="00A07BE9">
        <w:rPr>
          <w:rFonts w:ascii="Open Sans" w:hAnsi="Open Sans" w:cs="Open Sans"/>
          <w:bCs/>
          <w:color w:val="000000"/>
          <w:kern w:val="24"/>
          <w:sz w:val="20"/>
          <w:szCs w:val="20"/>
        </w:rPr>
        <w:tab/>
      </w:r>
      <w:r w:rsidR="00712E1B" w:rsidRPr="00A07BE9">
        <w:rPr>
          <w:rFonts w:ascii="Open Sans" w:hAnsi="Open Sans" w:cs="Open Sans"/>
          <w:bCs/>
          <w:color w:val="000000"/>
          <w:kern w:val="24"/>
          <w:sz w:val="20"/>
          <w:szCs w:val="20"/>
        </w:rPr>
        <w:t xml:space="preserve"> </w:t>
      </w:r>
      <w:r w:rsidRPr="00A07BE9">
        <w:rPr>
          <w:rFonts w:ascii="Open Sans" w:hAnsi="Open Sans" w:cs="Open Sans"/>
          <w:bCs/>
          <w:color w:val="000000"/>
          <w:kern w:val="24"/>
          <w:sz w:val="20"/>
          <w:szCs w:val="20"/>
        </w:rPr>
        <w:t>El 22 de noviembre en el campus de Elche, se celebró el Docuforum con alumnos de las asignaturas de Comunicación Política y Opinión Pública, junto con alumnos de Ética y Deontología Profesional, de los Grados de Periodismo y Ciencias Sociales y Jurídicas. En total fueron 80 participantes (50</w:t>
      </w:r>
      <w:r w:rsidRPr="00A07BE9">
        <w:rPr>
          <w:rFonts w:ascii="Open Sans" w:eastAsiaTheme="minorHAnsi" w:hAnsi="Open Sans" w:cs="Open Sans"/>
          <w:noProof/>
          <w:sz w:val="20"/>
          <w:szCs w:val="20"/>
        </w:rPr>
        <w:t xml:space="preserve"> mujeres y 3</w:t>
      </w:r>
      <w:r w:rsidRPr="00A07BE9">
        <w:rPr>
          <w:rFonts w:ascii="Open Sans" w:hAnsi="Open Sans" w:cs="Open Sans"/>
          <w:bCs/>
          <w:color w:val="000000"/>
          <w:kern w:val="24"/>
          <w:sz w:val="20"/>
          <w:szCs w:val="20"/>
        </w:rPr>
        <w:t>0</w:t>
      </w:r>
      <w:r w:rsidRPr="00A07BE9">
        <w:rPr>
          <w:rFonts w:ascii="Open Sans" w:eastAsiaTheme="minorHAnsi" w:hAnsi="Open Sans" w:cs="Open Sans"/>
          <w:noProof/>
          <w:sz w:val="20"/>
          <w:szCs w:val="20"/>
        </w:rPr>
        <w:t xml:space="preserve"> hombres</w:t>
      </w:r>
      <w:r w:rsidRPr="00A07BE9">
        <w:rPr>
          <w:rFonts w:ascii="Open Sans" w:hAnsi="Open Sans" w:cs="Open Sans"/>
          <w:bCs/>
          <w:color w:val="000000"/>
          <w:kern w:val="24"/>
          <w:sz w:val="20"/>
          <w:szCs w:val="20"/>
        </w:rPr>
        <w:t xml:space="preserve">). La sesión la dirigió la </w:t>
      </w:r>
      <w:r w:rsidR="00E9433B" w:rsidRPr="00A07BE9">
        <w:rPr>
          <w:rFonts w:ascii="Open Sans" w:hAnsi="Open Sans" w:cs="Open Sans"/>
          <w:bCs/>
          <w:color w:val="000000"/>
          <w:kern w:val="24"/>
          <w:sz w:val="20"/>
          <w:szCs w:val="20"/>
        </w:rPr>
        <w:t>directora</w:t>
      </w:r>
      <w:r w:rsidRPr="00A07BE9">
        <w:rPr>
          <w:rFonts w:ascii="Open Sans" w:hAnsi="Open Sans" w:cs="Open Sans"/>
          <w:bCs/>
          <w:color w:val="000000"/>
          <w:kern w:val="24"/>
          <w:sz w:val="20"/>
          <w:szCs w:val="20"/>
        </w:rPr>
        <w:t xml:space="preserve"> de Prevención, Formación y Documentación de la Agencia.</w:t>
      </w:r>
    </w:p>
    <w:p w14:paraId="784548DE" w14:textId="77777777" w:rsidR="00883152" w:rsidRPr="00A07BE9" w:rsidRDefault="00883152" w:rsidP="00A140F9">
      <w:pPr>
        <w:spacing w:after="0" w:line="276" w:lineRule="auto"/>
        <w:jc w:val="both"/>
        <w:rPr>
          <w:rFonts w:ascii="Open Sans" w:hAnsi="Open Sans" w:cs="Open Sans"/>
          <w:bCs/>
          <w:color w:val="000000"/>
          <w:kern w:val="24"/>
          <w:sz w:val="20"/>
          <w:szCs w:val="20"/>
        </w:rPr>
      </w:pPr>
    </w:p>
    <w:p w14:paraId="53CCDDE5" w14:textId="227FC1D7" w:rsidR="00A140F9" w:rsidRPr="00A07BE9" w:rsidRDefault="00A140F9" w:rsidP="00A140F9">
      <w:pPr>
        <w:keepNext/>
        <w:keepLines/>
        <w:spacing w:after="0" w:line="276" w:lineRule="auto"/>
        <w:outlineLvl w:val="2"/>
        <w:rPr>
          <w:rFonts w:ascii="Open Sans" w:eastAsia="Times New Roman" w:hAnsi="Open Sans" w:cs="Open Sans"/>
          <w:b/>
          <w:bCs/>
          <w:smallCaps/>
          <w:color w:val="9D2235"/>
          <w:sz w:val="24"/>
          <w:szCs w:val="24"/>
          <w:lang w:eastAsia="es-ES"/>
        </w:rPr>
      </w:pPr>
      <w:r w:rsidRPr="00A07BE9">
        <w:rPr>
          <w:rFonts w:ascii="Open Sans" w:eastAsiaTheme="majorEastAsia" w:hAnsi="Open Sans" w:cs="Open Sans"/>
          <w:b/>
          <w:color w:val="9D2235"/>
          <w:sz w:val="24"/>
          <w:szCs w:val="24"/>
        </w:rPr>
        <w:t xml:space="preserve">A.1.2. </w:t>
      </w:r>
      <w:r w:rsidRPr="00A07BE9">
        <w:rPr>
          <w:rFonts w:ascii="Open Sans" w:eastAsia="Times New Roman" w:hAnsi="Open Sans" w:cs="Open Sans"/>
          <w:b/>
          <w:bCs/>
          <w:smallCaps/>
          <w:color w:val="9D2235"/>
          <w:sz w:val="24"/>
          <w:szCs w:val="24"/>
          <w:lang w:eastAsia="es-ES"/>
        </w:rPr>
        <w:t>Universi</w:t>
      </w:r>
      <w:r w:rsidR="00BC62B3" w:rsidRPr="00A07BE9">
        <w:rPr>
          <w:rFonts w:ascii="Open Sans" w:eastAsia="Times New Roman" w:hAnsi="Open Sans" w:cs="Open Sans"/>
          <w:b/>
          <w:bCs/>
          <w:smallCaps/>
          <w:color w:val="9D2235"/>
          <w:sz w:val="24"/>
          <w:szCs w:val="24"/>
          <w:lang w:eastAsia="es-ES"/>
        </w:rPr>
        <w:t xml:space="preserve">tat </w:t>
      </w:r>
      <w:r w:rsidRPr="00A07BE9">
        <w:rPr>
          <w:rFonts w:ascii="Open Sans" w:eastAsia="Times New Roman" w:hAnsi="Open Sans" w:cs="Open Sans"/>
          <w:b/>
          <w:bCs/>
          <w:smallCaps/>
          <w:color w:val="9D2235"/>
          <w:sz w:val="24"/>
          <w:szCs w:val="24"/>
          <w:lang w:eastAsia="es-ES"/>
        </w:rPr>
        <w:t>de valència</w:t>
      </w:r>
    </w:p>
    <w:p w14:paraId="75696E8F" w14:textId="77777777" w:rsidR="00A140F9" w:rsidRPr="00A07BE9" w:rsidRDefault="00A140F9" w:rsidP="00A140F9">
      <w:pPr>
        <w:spacing w:after="0" w:line="276" w:lineRule="auto"/>
        <w:jc w:val="both"/>
        <w:rPr>
          <w:rFonts w:ascii="Open Sans" w:hAnsi="Open Sans" w:cs="Open Sans"/>
          <w:bCs/>
          <w:color w:val="000000"/>
          <w:kern w:val="24"/>
          <w:sz w:val="20"/>
          <w:szCs w:val="20"/>
        </w:rPr>
      </w:pPr>
    </w:p>
    <w:p w14:paraId="68C35204" w14:textId="77777777" w:rsidR="00A140F9" w:rsidRPr="00A07BE9" w:rsidRDefault="00A140F9" w:rsidP="00A140F9">
      <w:pPr>
        <w:spacing w:after="0" w:line="276" w:lineRule="auto"/>
        <w:jc w:val="both"/>
        <w:rPr>
          <w:rFonts w:ascii="Open Sans" w:hAnsi="Open Sans" w:cs="Open Sans"/>
          <w:bCs/>
          <w:color w:val="000000"/>
          <w:kern w:val="24"/>
          <w:sz w:val="20"/>
          <w:szCs w:val="20"/>
        </w:rPr>
      </w:pPr>
      <w:r w:rsidRPr="00A07BE9">
        <w:rPr>
          <w:rFonts w:ascii="Open Sans" w:hAnsi="Open Sans" w:cs="Open Sans"/>
          <w:bCs/>
          <w:color w:val="000000"/>
          <w:kern w:val="24"/>
          <w:sz w:val="20"/>
          <w:szCs w:val="20"/>
        </w:rPr>
        <w:t xml:space="preserve">La propuesta inicial que se comunicó tanto al rectorado como a los respectivos Decanatos fue la presentación del formato del Docuforum en algunos Departamentos de los Grados de </w:t>
      </w:r>
      <w:r w:rsidRPr="00A07BE9">
        <w:rPr>
          <w:rFonts w:ascii="Open Sans" w:hAnsi="Open Sans" w:cs="Open Sans"/>
          <w:bCs/>
          <w:color w:val="000000"/>
          <w:kern w:val="24"/>
          <w:sz w:val="20"/>
          <w:szCs w:val="20"/>
        </w:rPr>
        <w:lastRenderedPageBreak/>
        <w:t>Derecho, Economía y Geografía e Historia. Finalmente, la secuencia de las sesiones fue la que sigue:</w:t>
      </w:r>
    </w:p>
    <w:p w14:paraId="282E5D37" w14:textId="77777777" w:rsidR="00A140F9" w:rsidRPr="00A07BE9" w:rsidRDefault="00A140F9" w:rsidP="00A140F9">
      <w:pPr>
        <w:spacing w:after="0" w:line="276" w:lineRule="auto"/>
        <w:jc w:val="both"/>
        <w:rPr>
          <w:rFonts w:ascii="Open Sans" w:hAnsi="Open Sans" w:cs="Open Sans"/>
          <w:bCs/>
          <w:color w:val="000000"/>
          <w:kern w:val="24"/>
          <w:sz w:val="20"/>
          <w:szCs w:val="20"/>
        </w:rPr>
      </w:pPr>
    </w:p>
    <w:p w14:paraId="15BAC0D4" w14:textId="3802CBB8" w:rsidR="00A140F9" w:rsidRPr="00A07BE9" w:rsidRDefault="00A140F9" w:rsidP="00A140F9">
      <w:pPr>
        <w:spacing w:after="0" w:line="276" w:lineRule="auto"/>
        <w:ind w:left="567"/>
        <w:jc w:val="both"/>
        <w:rPr>
          <w:rFonts w:ascii="Open Sans" w:hAnsi="Open Sans" w:cs="Open Sans"/>
          <w:bCs/>
          <w:color w:val="000000"/>
          <w:kern w:val="24"/>
          <w:sz w:val="20"/>
          <w:szCs w:val="20"/>
        </w:rPr>
      </w:pPr>
      <w:r w:rsidRPr="00A07BE9">
        <w:rPr>
          <w:rFonts w:ascii="Open Sans" w:hAnsi="Open Sans" w:cs="Open Sans"/>
          <w:bCs/>
          <w:color w:val="000000"/>
          <w:kern w:val="24"/>
          <w:sz w:val="20"/>
          <w:szCs w:val="20"/>
        </w:rPr>
        <w:t>a)</w:t>
      </w:r>
      <w:r w:rsidRPr="00A07BE9">
        <w:rPr>
          <w:rFonts w:ascii="Open Sans" w:hAnsi="Open Sans" w:cs="Open Sans"/>
          <w:bCs/>
          <w:color w:val="000000"/>
          <w:kern w:val="24"/>
          <w:sz w:val="20"/>
          <w:szCs w:val="20"/>
        </w:rPr>
        <w:tab/>
      </w:r>
      <w:r w:rsidR="00E66420" w:rsidRPr="00A07BE9">
        <w:rPr>
          <w:rFonts w:ascii="Open Sans" w:hAnsi="Open Sans" w:cs="Open Sans"/>
          <w:bCs/>
          <w:color w:val="000000"/>
          <w:kern w:val="24"/>
          <w:sz w:val="20"/>
          <w:szCs w:val="20"/>
        </w:rPr>
        <w:t xml:space="preserve"> </w:t>
      </w:r>
      <w:r w:rsidRPr="00A07BE9">
        <w:rPr>
          <w:rFonts w:ascii="Open Sans" w:hAnsi="Open Sans" w:cs="Open Sans"/>
          <w:bCs/>
          <w:color w:val="000000"/>
          <w:kern w:val="24"/>
          <w:sz w:val="20"/>
          <w:szCs w:val="20"/>
        </w:rPr>
        <w:t xml:space="preserve">18 de octubre, en el salón de Grados de la Facultad de Derecho, se organizó un Docuforum con el título: “Corrupción: organismo nocivo. La ejemplaridad y la transparencia: herramientas para prevenir la corrupción”. Los asistentes fueron: alumnos de Derecho Administrativo II, doble Grado de Derecho y Administración y Dirección de Empresa, junto con un numeroso grupo de alumnos de Ciencia Política i de la Administración (3º y 4º cursos). La sesión fue dirigida por el Coordinador de Grado de Ciencias Políticas y tuvo la presencia del </w:t>
      </w:r>
      <w:r w:rsidR="00712E1B" w:rsidRPr="00A07BE9">
        <w:rPr>
          <w:rFonts w:ascii="Open Sans" w:hAnsi="Open Sans" w:cs="Open Sans"/>
          <w:bCs/>
          <w:color w:val="000000"/>
          <w:kern w:val="24"/>
          <w:sz w:val="20"/>
          <w:szCs w:val="20"/>
        </w:rPr>
        <w:t>d</w:t>
      </w:r>
      <w:r w:rsidRPr="00A07BE9">
        <w:rPr>
          <w:rFonts w:ascii="Open Sans" w:hAnsi="Open Sans" w:cs="Open Sans"/>
          <w:bCs/>
          <w:color w:val="000000"/>
          <w:kern w:val="24"/>
          <w:sz w:val="20"/>
          <w:szCs w:val="20"/>
        </w:rPr>
        <w:t xml:space="preserve">irector de la Agencia en la introducción y el debate. Asistentes: 100 alumnos (50 </w:t>
      </w:r>
      <w:r w:rsidRPr="00A07BE9">
        <w:rPr>
          <w:rFonts w:ascii="Open Sans" w:eastAsiaTheme="minorHAnsi" w:hAnsi="Open Sans" w:cs="Open Sans"/>
          <w:noProof/>
          <w:sz w:val="20"/>
          <w:szCs w:val="20"/>
        </w:rPr>
        <w:t>mujeres</w:t>
      </w:r>
      <w:r w:rsidRPr="00A07BE9">
        <w:rPr>
          <w:rFonts w:ascii="Open Sans" w:hAnsi="Open Sans" w:cs="Open Sans"/>
          <w:bCs/>
          <w:color w:val="000000"/>
          <w:kern w:val="24"/>
          <w:sz w:val="20"/>
          <w:szCs w:val="20"/>
        </w:rPr>
        <w:t xml:space="preserve"> y 50</w:t>
      </w:r>
      <w:r w:rsidRPr="00A07BE9">
        <w:rPr>
          <w:rFonts w:ascii="Open Sans" w:eastAsiaTheme="minorHAnsi" w:hAnsi="Open Sans" w:cs="Open Sans"/>
          <w:noProof/>
          <w:sz w:val="20"/>
          <w:szCs w:val="20"/>
        </w:rPr>
        <w:t xml:space="preserve"> hombres</w:t>
      </w:r>
      <w:r w:rsidRPr="00A07BE9">
        <w:rPr>
          <w:rFonts w:ascii="Open Sans" w:hAnsi="Open Sans" w:cs="Open Sans"/>
          <w:bCs/>
          <w:color w:val="000000"/>
          <w:kern w:val="24"/>
          <w:sz w:val="20"/>
          <w:szCs w:val="20"/>
        </w:rPr>
        <w:t>).</w:t>
      </w:r>
    </w:p>
    <w:p w14:paraId="3884412F" w14:textId="77777777" w:rsidR="00A140F9" w:rsidRPr="00A07BE9" w:rsidRDefault="00A140F9" w:rsidP="00A140F9">
      <w:pPr>
        <w:spacing w:after="0" w:line="276" w:lineRule="auto"/>
        <w:ind w:left="567"/>
        <w:jc w:val="both"/>
        <w:rPr>
          <w:rFonts w:ascii="Open Sans" w:hAnsi="Open Sans" w:cs="Open Sans"/>
          <w:bCs/>
          <w:color w:val="000000"/>
          <w:kern w:val="24"/>
          <w:sz w:val="20"/>
          <w:szCs w:val="20"/>
        </w:rPr>
      </w:pPr>
    </w:p>
    <w:p w14:paraId="44C57C72" w14:textId="4C65EC8B" w:rsidR="00A140F9" w:rsidRPr="00A07BE9" w:rsidRDefault="00A140F9" w:rsidP="00A140F9">
      <w:pPr>
        <w:spacing w:after="0" w:line="276" w:lineRule="auto"/>
        <w:ind w:left="567"/>
        <w:jc w:val="both"/>
        <w:rPr>
          <w:rFonts w:ascii="Open Sans" w:hAnsi="Open Sans" w:cs="Open Sans"/>
          <w:bCs/>
          <w:color w:val="000000"/>
          <w:kern w:val="24"/>
          <w:sz w:val="20"/>
          <w:szCs w:val="20"/>
        </w:rPr>
      </w:pPr>
      <w:r w:rsidRPr="00A07BE9">
        <w:rPr>
          <w:rFonts w:ascii="Open Sans" w:hAnsi="Open Sans" w:cs="Open Sans"/>
          <w:bCs/>
          <w:color w:val="000000"/>
          <w:kern w:val="24"/>
          <w:sz w:val="20"/>
          <w:szCs w:val="20"/>
        </w:rPr>
        <w:t>b)</w:t>
      </w:r>
      <w:r w:rsidRPr="00A07BE9">
        <w:rPr>
          <w:rFonts w:ascii="Open Sans" w:hAnsi="Open Sans" w:cs="Open Sans"/>
          <w:bCs/>
          <w:color w:val="000000"/>
          <w:kern w:val="24"/>
          <w:sz w:val="20"/>
          <w:szCs w:val="20"/>
        </w:rPr>
        <w:tab/>
      </w:r>
      <w:r w:rsidR="00E66420" w:rsidRPr="00A07BE9">
        <w:rPr>
          <w:rFonts w:ascii="Open Sans" w:hAnsi="Open Sans" w:cs="Open Sans"/>
          <w:bCs/>
          <w:color w:val="000000"/>
          <w:kern w:val="24"/>
          <w:sz w:val="20"/>
          <w:szCs w:val="20"/>
        </w:rPr>
        <w:t xml:space="preserve"> </w:t>
      </w:r>
      <w:r w:rsidRPr="00A07BE9">
        <w:rPr>
          <w:rFonts w:ascii="Open Sans" w:hAnsi="Open Sans" w:cs="Open Sans"/>
          <w:bCs/>
          <w:color w:val="000000"/>
          <w:kern w:val="24"/>
          <w:sz w:val="20"/>
          <w:szCs w:val="20"/>
        </w:rPr>
        <w:t>10 de diciembre, se celebró un Docuforum con el título: “Una mirada al futuro. La ejemplaridad y la transparencia: herramientas para prevenir la corrupción”. Con la proyección del documental en este caso para los alumnos del Master de Gestión de Fin</w:t>
      </w:r>
      <w:r w:rsidR="00DB0C9A" w:rsidRPr="00A07BE9">
        <w:rPr>
          <w:rFonts w:ascii="Open Sans" w:hAnsi="Open Sans" w:cs="Open Sans"/>
          <w:bCs/>
          <w:color w:val="000000"/>
          <w:kern w:val="24"/>
          <w:sz w:val="20"/>
          <w:szCs w:val="20"/>
        </w:rPr>
        <w:t>an</w:t>
      </w:r>
      <w:r w:rsidRPr="00A07BE9">
        <w:rPr>
          <w:rFonts w:ascii="Open Sans" w:hAnsi="Open Sans" w:cs="Open Sans"/>
          <w:bCs/>
          <w:color w:val="000000"/>
          <w:kern w:val="24"/>
          <w:sz w:val="20"/>
          <w:szCs w:val="20"/>
        </w:rPr>
        <w:t xml:space="preserve">zas Corporativas, dentro del Grado de Economía. Fueron asistentes 29 alumnos (14 </w:t>
      </w:r>
      <w:r w:rsidRPr="00A07BE9">
        <w:rPr>
          <w:rFonts w:ascii="Open Sans" w:eastAsiaTheme="minorHAnsi" w:hAnsi="Open Sans" w:cs="Open Sans"/>
          <w:noProof/>
          <w:sz w:val="20"/>
          <w:szCs w:val="20"/>
        </w:rPr>
        <w:t>mujeres</w:t>
      </w:r>
      <w:r w:rsidRPr="00A07BE9">
        <w:rPr>
          <w:rFonts w:ascii="Open Sans" w:hAnsi="Open Sans" w:cs="Open Sans"/>
          <w:bCs/>
          <w:color w:val="000000"/>
          <w:kern w:val="24"/>
          <w:sz w:val="20"/>
          <w:szCs w:val="20"/>
        </w:rPr>
        <w:t xml:space="preserve"> y 15</w:t>
      </w:r>
      <w:r w:rsidRPr="00A07BE9">
        <w:rPr>
          <w:rFonts w:ascii="Open Sans" w:eastAsiaTheme="minorHAnsi" w:hAnsi="Open Sans" w:cs="Open Sans"/>
          <w:noProof/>
          <w:sz w:val="20"/>
          <w:szCs w:val="20"/>
        </w:rPr>
        <w:t xml:space="preserve"> hombres</w:t>
      </w:r>
      <w:r w:rsidRPr="00A07BE9">
        <w:rPr>
          <w:rFonts w:ascii="Open Sans" w:hAnsi="Open Sans" w:cs="Open Sans"/>
          <w:bCs/>
          <w:color w:val="000000"/>
          <w:kern w:val="24"/>
          <w:sz w:val="20"/>
          <w:szCs w:val="20"/>
        </w:rPr>
        <w:t xml:space="preserve">). La coordinación fue llevada a cabo por el responsable la Catedra de la Economía del Bien Común de la Facultad de Economía, con la presencia del </w:t>
      </w:r>
      <w:r w:rsidR="00712E1B" w:rsidRPr="00A07BE9">
        <w:rPr>
          <w:rFonts w:ascii="Open Sans" w:hAnsi="Open Sans" w:cs="Open Sans"/>
          <w:bCs/>
          <w:color w:val="000000"/>
          <w:kern w:val="24"/>
          <w:sz w:val="20"/>
          <w:szCs w:val="20"/>
        </w:rPr>
        <w:t>d</w:t>
      </w:r>
      <w:r w:rsidRPr="00A07BE9">
        <w:rPr>
          <w:rFonts w:ascii="Open Sans" w:hAnsi="Open Sans" w:cs="Open Sans"/>
          <w:bCs/>
          <w:color w:val="000000"/>
          <w:kern w:val="24"/>
          <w:sz w:val="20"/>
          <w:szCs w:val="20"/>
        </w:rPr>
        <w:t>irector de la Agencia.</w:t>
      </w:r>
    </w:p>
    <w:p w14:paraId="6743E91E" w14:textId="77777777" w:rsidR="00A140F9" w:rsidRPr="00A07BE9" w:rsidRDefault="00A140F9" w:rsidP="00A140F9">
      <w:pPr>
        <w:spacing w:after="0" w:line="276" w:lineRule="auto"/>
        <w:ind w:left="567"/>
        <w:jc w:val="both"/>
        <w:rPr>
          <w:rFonts w:ascii="Open Sans" w:hAnsi="Open Sans" w:cs="Open Sans"/>
          <w:bCs/>
          <w:color w:val="000000"/>
          <w:kern w:val="24"/>
          <w:sz w:val="20"/>
          <w:szCs w:val="20"/>
        </w:rPr>
      </w:pPr>
    </w:p>
    <w:p w14:paraId="33531D95" w14:textId="1FD3BA6F" w:rsidR="00A140F9" w:rsidRPr="00A07BE9" w:rsidRDefault="00A140F9" w:rsidP="00A140F9">
      <w:pPr>
        <w:spacing w:after="0" w:line="276" w:lineRule="auto"/>
        <w:ind w:left="567"/>
        <w:jc w:val="both"/>
        <w:rPr>
          <w:rFonts w:ascii="Open Sans" w:hAnsi="Open Sans" w:cs="Open Sans"/>
          <w:bCs/>
          <w:color w:val="000000"/>
          <w:kern w:val="24"/>
          <w:sz w:val="20"/>
          <w:szCs w:val="20"/>
        </w:rPr>
      </w:pPr>
      <w:r w:rsidRPr="00A07BE9">
        <w:rPr>
          <w:rFonts w:ascii="Open Sans" w:hAnsi="Open Sans" w:cs="Open Sans"/>
          <w:bCs/>
          <w:color w:val="000000"/>
          <w:kern w:val="24"/>
          <w:sz w:val="20"/>
          <w:szCs w:val="20"/>
        </w:rPr>
        <w:t>c)</w:t>
      </w:r>
      <w:r w:rsidRPr="00A07BE9">
        <w:rPr>
          <w:rFonts w:ascii="Open Sans" w:hAnsi="Open Sans" w:cs="Open Sans"/>
          <w:bCs/>
          <w:color w:val="000000"/>
          <w:kern w:val="24"/>
          <w:sz w:val="20"/>
          <w:szCs w:val="20"/>
        </w:rPr>
        <w:tab/>
      </w:r>
      <w:r w:rsidR="00E66420" w:rsidRPr="00A07BE9">
        <w:rPr>
          <w:rFonts w:ascii="Open Sans" w:hAnsi="Open Sans" w:cs="Open Sans"/>
          <w:bCs/>
          <w:color w:val="000000"/>
          <w:kern w:val="24"/>
          <w:sz w:val="20"/>
          <w:szCs w:val="20"/>
        </w:rPr>
        <w:t xml:space="preserve"> </w:t>
      </w:r>
      <w:r w:rsidRPr="00A07BE9">
        <w:rPr>
          <w:rFonts w:ascii="Open Sans" w:hAnsi="Open Sans" w:cs="Open Sans"/>
          <w:bCs/>
          <w:color w:val="000000"/>
          <w:kern w:val="24"/>
          <w:sz w:val="20"/>
          <w:szCs w:val="20"/>
        </w:rPr>
        <w:t>La Facultad de Geografía e Historia, participó a través del Catedrático de Geografía Humana</w:t>
      </w:r>
      <w:r w:rsidR="005B50E5" w:rsidRPr="00A07BE9">
        <w:rPr>
          <w:rFonts w:ascii="Open Sans" w:hAnsi="Open Sans" w:cs="Open Sans"/>
          <w:bCs/>
          <w:color w:val="000000"/>
          <w:kern w:val="24"/>
          <w:sz w:val="20"/>
          <w:szCs w:val="20"/>
        </w:rPr>
        <w:t xml:space="preserve"> </w:t>
      </w:r>
      <w:r w:rsidR="00DB0C9A" w:rsidRPr="00A07BE9">
        <w:rPr>
          <w:rFonts w:ascii="Open Sans" w:hAnsi="Open Sans" w:cs="Open Sans"/>
          <w:bCs/>
          <w:color w:val="000000"/>
          <w:kern w:val="24"/>
          <w:sz w:val="20"/>
          <w:szCs w:val="20"/>
        </w:rPr>
        <w:t>Joan Romero,</w:t>
      </w:r>
      <w:r w:rsidRPr="00A07BE9">
        <w:rPr>
          <w:rFonts w:ascii="Open Sans" w:hAnsi="Open Sans" w:cs="Open Sans"/>
          <w:bCs/>
          <w:color w:val="000000"/>
          <w:kern w:val="24"/>
          <w:sz w:val="20"/>
          <w:szCs w:val="20"/>
        </w:rPr>
        <w:t xml:space="preserve"> en el Docuforum organizado en la Facultad de Derecho, el 18 de octubre. Está previsto, para el primer cuatrimestre de 2020, celebrar dos sesiones coordinadas por el Departamento de Historia Contemporánea y por el de Geografía.</w:t>
      </w:r>
    </w:p>
    <w:p w14:paraId="16A2B65F" w14:textId="77777777" w:rsidR="00A140F9" w:rsidRPr="00A07BE9" w:rsidRDefault="00A140F9" w:rsidP="00A140F9">
      <w:pPr>
        <w:spacing w:after="0" w:line="276" w:lineRule="auto"/>
        <w:ind w:left="567"/>
        <w:jc w:val="both"/>
        <w:rPr>
          <w:rFonts w:ascii="Open Sans" w:hAnsi="Open Sans" w:cs="Open Sans"/>
          <w:bCs/>
          <w:color w:val="000000"/>
          <w:kern w:val="24"/>
          <w:sz w:val="20"/>
          <w:szCs w:val="20"/>
        </w:rPr>
      </w:pPr>
    </w:p>
    <w:p w14:paraId="7B3B1ACC" w14:textId="2F2C1010" w:rsidR="00A140F9" w:rsidRPr="00A07BE9" w:rsidRDefault="00A140F9" w:rsidP="00A140F9">
      <w:pPr>
        <w:spacing w:after="0" w:line="276" w:lineRule="auto"/>
        <w:ind w:left="567"/>
        <w:jc w:val="both"/>
        <w:rPr>
          <w:rFonts w:ascii="Open Sans" w:hAnsi="Open Sans" w:cs="Open Sans"/>
          <w:bCs/>
          <w:color w:val="000000"/>
          <w:kern w:val="24"/>
          <w:sz w:val="20"/>
          <w:szCs w:val="20"/>
        </w:rPr>
      </w:pPr>
      <w:r w:rsidRPr="00A07BE9">
        <w:rPr>
          <w:rFonts w:ascii="Open Sans" w:hAnsi="Open Sans" w:cs="Open Sans"/>
          <w:bCs/>
          <w:color w:val="000000"/>
          <w:kern w:val="24"/>
          <w:sz w:val="20"/>
          <w:szCs w:val="20"/>
        </w:rPr>
        <w:t>d)</w:t>
      </w:r>
      <w:r w:rsidR="00E66420" w:rsidRPr="00A07BE9">
        <w:rPr>
          <w:rFonts w:ascii="Open Sans" w:hAnsi="Open Sans" w:cs="Open Sans"/>
          <w:bCs/>
          <w:color w:val="000000"/>
          <w:kern w:val="24"/>
          <w:sz w:val="20"/>
          <w:szCs w:val="20"/>
        </w:rPr>
        <w:t xml:space="preserve"> </w:t>
      </w:r>
      <w:r w:rsidRPr="00A07BE9">
        <w:rPr>
          <w:rFonts w:ascii="Open Sans" w:hAnsi="Open Sans" w:cs="Open Sans"/>
          <w:bCs/>
          <w:color w:val="000000"/>
          <w:kern w:val="24"/>
          <w:sz w:val="20"/>
          <w:szCs w:val="20"/>
        </w:rPr>
        <w:tab/>
        <w:t xml:space="preserve">Quedan pendientes también para el curso académico 2019-2020, otras sesiones de difusión en la Facultad de Derecho (Departamentos de Derecho Penal y Filosofía de Derecho); Facultad de Filología, Traducción y Comunicación (Grado de Periodismo), entre otras posibles. </w:t>
      </w:r>
    </w:p>
    <w:p w14:paraId="257FFE78" w14:textId="77777777" w:rsidR="00A140F9" w:rsidRPr="00A07BE9" w:rsidRDefault="00A140F9" w:rsidP="00A140F9">
      <w:pPr>
        <w:spacing w:after="0" w:line="276" w:lineRule="auto"/>
        <w:ind w:left="567"/>
        <w:jc w:val="both"/>
        <w:rPr>
          <w:rFonts w:ascii="Open Sans" w:hAnsi="Open Sans" w:cs="Open Sans"/>
          <w:bCs/>
          <w:color w:val="000000"/>
          <w:kern w:val="24"/>
          <w:sz w:val="20"/>
          <w:szCs w:val="20"/>
        </w:rPr>
      </w:pPr>
    </w:p>
    <w:p w14:paraId="3A520CE6" w14:textId="48710995" w:rsidR="00A140F9" w:rsidRPr="00A07BE9" w:rsidRDefault="00A140F9" w:rsidP="00A140F9">
      <w:pPr>
        <w:spacing w:after="0" w:line="276" w:lineRule="auto"/>
        <w:ind w:left="567"/>
        <w:jc w:val="both"/>
        <w:rPr>
          <w:rFonts w:ascii="Open Sans" w:hAnsi="Open Sans" w:cs="Open Sans"/>
          <w:bCs/>
          <w:color w:val="000000"/>
          <w:kern w:val="24"/>
          <w:sz w:val="20"/>
          <w:szCs w:val="20"/>
        </w:rPr>
      </w:pPr>
      <w:r w:rsidRPr="00A07BE9">
        <w:rPr>
          <w:rFonts w:ascii="Open Sans" w:hAnsi="Open Sans" w:cs="Open Sans"/>
          <w:bCs/>
          <w:color w:val="000000"/>
          <w:kern w:val="24"/>
          <w:sz w:val="20"/>
          <w:szCs w:val="20"/>
        </w:rPr>
        <w:t>e)</w:t>
      </w:r>
      <w:r w:rsidR="00E66420" w:rsidRPr="00A07BE9">
        <w:rPr>
          <w:rFonts w:ascii="Open Sans" w:hAnsi="Open Sans" w:cs="Open Sans"/>
          <w:bCs/>
          <w:color w:val="000000"/>
          <w:kern w:val="24"/>
          <w:sz w:val="20"/>
          <w:szCs w:val="20"/>
        </w:rPr>
        <w:t xml:space="preserve"> </w:t>
      </w:r>
      <w:r w:rsidRPr="00A07BE9">
        <w:rPr>
          <w:rFonts w:ascii="Open Sans" w:hAnsi="Open Sans" w:cs="Open Sans"/>
          <w:bCs/>
          <w:color w:val="000000"/>
          <w:kern w:val="24"/>
          <w:sz w:val="20"/>
          <w:szCs w:val="20"/>
        </w:rPr>
        <w:tab/>
        <w:t>En el marco de relación y colaboración entre la Agencia y la Universitat de València, se ha establecido un Convenio Marco cuya especificación será desarrollada en relación con el Programa UNISOCIETAT, del Vicerrectorado de Participación y Territorio.</w:t>
      </w:r>
    </w:p>
    <w:p w14:paraId="4365DFB0" w14:textId="77777777" w:rsidR="0015081D" w:rsidRPr="00A07BE9" w:rsidRDefault="0015081D" w:rsidP="00A140F9">
      <w:pPr>
        <w:spacing w:after="0" w:line="276" w:lineRule="auto"/>
        <w:jc w:val="both"/>
        <w:rPr>
          <w:rFonts w:ascii="Open Sans" w:hAnsi="Open Sans" w:cs="Open Sans"/>
          <w:b/>
          <w:bCs/>
          <w:color w:val="9D2235"/>
          <w:kern w:val="24"/>
          <w:sz w:val="20"/>
          <w:szCs w:val="20"/>
        </w:rPr>
      </w:pPr>
    </w:p>
    <w:p w14:paraId="5001CB3D" w14:textId="607EA664" w:rsidR="00A140F9" w:rsidRPr="00A07BE9" w:rsidRDefault="00A140F9" w:rsidP="00A140F9">
      <w:pPr>
        <w:keepNext/>
        <w:keepLines/>
        <w:spacing w:after="0" w:line="276" w:lineRule="auto"/>
        <w:outlineLvl w:val="2"/>
        <w:rPr>
          <w:rFonts w:ascii="Open Sans" w:eastAsia="Times New Roman" w:hAnsi="Open Sans" w:cs="Open Sans"/>
          <w:b/>
          <w:bCs/>
          <w:smallCaps/>
          <w:color w:val="9D2235"/>
          <w:sz w:val="24"/>
          <w:szCs w:val="24"/>
          <w:lang w:eastAsia="es-ES"/>
        </w:rPr>
      </w:pPr>
      <w:r w:rsidRPr="00A07BE9">
        <w:rPr>
          <w:rFonts w:ascii="Open Sans" w:eastAsiaTheme="majorEastAsia" w:hAnsi="Open Sans" w:cs="Open Sans"/>
          <w:b/>
          <w:color w:val="9D2235"/>
          <w:sz w:val="24"/>
          <w:szCs w:val="24"/>
        </w:rPr>
        <w:t xml:space="preserve">A.1.3. </w:t>
      </w:r>
      <w:r w:rsidRPr="00A07BE9">
        <w:rPr>
          <w:rFonts w:ascii="Open Sans" w:eastAsia="Times New Roman" w:hAnsi="Open Sans" w:cs="Open Sans"/>
          <w:b/>
          <w:bCs/>
          <w:smallCaps/>
          <w:color w:val="9D2235"/>
          <w:sz w:val="24"/>
          <w:szCs w:val="24"/>
          <w:lang w:eastAsia="es-ES"/>
        </w:rPr>
        <w:t>Universi</w:t>
      </w:r>
      <w:r w:rsidR="00BC62B3" w:rsidRPr="00A07BE9">
        <w:rPr>
          <w:rFonts w:ascii="Open Sans" w:eastAsia="Times New Roman" w:hAnsi="Open Sans" w:cs="Open Sans"/>
          <w:b/>
          <w:bCs/>
          <w:smallCaps/>
          <w:color w:val="9D2235"/>
          <w:sz w:val="24"/>
          <w:szCs w:val="24"/>
          <w:lang w:eastAsia="es-ES"/>
        </w:rPr>
        <w:t>tat</w:t>
      </w:r>
      <w:r w:rsidRPr="00A07BE9">
        <w:rPr>
          <w:rFonts w:ascii="Open Sans" w:eastAsia="Times New Roman" w:hAnsi="Open Sans" w:cs="Open Sans"/>
          <w:b/>
          <w:bCs/>
          <w:smallCaps/>
          <w:color w:val="9D2235"/>
          <w:sz w:val="24"/>
          <w:szCs w:val="24"/>
          <w:lang w:eastAsia="es-ES"/>
        </w:rPr>
        <w:t xml:space="preserve"> jaume i</w:t>
      </w:r>
    </w:p>
    <w:p w14:paraId="6FDEB581" w14:textId="77777777" w:rsidR="00A140F9" w:rsidRPr="00A07BE9" w:rsidRDefault="00A140F9" w:rsidP="00A140F9">
      <w:pPr>
        <w:spacing w:after="0" w:line="276" w:lineRule="auto"/>
        <w:jc w:val="both"/>
        <w:rPr>
          <w:rFonts w:ascii="Open Sans" w:hAnsi="Open Sans" w:cs="Open Sans"/>
          <w:bCs/>
          <w:color w:val="000000"/>
          <w:kern w:val="24"/>
          <w:sz w:val="20"/>
          <w:szCs w:val="20"/>
        </w:rPr>
      </w:pPr>
    </w:p>
    <w:p w14:paraId="4DE6079B" w14:textId="77777777" w:rsidR="00A140F9" w:rsidRPr="00A07BE9" w:rsidRDefault="00A140F9" w:rsidP="00A140F9">
      <w:pPr>
        <w:spacing w:after="0" w:line="276" w:lineRule="auto"/>
        <w:jc w:val="both"/>
        <w:rPr>
          <w:rFonts w:ascii="Open Sans" w:hAnsi="Open Sans" w:cs="Open Sans"/>
          <w:bCs/>
          <w:color w:val="000000"/>
          <w:kern w:val="24"/>
          <w:sz w:val="20"/>
          <w:szCs w:val="20"/>
        </w:rPr>
      </w:pPr>
      <w:r w:rsidRPr="00A07BE9">
        <w:rPr>
          <w:rFonts w:ascii="Open Sans" w:hAnsi="Open Sans" w:cs="Open Sans"/>
          <w:bCs/>
          <w:color w:val="000000"/>
          <w:kern w:val="24"/>
          <w:sz w:val="20"/>
          <w:szCs w:val="20"/>
        </w:rPr>
        <w:t>El contacto inicial con el Rectorado de la UJI llevó a la planificación y desarrollo de varias actividades:</w:t>
      </w:r>
    </w:p>
    <w:p w14:paraId="0CBE94F6" w14:textId="77777777" w:rsidR="00A140F9" w:rsidRPr="00A07BE9" w:rsidRDefault="00A140F9" w:rsidP="00A140F9">
      <w:pPr>
        <w:spacing w:after="0" w:line="276" w:lineRule="auto"/>
        <w:jc w:val="both"/>
        <w:rPr>
          <w:rFonts w:ascii="Open Sans" w:hAnsi="Open Sans" w:cs="Open Sans"/>
          <w:bCs/>
          <w:color w:val="000000"/>
          <w:kern w:val="24"/>
          <w:sz w:val="20"/>
          <w:szCs w:val="20"/>
        </w:rPr>
      </w:pPr>
    </w:p>
    <w:p w14:paraId="06655812" w14:textId="441CA170" w:rsidR="00A140F9" w:rsidRPr="00A07BE9" w:rsidRDefault="00A140F9" w:rsidP="00A140F9">
      <w:pPr>
        <w:spacing w:after="0" w:line="276" w:lineRule="auto"/>
        <w:ind w:left="567"/>
        <w:jc w:val="both"/>
        <w:rPr>
          <w:rFonts w:ascii="Open Sans" w:hAnsi="Open Sans" w:cs="Open Sans"/>
          <w:bCs/>
          <w:color w:val="000000"/>
          <w:kern w:val="24"/>
          <w:sz w:val="20"/>
          <w:szCs w:val="20"/>
        </w:rPr>
      </w:pPr>
      <w:r w:rsidRPr="00A07BE9">
        <w:rPr>
          <w:rFonts w:ascii="Open Sans" w:hAnsi="Open Sans" w:cs="Open Sans"/>
          <w:bCs/>
          <w:color w:val="000000"/>
          <w:kern w:val="24"/>
          <w:sz w:val="20"/>
          <w:szCs w:val="20"/>
        </w:rPr>
        <w:t>a)</w:t>
      </w:r>
      <w:r w:rsidRPr="00A07BE9">
        <w:rPr>
          <w:rFonts w:ascii="Open Sans" w:hAnsi="Open Sans" w:cs="Open Sans"/>
          <w:bCs/>
          <w:color w:val="000000"/>
          <w:kern w:val="24"/>
          <w:sz w:val="20"/>
          <w:szCs w:val="20"/>
        </w:rPr>
        <w:tab/>
      </w:r>
      <w:r w:rsidR="00E66420" w:rsidRPr="00A07BE9">
        <w:rPr>
          <w:rFonts w:ascii="Open Sans" w:hAnsi="Open Sans" w:cs="Open Sans"/>
          <w:bCs/>
          <w:color w:val="000000"/>
          <w:kern w:val="24"/>
          <w:sz w:val="20"/>
          <w:szCs w:val="20"/>
        </w:rPr>
        <w:t xml:space="preserve"> </w:t>
      </w:r>
      <w:r w:rsidRPr="00A07BE9">
        <w:rPr>
          <w:rFonts w:ascii="Open Sans" w:hAnsi="Open Sans" w:cs="Open Sans"/>
          <w:bCs/>
          <w:color w:val="000000"/>
          <w:kern w:val="24"/>
          <w:sz w:val="20"/>
          <w:szCs w:val="20"/>
        </w:rPr>
        <w:t xml:space="preserve">15 de noviembre. Con el Departamento Filosofía y Sociología de la Facultad de Ciencias Humanas y Sociales se estableció una sesión de Docuforum con alumnos de los Grados de Periodismo y Comunicación Audiovisual. El Docuforum llevó como título </w:t>
      </w:r>
      <w:r w:rsidRPr="00A07BE9">
        <w:rPr>
          <w:rFonts w:ascii="Open Sans" w:hAnsi="Open Sans" w:cs="Open Sans"/>
          <w:bCs/>
          <w:color w:val="000000"/>
          <w:kern w:val="24"/>
          <w:sz w:val="20"/>
          <w:szCs w:val="20"/>
        </w:rPr>
        <w:lastRenderedPageBreak/>
        <w:t>“La Agencia Valenciana Antifraude: el periodismo frente a la corrupción”. Con una participación de unos 88 alumnos (53</w:t>
      </w:r>
      <w:r w:rsidRPr="00A07BE9">
        <w:rPr>
          <w:rFonts w:ascii="Open Sans" w:eastAsiaTheme="minorHAnsi" w:hAnsi="Open Sans" w:cs="Open Sans"/>
          <w:noProof/>
          <w:sz w:val="20"/>
          <w:szCs w:val="20"/>
        </w:rPr>
        <w:t xml:space="preserve"> mujeres y </w:t>
      </w:r>
      <w:r w:rsidRPr="00A07BE9">
        <w:rPr>
          <w:rFonts w:ascii="Open Sans" w:hAnsi="Open Sans" w:cs="Open Sans"/>
          <w:bCs/>
          <w:color w:val="000000"/>
          <w:kern w:val="24"/>
          <w:sz w:val="20"/>
          <w:szCs w:val="20"/>
        </w:rPr>
        <w:t>35</w:t>
      </w:r>
      <w:r w:rsidRPr="00A07BE9">
        <w:rPr>
          <w:rFonts w:ascii="Open Sans" w:eastAsiaTheme="minorHAnsi" w:hAnsi="Open Sans" w:cs="Open Sans"/>
          <w:noProof/>
          <w:sz w:val="20"/>
          <w:szCs w:val="20"/>
        </w:rPr>
        <w:t xml:space="preserve"> hombres</w:t>
      </w:r>
      <w:r w:rsidRPr="00A07BE9">
        <w:rPr>
          <w:rFonts w:ascii="Open Sans" w:hAnsi="Open Sans" w:cs="Open Sans"/>
          <w:bCs/>
          <w:color w:val="000000"/>
          <w:kern w:val="24"/>
          <w:sz w:val="20"/>
          <w:szCs w:val="20"/>
        </w:rPr>
        <w:t>).</w:t>
      </w:r>
    </w:p>
    <w:p w14:paraId="78F04E94" w14:textId="77777777" w:rsidR="00A140F9" w:rsidRPr="00A07BE9" w:rsidRDefault="00A140F9" w:rsidP="00A140F9">
      <w:pPr>
        <w:spacing w:after="0" w:line="276" w:lineRule="auto"/>
        <w:ind w:left="567"/>
        <w:jc w:val="both"/>
        <w:rPr>
          <w:rFonts w:ascii="Open Sans" w:hAnsi="Open Sans" w:cs="Open Sans"/>
          <w:bCs/>
          <w:color w:val="000000"/>
          <w:kern w:val="24"/>
          <w:sz w:val="20"/>
          <w:szCs w:val="20"/>
        </w:rPr>
      </w:pPr>
    </w:p>
    <w:p w14:paraId="36036BC4" w14:textId="2E6ACCBC" w:rsidR="00A140F9" w:rsidRPr="00A07BE9" w:rsidRDefault="00A140F9" w:rsidP="00A140F9">
      <w:pPr>
        <w:spacing w:after="0" w:line="276" w:lineRule="auto"/>
        <w:ind w:left="567"/>
        <w:jc w:val="both"/>
        <w:rPr>
          <w:rFonts w:ascii="Open Sans" w:hAnsi="Open Sans" w:cs="Open Sans"/>
          <w:bCs/>
          <w:color w:val="000000"/>
          <w:kern w:val="24"/>
          <w:sz w:val="20"/>
          <w:szCs w:val="20"/>
        </w:rPr>
      </w:pPr>
      <w:r w:rsidRPr="00A07BE9">
        <w:rPr>
          <w:rFonts w:ascii="Open Sans" w:hAnsi="Open Sans" w:cs="Open Sans"/>
          <w:bCs/>
          <w:color w:val="000000"/>
          <w:kern w:val="24"/>
          <w:sz w:val="20"/>
          <w:szCs w:val="20"/>
        </w:rPr>
        <w:t>b)</w:t>
      </w:r>
      <w:r w:rsidRPr="00A07BE9">
        <w:rPr>
          <w:rFonts w:ascii="Open Sans" w:hAnsi="Open Sans" w:cs="Open Sans"/>
          <w:bCs/>
          <w:color w:val="000000"/>
          <w:kern w:val="24"/>
          <w:sz w:val="20"/>
          <w:szCs w:val="20"/>
        </w:rPr>
        <w:tab/>
      </w:r>
      <w:r w:rsidR="00E66420" w:rsidRPr="00A07BE9">
        <w:rPr>
          <w:rFonts w:ascii="Open Sans" w:hAnsi="Open Sans" w:cs="Open Sans"/>
          <w:bCs/>
          <w:color w:val="000000"/>
          <w:kern w:val="24"/>
          <w:sz w:val="20"/>
          <w:szCs w:val="20"/>
        </w:rPr>
        <w:t xml:space="preserve"> </w:t>
      </w:r>
      <w:r w:rsidRPr="00A07BE9">
        <w:rPr>
          <w:rFonts w:ascii="Open Sans" w:hAnsi="Open Sans" w:cs="Open Sans"/>
          <w:bCs/>
          <w:color w:val="000000"/>
          <w:kern w:val="24"/>
          <w:sz w:val="20"/>
          <w:szCs w:val="20"/>
        </w:rPr>
        <w:t>Con el Vicerrectorado de Estudiantado y Compromiso Social, se ha proyectado la realización de actividades para la segunda parte del curso 2020, alrededor de dos eventos: “Práctica UJI” en la recepción de nuevos alumnos y las “Colonias jurídico-económicas”.</w:t>
      </w:r>
    </w:p>
    <w:p w14:paraId="3C4A1C8A" w14:textId="77777777" w:rsidR="00A140F9" w:rsidRPr="00A07BE9" w:rsidRDefault="00A140F9" w:rsidP="00A140F9">
      <w:pPr>
        <w:spacing w:after="0" w:line="276" w:lineRule="auto"/>
        <w:ind w:left="567"/>
        <w:jc w:val="both"/>
        <w:rPr>
          <w:rFonts w:ascii="Open Sans" w:hAnsi="Open Sans" w:cs="Open Sans"/>
          <w:bCs/>
          <w:color w:val="000000"/>
          <w:kern w:val="24"/>
          <w:sz w:val="20"/>
          <w:szCs w:val="20"/>
        </w:rPr>
      </w:pPr>
    </w:p>
    <w:p w14:paraId="0235A7EA" w14:textId="38BB9DCB" w:rsidR="00A140F9" w:rsidRPr="00A07BE9" w:rsidRDefault="00A140F9" w:rsidP="00A140F9">
      <w:pPr>
        <w:spacing w:after="0" w:line="276" w:lineRule="auto"/>
        <w:ind w:left="567"/>
        <w:jc w:val="both"/>
        <w:rPr>
          <w:rFonts w:ascii="Open Sans" w:hAnsi="Open Sans" w:cs="Open Sans"/>
          <w:bCs/>
          <w:color w:val="000000"/>
          <w:kern w:val="24"/>
          <w:sz w:val="20"/>
          <w:szCs w:val="20"/>
        </w:rPr>
      </w:pPr>
      <w:r w:rsidRPr="00A07BE9">
        <w:rPr>
          <w:rFonts w:ascii="Open Sans" w:hAnsi="Open Sans" w:cs="Open Sans"/>
          <w:bCs/>
          <w:color w:val="000000"/>
          <w:kern w:val="24"/>
          <w:sz w:val="20"/>
          <w:szCs w:val="20"/>
        </w:rPr>
        <w:t>c)</w:t>
      </w:r>
      <w:r w:rsidRPr="00A07BE9">
        <w:rPr>
          <w:rFonts w:ascii="Open Sans" w:hAnsi="Open Sans" w:cs="Open Sans"/>
          <w:bCs/>
          <w:color w:val="000000"/>
          <w:kern w:val="24"/>
          <w:sz w:val="20"/>
          <w:szCs w:val="20"/>
        </w:rPr>
        <w:tab/>
      </w:r>
      <w:r w:rsidR="00E66420" w:rsidRPr="00A07BE9">
        <w:rPr>
          <w:rFonts w:ascii="Open Sans" w:hAnsi="Open Sans" w:cs="Open Sans"/>
          <w:bCs/>
          <w:color w:val="000000"/>
          <w:kern w:val="24"/>
          <w:sz w:val="20"/>
          <w:szCs w:val="20"/>
        </w:rPr>
        <w:t xml:space="preserve"> </w:t>
      </w:r>
      <w:r w:rsidRPr="00A07BE9">
        <w:rPr>
          <w:rFonts w:ascii="Open Sans" w:hAnsi="Open Sans" w:cs="Open Sans"/>
          <w:bCs/>
          <w:color w:val="000000"/>
          <w:kern w:val="24"/>
          <w:sz w:val="20"/>
          <w:szCs w:val="20"/>
        </w:rPr>
        <w:t>También han surgido ya varias líneas de estudio y reflexión conjunta, como son: buzones de denuncia; mapa de riesgos y prevención en el turismo local; códigos éticos</w:t>
      </w:r>
      <w:r w:rsidR="00D52956" w:rsidRPr="00A07BE9">
        <w:rPr>
          <w:rFonts w:ascii="Open Sans" w:hAnsi="Open Sans" w:cs="Open Sans"/>
          <w:bCs/>
          <w:color w:val="000000"/>
          <w:kern w:val="24"/>
          <w:sz w:val="20"/>
          <w:szCs w:val="20"/>
        </w:rPr>
        <w:t>,etc.</w:t>
      </w:r>
    </w:p>
    <w:p w14:paraId="5F775DF3" w14:textId="77777777" w:rsidR="00A140F9" w:rsidRPr="00A07BE9" w:rsidRDefault="00A140F9" w:rsidP="00A140F9">
      <w:pPr>
        <w:spacing w:after="0" w:line="276" w:lineRule="auto"/>
        <w:jc w:val="both"/>
        <w:rPr>
          <w:rFonts w:ascii="Open Sans" w:hAnsi="Open Sans" w:cs="Open Sans"/>
          <w:b/>
          <w:bCs/>
          <w:color w:val="9D2235"/>
          <w:kern w:val="24"/>
          <w:sz w:val="20"/>
          <w:szCs w:val="20"/>
        </w:rPr>
      </w:pPr>
    </w:p>
    <w:p w14:paraId="015C17FD" w14:textId="56A0C63C" w:rsidR="00A140F9" w:rsidRPr="00A07BE9" w:rsidRDefault="00A140F9" w:rsidP="00A140F9">
      <w:pPr>
        <w:keepNext/>
        <w:keepLines/>
        <w:spacing w:after="0" w:line="276" w:lineRule="auto"/>
        <w:outlineLvl w:val="2"/>
        <w:rPr>
          <w:rFonts w:ascii="Open Sans" w:eastAsia="Times New Roman" w:hAnsi="Open Sans" w:cs="Open Sans"/>
          <w:b/>
          <w:bCs/>
          <w:smallCaps/>
          <w:color w:val="9D2235"/>
          <w:sz w:val="24"/>
          <w:szCs w:val="24"/>
          <w:lang w:eastAsia="es-ES"/>
        </w:rPr>
      </w:pPr>
      <w:r w:rsidRPr="00A07BE9">
        <w:rPr>
          <w:rFonts w:ascii="Open Sans" w:eastAsiaTheme="majorEastAsia" w:hAnsi="Open Sans" w:cs="Open Sans"/>
          <w:b/>
          <w:color w:val="9D2235"/>
          <w:sz w:val="24"/>
          <w:szCs w:val="24"/>
        </w:rPr>
        <w:t xml:space="preserve">A.1.4. </w:t>
      </w:r>
      <w:r w:rsidRPr="00A07BE9">
        <w:rPr>
          <w:rFonts w:ascii="Open Sans" w:eastAsia="Times New Roman" w:hAnsi="Open Sans" w:cs="Open Sans"/>
          <w:b/>
          <w:bCs/>
          <w:smallCaps/>
          <w:color w:val="9D2235"/>
          <w:sz w:val="24"/>
          <w:szCs w:val="24"/>
          <w:lang w:eastAsia="es-ES"/>
        </w:rPr>
        <w:t>Universi</w:t>
      </w:r>
      <w:r w:rsidR="005B50E5" w:rsidRPr="00A07BE9">
        <w:rPr>
          <w:rFonts w:ascii="Open Sans" w:eastAsia="Times New Roman" w:hAnsi="Open Sans" w:cs="Open Sans"/>
          <w:b/>
          <w:bCs/>
          <w:smallCaps/>
          <w:color w:val="9D2235"/>
          <w:sz w:val="24"/>
          <w:szCs w:val="24"/>
          <w:lang w:eastAsia="es-ES"/>
        </w:rPr>
        <w:t>t</w:t>
      </w:r>
      <w:r w:rsidRPr="00A07BE9">
        <w:rPr>
          <w:rFonts w:ascii="Open Sans" w:eastAsia="Times New Roman" w:hAnsi="Open Sans" w:cs="Open Sans"/>
          <w:b/>
          <w:bCs/>
          <w:smallCaps/>
          <w:color w:val="9D2235"/>
          <w:sz w:val="24"/>
          <w:szCs w:val="24"/>
          <w:lang w:eastAsia="es-ES"/>
        </w:rPr>
        <w:t>a</w:t>
      </w:r>
      <w:r w:rsidR="005B50E5" w:rsidRPr="00A07BE9">
        <w:rPr>
          <w:rFonts w:ascii="Open Sans" w:eastAsia="Times New Roman" w:hAnsi="Open Sans" w:cs="Open Sans"/>
          <w:b/>
          <w:bCs/>
          <w:smallCaps/>
          <w:color w:val="9D2235"/>
          <w:sz w:val="24"/>
          <w:szCs w:val="24"/>
          <w:lang w:eastAsia="es-ES"/>
        </w:rPr>
        <w:t>t</w:t>
      </w:r>
      <w:r w:rsidRPr="00A07BE9">
        <w:rPr>
          <w:rFonts w:ascii="Open Sans" w:eastAsia="Times New Roman" w:hAnsi="Open Sans" w:cs="Open Sans"/>
          <w:b/>
          <w:bCs/>
          <w:smallCaps/>
          <w:color w:val="9D2235"/>
          <w:sz w:val="24"/>
          <w:szCs w:val="24"/>
          <w:lang w:eastAsia="es-ES"/>
        </w:rPr>
        <w:t xml:space="preserve"> politécnica de valència</w:t>
      </w:r>
    </w:p>
    <w:p w14:paraId="4510EDD2" w14:textId="77777777" w:rsidR="00A140F9" w:rsidRPr="00A07BE9" w:rsidRDefault="00A140F9" w:rsidP="00A140F9">
      <w:pPr>
        <w:spacing w:after="0" w:line="276" w:lineRule="auto"/>
        <w:jc w:val="both"/>
        <w:rPr>
          <w:rFonts w:ascii="Open Sans" w:hAnsi="Open Sans" w:cs="Open Sans"/>
          <w:bCs/>
          <w:color w:val="000000"/>
          <w:kern w:val="24"/>
          <w:sz w:val="20"/>
          <w:szCs w:val="20"/>
        </w:rPr>
      </w:pPr>
    </w:p>
    <w:p w14:paraId="358071E0" w14:textId="77777777" w:rsidR="00A140F9" w:rsidRPr="00A07BE9" w:rsidRDefault="00A140F9" w:rsidP="00A140F9">
      <w:pPr>
        <w:spacing w:after="0" w:line="276" w:lineRule="auto"/>
        <w:jc w:val="both"/>
        <w:rPr>
          <w:rFonts w:ascii="Open Sans" w:hAnsi="Open Sans" w:cs="Open Sans"/>
          <w:bCs/>
          <w:color w:val="000000"/>
          <w:kern w:val="24"/>
          <w:sz w:val="20"/>
          <w:szCs w:val="20"/>
        </w:rPr>
      </w:pPr>
      <w:r w:rsidRPr="00A07BE9">
        <w:rPr>
          <w:rFonts w:ascii="Open Sans" w:hAnsi="Open Sans" w:cs="Open Sans"/>
          <w:bCs/>
          <w:color w:val="000000"/>
          <w:kern w:val="24"/>
          <w:sz w:val="20"/>
          <w:szCs w:val="20"/>
        </w:rPr>
        <w:t>La colaboración con la UPV se ha establecido en dos propuestas iniciales:</w:t>
      </w:r>
    </w:p>
    <w:p w14:paraId="1B9D627D" w14:textId="77777777" w:rsidR="00A140F9" w:rsidRPr="00A07BE9" w:rsidRDefault="00A140F9" w:rsidP="00A140F9">
      <w:pPr>
        <w:spacing w:after="0" w:line="276" w:lineRule="auto"/>
        <w:jc w:val="both"/>
        <w:rPr>
          <w:rFonts w:ascii="Open Sans" w:hAnsi="Open Sans" w:cs="Open Sans"/>
          <w:bCs/>
          <w:color w:val="000000"/>
          <w:kern w:val="24"/>
          <w:sz w:val="20"/>
          <w:szCs w:val="20"/>
        </w:rPr>
      </w:pPr>
    </w:p>
    <w:p w14:paraId="7FD80D27" w14:textId="0FE0E75C" w:rsidR="00A140F9" w:rsidRPr="00A07BE9" w:rsidRDefault="00A140F9" w:rsidP="00A140F9">
      <w:pPr>
        <w:spacing w:after="0" w:line="276" w:lineRule="auto"/>
        <w:ind w:left="567"/>
        <w:jc w:val="both"/>
        <w:rPr>
          <w:rFonts w:ascii="Open Sans" w:hAnsi="Open Sans" w:cs="Open Sans"/>
          <w:bCs/>
          <w:color w:val="000000"/>
          <w:kern w:val="24"/>
          <w:sz w:val="20"/>
          <w:szCs w:val="20"/>
        </w:rPr>
      </w:pPr>
      <w:r w:rsidRPr="00A07BE9">
        <w:rPr>
          <w:rFonts w:ascii="Open Sans" w:hAnsi="Open Sans" w:cs="Open Sans"/>
          <w:bCs/>
          <w:color w:val="000000"/>
          <w:kern w:val="24"/>
          <w:sz w:val="20"/>
          <w:szCs w:val="20"/>
        </w:rPr>
        <w:t>a)</w:t>
      </w:r>
      <w:r w:rsidR="00E66420" w:rsidRPr="00A07BE9">
        <w:rPr>
          <w:rFonts w:ascii="Open Sans" w:hAnsi="Open Sans" w:cs="Open Sans"/>
          <w:bCs/>
          <w:color w:val="000000"/>
          <w:kern w:val="24"/>
          <w:sz w:val="20"/>
          <w:szCs w:val="20"/>
        </w:rPr>
        <w:t xml:space="preserve"> El </w:t>
      </w:r>
      <w:r w:rsidRPr="00A07BE9">
        <w:rPr>
          <w:rFonts w:ascii="Open Sans" w:hAnsi="Open Sans" w:cs="Open Sans"/>
          <w:bCs/>
          <w:color w:val="000000"/>
          <w:kern w:val="24"/>
          <w:sz w:val="20"/>
          <w:szCs w:val="20"/>
        </w:rPr>
        <w:tab/>
        <w:t>4 de diciembre se realizó el Docuforum con la proyección del documental. La coordinación la llevó la Cátedra de Transparencia y Gestión de Datos, de la Escuela Técnica Superior de Informática (ETSINF). El perfil fue de alumnos de prácticas de Información y Documentación Administrativa; Grado de Gestión y Administración Pública; abierto a los alumnos de la Facultad de Administración y Dirección de Empresas y alumnos del Máster de Gestión de la Información de la ETSINF. Con una asistencia de 57 alumnos (35</w:t>
      </w:r>
      <w:r w:rsidRPr="00A07BE9">
        <w:rPr>
          <w:rFonts w:ascii="Open Sans" w:eastAsiaTheme="minorHAnsi" w:hAnsi="Open Sans" w:cs="Open Sans"/>
          <w:noProof/>
          <w:sz w:val="20"/>
          <w:szCs w:val="20"/>
        </w:rPr>
        <w:t xml:space="preserve"> mujeres y </w:t>
      </w:r>
      <w:r w:rsidRPr="00A07BE9">
        <w:rPr>
          <w:rFonts w:ascii="Open Sans" w:hAnsi="Open Sans" w:cs="Open Sans"/>
          <w:bCs/>
          <w:color w:val="000000"/>
          <w:kern w:val="24"/>
          <w:sz w:val="20"/>
          <w:szCs w:val="20"/>
        </w:rPr>
        <w:t xml:space="preserve">22 </w:t>
      </w:r>
      <w:r w:rsidRPr="00A07BE9">
        <w:rPr>
          <w:rFonts w:ascii="Open Sans" w:eastAsiaTheme="minorHAnsi" w:hAnsi="Open Sans" w:cs="Open Sans"/>
          <w:noProof/>
          <w:sz w:val="20"/>
          <w:szCs w:val="20"/>
        </w:rPr>
        <w:t>hombres</w:t>
      </w:r>
      <w:r w:rsidRPr="00A07BE9">
        <w:rPr>
          <w:rFonts w:ascii="Open Sans" w:hAnsi="Open Sans" w:cs="Open Sans"/>
          <w:bCs/>
          <w:color w:val="000000"/>
          <w:kern w:val="24"/>
          <w:sz w:val="20"/>
          <w:szCs w:val="20"/>
        </w:rPr>
        <w:t>).</w:t>
      </w:r>
    </w:p>
    <w:p w14:paraId="1E7D96C4" w14:textId="77777777" w:rsidR="00A140F9" w:rsidRPr="00A07BE9" w:rsidRDefault="00A140F9" w:rsidP="00A140F9">
      <w:pPr>
        <w:spacing w:after="0" w:line="276" w:lineRule="auto"/>
        <w:ind w:left="567"/>
        <w:jc w:val="both"/>
        <w:rPr>
          <w:rFonts w:ascii="Open Sans" w:hAnsi="Open Sans" w:cs="Open Sans"/>
          <w:bCs/>
          <w:color w:val="000000"/>
          <w:kern w:val="24"/>
          <w:sz w:val="20"/>
          <w:szCs w:val="20"/>
        </w:rPr>
      </w:pPr>
    </w:p>
    <w:p w14:paraId="530DB1F2" w14:textId="39CA14A4" w:rsidR="00A140F9" w:rsidRPr="00A07BE9" w:rsidRDefault="00A140F9" w:rsidP="00A140F9">
      <w:pPr>
        <w:spacing w:after="0" w:line="276" w:lineRule="auto"/>
        <w:ind w:left="567"/>
        <w:jc w:val="both"/>
        <w:rPr>
          <w:rFonts w:ascii="Open Sans" w:hAnsi="Open Sans" w:cs="Open Sans"/>
          <w:bCs/>
          <w:color w:val="000000"/>
          <w:kern w:val="24"/>
          <w:sz w:val="20"/>
          <w:szCs w:val="20"/>
        </w:rPr>
      </w:pPr>
      <w:r w:rsidRPr="00A07BE9">
        <w:rPr>
          <w:rFonts w:ascii="Open Sans" w:hAnsi="Open Sans" w:cs="Open Sans"/>
          <w:bCs/>
          <w:color w:val="000000"/>
          <w:kern w:val="24"/>
          <w:sz w:val="20"/>
          <w:szCs w:val="20"/>
        </w:rPr>
        <w:t>b)</w:t>
      </w:r>
      <w:r w:rsidRPr="00A07BE9">
        <w:rPr>
          <w:rFonts w:ascii="Open Sans" w:hAnsi="Open Sans" w:cs="Open Sans"/>
          <w:bCs/>
          <w:color w:val="000000"/>
          <w:kern w:val="24"/>
          <w:sz w:val="20"/>
          <w:szCs w:val="20"/>
        </w:rPr>
        <w:tab/>
      </w:r>
      <w:r w:rsidR="00E66420" w:rsidRPr="00A07BE9">
        <w:rPr>
          <w:rFonts w:ascii="Open Sans" w:hAnsi="Open Sans" w:cs="Open Sans"/>
          <w:bCs/>
          <w:color w:val="000000"/>
          <w:kern w:val="24"/>
          <w:sz w:val="20"/>
          <w:szCs w:val="20"/>
        </w:rPr>
        <w:t xml:space="preserve"> </w:t>
      </w:r>
      <w:r w:rsidRPr="00A07BE9">
        <w:rPr>
          <w:rFonts w:ascii="Open Sans" w:hAnsi="Open Sans" w:cs="Open Sans"/>
          <w:bCs/>
          <w:color w:val="000000"/>
          <w:kern w:val="24"/>
          <w:sz w:val="20"/>
          <w:szCs w:val="20"/>
        </w:rPr>
        <w:t>La segunda está planificada para el primer trimestre de 2020, coordinada por el Departamento de Proyectos Ingeniería, de la Escuela Técnica Superior de Ingenieros Industriales, dentro de una asignatura sobre Ética Profesional dirigido a un grupo de alumnos del curso de Ingeniería Biomédica.</w:t>
      </w:r>
    </w:p>
    <w:p w14:paraId="4F707B76" w14:textId="77777777" w:rsidR="00A140F9" w:rsidRPr="00A07BE9" w:rsidRDefault="00A140F9" w:rsidP="00A140F9">
      <w:pPr>
        <w:spacing w:after="0" w:line="276" w:lineRule="auto"/>
        <w:ind w:left="567"/>
        <w:jc w:val="both"/>
        <w:rPr>
          <w:rFonts w:ascii="Open Sans" w:hAnsi="Open Sans" w:cs="Open Sans"/>
          <w:bCs/>
          <w:color w:val="000000"/>
          <w:kern w:val="24"/>
          <w:sz w:val="20"/>
          <w:szCs w:val="20"/>
        </w:rPr>
      </w:pPr>
    </w:p>
    <w:p w14:paraId="293D42F2" w14:textId="6DC53686" w:rsidR="00A140F9" w:rsidRPr="00A07BE9" w:rsidRDefault="00A140F9" w:rsidP="00A140F9">
      <w:pPr>
        <w:spacing w:after="0" w:line="276" w:lineRule="auto"/>
        <w:ind w:left="567"/>
        <w:jc w:val="both"/>
        <w:rPr>
          <w:rFonts w:ascii="Open Sans" w:hAnsi="Open Sans" w:cs="Open Sans"/>
          <w:bCs/>
          <w:color w:val="000000"/>
          <w:kern w:val="24"/>
          <w:sz w:val="20"/>
          <w:szCs w:val="20"/>
        </w:rPr>
      </w:pPr>
      <w:r w:rsidRPr="00A07BE9">
        <w:rPr>
          <w:rFonts w:ascii="Open Sans" w:hAnsi="Open Sans" w:cs="Open Sans"/>
          <w:bCs/>
          <w:color w:val="000000"/>
          <w:kern w:val="24"/>
          <w:sz w:val="20"/>
          <w:szCs w:val="20"/>
        </w:rPr>
        <w:t>c)</w:t>
      </w:r>
      <w:r w:rsidR="00E66420" w:rsidRPr="00A07BE9">
        <w:rPr>
          <w:rFonts w:ascii="Open Sans" w:hAnsi="Open Sans" w:cs="Open Sans"/>
          <w:bCs/>
          <w:color w:val="000000"/>
          <w:kern w:val="24"/>
          <w:sz w:val="20"/>
          <w:szCs w:val="20"/>
        </w:rPr>
        <w:t xml:space="preserve"> </w:t>
      </w:r>
      <w:r w:rsidRPr="00A07BE9">
        <w:rPr>
          <w:rFonts w:ascii="Open Sans" w:hAnsi="Open Sans" w:cs="Open Sans"/>
          <w:bCs/>
          <w:color w:val="000000"/>
          <w:kern w:val="24"/>
          <w:sz w:val="20"/>
          <w:szCs w:val="20"/>
        </w:rPr>
        <w:tab/>
        <w:t>De forma complementaria, el 1 de abril participamos en la Jornada whistleblowing 2019: tecnologías, procedimientos y experiencias. Organizada por la Cátedra de Transparencia y Gestión de Datos en la Escuela Técnica Superior de Ingeniería Informática de la Universi</w:t>
      </w:r>
      <w:r w:rsidR="00DE29D5" w:rsidRPr="00A07BE9">
        <w:rPr>
          <w:rFonts w:ascii="Open Sans" w:hAnsi="Open Sans" w:cs="Open Sans"/>
          <w:bCs/>
          <w:color w:val="000000"/>
          <w:kern w:val="24"/>
          <w:sz w:val="20"/>
          <w:szCs w:val="20"/>
        </w:rPr>
        <w:t>t</w:t>
      </w:r>
      <w:r w:rsidRPr="00A07BE9">
        <w:rPr>
          <w:rFonts w:ascii="Open Sans" w:hAnsi="Open Sans" w:cs="Open Sans"/>
          <w:bCs/>
          <w:color w:val="000000"/>
          <w:kern w:val="24"/>
          <w:sz w:val="20"/>
          <w:szCs w:val="20"/>
        </w:rPr>
        <w:t>a</w:t>
      </w:r>
      <w:r w:rsidR="00DE29D5" w:rsidRPr="00A07BE9">
        <w:rPr>
          <w:rFonts w:ascii="Open Sans" w:hAnsi="Open Sans" w:cs="Open Sans"/>
          <w:bCs/>
          <w:color w:val="000000"/>
          <w:kern w:val="24"/>
          <w:sz w:val="20"/>
          <w:szCs w:val="20"/>
        </w:rPr>
        <w:t xml:space="preserve">t </w:t>
      </w:r>
      <w:r w:rsidRPr="00A07BE9">
        <w:rPr>
          <w:rFonts w:ascii="Open Sans" w:hAnsi="Open Sans" w:cs="Open Sans"/>
          <w:bCs/>
          <w:color w:val="000000"/>
          <w:kern w:val="24"/>
          <w:sz w:val="20"/>
          <w:szCs w:val="20"/>
        </w:rPr>
        <w:t>Politécnica de València. Jornada muy especializada</w:t>
      </w:r>
      <w:r w:rsidR="0073597E" w:rsidRPr="00A07BE9">
        <w:rPr>
          <w:rFonts w:ascii="Open Sans" w:hAnsi="Open Sans" w:cs="Open Sans"/>
          <w:bCs/>
          <w:color w:val="000000"/>
          <w:kern w:val="24"/>
          <w:sz w:val="20"/>
          <w:szCs w:val="20"/>
        </w:rPr>
        <w:t>,</w:t>
      </w:r>
      <w:r w:rsidRPr="00A07BE9">
        <w:rPr>
          <w:rFonts w:ascii="Open Sans" w:hAnsi="Open Sans" w:cs="Open Sans"/>
          <w:bCs/>
          <w:color w:val="000000"/>
          <w:kern w:val="24"/>
          <w:sz w:val="20"/>
          <w:szCs w:val="20"/>
        </w:rPr>
        <w:t xml:space="preserve"> con participación de representantes nacionales e internacionales</w:t>
      </w:r>
      <w:r w:rsidR="0073597E" w:rsidRPr="00A07BE9">
        <w:rPr>
          <w:rFonts w:ascii="Open Sans" w:hAnsi="Open Sans" w:cs="Open Sans"/>
          <w:bCs/>
          <w:color w:val="000000"/>
          <w:kern w:val="24"/>
          <w:sz w:val="20"/>
          <w:szCs w:val="20"/>
        </w:rPr>
        <w:t>,</w:t>
      </w:r>
      <w:r w:rsidRPr="00A07BE9">
        <w:rPr>
          <w:rFonts w:ascii="Open Sans" w:hAnsi="Open Sans" w:cs="Open Sans"/>
          <w:bCs/>
          <w:color w:val="000000"/>
          <w:kern w:val="24"/>
          <w:sz w:val="20"/>
          <w:szCs w:val="20"/>
        </w:rPr>
        <w:t xml:space="preserve"> relaciona</w:t>
      </w:r>
      <w:r w:rsidR="005B50E5" w:rsidRPr="00A07BE9">
        <w:rPr>
          <w:rFonts w:ascii="Open Sans" w:hAnsi="Open Sans" w:cs="Open Sans"/>
          <w:bCs/>
          <w:color w:val="000000"/>
          <w:kern w:val="24"/>
          <w:sz w:val="20"/>
          <w:szCs w:val="20"/>
        </w:rPr>
        <w:t>n</w:t>
      </w:r>
      <w:r w:rsidRPr="00A07BE9">
        <w:rPr>
          <w:rFonts w:ascii="Open Sans" w:hAnsi="Open Sans" w:cs="Open Sans"/>
          <w:bCs/>
          <w:color w:val="000000"/>
          <w:kern w:val="24"/>
          <w:sz w:val="20"/>
          <w:szCs w:val="20"/>
        </w:rPr>
        <w:t xml:space="preserve">do diferentes aspectos de la denuncia de corrupción y el tratamiento </w:t>
      </w:r>
      <w:r w:rsidR="005B50E5" w:rsidRPr="00A07BE9">
        <w:rPr>
          <w:rFonts w:ascii="Open Sans" w:hAnsi="Open Sans" w:cs="Open Sans"/>
          <w:bCs/>
          <w:color w:val="000000"/>
          <w:kern w:val="24"/>
          <w:sz w:val="20"/>
          <w:szCs w:val="20"/>
        </w:rPr>
        <w:t>de</w:t>
      </w:r>
      <w:r w:rsidRPr="00A07BE9">
        <w:rPr>
          <w:rFonts w:ascii="Open Sans" w:hAnsi="Open Sans" w:cs="Open Sans"/>
          <w:bCs/>
          <w:color w:val="000000"/>
          <w:kern w:val="24"/>
          <w:sz w:val="20"/>
          <w:szCs w:val="20"/>
        </w:rPr>
        <w:t xml:space="preserve"> la figura del alertador. Intervinieron como ponentes de la Agencia, su </w:t>
      </w:r>
      <w:r w:rsidR="00E9433B" w:rsidRPr="00A07BE9">
        <w:rPr>
          <w:rFonts w:ascii="Open Sans" w:hAnsi="Open Sans" w:cs="Open Sans"/>
          <w:bCs/>
          <w:color w:val="000000"/>
          <w:kern w:val="24"/>
          <w:sz w:val="20"/>
          <w:szCs w:val="20"/>
        </w:rPr>
        <w:t>d</w:t>
      </w:r>
      <w:r w:rsidRPr="00A07BE9">
        <w:rPr>
          <w:rFonts w:ascii="Open Sans" w:hAnsi="Open Sans" w:cs="Open Sans"/>
          <w:bCs/>
          <w:color w:val="000000"/>
          <w:kern w:val="24"/>
          <w:sz w:val="20"/>
          <w:szCs w:val="20"/>
        </w:rPr>
        <w:t xml:space="preserve">irector y la </w:t>
      </w:r>
      <w:r w:rsidR="00E9433B" w:rsidRPr="00A07BE9">
        <w:rPr>
          <w:rFonts w:ascii="Open Sans" w:hAnsi="Open Sans" w:cs="Open Sans"/>
          <w:bCs/>
          <w:color w:val="000000"/>
          <w:kern w:val="24"/>
          <w:sz w:val="20"/>
          <w:szCs w:val="20"/>
        </w:rPr>
        <w:t>directora</w:t>
      </w:r>
      <w:r w:rsidRPr="00A07BE9">
        <w:rPr>
          <w:rFonts w:ascii="Open Sans" w:hAnsi="Open Sans" w:cs="Open Sans"/>
          <w:bCs/>
          <w:color w:val="000000"/>
          <w:kern w:val="24"/>
          <w:sz w:val="20"/>
          <w:szCs w:val="20"/>
        </w:rPr>
        <w:t xml:space="preserve"> de Prevención, Formación y Documentación que realizaron sus presentaciones ante un fórum de unos 100 asistentes. Duración 6 horas.</w:t>
      </w:r>
    </w:p>
    <w:p w14:paraId="2E3E1907" w14:textId="26D3A5E2" w:rsidR="00A140F9" w:rsidRPr="00A07BE9" w:rsidRDefault="00A140F9" w:rsidP="00A140F9">
      <w:pPr>
        <w:spacing w:after="0" w:line="276" w:lineRule="auto"/>
        <w:jc w:val="both"/>
        <w:rPr>
          <w:rFonts w:ascii="Open Sans" w:hAnsi="Open Sans" w:cs="Open Sans"/>
          <w:b/>
          <w:bCs/>
          <w:color w:val="9D2235"/>
          <w:kern w:val="24"/>
          <w:sz w:val="20"/>
          <w:szCs w:val="20"/>
        </w:rPr>
      </w:pPr>
    </w:p>
    <w:p w14:paraId="208F89EC" w14:textId="6B74B899" w:rsidR="001B6518" w:rsidRDefault="001B6518" w:rsidP="00A140F9">
      <w:pPr>
        <w:spacing w:after="0" w:line="276" w:lineRule="auto"/>
        <w:jc w:val="both"/>
        <w:rPr>
          <w:rFonts w:ascii="Open Sans" w:hAnsi="Open Sans" w:cs="Open Sans"/>
          <w:b/>
          <w:bCs/>
          <w:color w:val="9D2235"/>
          <w:kern w:val="24"/>
          <w:sz w:val="20"/>
          <w:szCs w:val="20"/>
        </w:rPr>
      </w:pPr>
    </w:p>
    <w:p w14:paraId="77DAB273" w14:textId="1BFCE323" w:rsidR="008A1A7A" w:rsidRDefault="008A1A7A" w:rsidP="00A140F9">
      <w:pPr>
        <w:spacing w:after="0" w:line="276" w:lineRule="auto"/>
        <w:jc w:val="both"/>
        <w:rPr>
          <w:rFonts w:ascii="Open Sans" w:hAnsi="Open Sans" w:cs="Open Sans"/>
          <w:b/>
          <w:bCs/>
          <w:color w:val="9D2235"/>
          <w:kern w:val="24"/>
          <w:sz w:val="20"/>
          <w:szCs w:val="20"/>
        </w:rPr>
      </w:pPr>
    </w:p>
    <w:p w14:paraId="4FA264D8" w14:textId="77777777" w:rsidR="008A1A7A" w:rsidRPr="00A07BE9" w:rsidRDefault="008A1A7A" w:rsidP="00A140F9">
      <w:pPr>
        <w:spacing w:after="0" w:line="276" w:lineRule="auto"/>
        <w:jc w:val="both"/>
        <w:rPr>
          <w:rFonts w:ascii="Open Sans" w:hAnsi="Open Sans" w:cs="Open Sans"/>
          <w:b/>
          <w:bCs/>
          <w:color w:val="9D2235"/>
          <w:kern w:val="24"/>
          <w:sz w:val="20"/>
          <w:szCs w:val="20"/>
        </w:rPr>
      </w:pPr>
    </w:p>
    <w:p w14:paraId="1F52F697" w14:textId="77777777" w:rsidR="00A140F9" w:rsidRPr="00A07BE9" w:rsidRDefault="00A140F9" w:rsidP="00A140F9">
      <w:pPr>
        <w:keepNext/>
        <w:keepLines/>
        <w:spacing w:after="0" w:line="276" w:lineRule="auto"/>
        <w:outlineLvl w:val="2"/>
        <w:rPr>
          <w:rFonts w:ascii="Open Sans" w:eastAsia="Times New Roman" w:hAnsi="Open Sans" w:cs="Open Sans"/>
          <w:b/>
          <w:bCs/>
          <w:smallCaps/>
          <w:color w:val="9D2235"/>
          <w:sz w:val="24"/>
          <w:szCs w:val="24"/>
          <w:lang w:eastAsia="es-ES"/>
        </w:rPr>
      </w:pPr>
      <w:r w:rsidRPr="00A07BE9">
        <w:rPr>
          <w:rFonts w:ascii="Open Sans" w:eastAsiaTheme="majorEastAsia" w:hAnsi="Open Sans" w:cs="Open Sans"/>
          <w:b/>
          <w:color w:val="9D2235"/>
          <w:sz w:val="24"/>
          <w:szCs w:val="24"/>
        </w:rPr>
        <w:lastRenderedPageBreak/>
        <w:t xml:space="preserve">A.1.5. </w:t>
      </w:r>
      <w:r w:rsidRPr="00A07BE9">
        <w:rPr>
          <w:rFonts w:ascii="Open Sans" w:eastAsia="Times New Roman" w:hAnsi="Open Sans" w:cs="Open Sans"/>
          <w:b/>
          <w:bCs/>
          <w:smallCaps/>
          <w:color w:val="9D2235"/>
          <w:sz w:val="24"/>
          <w:szCs w:val="24"/>
          <w:lang w:eastAsia="es-ES"/>
        </w:rPr>
        <w:t>Universidad ceu-cardenal herrera</w:t>
      </w:r>
    </w:p>
    <w:p w14:paraId="4CCAB88D" w14:textId="77777777" w:rsidR="00A140F9" w:rsidRPr="00A07BE9" w:rsidRDefault="00A140F9" w:rsidP="00A140F9">
      <w:pPr>
        <w:spacing w:after="0" w:line="276" w:lineRule="auto"/>
        <w:jc w:val="both"/>
        <w:rPr>
          <w:rFonts w:ascii="Open Sans" w:hAnsi="Open Sans" w:cs="Open Sans"/>
          <w:bCs/>
          <w:color w:val="000000"/>
          <w:kern w:val="24"/>
          <w:sz w:val="20"/>
          <w:szCs w:val="20"/>
        </w:rPr>
      </w:pPr>
    </w:p>
    <w:p w14:paraId="1816CDD2" w14:textId="77777777" w:rsidR="00A140F9" w:rsidRPr="00A07BE9" w:rsidRDefault="00A140F9" w:rsidP="00A140F9">
      <w:pPr>
        <w:spacing w:after="0" w:line="276" w:lineRule="auto"/>
        <w:jc w:val="both"/>
        <w:rPr>
          <w:rFonts w:ascii="Open Sans" w:hAnsi="Open Sans" w:cs="Open Sans"/>
          <w:bCs/>
          <w:color w:val="000000"/>
          <w:kern w:val="24"/>
          <w:sz w:val="20"/>
          <w:szCs w:val="20"/>
        </w:rPr>
      </w:pPr>
      <w:r w:rsidRPr="00A07BE9">
        <w:rPr>
          <w:rFonts w:ascii="Open Sans" w:hAnsi="Open Sans" w:cs="Open Sans"/>
          <w:bCs/>
          <w:color w:val="000000"/>
          <w:kern w:val="24"/>
          <w:sz w:val="20"/>
          <w:szCs w:val="20"/>
        </w:rPr>
        <w:t xml:space="preserve">Los contactos con la Universidad CEU-CH se establecieron en base a tres líneas de colaboración: a) la difusión del Documental producido por la Agencia; b) la participación en el Observatorio de Gobernanza y Transparencia; c) el establecimiento de un convenio marco que diera cabida a futuras opciones de trabajo conjunto. </w:t>
      </w:r>
    </w:p>
    <w:p w14:paraId="3DE2A78A" w14:textId="77777777" w:rsidR="00A140F9" w:rsidRPr="00A07BE9" w:rsidRDefault="00A140F9" w:rsidP="00A140F9">
      <w:pPr>
        <w:spacing w:after="0" w:line="276" w:lineRule="auto"/>
        <w:jc w:val="both"/>
        <w:rPr>
          <w:rFonts w:ascii="Open Sans" w:hAnsi="Open Sans" w:cs="Open Sans"/>
          <w:bCs/>
          <w:color w:val="000000"/>
          <w:kern w:val="24"/>
          <w:sz w:val="20"/>
          <w:szCs w:val="20"/>
        </w:rPr>
      </w:pPr>
    </w:p>
    <w:p w14:paraId="3B422017" w14:textId="6BCCCC5A" w:rsidR="00A140F9" w:rsidRPr="00A07BE9" w:rsidRDefault="00A140F9" w:rsidP="00A140F9">
      <w:pPr>
        <w:spacing w:after="0" w:line="276" w:lineRule="auto"/>
        <w:ind w:left="567"/>
        <w:jc w:val="both"/>
        <w:rPr>
          <w:rFonts w:ascii="Open Sans" w:hAnsi="Open Sans" w:cs="Open Sans"/>
          <w:bCs/>
          <w:color w:val="000000"/>
          <w:kern w:val="24"/>
          <w:sz w:val="20"/>
          <w:szCs w:val="20"/>
        </w:rPr>
      </w:pPr>
      <w:r w:rsidRPr="00A07BE9">
        <w:rPr>
          <w:rFonts w:ascii="Open Sans" w:hAnsi="Open Sans" w:cs="Open Sans"/>
          <w:bCs/>
          <w:color w:val="000000"/>
          <w:kern w:val="24"/>
          <w:sz w:val="20"/>
          <w:szCs w:val="20"/>
        </w:rPr>
        <w:t>a)</w:t>
      </w:r>
      <w:r w:rsidR="00E66420" w:rsidRPr="00A07BE9">
        <w:rPr>
          <w:rFonts w:ascii="Open Sans" w:hAnsi="Open Sans" w:cs="Open Sans"/>
          <w:bCs/>
          <w:color w:val="000000"/>
          <w:kern w:val="24"/>
          <w:sz w:val="20"/>
          <w:szCs w:val="20"/>
        </w:rPr>
        <w:t xml:space="preserve"> </w:t>
      </w:r>
      <w:r w:rsidRPr="00A07BE9">
        <w:rPr>
          <w:rFonts w:ascii="Open Sans" w:hAnsi="Open Sans" w:cs="Open Sans"/>
          <w:bCs/>
          <w:color w:val="000000"/>
          <w:kern w:val="24"/>
          <w:sz w:val="20"/>
          <w:szCs w:val="20"/>
        </w:rPr>
        <w:tab/>
        <w:t>EL 7 de noviembre de 2019, de la mano del director de la Agencia se presenta el documental “Corrupción: el organismo nocivo”. Tras su visualización, se da paso a un</w:t>
      </w:r>
      <w:r w:rsidRPr="00A07BE9">
        <w:rPr>
          <w:rFonts w:ascii="Open Sans" w:hAnsi="Open Sans" w:cs="Open Sans"/>
          <w:bCs/>
          <w:color w:val="000000"/>
          <w:kern w:val="24"/>
          <w:sz w:val="21"/>
          <w:szCs w:val="21"/>
        </w:rPr>
        <w:t xml:space="preserve"> </w:t>
      </w:r>
      <w:r w:rsidRPr="00A07BE9">
        <w:rPr>
          <w:rFonts w:ascii="Open Sans" w:hAnsi="Open Sans" w:cs="Open Sans"/>
          <w:bCs/>
          <w:color w:val="000000"/>
          <w:kern w:val="24"/>
          <w:sz w:val="20"/>
          <w:szCs w:val="20"/>
        </w:rPr>
        <w:t>turno de preguntas. En la sala hay representados alumnos de Ciencias Políticas, Periodismo y Publicidad. Un total de 132 alumnos (80</w:t>
      </w:r>
      <w:r w:rsidRPr="00A07BE9">
        <w:rPr>
          <w:rFonts w:ascii="Open Sans" w:eastAsiaTheme="minorHAnsi" w:hAnsi="Open Sans" w:cs="Open Sans"/>
          <w:noProof/>
          <w:sz w:val="20"/>
          <w:szCs w:val="20"/>
        </w:rPr>
        <w:t xml:space="preserve"> mujeres y </w:t>
      </w:r>
      <w:r w:rsidRPr="00A07BE9">
        <w:rPr>
          <w:rFonts w:ascii="Open Sans" w:hAnsi="Open Sans" w:cs="Open Sans"/>
          <w:bCs/>
          <w:color w:val="000000"/>
          <w:kern w:val="24"/>
          <w:sz w:val="20"/>
          <w:szCs w:val="20"/>
        </w:rPr>
        <w:t>54</w:t>
      </w:r>
      <w:r w:rsidRPr="00A07BE9">
        <w:rPr>
          <w:rFonts w:ascii="Open Sans" w:eastAsiaTheme="minorHAnsi" w:hAnsi="Open Sans" w:cs="Open Sans"/>
          <w:noProof/>
          <w:sz w:val="20"/>
          <w:szCs w:val="20"/>
        </w:rPr>
        <w:t xml:space="preserve"> hombres</w:t>
      </w:r>
      <w:r w:rsidRPr="00A07BE9">
        <w:rPr>
          <w:rFonts w:ascii="Open Sans" w:hAnsi="Open Sans" w:cs="Open Sans"/>
          <w:bCs/>
          <w:color w:val="000000"/>
          <w:kern w:val="24"/>
          <w:sz w:val="20"/>
          <w:szCs w:val="20"/>
        </w:rPr>
        <w:t>). La actividad fue coordinada por el Observatorio de Gobernanza y Transparencia y el Departamento Ciencias Políticas, Ética y Sociología de esta universidad.</w:t>
      </w:r>
    </w:p>
    <w:p w14:paraId="72D5ECB7" w14:textId="77777777" w:rsidR="00A140F9" w:rsidRPr="00A07BE9" w:rsidRDefault="00A140F9" w:rsidP="00A140F9">
      <w:pPr>
        <w:spacing w:after="0" w:line="276" w:lineRule="auto"/>
        <w:ind w:left="567"/>
        <w:jc w:val="both"/>
        <w:rPr>
          <w:rFonts w:ascii="Open Sans" w:hAnsi="Open Sans" w:cs="Open Sans"/>
          <w:bCs/>
          <w:color w:val="000000"/>
          <w:kern w:val="24"/>
          <w:sz w:val="20"/>
          <w:szCs w:val="20"/>
        </w:rPr>
      </w:pPr>
    </w:p>
    <w:p w14:paraId="13E72AEF" w14:textId="46D52A36" w:rsidR="00A140F9" w:rsidRPr="00A07BE9" w:rsidRDefault="00A140F9" w:rsidP="00A140F9">
      <w:pPr>
        <w:spacing w:after="0" w:line="276" w:lineRule="auto"/>
        <w:ind w:left="567"/>
        <w:jc w:val="both"/>
        <w:rPr>
          <w:rFonts w:ascii="Open Sans" w:hAnsi="Open Sans" w:cs="Open Sans"/>
          <w:bCs/>
          <w:color w:val="000000"/>
          <w:kern w:val="24"/>
          <w:sz w:val="20"/>
          <w:szCs w:val="20"/>
        </w:rPr>
      </w:pPr>
      <w:r w:rsidRPr="00A07BE9">
        <w:rPr>
          <w:rFonts w:ascii="Open Sans" w:hAnsi="Open Sans" w:cs="Open Sans"/>
          <w:bCs/>
          <w:color w:val="000000"/>
          <w:kern w:val="24"/>
          <w:sz w:val="20"/>
          <w:szCs w:val="20"/>
        </w:rPr>
        <w:t>b)</w:t>
      </w:r>
      <w:r w:rsidR="00E66420" w:rsidRPr="00A07BE9">
        <w:rPr>
          <w:rFonts w:ascii="Open Sans" w:hAnsi="Open Sans" w:cs="Open Sans"/>
          <w:bCs/>
          <w:color w:val="000000"/>
          <w:kern w:val="24"/>
          <w:sz w:val="20"/>
          <w:szCs w:val="20"/>
        </w:rPr>
        <w:t xml:space="preserve"> </w:t>
      </w:r>
      <w:r w:rsidRPr="00A07BE9">
        <w:rPr>
          <w:rFonts w:ascii="Open Sans" w:hAnsi="Open Sans" w:cs="Open Sans"/>
          <w:bCs/>
          <w:color w:val="000000"/>
          <w:kern w:val="24"/>
          <w:sz w:val="20"/>
          <w:szCs w:val="20"/>
        </w:rPr>
        <w:tab/>
        <w:t xml:space="preserve">13 de diciembre de 2019, con la colaboración del Observatorio de Gobernanza, Transparencia y RSC. de la Universidad CEU Cardenal Herrera y del Laboratorio de Periodismo y Comunicación para la Ciudadanía Plural, de la Universitat Autònoma de Barcelona, se organizó una jornada FOCUS GROUP, en la que participó la Agencia, con el objetivo principal de consolidar un grupo de debate sobre la transparencia y la calidad de la información de las administraciones públicas. FOCUS GROUP: sobre los efectos de la aplicación de la Ley de la Transparencia. Retos y oportunidades. Los nuevos indicadores INFOPARTICIPA en la Comunitat Valenciana. El Mapa de Medios de Comunicación y su financiación. </w:t>
      </w:r>
    </w:p>
    <w:p w14:paraId="2666CF71" w14:textId="77777777" w:rsidR="00A140F9" w:rsidRPr="00A07BE9" w:rsidRDefault="00A140F9" w:rsidP="00A140F9">
      <w:pPr>
        <w:spacing w:after="0" w:line="276" w:lineRule="auto"/>
        <w:jc w:val="both"/>
        <w:rPr>
          <w:rFonts w:ascii="Open Sans" w:hAnsi="Open Sans" w:cs="Open Sans"/>
          <w:b/>
          <w:bCs/>
          <w:color w:val="9D2235"/>
          <w:kern w:val="24"/>
          <w:sz w:val="20"/>
          <w:szCs w:val="20"/>
        </w:rPr>
      </w:pPr>
    </w:p>
    <w:p w14:paraId="5130F9DE" w14:textId="77777777" w:rsidR="00A140F9" w:rsidRPr="00A07BE9" w:rsidRDefault="00A140F9" w:rsidP="00A140F9">
      <w:pPr>
        <w:keepNext/>
        <w:keepLines/>
        <w:spacing w:after="0" w:line="276" w:lineRule="auto"/>
        <w:outlineLvl w:val="2"/>
        <w:rPr>
          <w:rFonts w:ascii="Open Sans" w:eastAsia="Times New Roman" w:hAnsi="Open Sans" w:cs="Open Sans"/>
          <w:b/>
          <w:bCs/>
          <w:smallCaps/>
          <w:color w:val="9D2235"/>
          <w:sz w:val="24"/>
          <w:szCs w:val="24"/>
          <w:lang w:eastAsia="es-ES"/>
        </w:rPr>
      </w:pPr>
      <w:r w:rsidRPr="00A07BE9">
        <w:rPr>
          <w:rFonts w:ascii="Open Sans" w:eastAsiaTheme="majorEastAsia" w:hAnsi="Open Sans" w:cs="Open Sans"/>
          <w:b/>
          <w:color w:val="9D2235"/>
          <w:sz w:val="24"/>
          <w:szCs w:val="24"/>
        </w:rPr>
        <w:t xml:space="preserve">A.1.6. </w:t>
      </w:r>
      <w:r w:rsidRPr="00A07BE9">
        <w:rPr>
          <w:rFonts w:ascii="Open Sans" w:eastAsia="Times New Roman" w:hAnsi="Open Sans" w:cs="Open Sans"/>
          <w:b/>
          <w:bCs/>
          <w:smallCaps/>
          <w:color w:val="9D2235"/>
          <w:sz w:val="24"/>
          <w:szCs w:val="24"/>
          <w:lang w:eastAsia="es-ES"/>
        </w:rPr>
        <w:t>Universidad de alicante</w:t>
      </w:r>
    </w:p>
    <w:p w14:paraId="5EEE8EFD" w14:textId="77777777" w:rsidR="00A140F9" w:rsidRPr="00A07BE9" w:rsidRDefault="00A140F9" w:rsidP="00A140F9">
      <w:pPr>
        <w:spacing w:after="0" w:line="276" w:lineRule="auto"/>
        <w:jc w:val="both"/>
        <w:rPr>
          <w:rFonts w:ascii="Open Sans" w:hAnsi="Open Sans" w:cs="Open Sans"/>
          <w:bCs/>
          <w:color w:val="000000"/>
          <w:kern w:val="24"/>
          <w:sz w:val="20"/>
          <w:szCs w:val="20"/>
        </w:rPr>
      </w:pPr>
    </w:p>
    <w:p w14:paraId="00F07BD9" w14:textId="77777777" w:rsidR="00A140F9" w:rsidRPr="00A07BE9" w:rsidRDefault="00A140F9" w:rsidP="00A140F9">
      <w:pPr>
        <w:spacing w:after="0" w:line="276" w:lineRule="auto"/>
        <w:jc w:val="both"/>
        <w:rPr>
          <w:rFonts w:ascii="Open Sans" w:hAnsi="Open Sans" w:cs="Open Sans"/>
          <w:bCs/>
          <w:color w:val="000000"/>
          <w:kern w:val="24"/>
          <w:sz w:val="20"/>
          <w:szCs w:val="20"/>
        </w:rPr>
      </w:pPr>
      <w:r w:rsidRPr="00A07BE9">
        <w:rPr>
          <w:rFonts w:ascii="Open Sans" w:hAnsi="Open Sans" w:cs="Open Sans"/>
          <w:bCs/>
          <w:color w:val="000000"/>
          <w:kern w:val="24"/>
          <w:sz w:val="20"/>
          <w:szCs w:val="20"/>
        </w:rPr>
        <w:t>Con la Universidad de Alicante se estableció contacto con los responsables del Departamento de Derecho Internacional Público y Derecho Penal de la Facultad de Derecho y con el Departamento de Estudios Jurídicos de Estado, dentro del Instituto Universitario del Agua y Ciencias Ambientales. Estando a la espera de la planificación de alguna actividad de difusión de la Agencia en la segunda parte del curso académico de 2019-20.</w:t>
      </w:r>
    </w:p>
    <w:p w14:paraId="2AF47F3E" w14:textId="77777777" w:rsidR="004A5F93" w:rsidRPr="00A07BE9" w:rsidRDefault="004A5F93" w:rsidP="00A140F9">
      <w:pPr>
        <w:spacing w:after="0" w:line="276" w:lineRule="auto"/>
        <w:jc w:val="both"/>
        <w:rPr>
          <w:rFonts w:ascii="Open Sans" w:hAnsi="Open Sans" w:cs="Open Sans"/>
          <w:bCs/>
          <w:color w:val="000000"/>
          <w:kern w:val="24"/>
          <w:sz w:val="20"/>
          <w:szCs w:val="20"/>
        </w:rPr>
      </w:pPr>
    </w:p>
    <w:p w14:paraId="0C91C19F" w14:textId="3E11D562" w:rsidR="00E66420" w:rsidRPr="00A07BE9" w:rsidRDefault="00E66420" w:rsidP="00A140F9">
      <w:pPr>
        <w:spacing w:after="0" w:line="276" w:lineRule="auto"/>
        <w:jc w:val="both"/>
        <w:rPr>
          <w:rFonts w:ascii="Open Sans" w:hAnsi="Open Sans" w:cs="Open Sans"/>
          <w:bCs/>
          <w:color w:val="000000"/>
          <w:kern w:val="24"/>
          <w:sz w:val="20"/>
          <w:szCs w:val="20"/>
        </w:rPr>
      </w:pPr>
    </w:p>
    <w:p w14:paraId="4D33DFA7" w14:textId="5A17D558" w:rsidR="0049285A" w:rsidRPr="00A07BE9" w:rsidRDefault="0049285A" w:rsidP="00A140F9">
      <w:pPr>
        <w:spacing w:after="0" w:line="276" w:lineRule="auto"/>
        <w:jc w:val="both"/>
        <w:rPr>
          <w:rFonts w:ascii="Open Sans" w:hAnsi="Open Sans" w:cs="Open Sans"/>
          <w:bCs/>
          <w:color w:val="000000"/>
          <w:kern w:val="24"/>
          <w:sz w:val="20"/>
          <w:szCs w:val="20"/>
        </w:rPr>
      </w:pPr>
    </w:p>
    <w:p w14:paraId="5F607C57" w14:textId="138EFA9D" w:rsidR="0049285A" w:rsidRPr="00A07BE9" w:rsidRDefault="0049285A" w:rsidP="00A140F9">
      <w:pPr>
        <w:spacing w:after="0" w:line="276" w:lineRule="auto"/>
        <w:jc w:val="both"/>
        <w:rPr>
          <w:rFonts w:ascii="Open Sans" w:hAnsi="Open Sans" w:cs="Open Sans"/>
          <w:bCs/>
          <w:color w:val="000000"/>
          <w:kern w:val="24"/>
          <w:sz w:val="20"/>
          <w:szCs w:val="20"/>
        </w:rPr>
      </w:pPr>
    </w:p>
    <w:p w14:paraId="6F3106D0" w14:textId="46DF5917" w:rsidR="0049285A" w:rsidRPr="00A07BE9" w:rsidRDefault="0049285A" w:rsidP="00A140F9">
      <w:pPr>
        <w:spacing w:after="0" w:line="276" w:lineRule="auto"/>
        <w:jc w:val="both"/>
        <w:rPr>
          <w:rFonts w:ascii="Open Sans" w:hAnsi="Open Sans" w:cs="Open Sans"/>
          <w:bCs/>
          <w:color w:val="000000"/>
          <w:kern w:val="24"/>
          <w:sz w:val="20"/>
          <w:szCs w:val="20"/>
        </w:rPr>
      </w:pPr>
    </w:p>
    <w:p w14:paraId="0169A731" w14:textId="4D3FC27D" w:rsidR="0049285A" w:rsidRPr="00A07BE9" w:rsidRDefault="0049285A" w:rsidP="00A140F9">
      <w:pPr>
        <w:spacing w:after="0" w:line="276" w:lineRule="auto"/>
        <w:jc w:val="both"/>
        <w:rPr>
          <w:rFonts w:ascii="Open Sans" w:hAnsi="Open Sans" w:cs="Open Sans"/>
          <w:bCs/>
          <w:color w:val="000000"/>
          <w:kern w:val="24"/>
          <w:sz w:val="20"/>
          <w:szCs w:val="20"/>
        </w:rPr>
      </w:pPr>
    </w:p>
    <w:p w14:paraId="22151E63" w14:textId="1F3B8D44" w:rsidR="0049285A" w:rsidRPr="00A07BE9" w:rsidRDefault="0049285A" w:rsidP="00A140F9">
      <w:pPr>
        <w:spacing w:after="0" w:line="276" w:lineRule="auto"/>
        <w:jc w:val="both"/>
        <w:rPr>
          <w:rFonts w:ascii="Open Sans" w:hAnsi="Open Sans" w:cs="Open Sans"/>
          <w:bCs/>
          <w:color w:val="000000"/>
          <w:kern w:val="24"/>
          <w:sz w:val="20"/>
          <w:szCs w:val="20"/>
        </w:rPr>
      </w:pPr>
    </w:p>
    <w:p w14:paraId="4AA72040" w14:textId="088D1A16" w:rsidR="0049285A" w:rsidRPr="00A07BE9" w:rsidRDefault="0049285A" w:rsidP="00A140F9">
      <w:pPr>
        <w:spacing w:after="0" w:line="276" w:lineRule="auto"/>
        <w:jc w:val="both"/>
        <w:rPr>
          <w:rFonts w:ascii="Open Sans" w:hAnsi="Open Sans" w:cs="Open Sans"/>
          <w:bCs/>
          <w:color w:val="000000"/>
          <w:kern w:val="24"/>
          <w:sz w:val="20"/>
          <w:szCs w:val="20"/>
        </w:rPr>
      </w:pPr>
    </w:p>
    <w:p w14:paraId="282E6183" w14:textId="165F95D1" w:rsidR="0049285A" w:rsidRPr="00A07BE9" w:rsidRDefault="0049285A" w:rsidP="00A140F9">
      <w:pPr>
        <w:spacing w:after="0" w:line="276" w:lineRule="auto"/>
        <w:jc w:val="both"/>
        <w:rPr>
          <w:rFonts w:ascii="Open Sans" w:hAnsi="Open Sans" w:cs="Open Sans"/>
          <w:bCs/>
          <w:color w:val="000000"/>
          <w:kern w:val="24"/>
          <w:sz w:val="20"/>
          <w:szCs w:val="20"/>
        </w:rPr>
      </w:pPr>
    </w:p>
    <w:p w14:paraId="6C032161" w14:textId="4F2477C1" w:rsidR="0049285A" w:rsidRPr="00A07BE9" w:rsidRDefault="0049285A" w:rsidP="00A140F9">
      <w:pPr>
        <w:spacing w:after="0" w:line="276" w:lineRule="auto"/>
        <w:jc w:val="both"/>
        <w:rPr>
          <w:rFonts w:ascii="Open Sans" w:hAnsi="Open Sans" w:cs="Open Sans"/>
          <w:bCs/>
          <w:color w:val="000000"/>
          <w:kern w:val="24"/>
          <w:sz w:val="20"/>
          <w:szCs w:val="20"/>
        </w:rPr>
      </w:pPr>
    </w:p>
    <w:p w14:paraId="45130825" w14:textId="062C55E7" w:rsidR="0049285A" w:rsidRPr="00A07BE9" w:rsidRDefault="0049285A" w:rsidP="00A140F9">
      <w:pPr>
        <w:spacing w:after="0" w:line="276" w:lineRule="auto"/>
        <w:jc w:val="both"/>
        <w:rPr>
          <w:rFonts w:ascii="Open Sans" w:hAnsi="Open Sans" w:cs="Open Sans"/>
          <w:bCs/>
          <w:color w:val="000000"/>
          <w:kern w:val="24"/>
          <w:sz w:val="20"/>
          <w:szCs w:val="20"/>
        </w:rPr>
      </w:pPr>
    </w:p>
    <w:p w14:paraId="6DE825F4" w14:textId="77777777" w:rsidR="0049285A" w:rsidRPr="00A07BE9" w:rsidRDefault="0049285A" w:rsidP="00A140F9">
      <w:pPr>
        <w:spacing w:after="0" w:line="276" w:lineRule="auto"/>
        <w:jc w:val="both"/>
        <w:rPr>
          <w:rFonts w:ascii="Open Sans" w:hAnsi="Open Sans" w:cs="Open Sans"/>
          <w:bCs/>
          <w:color w:val="000000"/>
          <w:kern w:val="24"/>
          <w:sz w:val="20"/>
          <w:szCs w:val="20"/>
        </w:rPr>
      </w:pPr>
    </w:p>
    <w:tbl>
      <w:tblPr>
        <w:tblStyle w:val="Tablaconcuadrcula1"/>
        <w:tblW w:w="0" w:type="auto"/>
        <w:tblLook w:val="04A0" w:firstRow="1" w:lastRow="0" w:firstColumn="1" w:lastColumn="0" w:noHBand="0" w:noVBand="1"/>
      </w:tblPr>
      <w:tblGrid>
        <w:gridCol w:w="1835"/>
        <w:gridCol w:w="1665"/>
        <w:gridCol w:w="685"/>
        <w:gridCol w:w="1917"/>
        <w:gridCol w:w="672"/>
        <w:gridCol w:w="821"/>
        <w:gridCol w:w="909"/>
      </w:tblGrid>
      <w:tr w:rsidR="00A140F9" w:rsidRPr="00A07BE9" w14:paraId="76DF941B" w14:textId="77777777" w:rsidTr="00A140F9">
        <w:tc>
          <w:tcPr>
            <w:tcW w:w="8504" w:type="dxa"/>
            <w:gridSpan w:val="7"/>
            <w:tcBorders>
              <w:top w:val="nil"/>
              <w:left w:val="nil"/>
              <w:bottom w:val="single" w:sz="4" w:space="0" w:color="auto"/>
              <w:right w:val="nil"/>
            </w:tcBorders>
            <w:vAlign w:val="center"/>
          </w:tcPr>
          <w:p w14:paraId="4D5FA5E0" w14:textId="77777777" w:rsidR="00A140F9" w:rsidRPr="00A07BE9" w:rsidRDefault="002D6F91" w:rsidP="00186784">
            <w:pPr>
              <w:spacing w:line="276" w:lineRule="auto"/>
              <w:jc w:val="both"/>
              <w:rPr>
                <w:rFonts w:ascii="Open Sans" w:hAnsi="Open Sans" w:cs="Open Sans"/>
                <w:b/>
                <w:noProof/>
                <w:sz w:val="20"/>
                <w:szCs w:val="20"/>
              </w:rPr>
            </w:pPr>
            <w:r w:rsidRPr="00A07BE9">
              <w:rPr>
                <w:rFonts w:ascii="Open Sans" w:hAnsi="Open Sans" w:cs="Open Sans"/>
                <w:b/>
                <w:noProof/>
                <w:color w:val="9D2235"/>
                <w:sz w:val="20"/>
                <w:szCs w:val="20"/>
              </w:rPr>
              <w:lastRenderedPageBreak/>
              <w:t>Tabla 4.</w:t>
            </w:r>
            <w:r w:rsidR="009053D9" w:rsidRPr="00A07BE9">
              <w:rPr>
                <w:rFonts w:ascii="Open Sans" w:hAnsi="Open Sans" w:cs="Open Sans"/>
                <w:b/>
                <w:noProof/>
                <w:sz w:val="20"/>
                <w:szCs w:val="20"/>
              </w:rPr>
              <w:t xml:space="preserve"> </w:t>
            </w:r>
            <w:r w:rsidR="00A140F9" w:rsidRPr="00A07BE9">
              <w:rPr>
                <w:rFonts w:ascii="Open Sans" w:hAnsi="Open Sans" w:cs="Open Sans"/>
                <w:b/>
                <w:noProof/>
                <w:sz w:val="20"/>
                <w:szCs w:val="20"/>
              </w:rPr>
              <w:t>Ac</w:t>
            </w:r>
            <w:r w:rsidRPr="00A07BE9">
              <w:rPr>
                <w:rFonts w:ascii="Open Sans" w:hAnsi="Open Sans" w:cs="Open Sans"/>
                <w:b/>
                <w:noProof/>
                <w:sz w:val="20"/>
                <w:szCs w:val="20"/>
              </w:rPr>
              <w:t>t</w:t>
            </w:r>
            <w:r w:rsidR="00A140F9" w:rsidRPr="00A07BE9">
              <w:rPr>
                <w:rFonts w:ascii="Open Sans" w:hAnsi="Open Sans" w:cs="Open Sans"/>
                <w:b/>
                <w:noProof/>
                <w:sz w:val="20"/>
                <w:szCs w:val="20"/>
              </w:rPr>
              <w:t>ividad de Docuforum, versión actualizada “Corrupción: organismo nocivo”, en las Universidades de la Comunitat Valenciana, 2019</w:t>
            </w:r>
          </w:p>
          <w:p w14:paraId="3A33F8E1" w14:textId="3643429F" w:rsidR="0015081D" w:rsidRPr="00A07BE9" w:rsidRDefault="0015081D" w:rsidP="00561C3B">
            <w:pPr>
              <w:jc w:val="both"/>
              <w:rPr>
                <w:rFonts w:ascii="Open Sans" w:hAnsi="Open Sans" w:cs="Open Sans"/>
                <w:b/>
                <w:noProof/>
                <w:sz w:val="20"/>
                <w:szCs w:val="20"/>
              </w:rPr>
            </w:pPr>
          </w:p>
        </w:tc>
      </w:tr>
      <w:tr w:rsidR="00A140F9" w:rsidRPr="00A07BE9" w14:paraId="4B42E47D" w14:textId="77777777" w:rsidTr="00A140F9">
        <w:tc>
          <w:tcPr>
            <w:tcW w:w="8504" w:type="dxa"/>
            <w:gridSpan w:val="7"/>
            <w:tcBorders>
              <w:top w:val="single" w:sz="4" w:space="0" w:color="auto"/>
            </w:tcBorders>
            <w:shd w:val="clear" w:color="auto" w:fill="E7E6E6" w:themeFill="background2"/>
            <w:vAlign w:val="center"/>
          </w:tcPr>
          <w:p w14:paraId="7A41D986" w14:textId="77777777" w:rsidR="00A140F9" w:rsidRPr="00A07BE9" w:rsidRDefault="00A140F9" w:rsidP="00A140F9">
            <w:pPr>
              <w:spacing w:line="276" w:lineRule="auto"/>
              <w:jc w:val="center"/>
              <w:rPr>
                <w:rFonts w:ascii="Open Sans" w:hAnsi="Open Sans" w:cs="Open Sans"/>
                <w:noProof/>
                <w:sz w:val="16"/>
                <w:szCs w:val="16"/>
              </w:rPr>
            </w:pPr>
            <w:bookmarkStart w:id="12" w:name="_Hlk31189010"/>
            <w:r w:rsidRPr="00A07BE9">
              <w:rPr>
                <w:rFonts w:ascii="Open Sans" w:hAnsi="Open Sans" w:cs="Open Sans"/>
                <w:noProof/>
                <w:sz w:val="16"/>
                <w:szCs w:val="16"/>
              </w:rPr>
              <w:t>UNIVERSIDAD MIGUEL HERNANDEZ</w:t>
            </w:r>
          </w:p>
        </w:tc>
      </w:tr>
      <w:tr w:rsidR="00A140F9" w:rsidRPr="00A07BE9" w14:paraId="02F399BB" w14:textId="77777777" w:rsidTr="00A140F9">
        <w:tc>
          <w:tcPr>
            <w:tcW w:w="1835" w:type="dxa"/>
            <w:vAlign w:val="center"/>
          </w:tcPr>
          <w:p w14:paraId="60445E28"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Grado</w:t>
            </w:r>
          </w:p>
        </w:tc>
        <w:tc>
          <w:tcPr>
            <w:tcW w:w="1665" w:type="dxa"/>
            <w:vAlign w:val="center"/>
          </w:tcPr>
          <w:p w14:paraId="39DD2110"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Departamento</w:t>
            </w:r>
          </w:p>
        </w:tc>
        <w:tc>
          <w:tcPr>
            <w:tcW w:w="685" w:type="dxa"/>
            <w:vAlign w:val="center"/>
          </w:tcPr>
          <w:p w14:paraId="734A384E"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Fecha</w:t>
            </w:r>
          </w:p>
        </w:tc>
        <w:tc>
          <w:tcPr>
            <w:tcW w:w="1917" w:type="dxa"/>
            <w:vAlign w:val="center"/>
          </w:tcPr>
          <w:p w14:paraId="015EEBD8"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Perfil alumnos</w:t>
            </w:r>
          </w:p>
        </w:tc>
        <w:tc>
          <w:tcPr>
            <w:tcW w:w="672" w:type="dxa"/>
            <w:vAlign w:val="center"/>
          </w:tcPr>
          <w:p w14:paraId="318A7956"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 xml:space="preserve">Núm. </w:t>
            </w:r>
          </w:p>
        </w:tc>
        <w:tc>
          <w:tcPr>
            <w:tcW w:w="821" w:type="dxa"/>
            <w:vAlign w:val="center"/>
          </w:tcPr>
          <w:p w14:paraId="285DB71B" w14:textId="77777777" w:rsidR="00A140F9" w:rsidRPr="00A07BE9" w:rsidRDefault="00A140F9" w:rsidP="00A140F9">
            <w:pPr>
              <w:spacing w:line="276" w:lineRule="auto"/>
              <w:jc w:val="center"/>
              <w:rPr>
                <w:rFonts w:ascii="Open Sans" w:hAnsi="Open Sans" w:cs="Open Sans"/>
                <w:noProof/>
                <w:sz w:val="16"/>
                <w:szCs w:val="16"/>
              </w:rPr>
            </w:pPr>
            <w:r w:rsidRPr="00A07BE9">
              <w:rPr>
                <w:rFonts w:ascii="Open Sans" w:hAnsi="Open Sans" w:cs="Open Sans"/>
                <w:noProof/>
                <w:sz w:val="16"/>
                <w:szCs w:val="16"/>
              </w:rPr>
              <w:t>Mujeres</w:t>
            </w:r>
          </w:p>
          <w:p w14:paraId="2E464424"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w:t>
            </w:r>
          </w:p>
        </w:tc>
        <w:tc>
          <w:tcPr>
            <w:tcW w:w="909" w:type="dxa"/>
            <w:vAlign w:val="center"/>
          </w:tcPr>
          <w:p w14:paraId="58B0D32F" w14:textId="77777777" w:rsidR="00A140F9" w:rsidRPr="00A07BE9" w:rsidRDefault="00A140F9" w:rsidP="00A140F9">
            <w:pPr>
              <w:spacing w:line="276" w:lineRule="auto"/>
              <w:jc w:val="center"/>
              <w:rPr>
                <w:rFonts w:ascii="Open Sans" w:hAnsi="Open Sans" w:cs="Open Sans"/>
                <w:noProof/>
                <w:sz w:val="16"/>
                <w:szCs w:val="16"/>
              </w:rPr>
            </w:pPr>
            <w:r w:rsidRPr="00A07BE9">
              <w:rPr>
                <w:rFonts w:ascii="Open Sans" w:hAnsi="Open Sans" w:cs="Open Sans"/>
                <w:noProof/>
                <w:sz w:val="16"/>
                <w:szCs w:val="16"/>
              </w:rPr>
              <w:t>Hombres</w:t>
            </w:r>
          </w:p>
          <w:p w14:paraId="12A299D1"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 xml:space="preserve"> %</w:t>
            </w:r>
          </w:p>
        </w:tc>
      </w:tr>
      <w:tr w:rsidR="00A140F9" w:rsidRPr="00A07BE9" w14:paraId="7893201B" w14:textId="77777777" w:rsidTr="00A140F9">
        <w:tc>
          <w:tcPr>
            <w:tcW w:w="1835" w:type="dxa"/>
            <w:vAlign w:val="center"/>
          </w:tcPr>
          <w:p w14:paraId="565D5441"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 xml:space="preserve">Ciencias Sociales </w:t>
            </w:r>
          </w:p>
          <w:p w14:paraId="557619BB"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Derecho</w:t>
            </w:r>
          </w:p>
        </w:tc>
        <w:tc>
          <w:tcPr>
            <w:tcW w:w="1665" w:type="dxa"/>
            <w:vMerge w:val="restart"/>
            <w:vAlign w:val="center"/>
          </w:tcPr>
          <w:p w14:paraId="2EC5FCCB"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Ciencias Sociales y Humanas</w:t>
            </w:r>
          </w:p>
        </w:tc>
        <w:tc>
          <w:tcPr>
            <w:tcW w:w="685" w:type="dxa"/>
            <w:vAlign w:val="center"/>
          </w:tcPr>
          <w:p w14:paraId="7C7FB3C3"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7/10</w:t>
            </w:r>
          </w:p>
        </w:tc>
        <w:tc>
          <w:tcPr>
            <w:tcW w:w="1917" w:type="dxa"/>
            <w:vAlign w:val="center"/>
          </w:tcPr>
          <w:p w14:paraId="4A202CA3"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Ciencias sociales y Derecho</w:t>
            </w:r>
          </w:p>
        </w:tc>
        <w:tc>
          <w:tcPr>
            <w:tcW w:w="672" w:type="dxa"/>
            <w:vAlign w:val="center"/>
          </w:tcPr>
          <w:p w14:paraId="4F5D392A"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26</w:t>
            </w:r>
          </w:p>
        </w:tc>
        <w:tc>
          <w:tcPr>
            <w:tcW w:w="821" w:type="dxa"/>
            <w:vAlign w:val="center"/>
          </w:tcPr>
          <w:p w14:paraId="4666D2D4" w14:textId="788ED93E"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60</w:t>
            </w:r>
            <w:r w:rsidR="008B600C" w:rsidRPr="00A07BE9">
              <w:rPr>
                <w:rFonts w:ascii="Open Sans" w:hAnsi="Open Sans" w:cs="Open Sans"/>
                <w:sz w:val="16"/>
                <w:szCs w:val="16"/>
              </w:rPr>
              <w:t xml:space="preserve"> </w:t>
            </w:r>
            <w:r w:rsidRPr="00A07BE9">
              <w:rPr>
                <w:rFonts w:ascii="Open Sans" w:hAnsi="Open Sans" w:cs="Open Sans"/>
                <w:sz w:val="16"/>
                <w:szCs w:val="16"/>
              </w:rPr>
              <w:t>%</w:t>
            </w:r>
          </w:p>
        </w:tc>
        <w:tc>
          <w:tcPr>
            <w:tcW w:w="909" w:type="dxa"/>
            <w:vAlign w:val="center"/>
          </w:tcPr>
          <w:p w14:paraId="71B2EF4C" w14:textId="7939C7A8"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40</w:t>
            </w:r>
            <w:r w:rsidR="008B600C" w:rsidRPr="00A07BE9">
              <w:rPr>
                <w:rFonts w:ascii="Open Sans" w:hAnsi="Open Sans" w:cs="Open Sans"/>
                <w:sz w:val="16"/>
                <w:szCs w:val="16"/>
              </w:rPr>
              <w:t xml:space="preserve"> </w:t>
            </w:r>
            <w:r w:rsidRPr="00A07BE9">
              <w:rPr>
                <w:rFonts w:ascii="Open Sans" w:hAnsi="Open Sans" w:cs="Open Sans"/>
                <w:sz w:val="16"/>
                <w:szCs w:val="16"/>
              </w:rPr>
              <w:t>%</w:t>
            </w:r>
          </w:p>
        </w:tc>
      </w:tr>
      <w:tr w:rsidR="00A140F9" w:rsidRPr="00A07BE9" w14:paraId="05AAAB02" w14:textId="77777777" w:rsidTr="00A140F9">
        <w:tc>
          <w:tcPr>
            <w:tcW w:w="1835" w:type="dxa"/>
            <w:vAlign w:val="center"/>
          </w:tcPr>
          <w:p w14:paraId="3F43A26C"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 xml:space="preserve">Periodismo </w:t>
            </w:r>
          </w:p>
          <w:p w14:paraId="20BAD164"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Ciencias Sociales</w:t>
            </w:r>
          </w:p>
        </w:tc>
        <w:tc>
          <w:tcPr>
            <w:tcW w:w="1665" w:type="dxa"/>
            <w:vMerge/>
            <w:vAlign w:val="center"/>
          </w:tcPr>
          <w:p w14:paraId="39FFC019" w14:textId="77777777" w:rsidR="00A140F9" w:rsidRPr="00A07BE9" w:rsidRDefault="00A140F9" w:rsidP="00A140F9">
            <w:pPr>
              <w:spacing w:line="276" w:lineRule="auto"/>
              <w:jc w:val="center"/>
              <w:rPr>
                <w:rFonts w:ascii="Open Sans" w:hAnsi="Open Sans" w:cs="Open Sans"/>
                <w:sz w:val="16"/>
                <w:szCs w:val="16"/>
              </w:rPr>
            </w:pPr>
          </w:p>
        </w:tc>
        <w:tc>
          <w:tcPr>
            <w:tcW w:w="685" w:type="dxa"/>
            <w:vAlign w:val="center"/>
          </w:tcPr>
          <w:p w14:paraId="23793F99"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22/11</w:t>
            </w:r>
          </w:p>
        </w:tc>
        <w:tc>
          <w:tcPr>
            <w:tcW w:w="1917" w:type="dxa"/>
            <w:vAlign w:val="center"/>
          </w:tcPr>
          <w:p w14:paraId="3730185B"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Comunicación Política y Opinión Pública; Ética y Deontología Profesional</w:t>
            </w:r>
          </w:p>
          <w:p w14:paraId="7D89931D" w14:textId="00C24079" w:rsidR="004A5F93" w:rsidRPr="00A07BE9" w:rsidRDefault="004A5F93" w:rsidP="00A140F9">
            <w:pPr>
              <w:spacing w:line="276" w:lineRule="auto"/>
              <w:jc w:val="center"/>
              <w:rPr>
                <w:rFonts w:ascii="Open Sans" w:hAnsi="Open Sans" w:cs="Open Sans"/>
                <w:sz w:val="16"/>
                <w:szCs w:val="16"/>
              </w:rPr>
            </w:pPr>
          </w:p>
        </w:tc>
        <w:tc>
          <w:tcPr>
            <w:tcW w:w="672" w:type="dxa"/>
            <w:vAlign w:val="center"/>
          </w:tcPr>
          <w:p w14:paraId="21DDCB21"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80</w:t>
            </w:r>
          </w:p>
        </w:tc>
        <w:tc>
          <w:tcPr>
            <w:tcW w:w="821" w:type="dxa"/>
            <w:vAlign w:val="center"/>
          </w:tcPr>
          <w:p w14:paraId="54C673C0" w14:textId="1B31104B"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63</w:t>
            </w:r>
            <w:r w:rsidR="008B600C" w:rsidRPr="00A07BE9">
              <w:rPr>
                <w:rFonts w:ascii="Open Sans" w:hAnsi="Open Sans" w:cs="Open Sans"/>
                <w:sz w:val="16"/>
                <w:szCs w:val="16"/>
              </w:rPr>
              <w:t xml:space="preserve"> </w:t>
            </w:r>
            <w:r w:rsidRPr="00A07BE9">
              <w:rPr>
                <w:rFonts w:ascii="Open Sans" w:hAnsi="Open Sans" w:cs="Open Sans"/>
                <w:sz w:val="16"/>
                <w:szCs w:val="16"/>
              </w:rPr>
              <w:t>%</w:t>
            </w:r>
          </w:p>
        </w:tc>
        <w:tc>
          <w:tcPr>
            <w:tcW w:w="909" w:type="dxa"/>
            <w:vAlign w:val="center"/>
          </w:tcPr>
          <w:p w14:paraId="5C536085" w14:textId="38AD6AF9"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37</w:t>
            </w:r>
            <w:r w:rsidR="008B600C" w:rsidRPr="00A07BE9">
              <w:rPr>
                <w:rFonts w:ascii="Open Sans" w:hAnsi="Open Sans" w:cs="Open Sans"/>
                <w:sz w:val="16"/>
                <w:szCs w:val="16"/>
              </w:rPr>
              <w:t xml:space="preserve"> </w:t>
            </w:r>
            <w:r w:rsidRPr="00A07BE9">
              <w:rPr>
                <w:rFonts w:ascii="Open Sans" w:hAnsi="Open Sans" w:cs="Open Sans"/>
                <w:sz w:val="16"/>
                <w:szCs w:val="16"/>
              </w:rPr>
              <w:t>%</w:t>
            </w:r>
          </w:p>
        </w:tc>
      </w:tr>
      <w:tr w:rsidR="00A140F9" w:rsidRPr="00A07BE9" w14:paraId="6343D420" w14:textId="77777777" w:rsidTr="00A140F9">
        <w:tc>
          <w:tcPr>
            <w:tcW w:w="8504" w:type="dxa"/>
            <w:gridSpan w:val="7"/>
            <w:shd w:val="clear" w:color="auto" w:fill="E7E6E6" w:themeFill="background2"/>
            <w:vAlign w:val="center"/>
          </w:tcPr>
          <w:p w14:paraId="7F6F1349" w14:textId="7A4BBE8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UNIVERSI</w:t>
            </w:r>
            <w:r w:rsidR="005B389C" w:rsidRPr="00A07BE9">
              <w:rPr>
                <w:rFonts w:ascii="Open Sans" w:hAnsi="Open Sans" w:cs="Open Sans"/>
                <w:sz w:val="16"/>
                <w:szCs w:val="16"/>
              </w:rPr>
              <w:t>D</w:t>
            </w:r>
            <w:r w:rsidRPr="00A07BE9">
              <w:rPr>
                <w:rFonts w:ascii="Open Sans" w:hAnsi="Open Sans" w:cs="Open Sans"/>
                <w:sz w:val="16"/>
                <w:szCs w:val="16"/>
              </w:rPr>
              <w:t>A</w:t>
            </w:r>
            <w:r w:rsidR="005B389C" w:rsidRPr="00A07BE9">
              <w:rPr>
                <w:rFonts w:ascii="Open Sans" w:hAnsi="Open Sans" w:cs="Open Sans"/>
                <w:sz w:val="16"/>
                <w:szCs w:val="16"/>
              </w:rPr>
              <w:t>D</w:t>
            </w:r>
            <w:r w:rsidRPr="00A07BE9">
              <w:rPr>
                <w:rFonts w:ascii="Open Sans" w:hAnsi="Open Sans" w:cs="Open Sans"/>
                <w:sz w:val="16"/>
                <w:szCs w:val="16"/>
              </w:rPr>
              <w:t xml:space="preserve"> VALÈNCIA</w:t>
            </w:r>
          </w:p>
        </w:tc>
      </w:tr>
      <w:tr w:rsidR="00A140F9" w:rsidRPr="00A07BE9" w14:paraId="08F725FA" w14:textId="77777777" w:rsidTr="00A140F9">
        <w:tc>
          <w:tcPr>
            <w:tcW w:w="1835" w:type="dxa"/>
            <w:vAlign w:val="center"/>
          </w:tcPr>
          <w:p w14:paraId="3C2DAC29"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Derecho</w:t>
            </w:r>
          </w:p>
          <w:p w14:paraId="3F32873F"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D G Derecho-ADE</w:t>
            </w:r>
          </w:p>
          <w:p w14:paraId="107B5A60"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 xml:space="preserve">Ciencias Políticas    </w:t>
            </w:r>
          </w:p>
        </w:tc>
        <w:tc>
          <w:tcPr>
            <w:tcW w:w="1665" w:type="dxa"/>
            <w:vAlign w:val="center"/>
          </w:tcPr>
          <w:p w14:paraId="6746CA39"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 xml:space="preserve">Administrativo II  </w:t>
            </w:r>
          </w:p>
          <w:p w14:paraId="21C8D323"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Ciencia Política y Administración</w:t>
            </w:r>
          </w:p>
        </w:tc>
        <w:tc>
          <w:tcPr>
            <w:tcW w:w="685" w:type="dxa"/>
            <w:vAlign w:val="center"/>
          </w:tcPr>
          <w:p w14:paraId="3058A4CE"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18/10</w:t>
            </w:r>
          </w:p>
        </w:tc>
        <w:tc>
          <w:tcPr>
            <w:tcW w:w="1917" w:type="dxa"/>
            <w:vAlign w:val="center"/>
          </w:tcPr>
          <w:p w14:paraId="53B74A6D"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 xml:space="preserve">Derecho Administrativo </w:t>
            </w:r>
          </w:p>
          <w:p w14:paraId="39AF1E66"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Ciencias Política y Administración</w:t>
            </w:r>
          </w:p>
        </w:tc>
        <w:tc>
          <w:tcPr>
            <w:tcW w:w="672" w:type="dxa"/>
            <w:vAlign w:val="center"/>
          </w:tcPr>
          <w:p w14:paraId="0E2E10FD"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100</w:t>
            </w:r>
          </w:p>
        </w:tc>
        <w:tc>
          <w:tcPr>
            <w:tcW w:w="821" w:type="dxa"/>
            <w:vAlign w:val="center"/>
          </w:tcPr>
          <w:p w14:paraId="184E7CE6" w14:textId="444ACEF5"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50</w:t>
            </w:r>
            <w:r w:rsidR="008B600C" w:rsidRPr="00A07BE9">
              <w:rPr>
                <w:rFonts w:ascii="Open Sans" w:hAnsi="Open Sans" w:cs="Open Sans"/>
                <w:sz w:val="16"/>
                <w:szCs w:val="16"/>
              </w:rPr>
              <w:t xml:space="preserve"> </w:t>
            </w:r>
            <w:r w:rsidRPr="00A07BE9">
              <w:rPr>
                <w:rFonts w:ascii="Open Sans" w:hAnsi="Open Sans" w:cs="Open Sans"/>
                <w:sz w:val="16"/>
                <w:szCs w:val="16"/>
              </w:rPr>
              <w:t>%</w:t>
            </w:r>
          </w:p>
        </w:tc>
        <w:tc>
          <w:tcPr>
            <w:tcW w:w="909" w:type="dxa"/>
            <w:vAlign w:val="center"/>
          </w:tcPr>
          <w:p w14:paraId="161A45DE" w14:textId="6FED9E82"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50</w:t>
            </w:r>
            <w:r w:rsidR="008B600C" w:rsidRPr="00A07BE9">
              <w:rPr>
                <w:rFonts w:ascii="Open Sans" w:hAnsi="Open Sans" w:cs="Open Sans"/>
                <w:sz w:val="16"/>
                <w:szCs w:val="16"/>
              </w:rPr>
              <w:t xml:space="preserve"> </w:t>
            </w:r>
            <w:r w:rsidRPr="00A07BE9">
              <w:rPr>
                <w:rFonts w:ascii="Open Sans" w:hAnsi="Open Sans" w:cs="Open Sans"/>
                <w:sz w:val="16"/>
                <w:szCs w:val="16"/>
              </w:rPr>
              <w:t>%</w:t>
            </w:r>
          </w:p>
        </w:tc>
      </w:tr>
      <w:tr w:rsidR="00A140F9" w:rsidRPr="00A07BE9" w14:paraId="34629203" w14:textId="77777777" w:rsidTr="00A140F9">
        <w:tc>
          <w:tcPr>
            <w:tcW w:w="1835" w:type="dxa"/>
            <w:vAlign w:val="center"/>
          </w:tcPr>
          <w:p w14:paraId="0C789083"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Economía</w:t>
            </w:r>
          </w:p>
        </w:tc>
        <w:tc>
          <w:tcPr>
            <w:tcW w:w="1665" w:type="dxa"/>
            <w:vAlign w:val="center"/>
          </w:tcPr>
          <w:p w14:paraId="084C96E8"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Cátedra Economía del Bien Común</w:t>
            </w:r>
          </w:p>
        </w:tc>
        <w:tc>
          <w:tcPr>
            <w:tcW w:w="685" w:type="dxa"/>
            <w:vAlign w:val="center"/>
          </w:tcPr>
          <w:p w14:paraId="7D460749"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10/12</w:t>
            </w:r>
          </w:p>
        </w:tc>
        <w:tc>
          <w:tcPr>
            <w:tcW w:w="1917" w:type="dxa"/>
            <w:vAlign w:val="center"/>
          </w:tcPr>
          <w:p w14:paraId="029286E4"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Master gestión de finanzas corporativas</w:t>
            </w:r>
          </w:p>
        </w:tc>
        <w:tc>
          <w:tcPr>
            <w:tcW w:w="672" w:type="dxa"/>
            <w:vAlign w:val="center"/>
          </w:tcPr>
          <w:p w14:paraId="4A4D869C"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29</w:t>
            </w:r>
          </w:p>
        </w:tc>
        <w:tc>
          <w:tcPr>
            <w:tcW w:w="821" w:type="dxa"/>
            <w:vAlign w:val="center"/>
          </w:tcPr>
          <w:p w14:paraId="1B31E7D7" w14:textId="04F27250"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50</w:t>
            </w:r>
            <w:r w:rsidR="008B600C" w:rsidRPr="00A07BE9">
              <w:rPr>
                <w:rFonts w:ascii="Open Sans" w:hAnsi="Open Sans" w:cs="Open Sans"/>
                <w:sz w:val="16"/>
                <w:szCs w:val="16"/>
              </w:rPr>
              <w:t xml:space="preserve"> </w:t>
            </w:r>
            <w:r w:rsidRPr="00A07BE9">
              <w:rPr>
                <w:rFonts w:ascii="Open Sans" w:hAnsi="Open Sans" w:cs="Open Sans"/>
                <w:sz w:val="16"/>
                <w:szCs w:val="16"/>
              </w:rPr>
              <w:t>%</w:t>
            </w:r>
          </w:p>
        </w:tc>
        <w:tc>
          <w:tcPr>
            <w:tcW w:w="909" w:type="dxa"/>
            <w:vAlign w:val="center"/>
          </w:tcPr>
          <w:p w14:paraId="6497F36D" w14:textId="09E6C915"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50</w:t>
            </w:r>
            <w:r w:rsidR="008B600C" w:rsidRPr="00A07BE9">
              <w:rPr>
                <w:rFonts w:ascii="Open Sans" w:hAnsi="Open Sans" w:cs="Open Sans"/>
                <w:sz w:val="16"/>
                <w:szCs w:val="16"/>
              </w:rPr>
              <w:t xml:space="preserve"> </w:t>
            </w:r>
            <w:r w:rsidRPr="00A07BE9">
              <w:rPr>
                <w:rFonts w:ascii="Open Sans" w:hAnsi="Open Sans" w:cs="Open Sans"/>
                <w:sz w:val="16"/>
                <w:szCs w:val="16"/>
              </w:rPr>
              <w:t>%</w:t>
            </w:r>
          </w:p>
        </w:tc>
      </w:tr>
      <w:tr w:rsidR="00A140F9" w:rsidRPr="00A07BE9" w14:paraId="3B5C7293" w14:textId="77777777" w:rsidTr="00A140F9">
        <w:tc>
          <w:tcPr>
            <w:tcW w:w="8504" w:type="dxa"/>
            <w:gridSpan w:val="7"/>
            <w:shd w:val="clear" w:color="auto" w:fill="E7E6E6" w:themeFill="background2"/>
            <w:vAlign w:val="center"/>
          </w:tcPr>
          <w:p w14:paraId="448848C4"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UNIVERSIDAD JAUME I</w:t>
            </w:r>
          </w:p>
        </w:tc>
      </w:tr>
      <w:tr w:rsidR="00A140F9" w:rsidRPr="00A07BE9" w14:paraId="361BE4C9" w14:textId="77777777" w:rsidTr="00A140F9">
        <w:tc>
          <w:tcPr>
            <w:tcW w:w="1835" w:type="dxa"/>
            <w:vAlign w:val="center"/>
          </w:tcPr>
          <w:p w14:paraId="64A45667"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 xml:space="preserve">Periodismo </w:t>
            </w:r>
          </w:p>
          <w:p w14:paraId="0F93A7EE"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Comunicación Audiovisual</w:t>
            </w:r>
          </w:p>
        </w:tc>
        <w:tc>
          <w:tcPr>
            <w:tcW w:w="1665" w:type="dxa"/>
            <w:vAlign w:val="center"/>
          </w:tcPr>
          <w:p w14:paraId="2E9E0844"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 xml:space="preserve">Filosofía y Sociología </w:t>
            </w:r>
          </w:p>
        </w:tc>
        <w:tc>
          <w:tcPr>
            <w:tcW w:w="685" w:type="dxa"/>
            <w:vAlign w:val="center"/>
          </w:tcPr>
          <w:p w14:paraId="7FAFD205"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15/11</w:t>
            </w:r>
          </w:p>
        </w:tc>
        <w:tc>
          <w:tcPr>
            <w:tcW w:w="1917" w:type="dxa"/>
            <w:vAlign w:val="center"/>
          </w:tcPr>
          <w:p w14:paraId="1719084C"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 xml:space="preserve">Periodismo </w:t>
            </w:r>
          </w:p>
          <w:p w14:paraId="36601677"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Comunicación Audiovisual</w:t>
            </w:r>
          </w:p>
        </w:tc>
        <w:tc>
          <w:tcPr>
            <w:tcW w:w="672" w:type="dxa"/>
            <w:vAlign w:val="center"/>
          </w:tcPr>
          <w:p w14:paraId="1F4A9851"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88</w:t>
            </w:r>
          </w:p>
        </w:tc>
        <w:tc>
          <w:tcPr>
            <w:tcW w:w="821" w:type="dxa"/>
            <w:vAlign w:val="center"/>
          </w:tcPr>
          <w:p w14:paraId="0BC2210A" w14:textId="64180A5A"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60</w:t>
            </w:r>
            <w:r w:rsidR="008B600C" w:rsidRPr="00A07BE9">
              <w:rPr>
                <w:rFonts w:ascii="Open Sans" w:hAnsi="Open Sans" w:cs="Open Sans"/>
                <w:sz w:val="16"/>
                <w:szCs w:val="16"/>
              </w:rPr>
              <w:t xml:space="preserve"> </w:t>
            </w:r>
            <w:r w:rsidRPr="00A07BE9">
              <w:rPr>
                <w:rFonts w:ascii="Open Sans" w:hAnsi="Open Sans" w:cs="Open Sans"/>
                <w:sz w:val="16"/>
                <w:szCs w:val="16"/>
              </w:rPr>
              <w:t>%</w:t>
            </w:r>
          </w:p>
        </w:tc>
        <w:tc>
          <w:tcPr>
            <w:tcW w:w="909" w:type="dxa"/>
            <w:vAlign w:val="center"/>
          </w:tcPr>
          <w:p w14:paraId="317A264B" w14:textId="75BCD4D0"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40</w:t>
            </w:r>
            <w:r w:rsidR="008B600C" w:rsidRPr="00A07BE9">
              <w:rPr>
                <w:rFonts w:ascii="Open Sans" w:hAnsi="Open Sans" w:cs="Open Sans"/>
                <w:sz w:val="16"/>
                <w:szCs w:val="16"/>
              </w:rPr>
              <w:t xml:space="preserve"> </w:t>
            </w:r>
            <w:r w:rsidRPr="00A07BE9">
              <w:rPr>
                <w:rFonts w:ascii="Open Sans" w:hAnsi="Open Sans" w:cs="Open Sans"/>
                <w:sz w:val="16"/>
                <w:szCs w:val="16"/>
              </w:rPr>
              <w:t>%</w:t>
            </w:r>
          </w:p>
        </w:tc>
      </w:tr>
      <w:tr w:rsidR="00A140F9" w:rsidRPr="00A07BE9" w14:paraId="0A2D0197" w14:textId="77777777" w:rsidTr="00A140F9">
        <w:tc>
          <w:tcPr>
            <w:tcW w:w="8504" w:type="dxa"/>
            <w:gridSpan w:val="7"/>
            <w:shd w:val="clear" w:color="auto" w:fill="E7E6E6" w:themeFill="background2"/>
            <w:vAlign w:val="center"/>
          </w:tcPr>
          <w:p w14:paraId="6724CF2E" w14:textId="6C6E9D72"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UNIVERSI</w:t>
            </w:r>
            <w:r w:rsidR="005B389C" w:rsidRPr="00A07BE9">
              <w:rPr>
                <w:rFonts w:ascii="Open Sans" w:hAnsi="Open Sans" w:cs="Open Sans"/>
                <w:sz w:val="16"/>
                <w:szCs w:val="16"/>
              </w:rPr>
              <w:t>D</w:t>
            </w:r>
            <w:r w:rsidRPr="00A07BE9">
              <w:rPr>
                <w:rFonts w:ascii="Open Sans" w:hAnsi="Open Sans" w:cs="Open Sans"/>
                <w:sz w:val="16"/>
                <w:szCs w:val="16"/>
              </w:rPr>
              <w:t>AD POLITÉCNCIA DE VALÈNCIA</w:t>
            </w:r>
          </w:p>
        </w:tc>
      </w:tr>
      <w:tr w:rsidR="00A140F9" w:rsidRPr="00A07BE9" w14:paraId="6755B2F2" w14:textId="77777777" w:rsidTr="00A140F9">
        <w:tc>
          <w:tcPr>
            <w:tcW w:w="1835" w:type="dxa"/>
            <w:vAlign w:val="center"/>
          </w:tcPr>
          <w:p w14:paraId="7BA2A437"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Gestión Administración Pública</w:t>
            </w:r>
          </w:p>
          <w:p w14:paraId="2982D22F"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ADE</w:t>
            </w:r>
          </w:p>
        </w:tc>
        <w:tc>
          <w:tcPr>
            <w:tcW w:w="1665" w:type="dxa"/>
            <w:vAlign w:val="center"/>
          </w:tcPr>
          <w:p w14:paraId="1AC626D3"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Cátedra de Transparencia y Gestión de Datos</w:t>
            </w:r>
          </w:p>
        </w:tc>
        <w:tc>
          <w:tcPr>
            <w:tcW w:w="685" w:type="dxa"/>
            <w:vAlign w:val="center"/>
          </w:tcPr>
          <w:p w14:paraId="3ECC26A6"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4/12</w:t>
            </w:r>
          </w:p>
        </w:tc>
        <w:tc>
          <w:tcPr>
            <w:tcW w:w="1917" w:type="dxa"/>
            <w:vAlign w:val="center"/>
          </w:tcPr>
          <w:p w14:paraId="38F37869"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Información y Documentación Administrativa</w:t>
            </w:r>
          </w:p>
          <w:p w14:paraId="6F5F2045"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ADE y Máster de Gestión</w:t>
            </w:r>
          </w:p>
        </w:tc>
        <w:tc>
          <w:tcPr>
            <w:tcW w:w="672" w:type="dxa"/>
            <w:vAlign w:val="center"/>
          </w:tcPr>
          <w:p w14:paraId="2F65E5E3"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54</w:t>
            </w:r>
          </w:p>
        </w:tc>
        <w:tc>
          <w:tcPr>
            <w:tcW w:w="821" w:type="dxa"/>
            <w:vAlign w:val="center"/>
          </w:tcPr>
          <w:p w14:paraId="733101D0" w14:textId="09520DBE"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60</w:t>
            </w:r>
            <w:r w:rsidR="008B600C" w:rsidRPr="00A07BE9">
              <w:rPr>
                <w:rFonts w:ascii="Open Sans" w:hAnsi="Open Sans" w:cs="Open Sans"/>
                <w:sz w:val="16"/>
                <w:szCs w:val="16"/>
              </w:rPr>
              <w:t xml:space="preserve"> </w:t>
            </w:r>
            <w:r w:rsidRPr="00A07BE9">
              <w:rPr>
                <w:rFonts w:ascii="Open Sans" w:hAnsi="Open Sans" w:cs="Open Sans"/>
                <w:sz w:val="16"/>
                <w:szCs w:val="16"/>
              </w:rPr>
              <w:t>%</w:t>
            </w:r>
          </w:p>
        </w:tc>
        <w:tc>
          <w:tcPr>
            <w:tcW w:w="909" w:type="dxa"/>
            <w:vAlign w:val="center"/>
          </w:tcPr>
          <w:p w14:paraId="3A1F8C4A" w14:textId="683D1384"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40</w:t>
            </w:r>
            <w:r w:rsidR="008B600C" w:rsidRPr="00A07BE9">
              <w:rPr>
                <w:rFonts w:ascii="Open Sans" w:hAnsi="Open Sans" w:cs="Open Sans"/>
                <w:sz w:val="16"/>
                <w:szCs w:val="16"/>
              </w:rPr>
              <w:t xml:space="preserve"> </w:t>
            </w:r>
            <w:r w:rsidRPr="00A07BE9">
              <w:rPr>
                <w:rFonts w:ascii="Open Sans" w:hAnsi="Open Sans" w:cs="Open Sans"/>
                <w:sz w:val="16"/>
                <w:szCs w:val="16"/>
              </w:rPr>
              <w:t>%</w:t>
            </w:r>
          </w:p>
        </w:tc>
      </w:tr>
      <w:tr w:rsidR="00A140F9" w:rsidRPr="00A07BE9" w14:paraId="7CBF94BC" w14:textId="77777777" w:rsidTr="00A140F9">
        <w:tc>
          <w:tcPr>
            <w:tcW w:w="8504" w:type="dxa"/>
            <w:gridSpan w:val="7"/>
            <w:shd w:val="clear" w:color="auto" w:fill="E7E6E6" w:themeFill="background2"/>
            <w:vAlign w:val="center"/>
          </w:tcPr>
          <w:p w14:paraId="5DBED35E"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 xml:space="preserve">UNIVERSIDAD CEU SAN </w:t>
            </w:r>
            <w:r w:rsidRPr="00A07BE9">
              <w:rPr>
                <w:rFonts w:ascii="Open Sans" w:hAnsi="Open Sans" w:cs="Open Sans"/>
                <w:sz w:val="16"/>
                <w:szCs w:val="16"/>
                <w:shd w:val="clear" w:color="auto" w:fill="E7E6E6" w:themeFill="background2"/>
              </w:rPr>
              <w:t>PABLO-CAR</w:t>
            </w:r>
            <w:r w:rsidRPr="00A07BE9">
              <w:rPr>
                <w:rFonts w:ascii="Open Sans" w:hAnsi="Open Sans" w:cs="Open Sans"/>
                <w:sz w:val="16"/>
                <w:szCs w:val="16"/>
              </w:rPr>
              <w:t>DENAL HERRERA</w:t>
            </w:r>
          </w:p>
        </w:tc>
      </w:tr>
      <w:tr w:rsidR="00A140F9" w:rsidRPr="00A07BE9" w14:paraId="50032379" w14:textId="77777777" w:rsidTr="00A140F9">
        <w:tc>
          <w:tcPr>
            <w:tcW w:w="1835" w:type="dxa"/>
            <w:vAlign w:val="center"/>
          </w:tcPr>
          <w:p w14:paraId="5CB9FD76"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Ciencias Políticas, Periodismo y Publicidad</w:t>
            </w:r>
          </w:p>
        </w:tc>
        <w:tc>
          <w:tcPr>
            <w:tcW w:w="1665" w:type="dxa"/>
            <w:vAlign w:val="center"/>
          </w:tcPr>
          <w:p w14:paraId="663D79CC"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Departamento Ciencias Políticas, Ética y Sociología</w:t>
            </w:r>
          </w:p>
        </w:tc>
        <w:tc>
          <w:tcPr>
            <w:tcW w:w="685" w:type="dxa"/>
            <w:vAlign w:val="center"/>
          </w:tcPr>
          <w:p w14:paraId="5F767075"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7/11</w:t>
            </w:r>
          </w:p>
        </w:tc>
        <w:tc>
          <w:tcPr>
            <w:tcW w:w="1917" w:type="dxa"/>
            <w:vAlign w:val="center"/>
          </w:tcPr>
          <w:p w14:paraId="5DC5212D"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Ciencias Políticas, Periodismo y Publicidad</w:t>
            </w:r>
          </w:p>
        </w:tc>
        <w:tc>
          <w:tcPr>
            <w:tcW w:w="672" w:type="dxa"/>
            <w:vAlign w:val="center"/>
          </w:tcPr>
          <w:p w14:paraId="6E96B208" w14:textId="77777777"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132</w:t>
            </w:r>
          </w:p>
        </w:tc>
        <w:tc>
          <w:tcPr>
            <w:tcW w:w="821" w:type="dxa"/>
            <w:vAlign w:val="center"/>
          </w:tcPr>
          <w:p w14:paraId="2638D252" w14:textId="2BE5ECD8"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60</w:t>
            </w:r>
            <w:r w:rsidR="008B600C" w:rsidRPr="00A07BE9">
              <w:rPr>
                <w:rFonts w:ascii="Open Sans" w:hAnsi="Open Sans" w:cs="Open Sans"/>
                <w:sz w:val="16"/>
                <w:szCs w:val="16"/>
              </w:rPr>
              <w:t xml:space="preserve"> </w:t>
            </w:r>
            <w:r w:rsidRPr="00A07BE9">
              <w:rPr>
                <w:rFonts w:ascii="Open Sans" w:hAnsi="Open Sans" w:cs="Open Sans"/>
                <w:sz w:val="16"/>
                <w:szCs w:val="16"/>
              </w:rPr>
              <w:t>%</w:t>
            </w:r>
          </w:p>
        </w:tc>
        <w:tc>
          <w:tcPr>
            <w:tcW w:w="909" w:type="dxa"/>
            <w:vAlign w:val="center"/>
          </w:tcPr>
          <w:p w14:paraId="6CE95F8A" w14:textId="0A2294C9" w:rsidR="00A140F9" w:rsidRPr="00A07BE9" w:rsidRDefault="00A140F9" w:rsidP="00A140F9">
            <w:pPr>
              <w:spacing w:line="276" w:lineRule="auto"/>
              <w:jc w:val="center"/>
              <w:rPr>
                <w:rFonts w:ascii="Open Sans" w:hAnsi="Open Sans" w:cs="Open Sans"/>
                <w:sz w:val="16"/>
                <w:szCs w:val="16"/>
              </w:rPr>
            </w:pPr>
            <w:r w:rsidRPr="00A07BE9">
              <w:rPr>
                <w:rFonts w:ascii="Open Sans" w:hAnsi="Open Sans" w:cs="Open Sans"/>
                <w:sz w:val="16"/>
                <w:szCs w:val="16"/>
              </w:rPr>
              <w:t>40</w:t>
            </w:r>
            <w:r w:rsidR="008B600C" w:rsidRPr="00A07BE9">
              <w:rPr>
                <w:rFonts w:ascii="Open Sans" w:hAnsi="Open Sans" w:cs="Open Sans"/>
                <w:sz w:val="16"/>
                <w:szCs w:val="16"/>
              </w:rPr>
              <w:t xml:space="preserve"> </w:t>
            </w:r>
            <w:r w:rsidRPr="00A07BE9">
              <w:rPr>
                <w:rFonts w:ascii="Open Sans" w:hAnsi="Open Sans" w:cs="Open Sans"/>
                <w:sz w:val="16"/>
                <w:szCs w:val="16"/>
              </w:rPr>
              <w:t>%</w:t>
            </w:r>
          </w:p>
        </w:tc>
      </w:tr>
      <w:tr w:rsidR="00A140F9" w:rsidRPr="00A07BE9" w14:paraId="625B1EAB" w14:textId="77777777" w:rsidTr="00A140F9">
        <w:tc>
          <w:tcPr>
            <w:tcW w:w="6102" w:type="dxa"/>
            <w:gridSpan w:val="4"/>
            <w:vAlign w:val="center"/>
          </w:tcPr>
          <w:p w14:paraId="2374B9FE" w14:textId="77777777" w:rsidR="00A140F9" w:rsidRPr="00A07BE9" w:rsidRDefault="00A140F9" w:rsidP="00A140F9">
            <w:pPr>
              <w:spacing w:line="276" w:lineRule="auto"/>
              <w:jc w:val="right"/>
              <w:rPr>
                <w:rFonts w:ascii="Open Sans" w:hAnsi="Open Sans" w:cs="Open Sans"/>
                <w:b/>
                <w:sz w:val="16"/>
                <w:szCs w:val="16"/>
              </w:rPr>
            </w:pPr>
            <w:r w:rsidRPr="00A07BE9">
              <w:rPr>
                <w:rFonts w:ascii="Open Sans" w:hAnsi="Open Sans" w:cs="Open Sans"/>
                <w:b/>
                <w:sz w:val="16"/>
                <w:szCs w:val="16"/>
              </w:rPr>
              <w:t>Total</w:t>
            </w:r>
          </w:p>
        </w:tc>
        <w:tc>
          <w:tcPr>
            <w:tcW w:w="672" w:type="dxa"/>
            <w:vAlign w:val="center"/>
          </w:tcPr>
          <w:p w14:paraId="5010015E" w14:textId="77777777" w:rsidR="00A140F9" w:rsidRPr="00A07BE9" w:rsidRDefault="00A140F9" w:rsidP="00A140F9">
            <w:pPr>
              <w:spacing w:line="276" w:lineRule="auto"/>
              <w:jc w:val="center"/>
              <w:rPr>
                <w:rFonts w:ascii="Open Sans" w:hAnsi="Open Sans" w:cs="Open Sans"/>
                <w:b/>
                <w:sz w:val="16"/>
                <w:szCs w:val="16"/>
              </w:rPr>
            </w:pPr>
            <w:r w:rsidRPr="00A07BE9">
              <w:rPr>
                <w:rFonts w:ascii="Open Sans" w:hAnsi="Open Sans" w:cs="Open Sans"/>
                <w:b/>
                <w:sz w:val="16"/>
                <w:szCs w:val="16"/>
              </w:rPr>
              <w:t>509</w:t>
            </w:r>
          </w:p>
        </w:tc>
        <w:tc>
          <w:tcPr>
            <w:tcW w:w="821" w:type="dxa"/>
            <w:vAlign w:val="center"/>
          </w:tcPr>
          <w:p w14:paraId="1111408D" w14:textId="2EBBE480" w:rsidR="00A140F9" w:rsidRPr="00A07BE9" w:rsidRDefault="00A140F9" w:rsidP="00A140F9">
            <w:pPr>
              <w:spacing w:line="276" w:lineRule="auto"/>
              <w:jc w:val="center"/>
              <w:rPr>
                <w:rFonts w:ascii="Open Sans" w:hAnsi="Open Sans" w:cs="Open Sans"/>
                <w:b/>
                <w:sz w:val="16"/>
                <w:szCs w:val="16"/>
              </w:rPr>
            </w:pPr>
            <w:r w:rsidRPr="00A07BE9">
              <w:rPr>
                <w:rFonts w:ascii="Open Sans" w:hAnsi="Open Sans" w:cs="Open Sans"/>
                <w:b/>
                <w:sz w:val="16"/>
                <w:szCs w:val="16"/>
              </w:rPr>
              <w:t>58</w:t>
            </w:r>
            <w:r w:rsidR="008B600C" w:rsidRPr="00A07BE9">
              <w:rPr>
                <w:rFonts w:ascii="Open Sans" w:hAnsi="Open Sans" w:cs="Open Sans"/>
                <w:b/>
                <w:sz w:val="16"/>
                <w:szCs w:val="16"/>
              </w:rPr>
              <w:t xml:space="preserve"> </w:t>
            </w:r>
            <w:r w:rsidRPr="00A07BE9">
              <w:rPr>
                <w:rFonts w:ascii="Open Sans" w:hAnsi="Open Sans" w:cs="Open Sans"/>
                <w:b/>
                <w:sz w:val="16"/>
                <w:szCs w:val="16"/>
              </w:rPr>
              <w:t>%</w:t>
            </w:r>
          </w:p>
        </w:tc>
        <w:tc>
          <w:tcPr>
            <w:tcW w:w="909" w:type="dxa"/>
            <w:vAlign w:val="center"/>
          </w:tcPr>
          <w:p w14:paraId="5DE62D0C" w14:textId="6BB290B9" w:rsidR="00A140F9" w:rsidRPr="00A07BE9" w:rsidRDefault="00A140F9" w:rsidP="00A140F9">
            <w:pPr>
              <w:spacing w:line="276" w:lineRule="auto"/>
              <w:jc w:val="center"/>
              <w:rPr>
                <w:rFonts w:ascii="Open Sans" w:hAnsi="Open Sans" w:cs="Open Sans"/>
                <w:b/>
                <w:sz w:val="16"/>
                <w:szCs w:val="16"/>
              </w:rPr>
            </w:pPr>
            <w:r w:rsidRPr="00A07BE9">
              <w:rPr>
                <w:rFonts w:ascii="Open Sans" w:hAnsi="Open Sans" w:cs="Open Sans"/>
                <w:b/>
                <w:sz w:val="16"/>
                <w:szCs w:val="16"/>
              </w:rPr>
              <w:t>42</w:t>
            </w:r>
            <w:r w:rsidR="008B600C" w:rsidRPr="00A07BE9">
              <w:rPr>
                <w:rFonts w:ascii="Open Sans" w:hAnsi="Open Sans" w:cs="Open Sans"/>
                <w:b/>
                <w:sz w:val="16"/>
                <w:szCs w:val="16"/>
              </w:rPr>
              <w:t xml:space="preserve"> </w:t>
            </w:r>
            <w:r w:rsidRPr="00A07BE9">
              <w:rPr>
                <w:rFonts w:ascii="Open Sans" w:hAnsi="Open Sans" w:cs="Open Sans"/>
                <w:b/>
                <w:sz w:val="16"/>
                <w:szCs w:val="16"/>
              </w:rPr>
              <w:t>%</w:t>
            </w:r>
          </w:p>
        </w:tc>
      </w:tr>
      <w:bookmarkEnd w:id="12"/>
    </w:tbl>
    <w:p w14:paraId="5CB462E2" w14:textId="77777777" w:rsidR="00A140F9" w:rsidRPr="00A07BE9" w:rsidRDefault="00A140F9" w:rsidP="00A140F9">
      <w:pPr>
        <w:spacing w:after="0" w:line="276" w:lineRule="auto"/>
        <w:rPr>
          <w:rFonts w:ascii="Open Sans" w:eastAsia="Times New Roman" w:hAnsi="Open Sans" w:cs="Open Sans"/>
          <w:sz w:val="20"/>
          <w:szCs w:val="20"/>
          <w:lang w:eastAsia="es-ES"/>
        </w:rPr>
      </w:pPr>
    </w:p>
    <w:p w14:paraId="0F424D00" w14:textId="77777777" w:rsidR="00A140F9" w:rsidRPr="00A07BE9" w:rsidRDefault="00A140F9" w:rsidP="00A140F9">
      <w:pPr>
        <w:keepNext/>
        <w:keepLines/>
        <w:spacing w:after="0" w:line="276" w:lineRule="auto"/>
        <w:outlineLvl w:val="2"/>
        <w:rPr>
          <w:rFonts w:ascii="Open Sans" w:eastAsia="Times New Roman" w:hAnsi="Open Sans" w:cs="Open Sans"/>
          <w:b/>
          <w:bCs/>
          <w:smallCaps/>
          <w:color w:val="993333"/>
          <w:sz w:val="24"/>
          <w:szCs w:val="24"/>
          <w:lang w:eastAsia="es-ES"/>
        </w:rPr>
      </w:pPr>
      <w:r w:rsidRPr="00A07BE9">
        <w:rPr>
          <w:rFonts w:ascii="Open Sans" w:eastAsiaTheme="majorEastAsia" w:hAnsi="Open Sans" w:cs="Open Sans"/>
          <w:b/>
          <w:color w:val="9D2235"/>
          <w:sz w:val="24"/>
          <w:szCs w:val="24"/>
        </w:rPr>
        <w:t xml:space="preserve">B. </w:t>
      </w:r>
      <w:r w:rsidRPr="00A07BE9">
        <w:rPr>
          <w:rFonts w:ascii="Open Sans" w:eastAsia="Times New Roman" w:hAnsi="Open Sans" w:cs="Open Sans"/>
          <w:b/>
          <w:bCs/>
          <w:smallCaps/>
          <w:color w:val="993333"/>
          <w:sz w:val="24"/>
          <w:szCs w:val="24"/>
          <w:lang w:eastAsia="es-ES"/>
        </w:rPr>
        <w:t>Unisocietat</w:t>
      </w:r>
    </w:p>
    <w:p w14:paraId="7D90A4C1" w14:textId="77777777" w:rsidR="00A140F9" w:rsidRPr="00A07BE9" w:rsidRDefault="00A140F9" w:rsidP="00A140F9">
      <w:pPr>
        <w:spacing w:after="0" w:line="276" w:lineRule="auto"/>
        <w:jc w:val="both"/>
        <w:rPr>
          <w:rFonts w:ascii="Open Sans" w:eastAsiaTheme="minorHAnsi" w:hAnsi="Open Sans" w:cs="Open Sans"/>
          <w:sz w:val="20"/>
          <w:szCs w:val="20"/>
        </w:rPr>
      </w:pPr>
    </w:p>
    <w:p w14:paraId="310D8350" w14:textId="77777777"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Se trata de un programa de acción en el territorio de la Universitat de València (UV) que, en síntesis, pretende a través de un convenio específico entre la UV y los diferentes municipios, conectar la disposición del conocimiento del ámbito de la Universidad con las necesidades sentidas de información cualificada de la ciudadanía con un formato de difusión adaptado. Esta confluencia también permite que instituciones especializadas como la Agencia, puedan integrarse en el modelo para hacer llegar los principales conceptos de su interés para la sensibilización y la formación de la ciudadanía en general.</w:t>
      </w:r>
    </w:p>
    <w:p w14:paraId="6E736FFF" w14:textId="77777777" w:rsidR="00A140F9" w:rsidRPr="00A07BE9" w:rsidRDefault="00A140F9" w:rsidP="00A140F9">
      <w:pPr>
        <w:spacing w:after="0" w:line="276" w:lineRule="auto"/>
        <w:jc w:val="both"/>
        <w:rPr>
          <w:rFonts w:ascii="Open Sans" w:eastAsiaTheme="minorHAnsi" w:hAnsi="Open Sans" w:cs="Open Sans"/>
          <w:sz w:val="20"/>
          <w:szCs w:val="20"/>
        </w:rPr>
      </w:pPr>
    </w:p>
    <w:p w14:paraId="5D9C84F8" w14:textId="77777777"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 xml:space="preserve">A tal fin, el 14 de octubre de 2019 se firmó un convenio marco de colaboración entre la Universitat de València y la Agencia Valenciana Antifraude, con el objeto de establecer un marco de actuación para la colaboración en actividades de formación de personal, de </w:t>
      </w:r>
      <w:r w:rsidRPr="00A07BE9">
        <w:rPr>
          <w:rFonts w:ascii="Open Sans" w:eastAsiaTheme="minorHAnsi" w:hAnsi="Open Sans" w:cs="Open Sans"/>
          <w:sz w:val="20"/>
          <w:szCs w:val="20"/>
        </w:rPr>
        <w:lastRenderedPageBreak/>
        <w:t xml:space="preserve">investigación aplicada, y de visibilidad a través del Vicerrectorado o los Vicerrectorados competentes. </w:t>
      </w:r>
    </w:p>
    <w:p w14:paraId="58A5F755" w14:textId="77777777" w:rsidR="00A140F9" w:rsidRPr="00A07BE9" w:rsidRDefault="00A140F9" w:rsidP="00A140F9">
      <w:pPr>
        <w:spacing w:after="0" w:line="276" w:lineRule="auto"/>
        <w:jc w:val="both"/>
        <w:rPr>
          <w:rFonts w:ascii="Open Sans" w:eastAsiaTheme="minorHAnsi" w:hAnsi="Open Sans" w:cs="Open Sans"/>
          <w:sz w:val="20"/>
          <w:szCs w:val="20"/>
        </w:rPr>
      </w:pPr>
    </w:p>
    <w:p w14:paraId="720E5E87" w14:textId="5FA53029"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 xml:space="preserve">Dentro de este marco se desarrollará un convenio específico entre el Vicerectorat de Projecció Territorial i Societat y la Agencia Valenciana Antifraude para el desarrollo del Proyecto “Actividades formativas para el Buen Gobierno y la Ciudadanía, en el territorio valenciano”. La proyección de actividades que motivarán el convenio se incluirá en tres programas: a) UNISOCIETAT: conferencias en 12 sedes del ámbito territorial de la Universitat de València; b) DOCUFORUM: realización de un audiovisual; c) UNIVERSITATS ESTACIONALS: acciones formativas en las 20 sedes vinculadas también al ámbito de la UV. </w:t>
      </w:r>
    </w:p>
    <w:p w14:paraId="2C4D5B67" w14:textId="77777777" w:rsidR="00A140F9" w:rsidRPr="00A07BE9" w:rsidRDefault="00A140F9" w:rsidP="00A140F9">
      <w:pPr>
        <w:spacing w:after="0" w:line="276" w:lineRule="auto"/>
        <w:jc w:val="both"/>
        <w:rPr>
          <w:rFonts w:ascii="Open Sans" w:eastAsiaTheme="minorHAnsi" w:hAnsi="Open Sans" w:cs="Open Sans"/>
          <w:sz w:val="20"/>
          <w:szCs w:val="20"/>
        </w:rPr>
      </w:pPr>
    </w:p>
    <w:p w14:paraId="2EB849B9" w14:textId="77777777"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Está previsto desarrollar el contenido de este convenio a lo largo del ejercicio 2020.</w:t>
      </w:r>
    </w:p>
    <w:p w14:paraId="6EF106BC" w14:textId="77777777" w:rsidR="00A140F9" w:rsidRPr="00A07BE9" w:rsidRDefault="00A140F9" w:rsidP="00A140F9">
      <w:pPr>
        <w:spacing w:after="0" w:line="276" w:lineRule="auto"/>
        <w:rPr>
          <w:rFonts w:ascii="Open Sans" w:eastAsiaTheme="minorHAnsi" w:hAnsi="Open Sans" w:cs="Open Sans"/>
          <w:b/>
          <w:color w:val="9D2235"/>
          <w:sz w:val="20"/>
          <w:szCs w:val="20"/>
        </w:rPr>
      </w:pPr>
    </w:p>
    <w:p w14:paraId="2F9C53E8" w14:textId="77777777" w:rsidR="00A140F9" w:rsidRPr="00A07BE9" w:rsidRDefault="00A140F9" w:rsidP="00A140F9">
      <w:pPr>
        <w:keepNext/>
        <w:keepLines/>
        <w:spacing w:after="0" w:line="276" w:lineRule="auto"/>
        <w:outlineLvl w:val="2"/>
        <w:rPr>
          <w:rFonts w:ascii="Open Sans" w:eastAsia="Times New Roman" w:hAnsi="Open Sans" w:cs="Open Sans"/>
          <w:b/>
          <w:bCs/>
          <w:smallCaps/>
          <w:color w:val="9D2235"/>
          <w:sz w:val="24"/>
          <w:szCs w:val="24"/>
          <w:lang w:eastAsia="es-ES"/>
        </w:rPr>
      </w:pPr>
      <w:r w:rsidRPr="00A07BE9">
        <w:rPr>
          <w:rFonts w:ascii="Open Sans" w:eastAsiaTheme="majorEastAsia" w:hAnsi="Open Sans" w:cs="Open Sans"/>
          <w:b/>
          <w:color w:val="9D2235"/>
          <w:sz w:val="24"/>
          <w:szCs w:val="24"/>
        </w:rPr>
        <w:t xml:space="preserve">C. </w:t>
      </w:r>
      <w:r w:rsidRPr="00A07BE9">
        <w:rPr>
          <w:rFonts w:ascii="Open Sans" w:eastAsia="Times New Roman" w:hAnsi="Open Sans" w:cs="Open Sans"/>
          <w:b/>
          <w:bCs/>
          <w:smallCaps/>
          <w:color w:val="9D2235"/>
          <w:sz w:val="24"/>
          <w:szCs w:val="24"/>
          <w:lang w:eastAsia="es-ES"/>
        </w:rPr>
        <w:t>Educación preuniversitaria</w:t>
      </w:r>
    </w:p>
    <w:p w14:paraId="1B4BBDA1" w14:textId="77777777" w:rsidR="00A140F9" w:rsidRPr="00A07BE9" w:rsidRDefault="00A140F9" w:rsidP="00A140F9">
      <w:pPr>
        <w:spacing w:after="0" w:line="276" w:lineRule="auto"/>
        <w:jc w:val="both"/>
        <w:rPr>
          <w:rFonts w:ascii="Open Sans" w:eastAsiaTheme="minorHAnsi" w:hAnsi="Open Sans" w:cs="Open Sans"/>
          <w:color w:val="9D2235"/>
          <w:sz w:val="20"/>
          <w:szCs w:val="20"/>
        </w:rPr>
      </w:pPr>
    </w:p>
    <w:p w14:paraId="43B694DE" w14:textId="77777777"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El enfoque para la prevención del fraude y la corrupción en ámbitos preuniversitarios, abarca desde edades próximas al ciclo de enseñanza superior, hasta la época académica más temprana. Es, por tanto, un abanico muy amplio y con unas orientaciones que se suponen muy diferentes y que han de tratarse con formatos y tratamientos de contenidos muy particularizados según los tramos etarios.</w:t>
      </w:r>
    </w:p>
    <w:p w14:paraId="4E79D826" w14:textId="77777777" w:rsidR="00A140F9" w:rsidRPr="00A07BE9" w:rsidRDefault="00A140F9" w:rsidP="00A140F9">
      <w:pPr>
        <w:spacing w:after="0" w:line="276" w:lineRule="auto"/>
        <w:jc w:val="both"/>
        <w:rPr>
          <w:rFonts w:ascii="Open Sans" w:eastAsiaTheme="minorHAnsi" w:hAnsi="Open Sans" w:cs="Open Sans"/>
          <w:sz w:val="20"/>
          <w:szCs w:val="20"/>
        </w:rPr>
      </w:pPr>
    </w:p>
    <w:p w14:paraId="3365F8EE" w14:textId="77777777"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 xml:space="preserve">En este contexto, hay definidas dos áreas de trabajo que van a permitir profundizar en la elaboración de propuestas formativas y de sensibilización. Por un lado, la oportunidad que genera la creación y puesta en marcha del </w:t>
      </w:r>
      <w:r w:rsidRPr="00A07BE9">
        <w:rPr>
          <w:rFonts w:ascii="Open Sans" w:eastAsiaTheme="minorHAnsi" w:hAnsi="Open Sans" w:cs="Open Sans"/>
          <w:b/>
          <w:sz w:val="20"/>
          <w:szCs w:val="20"/>
        </w:rPr>
        <w:t>Consejo de Participación</w:t>
      </w:r>
      <w:r w:rsidRPr="00A07BE9">
        <w:rPr>
          <w:rFonts w:ascii="Open Sans" w:eastAsiaTheme="minorHAnsi" w:hAnsi="Open Sans" w:cs="Open Sans"/>
          <w:sz w:val="20"/>
          <w:szCs w:val="20"/>
        </w:rPr>
        <w:t xml:space="preserve"> de la Agencia y, por otro, la activación de un trabajo de acompañamiento en la </w:t>
      </w:r>
      <w:r w:rsidRPr="00A07BE9">
        <w:rPr>
          <w:rFonts w:ascii="Open Sans" w:eastAsiaTheme="minorHAnsi" w:hAnsi="Open Sans" w:cs="Open Sans"/>
          <w:b/>
          <w:sz w:val="20"/>
          <w:szCs w:val="20"/>
        </w:rPr>
        <w:t>integración curricular</w:t>
      </w:r>
      <w:r w:rsidRPr="00A07BE9">
        <w:rPr>
          <w:rFonts w:ascii="Open Sans" w:eastAsiaTheme="minorHAnsi" w:hAnsi="Open Sans" w:cs="Open Sans"/>
          <w:sz w:val="20"/>
          <w:szCs w:val="20"/>
        </w:rPr>
        <w:t xml:space="preserve"> de los preceptos básicos de la prevención del fraude y la corrupción, con los responsables de la política educativa de la Generalitat.</w:t>
      </w:r>
    </w:p>
    <w:p w14:paraId="6A0B951B" w14:textId="77777777" w:rsidR="00A140F9" w:rsidRPr="00A07BE9" w:rsidRDefault="00A140F9" w:rsidP="00A140F9">
      <w:pPr>
        <w:spacing w:after="0" w:line="276" w:lineRule="auto"/>
        <w:jc w:val="both"/>
        <w:rPr>
          <w:rFonts w:ascii="Open Sans" w:eastAsiaTheme="minorHAnsi" w:hAnsi="Open Sans" w:cs="Open Sans"/>
          <w:sz w:val="20"/>
          <w:szCs w:val="20"/>
        </w:rPr>
      </w:pPr>
    </w:p>
    <w:p w14:paraId="5964140F" w14:textId="275E107B"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En la sesión constitutiva del Consejo de Participación se acordó la constitución de un grupo de trabajo sobre prevención y educación</w:t>
      </w:r>
      <w:r w:rsidR="0096250A" w:rsidRPr="00A07BE9">
        <w:rPr>
          <w:rFonts w:ascii="Open Sans" w:eastAsiaTheme="minorHAnsi" w:hAnsi="Open Sans" w:cs="Open Sans"/>
          <w:sz w:val="20"/>
          <w:szCs w:val="20"/>
        </w:rPr>
        <w:t>.</w:t>
      </w:r>
      <w:r w:rsidRPr="00A07BE9">
        <w:rPr>
          <w:rFonts w:ascii="Open Sans" w:eastAsiaTheme="minorHAnsi" w:hAnsi="Open Sans" w:cs="Open Sans"/>
          <w:sz w:val="20"/>
          <w:szCs w:val="20"/>
        </w:rPr>
        <w:t xml:space="preserve"> Las opciones de reflexión conjunta y generación de líneas de estudio y propuesta de trabajo sobre sensibilización y formación, se podrán ir concretando en tanto en cuanto este grupo de trabajo, coordinado por la Dirección de Prevención, Formación y Documentación, vaya estableciendo su composición, calendario de reuniones periódicas y la definición de sus objetivos específicos. </w:t>
      </w:r>
    </w:p>
    <w:p w14:paraId="6F6268D3" w14:textId="77777777" w:rsidR="00A140F9" w:rsidRPr="00A07BE9" w:rsidRDefault="00A140F9" w:rsidP="00A140F9">
      <w:pPr>
        <w:spacing w:after="0" w:line="276" w:lineRule="auto"/>
        <w:jc w:val="both"/>
        <w:rPr>
          <w:rFonts w:ascii="Open Sans" w:eastAsiaTheme="minorHAnsi" w:hAnsi="Open Sans" w:cs="Open Sans"/>
          <w:sz w:val="20"/>
          <w:szCs w:val="20"/>
        </w:rPr>
      </w:pPr>
    </w:p>
    <w:p w14:paraId="4B812123" w14:textId="133ECB2B" w:rsidR="00A140F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 xml:space="preserve">Un ejemplo de las acciones que </w:t>
      </w:r>
      <w:r w:rsidR="000E0B67" w:rsidRPr="00A07BE9">
        <w:rPr>
          <w:rFonts w:ascii="Open Sans" w:eastAsiaTheme="minorHAnsi" w:hAnsi="Open Sans" w:cs="Open Sans"/>
          <w:sz w:val="20"/>
          <w:szCs w:val="20"/>
        </w:rPr>
        <w:t xml:space="preserve">se derivan de la constitución de este grupo de </w:t>
      </w:r>
      <w:r w:rsidR="009A3D76" w:rsidRPr="00A07BE9">
        <w:rPr>
          <w:rFonts w:ascii="Open Sans" w:eastAsiaTheme="minorHAnsi" w:hAnsi="Open Sans" w:cs="Open Sans"/>
          <w:sz w:val="20"/>
          <w:szCs w:val="20"/>
        </w:rPr>
        <w:t>trabajo</w:t>
      </w:r>
      <w:r w:rsidRPr="00A07BE9">
        <w:rPr>
          <w:rFonts w:ascii="Open Sans" w:eastAsiaTheme="minorHAnsi" w:hAnsi="Open Sans" w:cs="Open Sans"/>
          <w:sz w:val="20"/>
          <w:szCs w:val="20"/>
        </w:rPr>
        <w:t xml:space="preserve"> </w:t>
      </w:r>
      <w:r w:rsidR="000E0B67" w:rsidRPr="00A07BE9">
        <w:rPr>
          <w:rFonts w:ascii="Open Sans" w:eastAsiaTheme="minorHAnsi" w:hAnsi="Open Sans" w:cs="Open Sans"/>
          <w:sz w:val="20"/>
          <w:szCs w:val="20"/>
        </w:rPr>
        <w:t xml:space="preserve">es </w:t>
      </w:r>
      <w:r w:rsidRPr="00A07BE9">
        <w:rPr>
          <w:rFonts w:ascii="Open Sans" w:eastAsiaTheme="minorHAnsi" w:hAnsi="Open Sans" w:cs="Open Sans"/>
          <w:sz w:val="20"/>
          <w:szCs w:val="20"/>
        </w:rPr>
        <w:t>realizar contactos con UNICEF y su programa «Ciudades Amigas de la Infancia», que promueve los «Consejos de Participación Infantil» de acuerdo con la Ley 26/2018, de 21 de diciembre, de la Generalitat, de derechos y garantías de la infancia y la adolescencia, a efectos de trabajar por la realización de actividades con estos colectivos.</w:t>
      </w:r>
    </w:p>
    <w:p w14:paraId="6B04F39B" w14:textId="77777777" w:rsidR="00884961" w:rsidRPr="00A07BE9" w:rsidRDefault="00884961" w:rsidP="00A140F9">
      <w:pPr>
        <w:spacing w:after="0" w:line="276" w:lineRule="auto"/>
        <w:jc w:val="both"/>
        <w:rPr>
          <w:rFonts w:ascii="Open Sans" w:eastAsiaTheme="minorHAnsi" w:hAnsi="Open Sans" w:cs="Open Sans"/>
          <w:sz w:val="20"/>
          <w:szCs w:val="20"/>
        </w:rPr>
      </w:pPr>
    </w:p>
    <w:p w14:paraId="33E11D46" w14:textId="76308166" w:rsidR="00A140F9" w:rsidRPr="00A07BE9" w:rsidRDefault="00A140F9" w:rsidP="00A140F9">
      <w:pPr>
        <w:spacing w:after="0" w:line="276" w:lineRule="auto"/>
        <w:jc w:val="both"/>
        <w:rPr>
          <w:rFonts w:ascii="Open Sans" w:eastAsiaTheme="minorHAnsi" w:hAnsi="Open Sans" w:cs="Open Sans"/>
          <w:sz w:val="20"/>
          <w:szCs w:val="20"/>
        </w:rPr>
      </w:pPr>
      <w:r w:rsidRPr="00A07BE9">
        <w:rPr>
          <w:rFonts w:ascii="Open Sans" w:eastAsiaTheme="minorHAnsi" w:hAnsi="Open Sans" w:cs="Open Sans"/>
          <w:sz w:val="20"/>
          <w:szCs w:val="20"/>
        </w:rPr>
        <w:t xml:space="preserve">La línea de trabajo sobre integración curricular se proyecta desarrollar en 2020 y su activación a través de la Conselleria de Educación, Cultura y Deporte de la Generalitat, </w:t>
      </w:r>
      <w:r w:rsidRPr="00A07BE9">
        <w:rPr>
          <w:rFonts w:ascii="Open Sans" w:eastAsiaTheme="minorHAnsi" w:hAnsi="Open Sans" w:cs="Open Sans"/>
          <w:sz w:val="20"/>
          <w:szCs w:val="20"/>
        </w:rPr>
        <w:lastRenderedPageBreak/>
        <w:t xml:space="preserve">supone para la Agencia una oportunidad de trasladar sus premisas en la prevención y lucha contra el fraude y la corrupción y, por ende, las que puedan generarse en el Consejo de Participación, sobre el colectivo más joven de nuestra sociedad. </w:t>
      </w:r>
    </w:p>
    <w:p w14:paraId="5E2CCCF0" w14:textId="7E6EA0AD" w:rsidR="00A140F9" w:rsidRPr="00A07BE9" w:rsidRDefault="00A140F9" w:rsidP="00A140F9">
      <w:pPr>
        <w:keepNext/>
        <w:keepLines/>
        <w:spacing w:after="0" w:line="276" w:lineRule="auto"/>
        <w:outlineLvl w:val="1"/>
        <w:rPr>
          <w:rFonts w:ascii="Open Sans" w:eastAsiaTheme="majorEastAsia" w:hAnsi="Open Sans" w:cs="Open Sans"/>
          <w:b/>
          <w:color w:val="9D2235"/>
          <w:sz w:val="20"/>
          <w:szCs w:val="20"/>
        </w:rPr>
      </w:pPr>
    </w:p>
    <w:p w14:paraId="751710CB" w14:textId="77777777" w:rsidR="004A3C1B" w:rsidRPr="00A07BE9" w:rsidRDefault="004A3C1B" w:rsidP="00A140F9">
      <w:pPr>
        <w:keepNext/>
        <w:keepLines/>
        <w:spacing w:after="0" w:line="276" w:lineRule="auto"/>
        <w:outlineLvl w:val="1"/>
        <w:rPr>
          <w:rFonts w:ascii="Open Sans" w:eastAsiaTheme="majorEastAsia" w:hAnsi="Open Sans" w:cs="Open Sans"/>
          <w:b/>
          <w:color w:val="9D2235"/>
          <w:sz w:val="20"/>
          <w:szCs w:val="20"/>
        </w:rPr>
      </w:pPr>
    </w:p>
    <w:p w14:paraId="77BEEA1A" w14:textId="77777777" w:rsidR="00A140F9" w:rsidRPr="00A07BE9" w:rsidRDefault="00A140F9" w:rsidP="00A140F9">
      <w:pPr>
        <w:keepNext/>
        <w:keepLines/>
        <w:spacing w:after="0" w:line="276" w:lineRule="auto"/>
        <w:outlineLvl w:val="1"/>
        <w:rPr>
          <w:rFonts w:ascii="Open Sans" w:eastAsiaTheme="majorEastAsia" w:hAnsi="Open Sans" w:cs="Open Sans"/>
          <w:b/>
          <w:color w:val="9D2235"/>
          <w:sz w:val="28"/>
          <w:szCs w:val="28"/>
        </w:rPr>
      </w:pPr>
      <w:r w:rsidRPr="00A07BE9">
        <w:rPr>
          <w:rFonts w:ascii="Open Sans" w:eastAsiaTheme="majorEastAsia" w:hAnsi="Open Sans" w:cs="Open Sans"/>
          <w:b/>
          <w:color w:val="9D2235"/>
          <w:sz w:val="28"/>
          <w:szCs w:val="28"/>
        </w:rPr>
        <w:t xml:space="preserve">2.2.5. </w:t>
      </w:r>
      <w:r w:rsidRPr="00A07BE9">
        <w:rPr>
          <w:rFonts w:ascii="Open Sans" w:eastAsia="Times New Roman" w:hAnsi="Open Sans" w:cs="Open Sans"/>
          <w:b/>
          <w:bCs/>
          <w:smallCaps/>
          <w:color w:val="9D2235"/>
          <w:sz w:val="28"/>
          <w:szCs w:val="28"/>
          <w:lang w:eastAsia="es-ES"/>
        </w:rPr>
        <w:t>Principales Resultados</w:t>
      </w:r>
    </w:p>
    <w:p w14:paraId="7227DC41" w14:textId="77777777" w:rsidR="00A140F9" w:rsidRPr="00A07BE9" w:rsidRDefault="00A140F9" w:rsidP="00A140F9">
      <w:pPr>
        <w:spacing w:after="0" w:line="276" w:lineRule="auto"/>
        <w:rPr>
          <w:rFonts w:ascii="Open Sans" w:eastAsiaTheme="minorHAnsi" w:hAnsi="Open Sans" w:cs="Open Sans"/>
          <w:sz w:val="20"/>
          <w:szCs w:val="20"/>
        </w:rPr>
      </w:pPr>
    </w:p>
    <w:p w14:paraId="7E39B0B5" w14:textId="77777777" w:rsidR="00A140F9" w:rsidRPr="00A07BE9" w:rsidRDefault="00A140F9" w:rsidP="00A140F9">
      <w:pPr>
        <w:numPr>
          <w:ilvl w:val="0"/>
          <w:numId w:val="3"/>
        </w:numPr>
        <w:spacing w:after="0" w:line="276" w:lineRule="auto"/>
        <w:contextualSpacing/>
        <w:jc w:val="both"/>
        <w:rPr>
          <w:rFonts w:ascii="Open Sans" w:eastAsiaTheme="minorHAnsi" w:hAnsi="Open Sans" w:cs="Open Sans"/>
          <w:sz w:val="20"/>
          <w:szCs w:val="20"/>
        </w:rPr>
      </w:pPr>
      <w:r w:rsidRPr="00A07BE9">
        <w:rPr>
          <w:rFonts w:ascii="Open Sans" w:eastAsiaTheme="minorHAnsi" w:hAnsi="Open Sans" w:cs="Open Sans"/>
          <w:sz w:val="20"/>
          <w:szCs w:val="20"/>
        </w:rPr>
        <w:t>Las actividades de formación han seguido el marco operativo del Plan de Formación de la Agencia, estableciendo un mayor equilibrio entre las actividades de formación interna y externa.</w:t>
      </w:r>
    </w:p>
    <w:p w14:paraId="063CFCC7" w14:textId="77777777" w:rsidR="00A140F9" w:rsidRPr="00A07BE9" w:rsidRDefault="00A140F9" w:rsidP="00A140F9">
      <w:pPr>
        <w:spacing w:after="0" w:line="276" w:lineRule="auto"/>
        <w:ind w:left="720"/>
        <w:contextualSpacing/>
        <w:jc w:val="both"/>
        <w:rPr>
          <w:rFonts w:ascii="Open Sans" w:eastAsiaTheme="minorHAnsi" w:hAnsi="Open Sans" w:cs="Open Sans"/>
          <w:sz w:val="20"/>
          <w:szCs w:val="20"/>
        </w:rPr>
      </w:pPr>
    </w:p>
    <w:p w14:paraId="6CBA1CDB" w14:textId="77777777" w:rsidR="00A140F9" w:rsidRPr="00A07BE9" w:rsidRDefault="00A140F9" w:rsidP="00A140F9">
      <w:pPr>
        <w:numPr>
          <w:ilvl w:val="0"/>
          <w:numId w:val="3"/>
        </w:numPr>
        <w:spacing w:after="0" w:line="276" w:lineRule="auto"/>
        <w:contextualSpacing/>
        <w:jc w:val="both"/>
        <w:rPr>
          <w:rFonts w:ascii="Open Sans" w:eastAsiaTheme="minorHAnsi" w:hAnsi="Open Sans" w:cs="Open Sans"/>
          <w:sz w:val="20"/>
          <w:szCs w:val="20"/>
        </w:rPr>
      </w:pPr>
      <w:r w:rsidRPr="00A07BE9">
        <w:rPr>
          <w:rFonts w:ascii="Open Sans" w:eastAsiaTheme="minorHAnsi" w:hAnsi="Open Sans" w:cs="Open Sans"/>
          <w:sz w:val="20"/>
          <w:szCs w:val="20"/>
        </w:rPr>
        <w:t xml:space="preserve">La formación interna se ha desarrollado fundamentalmente en el primer semestre del año. La mayor actividad formativa se ha realizo en relación con los ámbitos departamental e instrumental. </w:t>
      </w:r>
    </w:p>
    <w:p w14:paraId="3AF1F119" w14:textId="77777777" w:rsidR="00A140F9" w:rsidRPr="00A07BE9" w:rsidRDefault="00A140F9" w:rsidP="00A140F9">
      <w:pPr>
        <w:spacing w:after="0" w:line="276" w:lineRule="auto"/>
        <w:ind w:left="720"/>
        <w:contextualSpacing/>
        <w:rPr>
          <w:rFonts w:ascii="Open Sans" w:eastAsiaTheme="minorHAnsi" w:hAnsi="Open Sans" w:cs="Open Sans"/>
          <w:sz w:val="20"/>
          <w:szCs w:val="20"/>
        </w:rPr>
      </w:pPr>
    </w:p>
    <w:p w14:paraId="6EBB2984" w14:textId="77777777" w:rsidR="00A140F9" w:rsidRPr="00A07BE9" w:rsidRDefault="00A140F9" w:rsidP="00A140F9">
      <w:pPr>
        <w:numPr>
          <w:ilvl w:val="0"/>
          <w:numId w:val="3"/>
        </w:numPr>
        <w:spacing w:after="0" w:line="276" w:lineRule="auto"/>
        <w:contextualSpacing/>
        <w:jc w:val="both"/>
        <w:rPr>
          <w:rFonts w:ascii="Open Sans" w:eastAsiaTheme="minorHAnsi" w:hAnsi="Open Sans" w:cs="Open Sans"/>
          <w:sz w:val="20"/>
          <w:szCs w:val="20"/>
        </w:rPr>
      </w:pPr>
      <w:r w:rsidRPr="00A07BE9">
        <w:rPr>
          <w:rFonts w:ascii="Open Sans" w:eastAsiaTheme="minorHAnsi" w:hAnsi="Open Sans" w:cs="Open Sans"/>
          <w:sz w:val="20"/>
          <w:szCs w:val="20"/>
        </w:rPr>
        <w:t xml:space="preserve">En formación interna se ha proyectado en 14 actividades formativas, con una participación de 159 asistentes, de predominio femenino (74%) frente al masculino (26%); un total de 1.130 horas lectivas que ha supuesto la realización, en promedio, de 37,6 horas de formación interna por profesional de la Agencia en 2019. La valoración de los cursos evaluados ha tenido una media de 7,6 sobre 10. </w:t>
      </w:r>
    </w:p>
    <w:p w14:paraId="1D349A33" w14:textId="77777777" w:rsidR="00A140F9" w:rsidRPr="00A07BE9" w:rsidRDefault="00A140F9" w:rsidP="00A140F9">
      <w:pPr>
        <w:spacing w:after="0" w:line="276" w:lineRule="auto"/>
        <w:ind w:left="720"/>
        <w:contextualSpacing/>
        <w:rPr>
          <w:rFonts w:ascii="Open Sans" w:eastAsiaTheme="minorHAnsi" w:hAnsi="Open Sans" w:cs="Open Sans"/>
          <w:sz w:val="20"/>
          <w:szCs w:val="20"/>
        </w:rPr>
      </w:pPr>
    </w:p>
    <w:p w14:paraId="060C6A14" w14:textId="77777777" w:rsidR="00A140F9" w:rsidRPr="00A07BE9" w:rsidRDefault="00A140F9" w:rsidP="00A140F9">
      <w:pPr>
        <w:numPr>
          <w:ilvl w:val="0"/>
          <w:numId w:val="3"/>
        </w:numPr>
        <w:spacing w:after="0" w:line="276" w:lineRule="auto"/>
        <w:contextualSpacing/>
        <w:jc w:val="both"/>
        <w:rPr>
          <w:rFonts w:ascii="Open Sans" w:eastAsiaTheme="minorHAnsi" w:hAnsi="Open Sans" w:cs="Open Sans"/>
          <w:sz w:val="20"/>
          <w:szCs w:val="20"/>
        </w:rPr>
      </w:pPr>
      <w:r w:rsidRPr="00A07BE9">
        <w:rPr>
          <w:rFonts w:ascii="Open Sans" w:eastAsiaTheme="minorHAnsi" w:hAnsi="Open Sans" w:cs="Open Sans"/>
          <w:sz w:val="20"/>
          <w:szCs w:val="20"/>
        </w:rPr>
        <w:t>La formación externa, partiendo del Plan de Formación, ha asentado la definición de las principales líneas de desarrollo de futuro: A) Capacitación de la Función pública (administración autonómica y local); B) Propuestas específicas para la Ciudadanía (población universidad, preuniversitaria y general).</w:t>
      </w:r>
    </w:p>
    <w:p w14:paraId="254E22B0" w14:textId="77777777" w:rsidR="00A140F9" w:rsidRPr="00A07BE9" w:rsidRDefault="00A140F9" w:rsidP="00A140F9">
      <w:pPr>
        <w:spacing w:after="0" w:line="276" w:lineRule="auto"/>
        <w:ind w:left="720"/>
        <w:contextualSpacing/>
        <w:rPr>
          <w:rFonts w:ascii="Open Sans" w:eastAsiaTheme="minorHAnsi" w:hAnsi="Open Sans" w:cs="Open Sans"/>
          <w:sz w:val="20"/>
          <w:szCs w:val="20"/>
        </w:rPr>
      </w:pPr>
    </w:p>
    <w:p w14:paraId="41956DDD" w14:textId="77777777" w:rsidR="00A140F9" w:rsidRPr="00A07BE9" w:rsidRDefault="00A140F9" w:rsidP="00A140F9">
      <w:pPr>
        <w:numPr>
          <w:ilvl w:val="0"/>
          <w:numId w:val="3"/>
        </w:numPr>
        <w:spacing w:after="0" w:line="276" w:lineRule="auto"/>
        <w:contextualSpacing/>
        <w:jc w:val="both"/>
        <w:rPr>
          <w:rFonts w:ascii="Open Sans" w:eastAsiaTheme="minorHAnsi" w:hAnsi="Open Sans" w:cs="Open Sans"/>
          <w:sz w:val="20"/>
          <w:szCs w:val="20"/>
        </w:rPr>
      </w:pPr>
      <w:r w:rsidRPr="00A07BE9">
        <w:rPr>
          <w:rFonts w:ascii="Open Sans" w:eastAsiaTheme="minorHAnsi" w:hAnsi="Open Sans" w:cs="Open Sans"/>
          <w:sz w:val="20"/>
          <w:szCs w:val="20"/>
        </w:rPr>
        <w:t>La formación externa ha visto una implementación de su actividad en la segunda mitad de 2019, incluyendo la planificación de nuevas propuestas para 2020.</w:t>
      </w:r>
    </w:p>
    <w:p w14:paraId="1CA48C68" w14:textId="77777777" w:rsidR="00A140F9" w:rsidRPr="00A07BE9" w:rsidRDefault="00A140F9" w:rsidP="00A140F9">
      <w:pPr>
        <w:spacing w:after="0" w:line="276" w:lineRule="auto"/>
        <w:ind w:left="720"/>
        <w:contextualSpacing/>
        <w:rPr>
          <w:rFonts w:ascii="Open Sans" w:eastAsiaTheme="minorHAnsi" w:hAnsi="Open Sans" w:cs="Open Sans"/>
          <w:sz w:val="20"/>
          <w:szCs w:val="20"/>
        </w:rPr>
      </w:pPr>
    </w:p>
    <w:p w14:paraId="6FAB3271" w14:textId="77777777" w:rsidR="00A140F9" w:rsidRPr="00A07BE9" w:rsidRDefault="00A140F9" w:rsidP="00A140F9">
      <w:pPr>
        <w:numPr>
          <w:ilvl w:val="0"/>
          <w:numId w:val="3"/>
        </w:numPr>
        <w:spacing w:after="0" w:line="276" w:lineRule="auto"/>
        <w:contextualSpacing/>
        <w:jc w:val="both"/>
        <w:rPr>
          <w:rFonts w:ascii="Open Sans" w:eastAsiaTheme="minorHAnsi" w:hAnsi="Open Sans" w:cs="Open Sans"/>
          <w:sz w:val="20"/>
          <w:szCs w:val="20"/>
        </w:rPr>
      </w:pPr>
      <w:r w:rsidRPr="00A07BE9">
        <w:rPr>
          <w:rFonts w:ascii="Open Sans" w:eastAsiaTheme="minorHAnsi" w:hAnsi="Open Sans" w:cs="Open Sans"/>
          <w:sz w:val="20"/>
          <w:szCs w:val="20"/>
        </w:rPr>
        <w:t xml:space="preserve">Dentro de la Formación externa, destaca la elaboración y difusión de material audiovisual que ha permitido la presentación de la Agencia en el ámbito universitario en labores de sensibilización. Se han contactado con las seis Universidades de la Comunitat Valenciana, 12 Grados y 18 Departamentos. Se ha desarrollado 7 docuforums, en 5 de las 6 universidades del territorio. La asistencia ha sido de 509 alumnos, 58% del género femenino y del 42% masculino. </w:t>
      </w:r>
    </w:p>
    <w:p w14:paraId="15BB0FE4" w14:textId="77777777" w:rsidR="00A140F9" w:rsidRPr="00A07BE9" w:rsidRDefault="00A140F9" w:rsidP="00A140F9">
      <w:pPr>
        <w:spacing w:after="0" w:line="276" w:lineRule="auto"/>
        <w:ind w:left="720"/>
        <w:contextualSpacing/>
        <w:rPr>
          <w:rFonts w:ascii="Open Sans" w:eastAsiaTheme="minorHAnsi" w:hAnsi="Open Sans" w:cs="Open Sans"/>
          <w:sz w:val="20"/>
          <w:szCs w:val="20"/>
        </w:rPr>
      </w:pPr>
    </w:p>
    <w:p w14:paraId="320D021A" w14:textId="6EC2BABE" w:rsidR="004E3452" w:rsidRPr="00A07BE9" w:rsidRDefault="00A140F9" w:rsidP="0049285A">
      <w:pPr>
        <w:keepLines/>
        <w:numPr>
          <w:ilvl w:val="0"/>
          <w:numId w:val="3"/>
        </w:numPr>
        <w:spacing w:after="0" w:line="276" w:lineRule="auto"/>
        <w:ind w:left="714" w:hanging="357"/>
        <w:contextualSpacing/>
        <w:jc w:val="both"/>
        <w:rPr>
          <w:rFonts w:eastAsiaTheme="minorHAnsi"/>
          <w:sz w:val="20"/>
          <w:szCs w:val="20"/>
        </w:rPr>
      </w:pPr>
      <w:r w:rsidRPr="00A07BE9">
        <w:rPr>
          <w:rFonts w:ascii="Open Sans" w:eastAsiaTheme="minorHAnsi" w:hAnsi="Open Sans" w:cs="Open Sans"/>
          <w:sz w:val="20"/>
          <w:szCs w:val="20"/>
        </w:rPr>
        <w:t>También hay que destacar la firma del Convenio marco con la Universi</w:t>
      </w:r>
      <w:r w:rsidR="00DE29D5" w:rsidRPr="00A07BE9">
        <w:rPr>
          <w:rFonts w:ascii="Open Sans" w:eastAsiaTheme="minorHAnsi" w:hAnsi="Open Sans" w:cs="Open Sans"/>
          <w:sz w:val="20"/>
          <w:szCs w:val="20"/>
        </w:rPr>
        <w:t>t</w:t>
      </w:r>
      <w:r w:rsidRPr="00A07BE9">
        <w:rPr>
          <w:rFonts w:ascii="Open Sans" w:eastAsiaTheme="minorHAnsi" w:hAnsi="Open Sans" w:cs="Open Sans"/>
          <w:sz w:val="20"/>
          <w:szCs w:val="20"/>
        </w:rPr>
        <w:t>a</w:t>
      </w:r>
      <w:r w:rsidR="00DE29D5" w:rsidRPr="00A07BE9">
        <w:rPr>
          <w:rFonts w:ascii="Open Sans" w:eastAsiaTheme="minorHAnsi" w:hAnsi="Open Sans" w:cs="Open Sans"/>
          <w:sz w:val="20"/>
          <w:szCs w:val="20"/>
        </w:rPr>
        <w:t>t</w:t>
      </w:r>
      <w:r w:rsidRPr="00A07BE9">
        <w:rPr>
          <w:rFonts w:ascii="Open Sans" w:eastAsiaTheme="minorHAnsi" w:hAnsi="Open Sans" w:cs="Open Sans"/>
          <w:sz w:val="20"/>
          <w:szCs w:val="20"/>
        </w:rPr>
        <w:t xml:space="preserve"> de Val</w:t>
      </w:r>
      <w:r w:rsidR="00DE29D5" w:rsidRPr="00A07BE9">
        <w:rPr>
          <w:rFonts w:ascii="Open Sans" w:eastAsiaTheme="minorHAnsi" w:hAnsi="Open Sans" w:cs="Open Sans"/>
          <w:sz w:val="20"/>
          <w:szCs w:val="20"/>
        </w:rPr>
        <w:t>è</w:t>
      </w:r>
      <w:r w:rsidRPr="00A07BE9">
        <w:rPr>
          <w:rFonts w:ascii="Open Sans" w:eastAsiaTheme="minorHAnsi" w:hAnsi="Open Sans" w:cs="Open Sans"/>
          <w:sz w:val="20"/>
          <w:szCs w:val="20"/>
        </w:rPr>
        <w:t>ncia que ha propiciado la definición de una propuesta para integrar las acciones formativas de la Agencia con el Programa UNISOCIETAT del Vicerrectorado de Proyección Territorial y Sociedad, con un propósito de impacto en los principales municipios de la provincia de Valencia para el 2020.</w:t>
      </w:r>
      <w:r w:rsidRPr="00A07BE9">
        <w:rPr>
          <w:rFonts w:eastAsiaTheme="minorHAnsi"/>
          <w:sz w:val="20"/>
          <w:szCs w:val="20"/>
        </w:rPr>
        <w:t xml:space="preserve"> </w:t>
      </w:r>
    </w:p>
    <w:p w14:paraId="4039FA19" w14:textId="309E5214" w:rsidR="00A21AB4" w:rsidRPr="00A07BE9" w:rsidRDefault="004E3452" w:rsidP="00157A8B">
      <w:pPr>
        <w:keepNext/>
        <w:spacing w:line="276" w:lineRule="auto"/>
        <w:outlineLvl w:val="0"/>
        <w:rPr>
          <w:rFonts w:ascii="Open Sans" w:hAnsi="Open Sans" w:cs="Open Sans"/>
          <w:color w:val="000000" w:themeColor="text1"/>
          <w:sz w:val="21"/>
          <w:szCs w:val="21"/>
        </w:rPr>
      </w:pPr>
      <w:r w:rsidRPr="00A07BE9">
        <w:rPr>
          <w:rFonts w:ascii="Open Sans" w:hAnsi="Open Sans" w:cs="Open Sans"/>
          <w:color w:val="000000" w:themeColor="text1"/>
          <w:sz w:val="21"/>
          <w:szCs w:val="21"/>
        </w:rPr>
        <w:br w:type="page"/>
      </w:r>
    </w:p>
    <w:p w14:paraId="7FD283C1" w14:textId="77777777" w:rsidR="009568B0" w:rsidRPr="00A07BE9" w:rsidRDefault="009568B0" w:rsidP="0015081D">
      <w:pPr>
        <w:spacing w:after="0" w:line="276" w:lineRule="auto"/>
        <w:rPr>
          <w:rFonts w:ascii="Open Sans" w:eastAsia="NSimSun" w:hAnsi="Open Sans" w:cs="Open Sans"/>
          <w:color w:val="000000"/>
          <w:kern w:val="2"/>
          <w:sz w:val="20"/>
          <w:szCs w:val="20"/>
          <w:lang w:eastAsia="zh-CN" w:bidi="hi-IN"/>
        </w:rPr>
      </w:pPr>
      <w:bookmarkStart w:id="13" w:name="_Hlk34644086"/>
      <w:bookmarkEnd w:id="6"/>
    </w:p>
    <w:p w14:paraId="4A157E25" w14:textId="77777777" w:rsidR="009568B0" w:rsidRPr="00A07BE9" w:rsidRDefault="009568B0" w:rsidP="0015081D">
      <w:pPr>
        <w:spacing w:after="0" w:line="276" w:lineRule="auto"/>
        <w:rPr>
          <w:rFonts w:ascii="Open Sans" w:eastAsia="NSimSun" w:hAnsi="Open Sans" w:cs="Open Sans"/>
          <w:color w:val="000000"/>
          <w:kern w:val="2"/>
          <w:sz w:val="20"/>
          <w:szCs w:val="20"/>
          <w:lang w:eastAsia="zh-CN" w:bidi="hi-IN"/>
        </w:rPr>
      </w:pPr>
    </w:p>
    <w:p w14:paraId="3595352C" w14:textId="77777777" w:rsidR="009568B0" w:rsidRPr="00A07BE9" w:rsidRDefault="009568B0" w:rsidP="009568B0">
      <w:pPr>
        <w:keepNext/>
        <w:spacing w:after="0" w:line="276" w:lineRule="auto"/>
        <w:rPr>
          <w:rFonts w:ascii="Open Sans" w:eastAsia="Times New Roman" w:hAnsi="Open Sans" w:cs="Calibri"/>
          <w:color w:val="9D2235"/>
          <w:kern w:val="2"/>
          <w:sz w:val="24"/>
          <w:szCs w:val="24"/>
          <w:lang w:eastAsia="es-ES" w:bidi="hi-IN"/>
        </w:rPr>
      </w:pPr>
      <w:r w:rsidRPr="00A07BE9">
        <w:rPr>
          <w:rFonts w:ascii="Open Sans" w:eastAsia="Times New Roman" w:hAnsi="Open Sans" w:cs="Open Sans"/>
          <w:b/>
          <w:bCs/>
          <w:smallCaps/>
          <w:color w:val="9D2235"/>
          <w:spacing w:val="-14"/>
          <w:kern w:val="2"/>
          <w:sz w:val="200"/>
          <w:szCs w:val="200"/>
          <w:lang w:eastAsia="es-ES" w:bidi="hi-IN"/>
        </w:rPr>
        <w:t xml:space="preserve">03 </w:t>
      </w:r>
    </w:p>
    <w:p w14:paraId="3825A9C2" w14:textId="1169A47B" w:rsidR="009568B0" w:rsidRPr="00A07BE9" w:rsidRDefault="009568B0" w:rsidP="009568B0">
      <w:pPr>
        <w:keepNext/>
        <w:suppressAutoHyphens/>
        <w:spacing w:after="0" w:line="240" w:lineRule="auto"/>
        <w:rPr>
          <w:rFonts w:ascii="Open Sans" w:eastAsia="Times New Roman" w:hAnsi="Open Sans" w:cs="Nirmala UI Semilight"/>
          <w:b/>
          <w:bCs/>
          <w:color w:val="9D2235"/>
          <w:spacing w:val="-24"/>
          <w:kern w:val="2"/>
          <w:sz w:val="80"/>
          <w:szCs w:val="80"/>
          <w:lang w:eastAsia="es-ES" w:bidi="hi-IN"/>
        </w:rPr>
      </w:pPr>
      <w:r w:rsidRPr="00A07BE9">
        <w:rPr>
          <w:rFonts w:ascii="Open Sans" w:eastAsia="Times New Roman" w:hAnsi="Open Sans" w:cs="Nirmala UI Semilight"/>
          <w:b/>
          <w:bCs/>
          <w:color w:val="9D2235"/>
          <w:spacing w:val="-24"/>
          <w:kern w:val="2"/>
          <w:sz w:val="80"/>
          <w:szCs w:val="80"/>
          <w:lang w:eastAsia="es-ES" w:bidi="hi-IN"/>
        </w:rPr>
        <w:t xml:space="preserve">Análisis e </w:t>
      </w:r>
      <w:r w:rsidR="004F2FD1" w:rsidRPr="00A07BE9">
        <w:rPr>
          <w:rFonts w:ascii="Open Sans" w:eastAsia="Times New Roman" w:hAnsi="Open Sans" w:cs="Nirmala UI Semilight"/>
          <w:b/>
          <w:bCs/>
          <w:color w:val="9D2235"/>
          <w:spacing w:val="-24"/>
          <w:kern w:val="2"/>
          <w:sz w:val="80"/>
          <w:szCs w:val="80"/>
          <w:lang w:eastAsia="es-ES" w:bidi="hi-IN"/>
        </w:rPr>
        <w:t>i</w:t>
      </w:r>
      <w:r w:rsidRPr="00A07BE9">
        <w:rPr>
          <w:rFonts w:ascii="Open Sans" w:eastAsia="Times New Roman" w:hAnsi="Open Sans" w:cs="Nirmala UI Semilight"/>
          <w:b/>
          <w:bCs/>
          <w:color w:val="9D2235"/>
          <w:spacing w:val="-24"/>
          <w:kern w:val="2"/>
          <w:sz w:val="80"/>
          <w:szCs w:val="80"/>
          <w:lang w:eastAsia="es-ES" w:bidi="hi-IN"/>
        </w:rPr>
        <w:t>nvestigación</w:t>
      </w:r>
    </w:p>
    <w:p w14:paraId="17EE49FA" w14:textId="77777777" w:rsidR="009568B0" w:rsidRPr="00A07BE9" w:rsidRDefault="009568B0" w:rsidP="009568B0">
      <w:pPr>
        <w:spacing w:after="0" w:line="276" w:lineRule="auto"/>
        <w:jc w:val="both"/>
        <w:rPr>
          <w:rFonts w:ascii="Open Sans" w:eastAsia="NSimSun" w:hAnsi="Open Sans" w:cs="Open Sans"/>
          <w:b/>
          <w:color w:val="9D2235"/>
          <w:kern w:val="2"/>
          <w:sz w:val="32"/>
          <w:szCs w:val="32"/>
          <w:lang w:eastAsia="zh-CN" w:bidi="hi-IN"/>
        </w:rPr>
      </w:pPr>
    </w:p>
    <w:p w14:paraId="2B98AEC6" w14:textId="77777777" w:rsidR="009568B0" w:rsidRPr="00A07BE9" w:rsidRDefault="009568B0" w:rsidP="009568B0">
      <w:pPr>
        <w:spacing w:after="0" w:line="276" w:lineRule="auto"/>
        <w:jc w:val="both"/>
        <w:rPr>
          <w:rFonts w:ascii="Open Sans" w:eastAsia="NSimSun" w:hAnsi="Open Sans" w:cs="Open Sans"/>
          <w:b/>
          <w:color w:val="9D2235"/>
          <w:kern w:val="2"/>
          <w:sz w:val="32"/>
          <w:szCs w:val="32"/>
          <w:lang w:eastAsia="zh-CN" w:bidi="hi-IN"/>
        </w:rPr>
      </w:pPr>
    </w:p>
    <w:p w14:paraId="1B75A930" w14:textId="77777777"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32"/>
          <w:szCs w:val="32"/>
          <w:lang w:eastAsia="es-ES" w:bidi="hi-IN"/>
        </w:rPr>
      </w:pPr>
      <w:r w:rsidRPr="00A07BE9">
        <w:rPr>
          <w:rFonts w:ascii="Open Sans" w:eastAsia="Times New Roman" w:hAnsi="Open Sans" w:cs="Open Sans"/>
          <w:b/>
          <w:bCs/>
          <w:smallCaps/>
          <w:color w:val="9D2235"/>
          <w:kern w:val="2"/>
          <w:sz w:val="32"/>
          <w:szCs w:val="32"/>
          <w:lang w:eastAsia="es-ES" w:bidi="hi-IN"/>
        </w:rPr>
        <w:t>3.1. PRESENTACIÓN</w:t>
      </w:r>
    </w:p>
    <w:p w14:paraId="0BE86651"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6DA9D6AA" w14:textId="12476462"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En lo que respecta a</w:t>
      </w:r>
      <w:r w:rsidR="00BC62B3" w:rsidRPr="00A07BE9">
        <w:rPr>
          <w:rFonts w:ascii="Open Sans" w:eastAsia="NSimSun" w:hAnsi="Open Sans" w:cs="Arial"/>
          <w:kern w:val="2"/>
          <w:sz w:val="20"/>
          <w:szCs w:val="20"/>
          <w:lang w:eastAsia="zh-CN" w:bidi="hi-IN"/>
        </w:rPr>
        <w:t xml:space="preserve"> la </w:t>
      </w:r>
      <w:r w:rsidR="000D660B" w:rsidRPr="00A07BE9">
        <w:rPr>
          <w:rFonts w:ascii="Open Sans" w:eastAsia="NSimSun" w:hAnsi="Open Sans" w:cs="Arial"/>
          <w:kern w:val="2"/>
          <w:sz w:val="20"/>
          <w:szCs w:val="20"/>
          <w:lang w:eastAsia="zh-CN" w:bidi="hi-IN"/>
        </w:rPr>
        <w:t>D</w:t>
      </w:r>
      <w:r w:rsidR="00BC62B3" w:rsidRPr="00A07BE9">
        <w:rPr>
          <w:rFonts w:ascii="Open Sans" w:eastAsia="NSimSun" w:hAnsi="Open Sans" w:cs="Arial"/>
          <w:kern w:val="2"/>
          <w:sz w:val="20"/>
          <w:szCs w:val="20"/>
          <w:lang w:eastAsia="zh-CN" w:bidi="hi-IN"/>
        </w:rPr>
        <w:t>irección</w:t>
      </w:r>
      <w:r w:rsidRPr="00A07BE9">
        <w:rPr>
          <w:rFonts w:ascii="Open Sans" w:eastAsia="NSimSun" w:hAnsi="Open Sans" w:cs="Arial"/>
          <w:kern w:val="2"/>
          <w:sz w:val="20"/>
          <w:szCs w:val="20"/>
          <w:lang w:eastAsia="zh-CN" w:bidi="hi-IN"/>
        </w:rPr>
        <w:t xml:space="preserve"> de Análisis e Investigación, l</w:t>
      </w:r>
      <w:r w:rsidR="00BC62B3" w:rsidRPr="00A07BE9">
        <w:rPr>
          <w:rFonts w:ascii="Open Sans" w:eastAsia="NSimSun" w:hAnsi="Open Sans" w:cs="Arial"/>
          <w:kern w:val="2"/>
          <w:sz w:val="20"/>
          <w:szCs w:val="20"/>
          <w:lang w:eastAsia="zh-CN" w:bidi="hi-IN"/>
        </w:rPr>
        <w:t>a</w:t>
      </w:r>
      <w:r w:rsidRPr="00A07BE9">
        <w:rPr>
          <w:rFonts w:ascii="Open Sans" w:eastAsia="NSimSun" w:hAnsi="Open Sans" w:cs="Arial"/>
          <w:kern w:val="2"/>
          <w:sz w:val="20"/>
          <w:szCs w:val="20"/>
          <w:lang w:eastAsia="zh-CN" w:bidi="hi-IN"/>
        </w:rPr>
        <w:t xml:space="preserve"> mejora de su actuación se ha conseguido a través del proceso de ampliación, consolidación y estabilización de plantilla de empleados públicos, ligado de forma paralela y simultánea con la elaboración y depuración de los procesos internos que han repercutido en una mejora sustancial de la tramitación del procedimiento de análisis e investigación, corrigiendo en gran modo los desfases de tramitación provocados por el aumento de la carga de trabajo del área.</w:t>
      </w:r>
    </w:p>
    <w:p w14:paraId="279D1C2A"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4114A596" w14:textId="5EA81720"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En efecto, la evolución estadística del número de denuncias y, por ende, de expedientes de análisis e investigación tramitados, desde los inicios de la Agencia en 2017 hasta inicios de 2020, fecha de elaboración de la presente Memoria, indica de forma reveladora que la actividad del área de Análisis e Investigación puede haber llegado al punto de consolidación, ya que el incremento porcentual de denuncias recibidas en 2017 en relación con el 2018 ya no se ha mantenido en la anualidad 2019. En 2017 se iniciaron un total de 35 expedientes, pasándose a tramitar un total de 181 expedientes en la anualidad 2018. Sin embargo, este incremento se ha contenido en la anualidad 2019, en la que se han iniciado un total de 168 expedientes, un 7% inferior al número de la anualidad anterior. Este dato puede considerarse como un indicio de estabilización de los volúmenes de trabajo del Área.</w:t>
      </w:r>
    </w:p>
    <w:p w14:paraId="718C1DAF" w14:textId="77777777" w:rsidR="005F0A1F" w:rsidRPr="00A07BE9" w:rsidRDefault="005F0A1F" w:rsidP="009568B0">
      <w:pPr>
        <w:spacing w:after="0" w:line="276" w:lineRule="auto"/>
        <w:jc w:val="both"/>
        <w:rPr>
          <w:rFonts w:ascii="Open Sans" w:eastAsia="NSimSun" w:hAnsi="Open Sans" w:cs="Arial"/>
          <w:kern w:val="2"/>
          <w:sz w:val="20"/>
          <w:szCs w:val="20"/>
          <w:lang w:eastAsia="zh-CN" w:bidi="hi-IN"/>
        </w:rPr>
      </w:pPr>
    </w:p>
    <w:p w14:paraId="5021482E" w14:textId="628026B2"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lastRenderedPageBreak/>
        <w:t xml:space="preserve">En los siguientes apartados del presente capítulo se expondrán en detalle los resultados que se acaban de ofrecer, así como otros que resultan de especial interés, algunos de los cuales ya han sido expuestos anteriormente en la </w:t>
      </w:r>
      <w:hyperlink r:id="rId57" w:history="1">
        <w:r w:rsidRPr="00A07BE9">
          <w:rPr>
            <w:rStyle w:val="Hipervnculo"/>
            <w:rFonts w:ascii="Open Sans" w:eastAsia="NSimSun" w:hAnsi="Open Sans" w:cs="Arial"/>
            <w:kern w:val="2"/>
            <w:sz w:val="20"/>
            <w:szCs w:val="20"/>
            <w:lang w:eastAsia="zh-CN" w:bidi="hi-IN"/>
          </w:rPr>
          <w:t>Memoria de la anualidad 2018</w:t>
        </w:r>
      </w:hyperlink>
      <w:r w:rsidRPr="00A07BE9">
        <w:rPr>
          <w:rFonts w:ascii="Open Sans" w:eastAsia="NSimSun" w:hAnsi="Open Sans" w:cs="Arial"/>
          <w:kern w:val="2"/>
          <w:sz w:val="20"/>
          <w:szCs w:val="20"/>
          <w:lang w:eastAsia="zh-CN" w:bidi="hi-IN"/>
        </w:rPr>
        <w:t xml:space="preserve"> y que serán actualizados con la correspondiente evolución de los datos en 2019. Asimismo, se incorporan nuevas tablas que recogen la evolución de la situación de los expedientes iniciados en el Área de Análisis e Investigación y los modos de terminación de los expedientes aperturados.</w:t>
      </w:r>
    </w:p>
    <w:p w14:paraId="27DADAA3"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12027576" w14:textId="7A3EFFE1"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 xml:space="preserve">Durante el año 2019 se han concentrado los esfuerzos en el Área de Análisis e Investigación en el establecimiento y homogeneización de los protocolos y procedimientos seguidos en el Área, de forma que se ha podido alcanzar una mejora ostensible en las disfunciones de tramitación que se venían produciendo. Uno de los objetivos prioritarios de la Dirección de Área para la anualidad 2020 será intentar mantener y mejorar el nivel de eficiencia con el que se tratan los asuntos denunciados, de forma que puedan alcanzarse los estándares y plazos de tramitación que la ley de creación de la Agencia prevé, lo que redundará en un mayor beneficio no solo para la propia Agencia sino también para la sociedad en general, mediante el análisis y estudio de los asuntos en plazos inferiores a los que la propia ley fija como máximos. Cabe resaltar en este ámbito la aprobación y publicación de la Resolución de 27 de junio de 2019, del director de la Agencia de Prevención y Lucha contra el Fraude y la Corrupción de la Comunitat Valenciana, por la que se aprueba </w:t>
      </w:r>
      <w:r w:rsidR="002722A7" w:rsidRPr="00A07BE9">
        <w:rPr>
          <w:rFonts w:ascii="Open Sans" w:eastAsia="NSimSun" w:hAnsi="Open Sans" w:cs="Arial"/>
          <w:kern w:val="2"/>
          <w:sz w:val="20"/>
          <w:szCs w:val="20"/>
          <w:lang w:eastAsia="zh-CN" w:bidi="hi-IN"/>
        </w:rPr>
        <w:t xml:space="preserve">el </w:t>
      </w:r>
      <w:hyperlink r:id="rId58" w:history="1">
        <w:r w:rsidRPr="00A07BE9">
          <w:rPr>
            <w:rStyle w:val="Hipervnculo"/>
            <w:rFonts w:ascii="Open Sans" w:eastAsia="NSimSun" w:hAnsi="Open Sans" w:cs="Arial"/>
            <w:kern w:val="2"/>
            <w:sz w:val="20"/>
            <w:szCs w:val="20"/>
            <w:lang w:eastAsia="zh-CN" w:bidi="hi-IN"/>
          </w:rPr>
          <w:t>Reglamento de funcionamiento y régimen interior</w:t>
        </w:r>
      </w:hyperlink>
      <w:r w:rsidRPr="00A07BE9">
        <w:rPr>
          <w:rFonts w:ascii="Open Sans" w:eastAsia="NSimSun" w:hAnsi="Open Sans" w:cs="Arial"/>
          <w:kern w:val="2"/>
          <w:sz w:val="20"/>
          <w:szCs w:val="20"/>
          <w:lang w:eastAsia="zh-CN" w:bidi="hi-IN"/>
        </w:rPr>
        <w:t xml:space="preserve"> de esta, en desarrollo de la </w:t>
      </w:r>
      <w:hyperlink r:id="rId59" w:history="1">
        <w:r w:rsidR="004C14BF" w:rsidRPr="00A07BE9">
          <w:rPr>
            <w:rStyle w:val="Hipervnculo"/>
            <w:rFonts w:ascii="Open Sans" w:hAnsi="Open Sans" w:cs="Open Sans"/>
            <w:sz w:val="20"/>
            <w:szCs w:val="20"/>
          </w:rPr>
          <w:t>Ley 11/2016, de 28 de noviembre, de la Generalitat</w:t>
        </w:r>
      </w:hyperlink>
      <w:r w:rsidRPr="00A07BE9">
        <w:rPr>
          <w:rFonts w:ascii="Open Sans" w:eastAsia="NSimSun" w:hAnsi="Open Sans" w:cs="Arial"/>
          <w:kern w:val="2"/>
          <w:sz w:val="20"/>
          <w:szCs w:val="20"/>
          <w:lang w:eastAsia="zh-CN" w:bidi="hi-IN"/>
        </w:rPr>
        <w:t>, que ha venido a regular en detalle, en su Título VI el procedimiento de investigación, desarrollando lo establecido en el Capítulo II de la Ley fundacional de la Agencia.</w:t>
      </w:r>
    </w:p>
    <w:p w14:paraId="0360E5F8"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3763141D"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La evaluación del desempeño durante la anualidad 2019 ha demostrado que los componentes de la Dirección de Análisis e Investigación poseen un fuerte componente técnico-jurídico, con especialización en diferentes sectores de la actividad administrativa, tales como el urbanismo, el medio ambiente, los recursos humanos, la fiscalización económica y contable, el régimen presupuestario, la transparencia, y el procedimiento administrativo común.</w:t>
      </w:r>
    </w:p>
    <w:p w14:paraId="6F077F23"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0DA5636B"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Cobra especial interés en este aspecto la coordinación que se ha instrumentalizado a través de las comisiones interdepartamentales de las diferentes áreas en que se divide la actuación de la Agencia, siendo de mayor relevancia las realizadas en el ámbito de la Prevención y las realizadas en el ámbito de la Protección del Denunciante, aspectos que enlazan de forma directa con el ámbito de las investigaciones que tramita el Área.</w:t>
      </w:r>
    </w:p>
    <w:p w14:paraId="1CE3C389"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37D56B23" w14:textId="380269FC" w:rsidR="009568B0"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 xml:space="preserve">Como novedad en esta Memoria 2019 se incluye una descripción detallada de la organización del Área de Análisis e Investigación, así como un esquema de funcionamiento y tramitación del procedimiento de análisis e investigación, incluyéndose un apartado específico relativo al seguimiento de las recomendaciones que se han efectuado tras la finalización de los correspondientes expedientes tramitados, y un nuevo apartado que recoge de forma resumida y sintética un compendio de las actuaciones de investigación </w:t>
      </w:r>
      <w:r w:rsidRPr="00A07BE9">
        <w:rPr>
          <w:rFonts w:ascii="Open Sans" w:eastAsia="NSimSun" w:hAnsi="Open Sans" w:cs="Arial"/>
          <w:kern w:val="2"/>
          <w:sz w:val="20"/>
          <w:szCs w:val="20"/>
          <w:lang w:eastAsia="zh-CN" w:bidi="hi-IN"/>
        </w:rPr>
        <w:lastRenderedPageBreak/>
        <w:t>realizadas durante la anualidad 2019 y que se han considerado como más relevantes o de mayor interés en cuanto a su publicación.</w:t>
      </w:r>
    </w:p>
    <w:p w14:paraId="4FA8B8F2" w14:textId="77777777" w:rsidR="00884961" w:rsidRPr="00A07BE9" w:rsidRDefault="00884961" w:rsidP="009568B0">
      <w:pPr>
        <w:spacing w:after="0" w:line="276" w:lineRule="auto"/>
        <w:jc w:val="both"/>
        <w:rPr>
          <w:rFonts w:ascii="Open Sans" w:eastAsia="NSimSun" w:hAnsi="Open Sans" w:cs="Arial"/>
          <w:kern w:val="2"/>
          <w:sz w:val="20"/>
          <w:szCs w:val="20"/>
          <w:lang w:eastAsia="zh-CN" w:bidi="hi-IN"/>
        </w:rPr>
      </w:pPr>
    </w:p>
    <w:p w14:paraId="117BF024"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Finalmente, se hará referencia a la colaboración que ha llevado a cabo la Agencia durante la anualidad 2019 en apoyo o auxilio técnico a otros órganos administrativos o jurisdiccionales.</w:t>
      </w:r>
    </w:p>
    <w:p w14:paraId="5AB8410F"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69A4CE30" w14:textId="77777777" w:rsidR="009568B0" w:rsidRPr="00A07BE9" w:rsidRDefault="009568B0" w:rsidP="009568B0">
      <w:pPr>
        <w:spacing w:after="0" w:line="276" w:lineRule="auto"/>
        <w:jc w:val="both"/>
        <w:rPr>
          <w:rFonts w:ascii="Open Sans" w:eastAsia="NSimSun" w:hAnsi="Open Sans" w:cs="Arial"/>
          <w:color w:val="9D2235"/>
          <w:kern w:val="2"/>
          <w:sz w:val="20"/>
          <w:szCs w:val="20"/>
          <w:lang w:eastAsia="zh-CN" w:bidi="hi-IN"/>
        </w:rPr>
      </w:pPr>
    </w:p>
    <w:p w14:paraId="3FB04219" w14:textId="5A057C7D" w:rsidR="009568B0" w:rsidRPr="00A07BE9" w:rsidRDefault="009568B0" w:rsidP="009568B0">
      <w:pPr>
        <w:spacing w:after="0" w:line="276" w:lineRule="auto"/>
        <w:jc w:val="both"/>
        <w:rPr>
          <w:rFonts w:ascii="Open Sans" w:eastAsia="NSimSun" w:hAnsi="Open Sans" w:cs="Arial"/>
          <w:b/>
          <w:bCs/>
          <w:color w:val="9D2235"/>
          <w:kern w:val="2"/>
          <w:sz w:val="32"/>
          <w:szCs w:val="32"/>
          <w:lang w:eastAsia="zh-CN" w:bidi="hi-IN"/>
        </w:rPr>
      </w:pPr>
      <w:r w:rsidRPr="00A07BE9">
        <w:rPr>
          <w:rFonts w:ascii="Open Sans" w:eastAsia="NSimSun" w:hAnsi="Open Sans" w:cs="Arial"/>
          <w:b/>
          <w:bCs/>
          <w:color w:val="9D2235"/>
          <w:kern w:val="2"/>
          <w:sz w:val="32"/>
          <w:szCs w:val="32"/>
          <w:lang w:eastAsia="zh-CN" w:bidi="hi-IN"/>
        </w:rPr>
        <w:t xml:space="preserve">3.2. MARCO JURÍDICO, FUNCIONES Y ORGANIZACIÓN </w:t>
      </w:r>
    </w:p>
    <w:p w14:paraId="1F859DA8" w14:textId="77777777" w:rsidR="008B2A93" w:rsidRPr="00A07BE9" w:rsidRDefault="008B2A93" w:rsidP="009568B0">
      <w:pPr>
        <w:spacing w:after="0" w:line="276" w:lineRule="auto"/>
        <w:jc w:val="both"/>
        <w:rPr>
          <w:rFonts w:ascii="Open Sans" w:eastAsia="NSimSun" w:hAnsi="Open Sans" w:cs="Arial"/>
          <w:kern w:val="2"/>
          <w:sz w:val="20"/>
          <w:szCs w:val="20"/>
          <w:lang w:eastAsia="zh-CN" w:bidi="hi-IN"/>
        </w:rPr>
      </w:pPr>
    </w:p>
    <w:p w14:paraId="67E48BBA" w14:textId="307C4198"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 xml:space="preserve">De acuerdo con lo dispuesto en el apartado IV del Preámbulo de la </w:t>
      </w:r>
      <w:hyperlink r:id="rId60" w:history="1">
        <w:r w:rsidR="004C14BF" w:rsidRPr="00A07BE9">
          <w:rPr>
            <w:rStyle w:val="Hipervnculo"/>
            <w:rFonts w:ascii="Open Sans" w:hAnsi="Open Sans" w:cs="Open Sans"/>
            <w:sz w:val="20"/>
            <w:szCs w:val="20"/>
          </w:rPr>
          <w:t>Ley 11/2016, de 28 de noviembre, de la Generalitat</w:t>
        </w:r>
      </w:hyperlink>
      <w:r w:rsidR="009E6430" w:rsidRPr="00A07BE9">
        <w:rPr>
          <w:rFonts w:ascii="Open Sans" w:eastAsia="NSimSun" w:hAnsi="Open Sans" w:cs="Arial"/>
          <w:kern w:val="2"/>
          <w:sz w:val="20"/>
          <w:szCs w:val="20"/>
          <w:lang w:eastAsia="zh-CN" w:bidi="hi-IN"/>
        </w:rPr>
        <w:t>,</w:t>
      </w:r>
      <w:r w:rsidR="006A2178" w:rsidRPr="00A07BE9">
        <w:rPr>
          <w:rFonts w:ascii="Open Sans" w:eastAsia="NSimSun" w:hAnsi="Open Sans" w:cs="Arial"/>
          <w:kern w:val="2"/>
          <w:sz w:val="20"/>
          <w:szCs w:val="20"/>
          <w:lang w:eastAsia="zh-CN" w:bidi="hi-IN"/>
        </w:rPr>
        <w:t xml:space="preserve"> </w:t>
      </w:r>
      <w:r w:rsidRPr="00A07BE9">
        <w:rPr>
          <w:rFonts w:ascii="Open Sans" w:eastAsia="NSimSun" w:hAnsi="Open Sans" w:cs="Arial"/>
          <w:kern w:val="2"/>
          <w:sz w:val="20"/>
          <w:szCs w:val="20"/>
          <w:lang w:eastAsia="zh-CN" w:bidi="hi-IN"/>
        </w:rPr>
        <w:t xml:space="preserve">de la Agencia de Prevención y Lucha contra el Fraude y la Corrupción de la Comunitat Valenciana, la </w:t>
      </w:r>
      <w:r w:rsidR="000D660B" w:rsidRPr="00A07BE9">
        <w:rPr>
          <w:rFonts w:ascii="Open Sans" w:eastAsia="NSimSun" w:hAnsi="Open Sans" w:cs="Arial"/>
          <w:kern w:val="2"/>
          <w:sz w:val="20"/>
          <w:szCs w:val="20"/>
          <w:lang w:eastAsia="zh-CN" w:bidi="hi-IN"/>
        </w:rPr>
        <w:t>A</w:t>
      </w:r>
      <w:r w:rsidRPr="00A07BE9">
        <w:rPr>
          <w:rFonts w:ascii="Open Sans" w:eastAsia="NSimSun" w:hAnsi="Open Sans" w:cs="Arial"/>
          <w:kern w:val="2"/>
          <w:sz w:val="20"/>
          <w:szCs w:val="20"/>
          <w:lang w:eastAsia="zh-CN" w:bidi="hi-IN"/>
        </w:rPr>
        <w:t>gencia se crea como instrumento de prevención, investigación y combate del fraude y la corrupción, y también para proteger a las personas denunciantes. Su finalidad primordial es fortalecer la actuación de las instituciones públicas valencianas para evitar que se produzca un deterioro moral y un empobrecimiento económico que redunde en perjuicio de la ciudadanía valenciana.</w:t>
      </w:r>
    </w:p>
    <w:p w14:paraId="45D145D2"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08706EAC" w14:textId="1C001022"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 xml:space="preserve">En desarrollo de lo anterior, el </w:t>
      </w:r>
      <w:r w:rsidR="003408CE" w:rsidRPr="00A07BE9">
        <w:rPr>
          <w:rFonts w:ascii="Open Sans" w:eastAsia="NSimSun" w:hAnsi="Open Sans" w:cs="Arial"/>
          <w:kern w:val="2"/>
          <w:sz w:val="20"/>
          <w:szCs w:val="20"/>
          <w:lang w:eastAsia="zh-CN" w:bidi="hi-IN"/>
        </w:rPr>
        <w:t>artículo</w:t>
      </w:r>
      <w:r w:rsidRPr="00A07BE9">
        <w:rPr>
          <w:rFonts w:ascii="Open Sans" w:eastAsia="NSimSun" w:hAnsi="Open Sans" w:cs="Arial"/>
          <w:kern w:val="2"/>
          <w:sz w:val="20"/>
          <w:szCs w:val="20"/>
          <w:lang w:eastAsia="zh-CN" w:bidi="hi-IN"/>
        </w:rPr>
        <w:t xml:space="preserve"> 4 de la Ley fundacional asigna a la Agencia las siguientes funciones:</w:t>
      </w:r>
    </w:p>
    <w:p w14:paraId="5C5266BE"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603C71F2" w14:textId="77777777" w:rsidR="009568B0" w:rsidRPr="00A07BE9" w:rsidRDefault="009568B0" w:rsidP="009568B0">
      <w:pPr>
        <w:numPr>
          <w:ilvl w:val="0"/>
          <w:numId w:val="6"/>
        </w:numPr>
        <w:spacing w:after="0" w:line="276" w:lineRule="auto"/>
        <w:contextualSpacing/>
        <w:jc w:val="both"/>
        <w:rPr>
          <w:rFonts w:ascii="Open Sans" w:eastAsia="Calibri" w:hAnsi="Open Sans" w:cs="Open Sans"/>
          <w:kern w:val="2"/>
          <w:sz w:val="20"/>
          <w:szCs w:val="20"/>
          <w:lang w:eastAsia="zh-CN" w:bidi="hi-IN"/>
        </w:rPr>
      </w:pPr>
      <w:r w:rsidRPr="00A07BE9">
        <w:rPr>
          <w:rFonts w:ascii="Open Sans" w:eastAsia="NSimSun" w:hAnsi="Open Sans" w:cs="Arial"/>
          <w:kern w:val="2"/>
          <w:sz w:val="20"/>
          <w:szCs w:val="20"/>
          <w:lang w:eastAsia="zh-CN" w:bidi="hi-IN"/>
        </w:rPr>
        <w:t xml:space="preserve">La prevención y la </w:t>
      </w:r>
      <w:r w:rsidRPr="00A07BE9">
        <w:rPr>
          <w:rFonts w:ascii="Open Sans" w:eastAsia="NSimSun" w:hAnsi="Open Sans" w:cs="Arial"/>
          <w:b/>
          <w:bCs/>
          <w:kern w:val="2"/>
          <w:sz w:val="20"/>
          <w:szCs w:val="20"/>
          <w:lang w:eastAsia="zh-CN" w:bidi="hi-IN"/>
        </w:rPr>
        <w:t>investigación</w:t>
      </w:r>
      <w:r w:rsidRPr="00A07BE9">
        <w:rPr>
          <w:rFonts w:ascii="Open Sans" w:eastAsia="NSimSun" w:hAnsi="Open Sans" w:cs="Arial"/>
          <w:kern w:val="2"/>
          <w:sz w:val="20"/>
          <w:szCs w:val="20"/>
          <w:lang w:eastAsia="zh-CN" w:bidi="hi-IN"/>
        </w:rPr>
        <w:t xml:space="preserve"> de posibles casos de uso o destino irregular de fondos públicos y de conductas opuestas a la integridad o contrarias a los principios de objetividad, eficacia y sumisión plena a la ley y al derecho.</w:t>
      </w:r>
    </w:p>
    <w:p w14:paraId="09EC3279" w14:textId="77777777" w:rsidR="009568B0" w:rsidRPr="00A07BE9" w:rsidRDefault="009568B0" w:rsidP="009568B0">
      <w:pPr>
        <w:spacing w:after="0" w:line="276" w:lineRule="auto"/>
        <w:contextualSpacing/>
        <w:jc w:val="both"/>
        <w:rPr>
          <w:rFonts w:ascii="Open Sans" w:eastAsia="Calibri" w:hAnsi="Open Sans" w:cs="Open Sans"/>
          <w:kern w:val="2"/>
          <w:sz w:val="20"/>
          <w:szCs w:val="20"/>
          <w:lang w:eastAsia="zh-CN" w:bidi="hi-IN"/>
        </w:rPr>
      </w:pPr>
    </w:p>
    <w:p w14:paraId="45591277" w14:textId="77777777" w:rsidR="009568B0" w:rsidRPr="00A07BE9" w:rsidRDefault="009568B0" w:rsidP="009568B0">
      <w:pPr>
        <w:numPr>
          <w:ilvl w:val="0"/>
          <w:numId w:val="6"/>
        </w:numPr>
        <w:spacing w:after="0" w:line="276" w:lineRule="auto"/>
        <w:contextualSpacing/>
        <w:jc w:val="both"/>
        <w:rPr>
          <w:rFonts w:ascii="Open Sans" w:eastAsia="Calibri" w:hAnsi="Open Sans" w:cs="Open Sans"/>
          <w:kern w:val="2"/>
          <w:sz w:val="20"/>
          <w:szCs w:val="20"/>
          <w:lang w:eastAsia="zh-CN" w:bidi="hi-IN"/>
        </w:rPr>
      </w:pPr>
      <w:r w:rsidRPr="00A07BE9">
        <w:rPr>
          <w:rFonts w:ascii="Open Sans" w:eastAsia="NSimSun" w:hAnsi="Open Sans" w:cs="Arial"/>
          <w:b/>
          <w:bCs/>
          <w:kern w:val="2"/>
          <w:sz w:val="20"/>
          <w:szCs w:val="20"/>
          <w:lang w:eastAsia="zh-CN" w:bidi="hi-IN"/>
        </w:rPr>
        <w:t>Investigar</w:t>
      </w:r>
      <w:r w:rsidRPr="00A07BE9">
        <w:rPr>
          <w:rFonts w:ascii="Open Sans" w:eastAsia="NSimSun" w:hAnsi="Open Sans" w:cs="Arial"/>
          <w:kern w:val="2"/>
          <w:sz w:val="20"/>
          <w:szCs w:val="20"/>
          <w:lang w:eastAsia="zh-CN" w:bidi="hi-IN"/>
        </w:rPr>
        <w:t xml:space="preserve"> los actos o las omisiones que pudieran ser constitutivos de infracción administrativa, disciplinaria o penal y, en función de los resultados de la investigación, instar la incoación de los procedimientos que corresponda para depurar las responsabilidades que pudieran corresponder.</w:t>
      </w:r>
    </w:p>
    <w:p w14:paraId="05263627"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25F81E42" w14:textId="0FE38030"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 xml:space="preserve">Se delimita a continuación en el </w:t>
      </w:r>
      <w:r w:rsidR="003408CE" w:rsidRPr="00A07BE9">
        <w:rPr>
          <w:rFonts w:ascii="Open Sans" w:eastAsia="NSimSun" w:hAnsi="Open Sans" w:cs="Arial"/>
          <w:kern w:val="2"/>
          <w:sz w:val="20"/>
          <w:szCs w:val="20"/>
          <w:lang w:eastAsia="zh-CN" w:bidi="hi-IN"/>
        </w:rPr>
        <w:t>artículo</w:t>
      </w:r>
      <w:r w:rsidRPr="00A07BE9">
        <w:rPr>
          <w:rFonts w:ascii="Open Sans" w:eastAsia="NSimSun" w:hAnsi="Open Sans" w:cs="Arial"/>
          <w:kern w:val="2"/>
          <w:sz w:val="20"/>
          <w:szCs w:val="20"/>
          <w:lang w:eastAsia="zh-CN" w:bidi="hi-IN"/>
        </w:rPr>
        <w:t xml:space="preserve"> 5 las funciones de investigación y estableciendo los mecanismos de coordinación y colaboración necesarios con otros órganos de carácter estatutario o administrativo, así como su efectiva sumisión al orden jurisdiccional, especialmente el penal.</w:t>
      </w:r>
    </w:p>
    <w:p w14:paraId="3AAD8445"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2DB8310C" w14:textId="691DC3AA"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 xml:space="preserve">Cobra especial relevancia la previsión contenida en el apartado 2 del artículo 5 citado, pues contempla la facultad de la Agencia para operar como órgano de auxilio y apoyo de los órganos judiciales, siendo un órgano de apoyo y colaboración con la autoridad judicial y el </w:t>
      </w:r>
      <w:r w:rsidR="00A127BE" w:rsidRPr="00A07BE9">
        <w:rPr>
          <w:rFonts w:ascii="Open Sans" w:eastAsia="NSimSun" w:hAnsi="Open Sans" w:cs="Arial"/>
          <w:kern w:val="2"/>
          <w:sz w:val="20"/>
          <w:szCs w:val="20"/>
          <w:lang w:eastAsia="zh-CN" w:bidi="hi-IN"/>
        </w:rPr>
        <w:t>M</w:t>
      </w:r>
      <w:r w:rsidRPr="00A07BE9">
        <w:rPr>
          <w:rFonts w:ascii="Open Sans" w:eastAsia="NSimSun" w:hAnsi="Open Sans" w:cs="Arial"/>
          <w:kern w:val="2"/>
          <w:sz w:val="20"/>
          <w:szCs w:val="20"/>
          <w:lang w:eastAsia="zh-CN" w:bidi="hi-IN"/>
        </w:rPr>
        <w:t xml:space="preserve">inisterio </w:t>
      </w:r>
      <w:r w:rsidR="00A127BE" w:rsidRPr="00A07BE9">
        <w:rPr>
          <w:rFonts w:ascii="Open Sans" w:eastAsia="NSimSun" w:hAnsi="Open Sans" w:cs="Arial"/>
          <w:kern w:val="2"/>
          <w:sz w:val="20"/>
          <w:szCs w:val="20"/>
          <w:lang w:eastAsia="zh-CN" w:bidi="hi-IN"/>
        </w:rPr>
        <w:t>F</w:t>
      </w:r>
      <w:r w:rsidRPr="00A07BE9">
        <w:rPr>
          <w:rFonts w:ascii="Open Sans" w:eastAsia="NSimSun" w:hAnsi="Open Sans" w:cs="Arial"/>
          <w:kern w:val="2"/>
          <w:sz w:val="20"/>
          <w:szCs w:val="20"/>
          <w:lang w:eastAsia="zh-CN" w:bidi="hi-IN"/>
        </w:rPr>
        <w:t xml:space="preserve">iscal cuando sea requerida. La </w:t>
      </w:r>
      <w:r w:rsidR="00A66C94" w:rsidRPr="00A07BE9">
        <w:rPr>
          <w:rFonts w:ascii="Open Sans" w:eastAsia="NSimSun" w:hAnsi="Open Sans" w:cs="Arial"/>
          <w:kern w:val="2"/>
          <w:sz w:val="20"/>
          <w:szCs w:val="20"/>
          <w:lang w:eastAsia="zh-CN" w:bidi="hi-IN"/>
        </w:rPr>
        <w:t>A</w:t>
      </w:r>
      <w:r w:rsidRPr="00A07BE9">
        <w:rPr>
          <w:rFonts w:ascii="Open Sans" w:eastAsia="NSimSun" w:hAnsi="Open Sans" w:cs="Arial"/>
          <w:kern w:val="2"/>
          <w:sz w:val="20"/>
          <w:szCs w:val="20"/>
          <w:lang w:eastAsia="zh-CN" w:bidi="hi-IN"/>
        </w:rPr>
        <w:t>gencia solicitará a la fiscalía información periódica respecto del trámite en que se encuentran las actuaciones iniciadas a instancia suya.</w:t>
      </w:r>
    </w:p>
    <w:p w14:paraId="0E3E5501"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1C63F701" w14:textId="7937824B" w:rsidR="00077BD5" w:rsidRDefault="009568B0" w:rsidP="009568B0">
      <w:pPr>
        <w:spacing w:after="0" w:line="276" w:lineRule="auto"/>
        <w:jc w:val="both"/>
        <w:rPr>
          <w:rFonts w:ascii="Open Sans" w:hAnsi="Open Sans" w:cs="Open Sans"/>
          <w:sz w:val="20"/>
          <w:szCs w:val="20"/>
        </w:rPr>
      </w:pPr>
      <w:r w:rsidRPr="00A07BE9">
        <w:rPr>
          <w:rFonts w:ascii="Open Sans" w:eastAsia="NSimSun" w:hAnsi="Open Sans" w:cs="Arial"/>
          <w:kern w:val="2"/>
          <w:sz w:val="20"/>
          <w:szCs w:val="20"/>
          <w:lang w:eastAsia="zh-CN" w:bidi="hi-IN"/>
        </w:rPr>
        <w:t xml:space="preserve">La atribución concreta y orgánica de las funciones previstas en la </w:t>
      </w:r>
      <w:hyperlink r:id="rId61" w:history="1">
        <w:r w:rsidR="00077BD5" w:rsidRPr="00A07BE9">
          <w:rPr>
            <w:rStyle w:val="Hipervnculo"/>
            <w:rFonts w:ascii="Open Sans" w:hAnsi="Open Sans" w:cs="Open Sans"/>
            <w:sz w:val="20"/>
            <w:szCs w:val="20"/>
          </w:rPr>
          <w:t>Ley 11/2016</w:t>
        </w:r>
        <w:r w:rsidR="00077BD5" w:rsidRPr="00A07BE9">
          <w:rPr>
            <w:rStyle w:val="Hipervnculo"/>
            <w:rFonts w:ascii="Open Sans" w:hAnsi="Open Sans"/>
            <w:sz w:val="20"/>
            <w:szCs w:val="20"/>
          </w:rPr>
          <w:t>,</w:t>
        </w:r>
      </w:hyperlink>
      <w:r w:rsidRPr="00A07BE9">
        <w:rPr>
          <w:rFonts w:ascii="Open Sans" w:eastAsia="NSimSun" w:hAnsi="Open Sans" w:cs="Arial"/>
          <w:kern w:val="2"/>
          <w:sz w:val="20"/>
          <w:szCs w:val="20"/>
          <w:lang w:eastAsia="zh-CN" w:bidi="hi-IN"/>
        </w:rPr>
        <w:t xml:space="preserve"> se ha materializado en 2019 con el desarrollo reglamentario aprobado por la Resolución de 27 de </w:t>
      </w:r>
      <w:r w:rsidRPr="00A07BE9">
        <w:rPr>
          <w:rFonts w:ascii="Open Sans" w:eastAsia="NSimSun" w:hAnsi="Open Sans" w:cs="Arial"/>
          <w:kern w:val="2"/>
          <w:sz w:val="20"/>
          <w:szCs w:val="20"/>
          <w:lang w:eastAsia="zh-CN" w:bidi="hi-IN"/>
        </w:rPr>
        <w:lastRenderedPageBreak/>
        <w:t xml:space="preserve">junio de 2019, del director de la Agencia de Prevención y Lucha contra el Fraude y la Corrupción de la Comunitat Valenciana, por la que se aprueba </w:t>
      </w:r>
      <w:hyperlink r:id="rId62" w:history="1">
        <w:r w:rsidRPr="00A07BE9">
          <w:rPr>
            <w:rStyle w:val="Hipervnculo"/>
            <w:rFonts w:ascii="Open Sans" w:eastAsia="NSimSun" w:hAnsi="Open Sans" w:cs="Arial"/>
            <w:kern w:val="2"/>
            <w:sz w:val="20"/>
            <w:szCs w:val="20"/>
            <w:lang w:eastAsia="zh-CN" w:bidi="hi-IN"/>
          </w:rPr>
          <w:t>Reglamento de funcionamiento y régimen interior</w:t>
        </w:r>
      </w:hyperlink>
      <w:r w:rsidRPr="00A07BE9">
        <w:rPr>
          <w:rFonts w:ascii="Open Sans" w:eastAsia="NSimSun" w:hAnsi="Open Sans" w:cs="Arial"/>
          <w:kern w:val="2"/>
          <w:sz w:val="20"/>
          <w:szCs w:val="20"/>
          <w:lang w:eastAsia="zh-CN" w:bidi="hi-IN"/>
        </w:rPr>
        <w:t xml:space="preserve"> de esta, en desarrollo de </w:t>
      </w:r>
      <w:r w:rsidR="003F171F" w:rsidRPr="00A07BE9">
        <w:rPr>
          <w:rFonts w:ascii="Open Sans" w:eastAsia="NSimSun" w:hAnsi="Open Sans" w:cs="Arial"/>
          <w:kern w:val="2"/>
          <w:sz w:val="20"/>
          <w:szCs w:val="20"/>
          <w:lang w:eastAsia="zh-CN" w:bidi="hi-IN"/>
        </w:rPr>
        <w:t xml:space="preserve">la </w:t>
      </w:r>
      <w:hyperlink r:id="rId63" w:history="1">
        <w:r w:rsidR="00077BD5" w:rsidRPr="00A07BE9">
          <w:rPr>
            <w:rStyle w:val="Hipervnculo"/>
            <w:rFonts w:ascii="Open Sans" w:hAnsi="Open Sans" w:cs="Open Sans"/>
            <w:sz w:val="20"/>
            <w:szCs w:val="20"/>
          </w:rPr>
          <w:t>Ley 11/2016</w:t>
        </w:r>
        <w:r w:rsidR="00077BD5" w:rsidRPr="00A07BE9">
          <w:rPr>
            <w:rStyle w:val="Hipervnculo"/>
            <w:rFonts w:ascii="Open Sans" w:hAnsi="Open Sans"/>
            <w:color w:val="auto"/>
            <w:sz w:val="20"/>
            <w:szCs w:val="20"/>
            <w:u w:val="none"/>
          </w:rPr>
          <w:t>, de 28 de</w:t>
        </w:r>
        <w:r w:rsidR="00077BD5" w:rsidRPr="00A07BE9">
          <w:rPr>
            <w:rStyle w:val="Hipervnculo"/>
            <w:rFonts w:ascii="Open Sans" w:hAnsi="Open Sans"/>
            <w:sz w:val="20"/>
            <w:szCs w:val="20"/>
          </w:rPr>
          <w:t xml:space="preserve"> </w:t>
        </w:r>
        <w:r w:rsidR="00077BD5" w:rsidRPr="00A07BE9">
          <w:rPr>
            <w:rStyle w:val="Hipervnculo"/>
            <w:rFonts w:ascii="Open Sans" w:hAnsi="Open Sans"/>
            <w:color w:val="auto"/>
            <w:sz w:val="20"/>
            <w:szCs w:val="20"/>
            <w:u w:val="none"/>
          </w:rPr>
          <w:t>noviembre, de la Generalitat</w:t>
        </w:r>
      </w:hyperlink>
      <w:r w:rsidR="00077BD5" w:rsidRPr="00A07BE9">
        <w:rPr>
          <w:rFonts w:ascii="Open Sans" w:hAnsi="Open Sans" w:cs="Open Sans"/>
          <w:sz w:val="20"/>
          <w:szCs w:val="20"/>
        </w:rPr>
        <w:t>.</w:t>
      </w:r>
    </w:p>
    <w:p w14:paraId="618E6AB5" w14:textId="77777777" w:rsidR="006A441C" w:rsidRPr="00A07BE9" w:rsidRDefault="006A441C" w:rsidP="009568B0">
      <w:pPr>
        <w:spacing w:after="0" w:line="276" w:lineRule="auto"/>
        <w:jc w:val="both"/>
        <w:rPr>
          <w:rFonts w:ascii="Open Sans" w:hAnsi="Open Sans" w:cs="Open Sans"/>
          <w:sz w:val="20"/>
          <w:szCs w:val="20"/>
        </w:rPr>
      </w:pPr>
    </w:p>
    <w:p w14:paraId="0D4C11E3" w14:textId="41244C49"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El artículo 18 de</w:t>
      </w:r>
      <w:r w:rsidR="00CE2DC9">
        <w:rPr>
          <w:rFonts w:ascii="Open Sans" w:eastAsia="NSimSun" w:hAnsi="Open Sans" w:cs="Arial"/>
          <w:kern w:val="2"/>
          <w:sz w:val="20"/>
          <w:szCs w:val="20"/>
          <w:lang w:eastAsia="zh-CN" w:bidi="hi-IN"/>
        </w:rPr>
        <w:t xml:space="preserve">l </w:t>
      </w:r>
      <w:hyperlink r:id="rId64" w:history="1">
        <w:r w:rsidR="001908A2" w:rsidRPr="00A07BE9">
          <w:rPr>
            <w:rStyle w:val="Hipervnculo"/>
            <w:rFonts w:ascii="Open Sans" w:eastAsia="NSimSun" w:hAnsi="Open Sans" w:cs="Arial"/>
            <w:kern w:val="2"/>
            <w:sz w:val="20"/>
            <w:szCs w:val="20"/>
            <w:lang w:eastAsia="zh-CN" w:bidi="hi-IN"/>
          </w:rPr>
          <w:t>Reglamento de funcionamiento y régimen interior</w:t>
        </w:r>
      </w:hyperlink>
      <w:r w:rsidR="001908A2" w:rsidRPr="00A07BE9">
        <w:rPr>
          <w:rStyle w:val="Hipervnculo"/>
          <w:rFonts w:ascii="Open Sans" w:eastAsia="NSimSun" w:hAnsi="Open Sans" w:cs="Arial"/>
          <w:kern w:val="2"/>
          <w:sz w:val="20"/>
          <w:szCs w:val="20"/>
          <w:lang w:eastAsia="zh-CN" w:bidi="hi-IN"/>
        </w:rPr>
        <w:t xml:space="preserve"> </w:t>
      </w:r>
      <w:r w:rsidRPr="00A07BE9">
        <w:rPr>
          <w:rFonts w:ascii="Open Sans" w:eastAsia="NSimSun" w:hAnsi="Open Sans" w:cs="Arial"/>
          <w:kern w:val="2"/>
          <w:sz w:val="20"/>
          <w:szCs w:val="20"/>
          <w:lang w:eastAsia="zh-CN" w:bidi="hi-IN"/>
        </w:rPr>
        <w:t xml:space="preserve">recoge la estructura organizativa básica de la </w:t>
      </w:r>
      <w:r w:rsidR="0001775B" w:rsidRPr="00A07BE9">
        <w:rPr>
          <w:rFonts w:ascii="Open Sans" w:eastAsia="NSimSun" w:hAnsi="Open Sans" w:cs="Arial"/>
          <w:kern w:val="2"/>
          <w:sz w:val="20"/>
          <w:szCs w:val="20"/>
          <w:lang w:eastAsia="zh-CN" w:bidi="hi-IN"/>
        </w:rPr>
        <w:t>D</w:t>
      </w:r>
      <w:r w:rsidRPr="00A07BE9">
        <w:rPr>
          <w:rFonts w:ascii="Open Sans" w:eastAsia="NSimSun" w:hAnsi="Open Sans" w:cs="Arial"/>
          <w:kern w:val="2"/>
          <w:sz w:val="20"/>
          <w:szCs w:val="20"/>
          <w:lang w:eastAsia="zh-CN" w:bidi="hi-IN"/>
        </w:rPr>
        <w:t>irección general de la Agencia, siendo el artículo 20 de dich</w:t>
      </w:r>
      <w:r w:rsidR="00CE2DC9">
        <w:rPr>
          <w:rFonts w:ascii="Open Sans" w:eastAsia="NSimSun" w:hAnsi="Open Sans" w:cs="Arial"/>
          <w:kern w:val="2"/>
          <w:sz w:val="20"/>
          <w:szCs w:val="20"/>
          <w:lang w:eastAsia="zh-CN" w:bidi="hi-IN"/>
        </w:rPr>
        <w:t>o</w:t>
      </w:r>
      <w:r w:rsidRPr="00A07BE9">
        <w:rPr>
          <w:rFonts w:ascii="Open Sans" w:eastAsia="NSimSun" w:hAnsi="Open Sans" w:cs="Arial"/>
          <w:kern w:val="2"/>
          <w:sz w:val="20"/>
          <w:szCs w:val="20"/>
          <w:lang w:eastAsia="zh-CN" w:bidi="hi-IN"/>
        </w:rPr>
        <w:t xml:space="preserve"> </w:t>
      </w:r>
      <w:r w:rsidR="001908A2" w:rsidRPr="00A07BE9">
        <w:rPr>
          <w:rFonts w:ascii="Open Sans" w:eastAsia="NSimSun" w:hAnsi="Open Sans" w:cs="Arial"/>
          <w:kern w:val="2"/>
          <w:sz w:val="20"/>
          <w:szCs w:val="20"/>
          <w:lang w:eastAsia="zh-CN" w:bidi="hi-IN"/>
        </w:rPr>
        <w:t>Reglamento</w:t>
      </w:r>
      <w:r w:rsidRPr="00A07BE9">
        <w:rPr>
          <w:rFonts w:ascii="Open Sans" w:eastAsia="NSimSun" w:hAnsi="Open Sans" w:cs="Arial"/>
          <w:kern w:val="2"/>
          <w:sz w:val="20"/>
          <w:szCs w:val="20"/>
          <w:lang w:eastAsia="zh-CN" w:bidi="hi-IN"/>
        </w:rPr>
        <w:t xml:space="preserve"> el que viene a formalizar y recopilar las funciones de la Dirección de Análisis e Investigación, entre las que cabe destacar las siguientes:</w:t>
      </w:r>
    </w:p>
    <w:p w14:paraId="3A56D6B4" w14:textId="77777777" w:rsidR="009568B0" w:rsidRPr="00A07BE9" w:rsidRDefault="009568B0" w:rsidP="009568B0">
      <w:pPr>
        <w:spacing w:after="0" w:line="276" w:lineRule="auto"/>
        <w:contextualSpacing/>
        <w:jc w:val="both"/>
        <w:rPr>
          <w:rFonts w:ascii="Open Sans" w:eastAsia="Calibri" w:hAnsi="Open Sans" w:cs="Open Sans"/>
          <w:kern w:val="2"/>
          <w:sz w:val="20"/>
          <w:szCs w:val="20"/>
          <w:lang w:eastAsia="zh-CN" w:bidi="hi-IN"/>
        </w:rPr>
      </w:pPr>
    </w:p>
    <w:p w14:paraId="30779BCC" w14:textId="77777777" w:rsidR="009568B0" w:rsidRPr="00A07BE9" w:rsidRDefault="009568B0" w:rsidP="0097167A">
      <w:pPr>
        <w:numPr>
          <w:ilvl w:val="0"/>
          <w:numId w:val="6"/>
        </w:numPr>
        <w:spacing w:after="0" w:line="276" w:lineRule="auto"/>
        <w:ind w:left="714" w:hanging="357"/>
        <w:contextualSpacing/>
        <w:jc w:val="both"/>
        <w:rPr>
          <w:rFonts w:ascii="Open Sans" w:eastAsia="Calibri" w:hAnsi="Open Sans" w:cs="Open Sans"/>
          <w:kern w:val="2"/>
          <w:sz w:val="20"/>
          <w:szCs w:val="20"/>
          <w:lang w:eastAsia="zh-CN" w:bidi="hi-IN"/>
        </w:rPr>
      </w:pPr>
      <w:r w:rsidRPr="00A07BE9">
        <w:rPr>
          <w:rFonts w:ascii="Open Sans" w:eastAsia="Times New Roman" w:hAnsi="Open Sans" w:cs="Open Sans"/>
          <w:sz w:val="20"/>
          <w:szCs w:val="20"/>
        </w:rPr>
        <w:t>Recibir y analizar las solicitudes, las denuncias y las comunicaciones presentadas por personas físicas o jurídicas, públicas o privadas, órganos o instituciones de carácter público.</w:t>
      </w:r>
    </w:p>
    <w:p w14:paraId="77A0A3DE" w14:textId="2F6E666A" w:rsidR="009568B0" w:rsidRPr="00A07BE9" w:rsidRDefault="009568B0" w:rsidP="0097167A">
      <w:pPr>
        <w:numPr>
          <w:ilvl w:val="0"/>
          <w:numId w:val="6"/>
        </w:numPr>
        <w:spacing w:after="0" w:line="276" w:lineRule="auto"/>
        <w:ind w:left="714" w:hanging="357"/>
        <w:contextualSpacing/>
        <w:jc w:val="both"/>
        <w:rPr>
          <w:rFonts w:ascii="Open Sans" w:eastAsia="Calibri" w:hAnsi="Open Sans" w:cs="Open Sans"/>
          <w:kern w:val="2"/>
          <w:sz w:val="20"/>
          <w:szCs w:val="20"/>
          <w:lang w:eastAsia="zh-CN" w:bidi="hi-IN"/>
        </w:rPr>
      </w:pPr>
      <w:r w:rsidRPr="00A07BE9">
        <w:rPr>
          <w:rFonts w:ascii="Open Sans" w:eastAsia="Times New Roman" w:hAnsi="Open Sans" w:cs="Open Sans"/>
          <w:sz w:val="20"/>
          <w:szCs w:val="20"/>
        </w:rPr>
        <w:t xml:space="preserve">Supervisar y velar por el correcto funcionamiento del </w:t>
      </w:r>
      <w:hyperlink r:id="rId65" w:history="1">
        <w:r w:rsidRPr="00A07BE9">
          <w:rPr>
            <w:rStyle w:val="Hipervnculo"/>
            <w:rFonts w:ascii="Open Sans" w:eastAsia="Times New Roman" w:hAnsi="Open Sans" w:cs="Open Sans"/>
            <w:sz w:val="20"/>
            <w:szCs w:val="20"/>
          </w:rPr>
          <w:t xml:space="preserve">Buzón de </w:t>
        </w:r>
        <w:r w:rsidR="008447AD" w:rsidRPr="00A07BE9">
          <w:rPr>
            <w:rStyle w:val="Hipervnculo"/>
            <w:rFonts w:ascii="Open Sans" w:eastAsia="Times New Roman" w:hAnsi="Open Sans" w:cs="Open Sans"/>
            <w:sz w:val="20"/>
            <w:szCs w:val="20"/>
          </w:rPr>
          <w:t>D</w:t>
        </w:r>
        <w:r w:rsidRPr="00A07BE9">
          <w:rPr>
            <w:rStyle w:val="Hipervnculo"/>
            <w:rFonts w:ascii="Open Sans" w:eastAsia="Times New Roman" w:hAnsi="Open Sans" w:cs="Open Sans"/>
            <w:sz w:val="20"/>
            <w:szCs w:val="20"/>
          </w:rPr>
          <w:t>enuncias</w:t>
        </w:r>
      </w:hyperlink>
      <w:r w:rsidRPr="00A07BE9">
        <w:rPr>
          <w:rFonts w:ascii="Open Sans" w:eastAsia="Times New Roman" w:hAnsi="Open Sans" w:cs="Open Sans"/>
          <w:sz w:val="20"/>
          <w:szCs w:val="20"/>
        </w:rPr>
        <w:t xml:space="preserve"> de la Agencia.</w:t>
      </w:r>
    </w:p>
    <w:p w14:paraId="68BB75C8" w14:textId="77777777" w:rsidR="009568B0" w:rsidRPr="00A07BE9" w:rsidRDefault="009568B0" w:rsidP="0097167A">
      <w:pPr>
        <w:numPr>
          <w:ilvl w:val="0"/>
          <w:numId w:val="6"/>
        </w:numPr>
        <w:spacing w:after="0" w:line="276" w:lineRule="auto"/>
        <w:ind w:left="714" w:hanging="357"/>
        <w:contextualSpacing/>
        <w:jc w:val="both"/>
        <w:rPr>
          <w:rFonts w:ascii="Open Sans" w:eastAsia="Calibri" w:hAnsi="Open Sans" w:cs="Open Sans"/>
          <w:kern w:val="2"/>
          <w:sz w:val="20"/>
          <w:szCs w:val="20"/>
          <w:lang w:eastAsia="zh-CN" w:bidi="hi-IN"/>
        </w:rPr>
      </w:pPr>
      <w:r w:rsidRPr="00A07BE9">
        <w:rPr>
          <w:rFonts w:ascii="Open Sans" w:eastAsia="NSimSun" w:hAnsi="Open Sans" w:cs="Arial"/>
          <w:kern w:val="2"/>
          <w:sz w:val="20"/>
          <w:szCs w:val="20"/>
          <w:lang w:eastAsia="zh-CN" w:bidi="hi-IN"/>
        </w:rPr>
        <w:t>Efectuar el análisis de la información de que tenga conocimiento que sea susceptible de dar lugar a actuaciones de investigación.</w:t>
      </w:r>
    </w:p>
    <w:p w14:paraId="7AA2567D" w14:textId="583B590A" w:rsidR="009568B0" w:rsidRPr="00A07BE9" w:rsidRDefault="009568B0" w:rsidP="0097167A">
      <w:pPr>
        <w:numPr>
          <w:ilvl w:val="0"/>
          <w:numId w:val="6"/>
        </w:numPr>
        <w:spacing w:after="0" w:line="276" w:lineRule="auto"/>
        <w:ind w:left="714" w:hanging="357"/>
        <w:contextualSpacing/>
        <w:jc w:val="both"/>
        <w:rPr>
          <w:rFonts w:ascii="Open Sans" w:eastAsia="Calibri" w:hAnsi="Open Sans" w:cs="Open Sans"/>
          <w:kern w:val="2"/>
          <w:sz w:val="20"/>
          <w:szCs w:val="20"/>
          <w:lang w:eastAsia="zh-CN" w:bidi="hi-IN"/>
        </w:rPr>
      </w:pPr>
      <w:r w:rsidRPr="00A07BE9">
        <w:rPr>
          <w:rFonts w:ascii="Open Sans" w:eastAsia="NSimSun" w:hAnsi="Open Sans" w:cs="Arial"/>
          <w:kern w:val="2"/>
          <w:sz w:val="20"/>
          <w:szCs w:val="20"/>
          <w:lang w:eastAsia="zh-CN" w:bidi="hi-IN"/>
        </w:rPr>
        <w:t xml:space="preserve">Elaborar las propuestas de iniciación de actuaciones de investigación, de remisión al órgano competente o de archivo, y someterlas a la aprobación de la </w:t>
      </w:r>
      <w:r w:rsidR="0001775B" w:rsidRPr="00A07BE9">
        <w:rPr>
          <w:rFonts w:ascii="Open Sans" w:eastAsia="NSimSun" w:hAnsi="Open Sans" w:cs="Arial"/>
          <w:kern w:val="2"/>
          <w:sz w:val="20"/>
          <w:szCs w:val="20"/>
          <w:lang w:eastAsia="zh-CN" w:bidi="hi-IN"/>
        </w:rPr>
        <w:t>Dirección de la Agencia</w:t>
      </w:r>
      <w:r w:rsidRPr="00A07BE9">
        <w:rPr>
          <w:rFonts w:ascii="Open Sans" w:eastAsia="NSimSun" w:hAnsi="Open Sans" w:cs="Arial"/>
          <w:kern w:val="2"/>
          <w:sz w:val="20"/>
          <w:szCs w:val="20"/>
          <w:lang w:eastAsia="zh-CN" w:bidi="hi-IN"/>
        </w:rPr>
        <w:t>.</w:t>
      </w:r>
    </w:p>
    <w:p w14:paraId="40DCFBA3" w14:textId="48772553" w:rsidR="009568B0" w:rsidRPr="00A07BE9" w:rsidRDefault="009568B0" w:rsidP="0097167A">
      <w:pPr>
        <w:numPr>
          <w:ilvl w:val="0"/>
          <w:numId w:val="6"/>
        </w:numPr>
        <w:spacing w:after="0" w:line="276" w:lineRule="auto"/>
        <w:ind w:left="714" w:hanging="357"/>
        <w:contextualSpacing/>
        <w:jc w:val="both"/>
        <w:rPr>
          <w:rFonts w:ascii="Open Sans" w:eastAsia="Calibri" w:hAnsi="Open Sans" w:cs="Open Sans"/>
          <w:kern w:val="2"/>
          <w:sz w:val="20"/>
          <w:szCs w:val="20"/>
          <w:lang w:eastAsia="zh-CN" w:bidi="hi-IN"/>
        </w:rPr>
      </w:pPr>
      <w:r w:rsidRPr="00A07BE9">
        <w:rPr>
          <w:rFonts w:ascii="Open Sans" w:eastAsia="NSimSun" w:hAnsi="Open Sans" w:cs="Arial"/>
          <w:kern w:val="2"/>
          <w:sz w:val="20"/>
          <w:szCs w:val="20"/>
          <w:lang w:eastAsia="zh-CN" w:bidi="hi-IN"/>
        </w:rPr>
        <w:t xml:space="preserve">Ejercer la </w:t>
      </w:r>
      <w:r w:rsidR="0001775B" w:rsidRPr="00A07BE9">
        <w:rPr>
          <w:rFonts w:ascii="Open Sans" w:eastAsia="NSimSun" w:hAnsi="Open Sans" w:cs="Arial"/>
          <w:kern w:val="2"/>
          <w:sz w:val="20"/>
          <w:szCs w:val="20"/>
          <w:lang w:eastAsia="zh-CN" w:bidi="hi-IN"/>
        </w:rPr>
        <w:t>D</w:t>
      </w:r>
      <w:r w:rsidRPr="00A07BE9">
        <w:rPr>
          <w:rFonts w:ascii="Open Sans" w:eastAsia="NSimSun" w:hAnsi="Open Sans" w:cs="Arial"/>
          <w:kern w:val="2"/>
          <w:sz w:val="20"/>
          <w:szCs w:val="20"/>
          <w:lang w:eastAsia="zh-CN" w:bidi="hi-IN"/>
        </w:rPr>
        <w:t>irección técnica superior del análisis, la investigación y la inspección.</w:t>
      </w:r>
    </w:p>
    <w:p w14:paraId="78AE6A5D" w14:textId="1148ED91" w:rsidR="009568B0" w:rsidRPr="00A07BE9" w:rsidRDefault="009568B0" w:rsidP="0097167A">
      <w:pPr>
        <w:numPr>
          <w:ilvl w:val="0"/>
          <w:numId w:val="6"/>
        </w:numPr>
        <w:spacing w:after="0" w:line="276" w:lineRule="auto"/>
        <w:ind w:left="714" w:hanging="357"/>
        <w:contextualSpacing/>
        <w:jc w:val="both"/>
        <w:rPr>
          <w:rFonts w:ascii="Open Sans" w:eastAsia="Calibri" w:hAnsi="Open Sans" w:cs="Open Sans"/>
          <w:kern w:val="2"/>
          <w:sz w:val="20"/>
          <w:szCs w:val="20"/>
          <w:lang w:eastAsia="zh-CN" w:bidi="hi-IN"/>
        </w:rPr>
      </w:pPr>
      <w:r w:rsidRPr="00A07BE9">
        <w:rPr>
          <w:rFonts w:ascii="Open Sans" w:eastAsia="NSimSun" w:hAnsi="Open Sans" w:cs="Arial"/>
          <w:kern w:val="2"/>
          <w:sz w:val="20"/>
          <w:szCs w:val="20"/>
          <w:lang w:eastAsia="zh-CN" w:bidi="hi-IN"/>
        </w:rPr>
        <w:t xml:space="preserve">Proponer a la </w:t>
      </w:r>
      <w:r w:rsidR="0001775B" w:rsidRPr="00A07BE9">
        <w:rPr>
          <w:rFonts w:ascii="Open Sans" w:eastAsia="NSimSun" w:hAnsi="Open Sans" w:cs="Arial"/>
          <w:kern w:val="2"/>
          <w:sz w:val="20"/>
          <w:szCs w:val="20"/>
          <w:lang w:eastAsia="zh-CN" w:bidi="hi-IN"/>
        </w:rPr>
        <w:t>Dirección de la Agencia</w:t>
      </w:r>
      <w:r w:rsidRPr="00A07BE9">
        <w:rPr>
          <w:rFonts w:ascii="Open Sans" w:eastAsia="NSimSun" w:hAnsi="Open Sans" w:cs="Arial"/>
          <w:kern w:val="2"/>
          <w:sz w:val="20"/>
          <w:szCs w:val="20"/>
          <w:lang w:eastAsia="zh-CN" w:bidi="hi-IN"/>
        </w:rPr>
        <w:t xml:space="preserve"> la conclusión o la reapertura de los expedientes de investigación, así como realizar el seguimiento de las actuaciones y recomendaciones adoptadas.</w:t>
      </w:r>
    </w:p>
    <w:p w14:paraId="56335CEE" w14:textId="77777777" w:rsidR="009568B0" w:rsidRPr="00A07BE9" w:rsidRDefault="009568B0" w:rsidP="0097167A">
      <w:pPr>
        <w:numPr>
          <w:ilvl w:val="0"/>
          <w:numId w:val="6"/>
        </w:numPr>
        <w:spacing w:after="0" w:line="276" w:lineRule="auto"/>
        <w:ind w:left="714" w:hanging="357"/>
        <w:contextualSpacing/>
        <w:jc w:val="both"/>
        <w:rPr>
          <w:rFonts w:ascii="Open Sans" w:eastAsia="Calibri" w:hAnsi="Open Sans" w:cs="Open Sans"/>
          <w:kern w:val="2"/>
          <w:sz w:val="20"/>
          <w:szCs w:val="20"/>
          <w:lang w:eastAsia="zh-CN" w:bidi="hi-IN"/>
        </w:rPr>
      </w:pPr>
      <w:r w:rsidRPr="00A07BE9">
        <w:rPr>
          <w:rFonts w:ascii="Open Sans" w:eastAsia="NSimSun" w:hAnsi="Open Sans" w:cs="Arial"/>
          <w:kern w:val="2"/>
          <w:sz w:val="20"/>
          <w:szCs w:val="20"/>
          <w:lang w:eastAsia="zh-CN" w:bidi="hi-IN"/>
        </w:rPr>
        <w:t>Planificar estrategias para obtener, organizar y centralizar la recogida y explotación de información que permita identificar conductas susceptibles de fraude y corrupción.</w:t>
      </w:r>
    </w:p>
    <w:p w14:paraId="0B810D13"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70DF59FB" w14:textId="00C9A984"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 xml:space="preserve">El procedimiento de investigación, que comprende la fase de análisis y la fase de investigación propiamente dicha, se establece y regula en los artículos 6 a 16 de </w:t>
      </w:r>
      <w:hyperlink r:id="rId66" w:history="1">
        <w:r w:rsidR="001B6518" w:rsidRPr="00A07BE9">
          <w:rPr>
            <w:rStyle w:val="Hipervnculo"/>
            <w:rFonts w:ascii="Open Sans" w:hAnsi="Open Sans" w:cs="Open Sans"/>
            <w:sz w:val="20"/>
            <w:szCs w:val="20"/>
          </w:rPr>
          <w:t>Ley 11/2016</w:t>
        </w:r>
      </w:hyperlink>
      <w:r w:rsidR="00077BD5" w:rsidRPr="00A07BE9">
        <w:rPr>
          <w:rFonts w:ascii="Open Sans" w:hAnsi="Open Sans" w:cs="Open Sans"/>
          <w:sz w:val="20"/>
          <w:szCs w:val="20"/>
        </w:rPr>
        <w:t>,</w:t>
      </w:r>
      <w:r w:rsidRPr="00A07BE9">
        <w:rPr>
          <w:rFonts w:ascii="Open Sans" w:eastAsia="NSimSun" w:hAnsi="Open Sans" w:cs="Arial"/>
          <w:kern w:val="2"/>
          <w:sz w:val="20"/>
          <w:szCs w:val="20"/>
          <w:lang w:eastAsia="zh-CN" w:bidi="hi-IN"/>
        </w:rPr>
        <w:t xml:space="preserve"> correspondientes al Capítulo II de dicha norma, siendo desarrollado el mismo en detalle en el Título VI del Reglamento de funcionamiento de la Agencia, comprensivo de los artículos 30 a 40, a cuyo contenido se hará referencia en apartados posteriores de la presente Memoria.</w:t>
      </w:r>
    </w:p>
    <w:p w14:paraId="6FCBD351" w14:textId="77777777" w:rsidR="00077BD5" w:rsidRPr="00A07BE9" w:rsidRDefault="00077BD5" w:rsidP="009568B0">
      <w:pPr>
        <w:spacing w:after="0" w:line="276" w:lineRule="auto"/>
        <w:jc w:val="both"/>
        <w:rPr>
          <w:rFonts w:ascii="Open Sans" w:eastAsia="NSimSun" w:hAnsi="Open Sans" w:cs="Arial"/>
          <w:kern w:val="2"/>
          <w:sz w:val="20"/>
          <w:szCs w:val="20"/>
          <w:lang w:eastAsia="zh-CN" w:bidi="hi-IN"/>
        </w:rPr>
      </w:pPr>
    </w:p>
    <w:p w14:paraId="695D630A" w14:textId="12BEB9D2"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Para el cumplimiento de dichos fines y funciones, se dotó inicialmente a la Dirección de Análisis e Investigación de la siguiente estructura interna:</w:t>
      </w:r>
    </w:p>
    <w:p w14:paraId="39EB7346" w14:textId="56A073EA" w:rsidR="00EA6AA2" w:rsidRPr="00A07BE9" w:rsidRDefault="00EA6AA2" w:rsidP="009568B0">
      <w:pPr>
        <w:spacing w:after="0" w:line="276" w:lineRule="auto"/>
        <w:jc w:val="both"/>
        <w:rPr>
          <w:rFonts w:ascii="Open Sans" w:eastAsia="NSimSun" w:hAnsi="Open Sans" w:cs="Arial"/>
          <w:kern w:val="2"/>
          <w:sz w:val="20"/>
          <w:szCs w:val="20"/>
          <w:lang w:eastAsia="zh-CN" w:bidi="hi-IN"/>
        </w:rPr>
      </w:pPr>
    </w:p>
    <w:p w14:paraId="648BC746" w14:textId="6168BE84" w:rsidR="006C4A99" w:rsidRPr="00A07BE9" w:rsidRDefault="006C4A99" w:rsidP="009568B0">
      <w:pPr>
        <w:spacing w:after="0" w:line="276" w:lineRule="auto"/>
        <w:jc w:val="both"/>
        <w:rPr>
          <w:rFonts w:ascii="Open Sans" w:eastAsia="NSimSun" w:hAnsi="Open Sans" w:cs="Arial"/>
          <w:kern w:val="2"/>
          <w:sz w:val="20"/>
          <w:szCs w:val="20"/>
          <w:lang w:eastAsia="zh-CN" w:bidi="hi-IN"/>
        </w:rPr>
      </w:pPr>
    </w:p>
    <w:p w14:paraId="0A61B1FC" w14:textId="77777777" w:rsidR="006C4A99" w:rsidRPr="00A07BE9" w:rsidRDefault="006C4A99" w:rsidP="009568B0">
      <w:pPr>
        <w:spacing w:after="0" w:line="276" w:lineRule="auto"/>
        <w:jc w:val="both"/>
        <w:rPr>
          <w:rFonts w:ascii="Open Sans" w:eastAsia="NSimSun" w:hAnsi="Open Sans" w:cs="Arial"/>
          <w:kern w:val="2"/>
          <w:sz w:val="20"/>
          <w:szCs w:val="20"/>
          <w:lang w:eastAsia="zh-CN" w:bidi="hi-IN"/>
        </w:rPr>
      </w:pPr>
    </w:p>
    <w:p w14:paraId="1FF3813A" w14:textId="5BB162E3" w:rsidR="004A5F93" w:rsidRPr="00A07BE9" w:rsidRDefault="004A5F93" w:rsidP="009568B0">
      <w:pPr>
        <w:spacing w:after="0" w:line="276" w:lineRule="auto"/>
        <w:jc w:val="both"/>
        <w:rPr>
          <w:rFonts w:ascii="Open Sans" w:eastAsia="NSimSun" w:hAnsi="Open Sans" w:cs="Arial"/>
          <w:kern w:val="2"/>
          <w:sz w:val="20"/>
          <w:szCs w:val="20"/>
          <w:lang w:eastAsia="zh-CN" w:bidi="hi-IN"/>
        </w:rPr>
      </w:pPr>
    </w:p>
    <w:p w14:paraId="3F2B8FFB" w14:textId="053F7125" w:rsidR="004A5F93" w:rsidRPr="00A07BE9" w:rsidRDefault="004A5F93" w:rsidP="009568B0">
      <w:pPr>
        <w:spacing w:after="0" w:line="276" w:lineRule="auto"/>
        <w:jc w:val="both"/>
        <w:rPr>
          <w:rFonts w:ascii="Open Sans" w:eastAsia="NSimSun" w:hAnsi="Open Sans" w:cs="Arial"/>
          <w:kern w:val="2"/>
          <w:sz w:val="20"/>
          <w:szCs w:val="20"/>
          <w:lang w:eastAsia="zh-CN" w:bidi="hi-IN"/>
        </w:rPr>
      </w:pPr>
    </w:p>
    <w:p w14:paraId="6DE44D90" w14:textId="6A808532" w:rsidR="004A5F93" w:rsidRPr="00A07BE9" w:rsidRDefault="004A5F93" w:rsidP="009568B0">
      <w:pPr>
        <w:spacing w:after="0" w:line="276" w:lineRule="auto"/>
        <w:jc w:val="both"/>
        <w:rPr>
          <w:rFonts w:ascii="Open Sans" w:eastAsia="NSimSun" w:hAnsi="Open Sans" w:cs="Arial"/>
          <w:kern w:val="2"/>
          <w:sz w:val="20"/>
          <w:szCs w:val="20"/>
          <w:lang w:eastAsia="zh-CN" w:bidi="hi-IN"/>
        </w:rPr>
      </w:pPr>
    </w:p>
    <w:p w14:paraId="5F82C0FB" w14:textId="363233A7" w:rsidR="004A5F93" w:rsidRPr="00A07BE9" w:rsidRDefault="004A5F93" w:rsidP="009568B0">
      <w:pPr>
        <w:spacing w:after="0" w:line="276" w:lineRule="auto"/>
        <w:jc w:val="both"/>
        <w:rPr>
          <w:rFonts w:ascii="Open Sans" w:eastAsia="NSimSun" w:hAnsi="Open Sans" w:cs="Arial"/>
          <w:kern w:val="2"/>
          <w:sz w:val="20"/>
          <w:szCs w:val="20"/>
          <w:lang w:eastAsia="zh-CN" w:bidi="hi-IN"/>
        </w:rPr>
      </w:pPr>
    </w:p>
    <w:p w14:paraId="785FE5FB" w14:textId="77777777" w:rsidR="00884961" w:rsidRPr="00A07BE9" w:rsidRDefault="00884961" w:rsidP="009568B0">
      <w:pPr>
        <w:spacing w:after="0" w:line="276" w:lineRule="auto"/>
        <w:jc w:val="both"/>
        <w:rPr>
          <w:rFonts w:ascii="Open Sans" w:eastAsia="NSimSun" w:hAnsi="Open Sans" w:cs="Arial"/>
          <w:kern w:val="2"/>
          <w:sz w:val="20"/>
          <w:szCs w:val="20"/>
          <w:lang w:eastAsia="zh-CN" w:bidi="hi-IN"/>
        </w:rPr>
      </w:pPr>
    </w:p>
    <w:p w14:paraId="34D49139" w14:textId="3F96892A" w:rsidR="0097167A" w:rsidRPr="00A07BE9" w:rsidRDefault="0097167A" w:rsidP="0097167A">
      <w:pPr>
        <w:spacing w:after="0" w:line="240" w:lineRule="auto"/>
        <w:jc w:val="center"/>
        <w:rPr>
          <w:rFonts w:ascii="Open Sans" w:eastAsia="NSimSun" w:hAnsi="Open Sans" w:cs="Arial"/>
          <w:b/>
          <w:bCs/>
          <w:color w:val="9D2235"/>
          <w:kern w:val="2"/>
          <w:sz w:val="24"/>
          <w:szCs w:val="24"/>
          <w:u w:val="single"/>
          <w:lang w:eastAsia="zh-CN" w:bidi="hi-IN"/>
        </w:rPr>
      </w:pPr>
      <w:r w:rsidRPr="00A07BE9">
        <w:rPr>
          <w:rFonts w:ascii="Open Sans" w:eastAsia="NSimSun" w:hAnsi="Open Sans" w:cs="Arial"/>
          <w:b/>
          <w:bCs/>
          <w:color w:val="9D2235"/>
          <w:kern w:val="2"/>
          <w:sz w:val="24"/>
          <w:szCs w:val="24"/>
          <w:u w:val="single"/>
          <w:lang w:eastAsia="zh-CN" w:bidi="hi-IN"/>
        </w:rPr>
        <w:t>ORGANIGRAMA</w:t>
      </w:r>
    </w:p>
    <w:p w14:paraId="345F1FD0" w14:textId="0EB7EE31" w:rsidR="0097167A" w:rsidRPr="00A07BE9" w:rsidRDefault="0097167A" w:rsidP="0097167A">
      <w:pPr>
        <w:spacing w:after="0" w:line="240" w:lineRule="auto"/>
        <w:jc w:val="center"/>
        <w:rPr>
          <w:rFonts w:ascii="Open Sans" w:eastAsia="NSimSun" w:hAnsi="Open Sans" w:cs="Arial"/>
          <w:i/>
          <w:iCs/>
          <w:kern w:val="2"/>
          <w:sz w:val="16"/>
          <w:szCs w:val="16"/>
          <w:lang w:eastAsia="zh-CN" w:bidi="hi-IN"/>
        </w:rPr>
      </w:pPr>
      <w:r w:rsidRPr="00A07BE9">
        <w:rPr>
          <w:rFonts w:ascii="Open Sans" w:eastAsia="NSimSun" w:hAnsi="Open Sans" w:cs="Arial"/>
          <w:i/>
          <w:iCs/>
          <w:kern w:val="2"/>
          <w:sz w:val="16"/>
          <w:szCs w:val="16"/>
          <w:lang w:eastAsia="zh-CN" w:bidi="hi-IN"/>
        </w:rPr>
        <w:t>(Inicial</w:t>
      </w:r>
      <w:r w:rsidR="00E24B87" w:rsidRPr="00A07BE9">
        <w:rPr>
          <w:rFonts w:ascii="Open Sans" w:eastAsia="NSimSun" w:hAnsi="Open Sans" w:cs="Arial"/>
          <w:i/>
          <w:iCs/>
          <w:kern w:val="2"/>
          <w:sz w:val="16"/>
          <w:szCs w:val="16"/>
          <w:lang w:eastAsia="zh-CN" w:bidi="hi-IN"/>
        </w:rPr>
        <w:t>)</w:t>
      </w:r>
    </w:p>
    <w:p w14:paraId="40544029" w14:textId="331C3823" w:rsidR="0097167A" w:rsidRPr="00A07BE9" w:rsidRDefault="0097167A" w:rsidP="0097167A">
      <w:pPr>
        <w:spacing w:after="0" w:line="240" w:lineRule="auto"/>
        <w:jc w:val="center"/>
        <w:rPr>
          <w:rFonts w:ascii="Open Sans" w:eastAsia="NSimSun" w:hAnsi="Open Sans" w:cs="Arial"/>
          <w:kern w:val="2"/>
          <w:sz w:val="24"/>
          <w:szCs w:val="24"/>
          <w:lang w:eastAsia="zh-CN" w:bidi="hi-IN"/>
        </w:rPr>
      </w:pPr>
      <w:r w:rsidRPr="00A07BE9">
        <w:rPr>
          <w:rFonts w:ascii="Open Sans" w:eastAsia="NSimSun" w:hAnsi="Open Sans" w:cs="Arial"/>
          <w:noProof/>
          <w:kern w:val="2"/>
          <w:sz w:val="24"/>
          <w:szCs w:val="24"/>
          <w:lang w:eastAsia="es-ES"/>
        </w:rPr>
        <mc:AlternateContent>
          <mc:Choice Requires="wps">
            <w:drawing>
              <wp:anchor distT="0" distB="0" distL="0" distR="0" simplePos="0" relativeHeight="251864064" behindDoc="1" locked="0" layoutInCell="1" allowOverlap="1" wp14:anchorId="7A2055DF" wp14:editId="709D6288">
                <wp:simplePos x="0" y="0"/>
                <wp:positionH relativeFrom="margin">
                  <wp:posOffset>40999</wp:posOffset>
                </wp:positionH>
                <wp:positionV relativeFrom="paragraph">
                  <wp:posOffset>14550</wp:posOffset>
                </wp:positionV>
                <wp:extent cx="5667375" cy="2735248"/>
                <wp:effectExtent l="0" t="0" r="28575" b="27305"/>
                <wp:wrapNone/>
                <wp:docPr id="207" name="Forma1"/>
                <wp:cNvGraphicFramePr/>
                <a:graphic xmlns:a="http://schemas.openxmlformats.org/drawingml/2006/main">
                  <a:graphicData uri="http://schemas.microsoft.com/office/word/2010/wordprocessingShape">
                    <wps:wsp>
                      <wps:cNvSpPr/>
                      <wps:spPr>
                        <a:xfrm>
                          <a:off x="0" y="0"/>
                          <a:ext cx="5667375" cy="2735248"/>
                        </a:xfrm>
                        <a:custGeom>
                          <a:avLst/>
                          <a:gdLst/>
                          <a:ahLst/>
                          <a:cxnLst/>
                          <a:rect l="0" t="0" r="r" b="b"/>
                          <a:pathLst>
                            <a:path w="11051" h="5535">
                              <a:moveTo>
                                <a:pt x="922" y="0"/>
                              </a:moveTo>
                              <a:lnTo>
                                <a:pt x="922" y="0"/>
                              </a:lnTo>
                              <a:cubicBezTo>
                                <a:pt x="760" y="0"/>
                                <a:pt x="601" y="43"/>
                                <a:pt x="461" y="124"/>
                              </a:cubicBezTo>
                              <a:cubicBezTo>
                                <a:pt x="321" y="205"/>
                                <a:pt x="205" y="321"/>
                                <a:pt x="124" y="461"/>
                              </a:cubicBezTo>
                              <a:cubicBezTo>
                                <a:pt x="43" y="601"/>
                                <a:pt x="0" y="760"/>
                                <a:pt x="0" y="922"/>
                              </a:cubicBezTo>
                              <a:lnTo>
                                <a:pt x="0" y="4611"/>
                              </a:lnTo>
                              <a:lnTo>
                                <a:pt x="0" y="4612"/>
                              </a:lnTo>
                              <a:cubicBezTo>
                                <a:pt x="0" y="4774"/>
                                <a:pt x="43" y="4933"/>
                                <a:pt x="124" y="5073"/>
                              </a:cubicBezTo>
                              <a:cubicBezTo>
                                <a:pt x="205" y="5213"/>
                                <a:pt x="321" y="5329"/>
                                <a:pt x="461" y="5410"/>
                              </a:cubicBezTo>
                              <a:cubicBezTo>
                                <a:pt x="601" y="5491"/>
                                <a:pt x="760" y="5534"/>
                                <a:pt x="922" y="5534"/>
                              </a:cubicBezTo>
                              <a:lnTo>
                                <a:pt x="10127" y="5534"/>
                              </a:lnTo>
                              <a:lnTo>
                                <a:pt x="10128" y="5534"/>
                              </a:lnTo>
                              <a:cubicBezTo>
                                <a:pt x="10290" y="5534"/>
                                <a:pt x="10449" y="5491"/>
                                <a:pt x="10589" y="5410"/>
                              </a:cubicBezTo>
                              <a:cubicBezTo>
                                <a:pt x="10729" y="5329"/>
                                <a:pt x="10845" y="5213"/>
                                <a:pt x="10926" y="5073"/>
                              </a:cubicBezTo>
                              <a:cubicBezTo>
                                <a:pt x="11007" y="4933"/>
                                <a:pt x="11050" y="4774"/>
                                <a:pt x="11050" y="4612"/>
                              </a:cubicBezTo>
                              <a:lnTo>
                                <a:pt x="11050" y="922"/>
                              </a:lnTo>
                              <a:lnTo>
                                <a:pt x="11050" y="922"/>
                              </a:lnTo>
                              <a:lnTo>
                                <a:pt x="11050" y="922"/>
                              </a:lnTo>
                              <a:cubicBezTo>
                                <a:pt x="11050" y="760"/>
                                <a:pt x="11007" y="601"/>
                                <a:pt x="10926" y="461"/>
                              </a:cubicBezTo>
                              <a:cubicBezTo>
                                <a:pt x="10845" y="321"/>
                                <a:pt x="10729" y="205"/>
                                <a:pt x="10589" y="124"/>
                              </a:cubicBezTo>
                              <a:cubicBezTo>
                                <a:pt x="10449" y="43"/>
                                <a:pt x="10290" y="0"/>
                                <a:pt x="10128" y="0"/>
                              </a:cubicBezTo>
                              <a:lnTo>
                                <a:pt x="922" y="0"/>
                              </a:lnTo>
                            </a:path>
                          </a:pathLst>
                        </a:custGeom>
                        <a:solidFill>
                          <a:srgbClr val="C6C6C6"/>
                        </a:solid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shape w14:anchorId="562D242F" id="Forma1" o:spid="_x0000_s1026" style="position:absolute;margin-left:3.25pt;margin-top:1.15pt;width:446.25pt;height:215.35pt;z-index:-251452416;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coordsize="11051,5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OjFRQMAAAIKAAAOAAAAZHJzL2Uyb0RvYy54bWysVm1vmzAQ/j5p/8Hi+8o7JFHTamvVfZm2&#10;Su1+gAMmQQKMbJqk+/U72xxgwqZ1qiIF23f3+O6589nXt+e6IkcmZMmbreNfeQ5hTcbzstlvnZ/P&#10;D59WDpEdbXJa8YZtnVcmndubjx+uT+2GBfzAq5wJAiCN3JzarXPounbjujI7sJrKK96yBoQFFzXt&#10;YCr2bi7oCdDryg08L3FPXOSt4BmTElbvjdC50fhFwbLuR1FI1pFq64Bvnf4X+n+n/t2ba7rZC9oe&#10;yqx3g/6HFzUtG9h0gLqnHSUvoryAqstMcMmL7irjtcuLosyYjgGi8b1ZNE8H2jIdC5Aj24Em+X6w&#10;2ffjoyBlvnUCL3VIQ2tI0oOi21fcnFq5AZWn9lH0MwlDFei5ELX6QgjkrPl8Hfhk545ksBgnSRqm&#10;sUMykAVpGAfRSqG6o3n2IruvjGsoevwmO5OQHEf0gKPs3OBQQFrnCRUOgYTuTEJb2ik75Z8akhOU&#10;pu/FvkMO4FUcxjpXNT+yZ66VOhXDOggcglGAj6O8av6mh9LsZVdmX9ivqW6aQNUhJnijN0o88AQW&#10;o7B3V69GiVn1g6gnyQa0ZwYpDIxN4MVTKDVVGyixJtRoK2S9L+xk0mBj2jNjAz4qE+XyBMkEpYK7&#10;WFQsLoEjSwbWAEDI6AmK8TtTQ0wUL7naY6ap5g/J7gOI1qHFNnIRe6leh3zbmPbMuIO8xoFvgWEa&#10;4jBYTxnBlMaRr5n6p02wOuJobXGOpQT1awWIZYvrF5sgZyYG3/MDOOmQ04kBquB3VIX+vay6xI/v&#10;BWuTBcTGLPheFK0N1CwsOJcrlLyBJd9LgWvt24x031tFpvznafK9dZAYm7dkHVqH6o1Aw0URgfPL&#10;VafazVDjWLw2ZTOuB4PxAKEGfvusvIum7csceXayRwZmfWBkVJX60rFf3GfI0LxBDUmdNTQIuS+S&#10;t3THsejsTjuWqdW/1Mkw5b58WO004LFDXSOFw6duHH3HDbeQPpHjPSd5VeYPZVWpq0eK/e6uEuRI&#10;4YVyl6hfz6OlVjVa+Y+WYZTEn/HemFjC1saU6ceQuUFdda2bi1yNdjx/1fe7XoeHhva+fxSpl8x0&#10;DuPp0+3mNwAAAP//AwBQSwMEFAAGAAgAAAAhAEXzrurdAAAABwEAAA8AAABkcnMvZG93bnJldi54&#10;bWxMjzFPwzAUhHck/oP1kNio0waiNI1TVZVQly6UCHV040ccNX4Ottuaf4+ZYDzd6e67eh3NyK7o&#10;/GBJwHyWAUPqrBqoF9C+vz6VwHyQpORoCQV8o4d1c39Xy0rZG73h9RB6lkrIV1KADmGqOPedRiP9&#10;zE5Iyfu0zsiQpOu5cvKWys3IF1lWcCMHSgtaTrjV2J0PFyPAuONx+7Ub23OkdqOLj325i3shHh/i&#10;ZgUsYAx/YfjFT+jQJKaTvZDybBRQvKSggEUOLLnlcpmenQQ853kGvKn5f/7mBwAA//8DAFBLAQIt&#10;ABQABgAIAAAAIQC2gziS/gAAAOEBAAATAAAAAAAAAAAAAAAAAAAAAABbQ29udGVudF9UeXBlc10u&#10;eG1sUEsBAi0AFAAGAAgAAAAhADj9If/WAAAAlAEAAAsAAAAAAAAAAAAAAAAALwEAAF9yZWxzLy5y&#10;ZWxzUEsBAi0AFAAGAAgAAAAhACio6MVFAwAAAgoAAA4AAAAAAAAAAAAAAAAALgIAAGRycy9lMm9E&#10;b2MueG1sUEsBAi0AFAAGAAgAAAAhAEXzrurdAAAABwEAAA8AAAAAAAAAAAAAAAAAnwUAAGRycy9k&#10;b3ducmV2LnhtbFBLBQYAAAAABAAEAPMAAACpBgAAAAA=&#10;" path="m922,r,c760,,601,43,461,124,321,205,205,321,124,461,43,601,,760,,922l,4611r,1c,4774,43,4933,124,5073v81,140,197,256,337,337c601,5491,760,5534,922,5534r9205,l10128,5534v162,,321,-43,461,-124c10729,5329,10845,5213,10926,5073v81,-140,124,-299,124,-461l11050,922r,l11050,922v,-162,-43,-321,-124,-461c10845,321,10729,205,10589,124,10449,43,10290,,10128,l922,e" fillcolor="#c6c6c6" strokecolor="#3465a4">
                <v:path arrowok="t"/>
                <w10:wrap anchorx="margin"/>
              </v:shape>
            </w:pict>
          </mc:Fallback>
        </mc:AlternateContent>
      </w:r>
      <w:r w:rsidRPr="00A07BE9">
        <w:rPr>
          <w:rFonts w:ascii="Open Sans" w:eastAsia="NSimSun" w:hAnsi="Open Sans" w:cs="Arial"/>
          <w:noProof/>
          <w:kern w:val="2"/>
          <w:sz w:val="24"/>
          <w:szCs w:val="24"/>
          <w:lang w:eastAsia="es-ES"/>
        </w:rPr>
        <mc:AlternateContent>
          <mc:Choice Requires="wps">
            <w:drawing>
              <wp:anchor distT="0" distB="0" distL="0" distR="0" simplePos="0" relativeHeight="251865088" behindDoc="0" locked="0" layoutInCell="1" allowOverlap="1" wp14:anchorId="085CF552" wp14:editId="713BF7E5">
                <wp:simplePos x="0" y="0"/>
                <wp:positionH relativeFrom="column">
                  <wp:posOffset>1463039</wp:posOffset>
                </wp:positionH>
                <wp:positionV relativeFrom="paragraph">
                  <wp:posOffset>109855</wp:posOffset>
                </wp:positionV>
                <wp:extent cx="2581275" cy="314325"/>
                <wp:effectExtent l="0" t="0" r="28575" b="28575"/>
                <wp:wrapNone/>
                <wp:docPr id="208" name="Forma1"/>
                <wp:cNvGraphicFramePr/>
                <a:graphic xmlns:a="http://schemas.openxmlformats.org/drawingml/2006/main">
                  <a:graphicData uri="http://schemas.microsoft.com/office/word/2010/wordprocessingShape">
                    <wps:wsp>
                      <wps:cNvSpPr/>
                      <wps:spPr>
                        <a:xfrm>
                          <a:off x="0" y="0"/>
                          <a:ext cx="2581275" cy="314325"/>
                        </a:xfrm>
                        <a:custGeom>
                          <a:avLst/>
                          <a:gdLst/>
                          <a:ahLst/>
                          <a:cxnLst/>
                          <a:rect l="0" t="0" r="r" b="b"/>
                          <a:pathLst>
                            <a:path w="3997" h="1048">
                              <a:moveTo>
                                <a:pt x="174" y="0"/>
                              </a:moveTo>
                              <a:lnTo>
                                <a:pt x="175" y="0"/>
                              </a:lnTo>
                              <a:cubicBezTo>
                                <a:pt x="144" y="0"/>
                                <a:pt x="114" y="8"/>
                                <a:pt x="87" y="23"/>
                              </a:cubicBezTo>
                              <a:cubicBezTo>
                                <a:pt x="61" y="39"/>
                                <a:pt x="39" y="61"/>
                                <a:pt x="23" y="87"/>
                              </a:cubicBezTo>
                              <a:cubicBezTo>
                                <a:pt x="8" y="114"/>
                                <a:pt x="0" y="144"/>
                                <a:pt x="0" y="175"/>
                              </a:cubicBezTo>
                              <a:lnTo>
                                <a:pt x="0" y="872"/>
                              </a:lnTo>
                              <a:lnTo>
                                <a:pt x="0" y="873"/>
                              </a:lnTo>
                              <a:cubicBezTo>
                                <a:pt x="0" y="903"/>
                                <a:pt x="8" y="933"/>
                                <a:pt x="23" y="960"/>
                              </a:cubicBezTo>
                              <a:cubicBezTo>
                                <a:pt x="39" y="986"/>
                                <a:pt x="61" y="1008"/>
                                <a:pt x="87" y="1024"/>
                              </a:cubicBezTo>
                              <a:cubicBezTo>
                                <a:pt x="114" y="1039"/>
                                <a:pt x="144" y="1047"/>
                                <a:pt x="175" y="1047"/>
                              </a:cubicBezTo>
                              <a:lnTo>
                                <a:pt x="3821" y="1047"/>
                              </a:lnTo>
                              <a:lnTo>
                                <a:pt x="3822" y="1047"/>
                              </a:lnTo>
                              <a:cubicBezTo>
                                <a:pt x="3852" y="1047"/>
                                <a:pt x="3882" y="1039"/>
                                <a:pt x="3909" y="1024"/>
                              </a:cubicBezTo>
                              <a:cubicBezTo>
                                <a:pt x="3935" y="1008"/>
                                <a:pt x="3957" y="986"/>
                                <a:pt x="3973" y="960"/>
                              </a:cubicBezTo>
                              <a:cubicBezTo>
                                <a:pt x="3988" y="933"/>
                                <a:pt x="3996" y="903"/>
                                <a:pt x="3996" y="873"/>
                              </a:cubicBezTo>
                              <a:lnTo>
                                <a:pt x="3996" y="174"/>
                              </a:lnTo>
                              <a:lnTo>
                                <a:pt x="3996" y="175"/>
                              </a:lnTo>
                              <a:lnTo>
                                <a:pt x="3996" y="175"/>
                              </a:lnTo>
                              <a:cubicBezTo>
                                <a:pt x="3996" y="144"/>
                                <a:pt x="3988" y="114"/>
                                <a:pt x="3973" y="87"/>
                              </a:cubicBezTo>
                              <a:cubicBezTo>
                                <a:pt x="3957" y="61"/>
                                <a:pt x="3935" y="39"/>
                                <a:pt x="3909" y="23"/>
                              </a:cubicBezTo>
                              <a:cubicBezTo>
                                <a:pt x="3882" y="8"/>
                                <a:pt x="3852" y="0"/>
                                <a:pt x="3822" y="0"/>
                              </a:cubicBezTo>
                              <a:lnTo>
                                <a:pt x="174" y="0"/>
                              </a:lnTo>
                            </a:path>
                          </a:pathLst>
                        </a:custGeom>
                        <a:solidFill>
                          <a:srgbClr val="9D2235"/>
                        </a:solidFill>
                        <a:ln>
                          <a:solidFill>
                            <a:srgbClr val="3465A4"/>
                          </a:solidFill>
                        </a:ln>
                        <a:effectLst/>
                      </wps:spPr>
                      <wps:txbx>
                        <w:txbxContent>
                          <w:p w14:paraId="5A673806" w14:textId="2875C7AE" w:rsidR="000F0D13" w:rsidRPr="00A97B43" w:rsidRDefault="000F0D13" w:rsidP="0097167A">
                            <w:pPr>
                              <w:spacing w:after="0"/>
                              <w:jc w:val="center"/>
                              <w:rPr>
                                <w:rFonts w:ascii="Open Sans" w:hAnsi="Open Sans"/>
                                <w:sz w:val="16"/>
                                <w:szCs w:val="21"/>
                              </w:rPr>
                            </w:pPr>
                            <w:r w:rsidRPr="00A97B43">
                              <w:rPr>
                                <w:rFonts w:ascii="Open Sans" w:hAnsi="Open Sans"/>
                                <w:b/>
                                <w:bCs/>
                                <w:color w:val="FFFFFF"/>
                                <w:sz w:val="16"/>
                                <w:szCs w:val="21"/>
                              </w:rPr>
                              <w:t>Direc</w:t>
                            </w:r>
                            <w:r>
                              <w:rPr>
                                <w:rFonts w:ascii="Open Sans" w:hAnsi="Open Sans"/>
                                <w:b/>
                                <w:bCs/>
                                <w:color w:val="FFFFFF"/>
                                <w:sz w:val="16"/>
                                <w:szCs w:val="21"/>
                              </w:rPr>
                              <w:t xml:space="preserve">ción </w:t>
                            </w:r>
                            <w:r w:rsidRPr="00A97B43">
                              <w:rPr>
                                <w:rFonts w:ascii="Open Sans" w:hAnsi="Open Sans"/>
                                <w:b/>
                                <w:bCs/>
                                <w:color w:val="FFFFFF"/>
                                <w:sz w:val="16"/>
                                <w:szCs w:val="21"/>
                              </w:rPr>
                              <w:t>de Análisis e Investigación</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085CF552" id="Forma1" o:spid="_x0000_s1026" style="position:absolute;left:0;text-align:left;margin-left:115.2pt;margin-top:8.65pt;width:203.25pt;height:24.75pt;z-index:2518650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3997,104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IpCTgMAAAsKAAAOAAAAZHJzL2Uyb0RvYy54bWysVttu3CAQfa/Uf0C8N77txV5lE6WNWlWq&#10;2khJP4DFeG3JNi6wl/TrO4DxGmejdqO+2DAMZ2bOzADXt8emRnsmZMXbNY6uQoxYS3letds1/vn0&#10;+UOKkVSkzUnNW7bGz0zi25v3764P3YrFvOR1zgQCkFauDt0al0p1qyCQtGQNkVe8Yy0sFlw0RMFU&#10;bINckAOgN3UQh+EiOHCRd4JTJiVI7+0ivjH4RcGo+lEUkilUrzH4psxXmO9Gf4Oba7LaCtKVFe3d&#10;IG/woiFVC0YHqHuiCNqJ6gVUU1HBJS/UFeVNwIuioszEANFE4SSax5J0zMQC5MhuoEn+P1j6ff/Y&#10;PQig4dDJlYShjuJYiEb/wT90NGQ9D2Sxo0IUhPE8jeLlHCMKa0k0S+K5ZjM47aY7qb4wbpDI/ptU&#10;luzcjUjpRvTYuqGAlE2TJTCCZG1ssjqi9D7tnh6iA1jPsiVGJdRfOEtNGhq+Z0/c6CgdQbScYeRi&#10;ABdP63Xr60FAIz23Snebin5kvz3d2QgTnLGGIitMe2eNMAXvADROeoJ8NH9mYRaR2ZFkYxiYaRhY&#10;M0RaTQDVQjBhyffR/JndAR0JGyJwdAQDvaGFENJLIST5HLbjxqJagHQZ97pu1f19LceEWz3np0XM&#10;QqPr+LXOZ4kn7DnIFqafIb0+nD+zjvRcZuliHHBPexSG5/IXhbGh558MaH4NpaGfRE2xlc9Mylxg&#10;kW4lnYLQyl8YcVT1/qexLZGRvtNw/0EzniI7jbPMpHNf33mYpKlb8ENKstBW5kUEJVniIvbZTrK5&#10;7ZdJcpJsaWv9sjynZ0sGjoyFYWVSX4M8BWN/r/pBXR8wVt1x6/6u3np7Os9vVDybLRfHpHWTrI97&#10;0ucDiRccGENC/JNnSOAr1XDBcTeUltd2iavE/pqe1PP5Zvdpn577dhV6S18d5rIarhPTcKcLS/K6&#10;yj9Xda0vESm2m0+1QHsCz4jsPo6hdG0SPbW6Ncqv7kxmi/mdq5PRTjBttzLzYrFXYXC6kPVIHTdH&#10;MKmHG54/Pwh0gFfLGstfOyIYRvXXFp4F+onjBsINNm5AWlpyePxQJcwt2fK7neJFpS9mY84i9xN4&#10;cRiG+teRftKM50br9Ia7+QMAAP//AwBQSwMEFAAGAAgAAAAhAAaqVSjfAAAACQEAAA8AAABkcnMv&#10;ZG93bnJldi54bWxMj01PwzAMhu9I/IfISNxYwgrdKE2ngcTHCYmtEhyzxjQVjVM12Vb49ZgT3Gy9&#10;j14/LleT78UBx9gF0nA5UyCQmmA7ajXU24eLJYiYDFnTB0INXxhhVZ2elKaw4UiveNikVnAJxcJo&#10;cCkNhZSxcehNnIUBibOPMHqTeB1baUdz5HLfy7lSufSmI77gzID3DpvPzd5r2AasH7/VevHint+e&#10;6vdrdWep1vr8bFrfgkg4pT8YfvVZHSp22oU92Sh6DfNMXTHKwSIDwUCe5TcgdjzkS5BVKf9/UP0A&#10;AAD//wMAUEsBAi0AFAAGAAgAAAAhALaDOJL+AAAA4QEAABMAAAAAAAAAAAAAAAAAAAAAAFtDb250&#10;ZW50X1R5cGVzXS54bWxQSwECLQAUAAYACAAAACEAOP0h/9YAAACUAQAACwAAAAAAAAAAAAAAAAAv&#10;AQAAX3JlbHMvLnJlbHNQSwECLQAUAAYACAAAACEA+piKQk4DAAALCgAADgAAAAAAAAAAAAAAAAAu&#10;AgAAZHJzL2Uyb0RvYy54bWxQSwECLQAUAAYACAAAACEABqpVKN8AAAAJAQAADwAAAAAAAAAAAAAA&#10;AACoBQAAZHJzL2Rvd25yZXYueG1sUEsFBgAAAAAEAAQA8wAAALQGAAAAAA==&#10;" adj="-11796480,,5400" path="m174,r1,c144,,114,8,87,23,61,39,39,61,23,87,8,114,,144,,175l,872r,1c,903,8,933,23,960v16,26,38,48,64,64c114,1039,144,1047,175,1047r3646,l3822,1047v30,,60,-8,87,-23c3935,1008,3957,986,3973,960v15,-27,23,-57,23,-87l3996,174r,1l3996,175v,-31,-8,-61,-23,-88c3957,61,3935,39,3909,23,3882,8,3852,,3822,l174,e" fillcolor="#9d2235" strokecolor="#3465a4">
                <v:stroke joinstyle="miter"/>
                <v:formulas/>
                <v:path arrowok="t" o:connecttype="custom" textboxrect="0,0,3997,1048"/>
                <v:textbox inset="0,0,0,0">
                  <w:txbxContent>
                    <w:p w14:paraId="5A673806" w14:textId="2875C7AE" w:rsidR="000F0D13" w:rsidRPr="00A97B43" w:rsidRDefault="000F0D13" w:rsidP="0097167A">
                      <w:pPr>
                        <w:spacing w:after="0"/>
                        <w:jc w:val="center"/>
                        <w:rPr>
                          <w:rFonts w:ascii="Open Sans" w:hAnsi="Open Sans"/>
                          <w:sz w:val="16"/>
                          <w:szCs w:val="21"/>
                        </w:rPr>
                      </w:pPr>
                      <w:r w:rsidRPr="00A97B43">
                        <w:rPr>
                          <w:rFonts w:ascii="Open Sans" w:hAnsi="Open Sans"/>
                          <w:b/>
                          <w:bCs/>
                          <w:color w:val="FFFFFF"/>
                          <w:sz w:val="16"/>
                          <w:szCs w:val="21"/>
                        </w:rPr>
                        <w:t>Direc</w:t>
                      </w:r>
                      <w:r>
                        <w:rPr>
                          <w:rFonts w:ascii="Open Sans" w:hAnsi="Open Sans"/>
                          <w:b/>
                          <w:bCs/>
                          <w:color w:val="FFFFFF"/>
                          <w:sz w:val="16"/>
                          <w:szCs w:val="21"/>
                        </w:rPr>
                        <w:t xml:space="preserve">ción </w:t>
                      </w:r>
                      <w:r w:rsidRPr="00A97B43">
                        <w:rPr>
                          <w:rFonts w:ascii="Open Sans" w:hAnsi="Open Sans"/>
                          <w:b/>
                          <w:bCs/>
                          <w:color w:val="FFFFFF"/>
                          <w:sz w:val="16"/>
                          <w:szCs w:val="21"/>
                        </w:rPr>
                        <w:t>de Análisis e Investigación</w:t>
                      </w:r>
                    </w:p>
                  </w:txbxContent>
                </v:textbox>
              </v:shape>
            </w:pict>
          </mc:Fallback>
        </mc:AlternateContent>
      </w:r>
    </w:p>
    <w:p w14:paraId="7B2E3750" w14:textId="77777777" w:rsidR="0097167A" w:rsidRPr="00A07BE9" w:rsidRDefault="0097167A" w:rsidP="0097167A">
      <w:pPr>
        <w:spacing w:after="0" w:line="240" w:lineRule="auto"/>
        <w:jc w:val="center"/>
        <w:rPr>
          <w:rFonts w:ascii="Open Sans" w:eastAsia="NSimSun" w:hAnsi="Open Sans" w:cs="Arial"/>
          <w:kern w:val="2"/>
          <w:sz w:val="24"/>
          <w:szCs w:val="24"/>
          <w:lang w:eastAsia="zh-CN" w:bidi="hi-IN"/>
        </w:rPr>
      </w:pPr>
    </w:p>
    <w:p w14:paraId="370CF0C6" w14:textId="77777777" w:rsidR="0097167A" w:rsidRPr="00A07BE9" w:rsidRDefault="0097167A" w:rsidP="0097167A">
      <w:pPr>
        <w:spacing w:after="0" w:line="240" w:lineRule="auto"/>
        <w:jc w:val="center"/>
        <w:rPr>
          <w:rFonts w:ascii="Open Sans" w:eastAsia="NSimSun" w:hAnsi="Open Sans" w:cs="Arial"/>
          <w:kern w:val="2"/>
          <w:sz w:val="24"/>
          <w:szCs w:val="24"/>
          <w:lang w:eastAsia="zh-CN" w:bidi="hi-IN"/>
        </w:rPr>
      </w:pPr>
      <w:r w:rsidRPr="00A07BE9">
        <w:rPr>
          <w:rFonts w:ascii="Open Sans" w:eastAsia="NSimSun" w:hAnsi="Open Sans" w:cs="Arial"/>
          <w:noProof/>
          <w:kern w:val="2"/>
          <w:sz w:val="24"/>
          <w:szCs w:val="24"/>
          <w:lang w:eastAsia="es-ES"/>
        </w:rPr>
        <mc:AlternateContent>
          <mc:Choice Requires="wps">
            <w:drawing>
              <wp:anchor distT="0" distB="0" distL="0" distR="0" simplePos="0" relativeHeight="251867136" behindDoc="0" locked="0" layoutInCell="1" allowOverlap="1" wp14:anchorId="24A1F35F" wp14:editId="74023BA1">
                <wp:simplePos x="0" y="0"/>
                <wp:positionH relativeFrom="column">
                  <wp:posOffset>1415415</wp:posOffset>
                </wp:positionH>
                <wp:positionV relativeFrom="paragraph">
                  <wp:posOffset>19050</wp:posOffset>
                </wp:positionV>
                <wp:extent cx="317500" cy="200025"/>
                <wp:effectExtent l="0" t="0" r="25400" b="28575"/>
                <wp:wrapNone/>
                <wp:docPr id="210" name="Forma2"/>
                <wp:cNvGraphicFramePr/>
                <a:graphic xmlns:a="http://schemas.openxmlformats.org/drawingml/2006/main">
                  <a:graphicData uri="http://schemas.microsoft.com/office/word/2010/wordprocessingShape">
                    <wps:wsp>
                      <wps:cNvCnPr/>
                      <wps:spPr>
                        <a:xfrm flipH="1">
                          <a:off x="0" y="0"/>
                          <a:ext cx="317500" cy="200025"/>
                        </a:xfrm>
                        <a:prstGeom prst="line">
                          <a:avLst/>
                        </a:prstGeom>
                        <a:no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line w14:anchorId="7EE92602" id="Forma2" o:spid="_x0000_s1026" style="position:absolute;flip:x;z-index:25186713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11.45pt,1.5pt" to="136.45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w8flwEAABwDAAAOAAAAZHJzL2Uyb0RvYy54bWysUttO4zAQfV9p/8Hy+9ZpoCyKmlYIVHhA&#10;bCXgA1zHbiz5prFp2r9n7GSrCt5W+zKam8/MOePl+mgNOUiI2ruWzmcVJdIJ32m3b+n72+bXLSUx&#10;cddx451s6UlGul79/LEcQiNr33vTSSAI4mIzhJb2KYWGsSh6aXmc+SAdFpUHyxOGsGcd8AHRrWF1&#10;Vd2wwUMXwAsZI2YfxiJdFXylpEh/lIoyEdNS3C0VC8XusmWrJW/2wEOvxbQG/4ctLNcOh56hHnji&#10;5AP0NyirBfjoVZoJb5lXSgtZOCCbefWFzWvPgyxcUJwYzjLF/wcrXg5bILpraT1HfRy3eKRNlrvO&#10;2gwhNthy77YwRTFsIRM9KrBEGR2e8OyFOpIhx6Ls6aysPCYiMHk1/72oEF9gCc9W1YuMzkaYDBcg&#10;pkfpLclOS412mThv+OE5prH1b0tOO7/RxmCeN8ZlG73RXc6VAPa7ewPkwPHqV9c3i7vradxFGw4f&#10;n8ryTaYxmfBIMXs7350Kc5YjPEHZefou+caXMfqXn3r1CQAA//8DAFBLAwQUAAYACAAAACEAi/pm&#10;0NsAAAAIAQAADwAAAGRycy9kb3ducmV2LnhtbEyPy07DMBBF90j8gzVI7KjTlIcb4lSohRVlQVux&#10;nsZuEmGPo9htw98zXcHy6F7dR7kYvRMnO8QukIbpJANhqQ6mo0bDbvt2p0DEhGTQBbIafmyERXV9&#10;VWJhwpk+7WmTGsEhFAvU0KbUF1LGurUe4yT0llg7hMFjYhwaaQY8c7h3Ms+yR+mxI25osbfL1tbf&#10;m6PXcFCz96+o1HK1WvcfUr0anLq51rc348sziGTH9GeGy3yeDhVv2ocjmSichjzP52zVMONLrOdP&#10;F94z3z+ArEr5/0D1CwAA//8DAFBLAQItABQABgAIAAAAIQC2gziS/gAAAOEBAAATAAAAAAAAAAAA&#10;AAAAAAAAAABbQ29udGVudF9UeXBlc10ueG1sUEsBAi0AFAAGAAgAAAAhADj9If/WAAAAlAEAAAsA&#10;AAAAAAAAAAAAAAAALwEAAF9yZWxzLy5yZWxzUEsBAi0AFAAGAAgAAAAhAJPzDx+XAQAAHAMAAA4A&#10;AAAAAAAAAAAAAAAALgIAAGRycy9lMm9Eb2MueG1sUEsBAi0AFAAGAAgAAAAhAIv6ZtDbAAAACAEA&#10;AA8AAAAAAAAAAAAAAAAA8QMAAGRycy9kb3ducmV2LnhtbFBLBQYAAAAABAAEAPMAAAD5BAAAAAA=&#10;" strokecolor="#3465a4"/>
            </w:pict>
          </mc:Fallback>
        </mc:AlternateContent>
      </w:r>
      <w:r w:rsidRPr="00A07BE9">
        <w:rPr>
          <w:rFonts w:ascii="Open Sans" w:eastAsia="NSimSun" w:hAnsi="Open Sans" w:cs="Arial"/>
          <w:noProof/>
          <w:kern w:val="2"/>
          <w:sz w:val="24"/>
          <w:szCs w:val="24"/>
          <w:lang w:eastAsia="es-ES"/>
        </w:rPr>
        <mc:AlternateContent>
          <mc:Choice Requires="wps">
            <w:drawing>
              <wp:anchor distT="0" distB="0" distL="0" distR="0" simplePos="0" relativeHeight="251878400" behindDoc="0" locked="0" layoutInCell="1" allowOverlap="1" wp14:anchorId="14B69191" wp14:editId="3AFB27BD">
                <wp:simplePos x="0" y="0"/>
                <wp:positionH relativeFrom="column">
                  <wp:posOffset>2739390</wp:posOffset>
                </wp:positionH>
                <wp:positionV relativeFrom="paragraph">
                  <wp:posOffset>9525</wp:posOffset>
                </wp:positionV>
                <wp:extent cx="28575" cy="228600"/>
                <wp:effectExtent l="0" t="0" r="28575" b="19050"/>
                <wp:wrapNone/>
                <wp:docPr id="209" name="Forma4"/>
                <wp:cNvGraphicFramePr/>
                <a:graphic xmlns:a="http://schemas.openxmlformats.org/drawingml/2006/main">
                  <a:graphicData uri="http://schemas.microsoft.com/office/word/2010/wordprocessingShape">
                    <wps:wsp>
                      <wps:cNvCnPr/>
                      <wps:spPr>
                        <a:xfrm>
                          <a:off x="0" y="0"/>
                          <a:ext cx="28575" cy="228600"/>
                        </a:xfrm>
                        <a:prstGeom prst="line">
                          <a:avLst/>
                        </a:prstGeom>
                        <a:no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line w14:anchorId="03076102" id="Forma4" o:spid="_x0000_s1026" style="position:absolute;z-index:25187840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215.7pt,.75pt" to="217.95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mVjkQEAABEDAAAOAAAAZHJzL2Uyb0RvYy54bWysUttuEzEQfUfqP1h+J94uTQirbCrUKn1B&#10;EAn4AMdrZy35phk3m/w9YyekEbwhXsaei8/MOePV49E7dtCANoae388aznRQcbBh3/OfPzbvl5xh&#10;lmGQLgbd85NG/ri+e7eaUqfbOEY3aGAEErCbUs/HnFMnBKpRe4mzmHSgpIngZSYX9mIAORG6d6Jt&#10;moWYIgwJotKIFH0+J/m64hujVf5mDOrMXM9ptlwtVLsrVqxXstuDTKNVlzHkP0zhpQ3U9Ar1LLNk&#10;r2D/gvJWQcRo8kxFL6IxVunKgdjcN3+w+T7KpCsXEgfTVSb8f7Dq62ELzA49b5tPnAXpaUmbIvdD&#10;0WZK2FHJU9jCxcO0hUL0aMCXkyiwY9XzdNVTHzNTFGyX849zzhRl2na5aKrc4u1tAswvOnpWLj13&#10;NhS2spOHL5ipH5X+LinhEDfWuboxF0oAo7NDiVUH9rsnB+wgadUfHhbzz5UBYdyUkXd+quvfuLQp&#10;LM+8ym0Xh1OlK4pHutdBLn+kLPbWp/vtT17/AgAA//8DAFBLAwQUAAYACAAAACEA8FsY4t0AAAAI&#10;AQAADwAAAGRycy9kb3ducmV2LnhtbEyPQU7DMBBF90jcwRokdtRpk9AS4lQtVSUkuqH0ANN4iCPi&#10;cRS7Tbg9ZgXL0fv6/025nmwnrjT41rGC+SwBQVw73XKj4PSxf1iB8AFZY+eYFHyTh3V1e1Niod3I&#10;73Q9hkbEEvYFKjAh9IWUvjZk0c9cTxzZpxsshngOjdQDjrHcdnKRJI/SYstxwWBPL4bqr+PFKtjy&#10;drPf6R2aBY2vb8lhmORhqdT93bR5BhFoCn9h+NWP6lBFp7O7sPaiU5Cl8yxGI8hBRJ6l+ROIs4J0&#10;mYOsSvn/geoHAAD//wMAUEsBAi0AFAAGAAgAAAAhALaDOJL+AAAA4QEAABMAAAAAAAAAAAAAAAAA&#10;AAAAAFtDb250ZW50X1R5cGVzXS54bWxQSwECLQAUAAYACAAAACEAOP0h/9YAAACUAQAACwAAAAAA&#10;AAAAAAAAAAAvAQAAX3JlbHMvLnJlbHNQSwECLQAUAAYACAAAACEAeL5lY5EBAAARAwAADgAAAAAA&#10;AAAAAAAAAAAuAgAAZHJzL2Uyb0RvYy54bWxQSwECLQAUAAYACAAAACEA8FsY4t0AAAAIAQAADwAA&#10;AAAAAAAAAAAAAADrAwAAZHJzL2Rvd25yZXYueG1sUEsFBgAAAAAEAAQA8wAAAPUEAAAAAA==&#10;" strokecolor="#3465a4"/>
            </w:pict>
          </mc:Fallback>
        </mc:AlternateContent>
      </w:r>
      <w:r w:rsidRPr="00A07BE9">
        <w:rPr>
          <w:rFonts w:ascii="Open Sans" w:eastAsia="NSimSun" w:hAnsi="Open Sans" w:cs="Arial"/>
          <w:noProof/>
          <w:kern w:val="2"/>
          <w:sz w:val="24"/>
          <w:szCs w:val="24"/>
          <w:lang w:eastAsia="es-ES"/>
        </w:rPr>
        <mc:AlternateContent>
          <mc:Choice Requires="wps">
            <w:drawing>
              <wp:anchor distT="0" distB="0" distL="0" distR="0" simplePos="0" relativeHeight="251868160" behindDoc="0" locked="0" layoutInCell="1" allowOverlap="1" wp14:anchorId="5030631D" wp14:editId="6B572720">
                <wp:simplePos x="0" y="0"/>
                <wp:positionH relativeFrom="column">
                  <wp:posOffset>3837940</wp:posOffset>
                </wp:positionH>
                <wp:positionV relativeFrom="paragraph">
                  <wp:posOffset>7620</wp:posOffset>
                </wp:positionV>
                <wp:extent cx="377190" cy="280035"/>
                <wp:effectExtent l="0" t="0" r="22860" b="24765"/>
                <wp:wrapNone/>
                <wp:docPr id="4" name="Forma4"/>
                <wp:cNvGraphicFramePr/>
                <a:graphic xmlns:a="http://schemas.openxmlformats.org/drawingml/2006/main">
                  <a:graphicData uri="http://schemas.microsoft.com/office/word/2010/wordprocessingShape">
                    <wps:wsp>
                      <wps:cNvCnPr/>
                      <wps:spPr>
                        <a:xfrm>
                          <a:off x="0" y="0"/>
                          <a:ext cx="377190" cy="280035"/>
                        </a:xfrm>
                        <a:prstGeom prst="line">
                          <a:avLst/>
                        </a:prstGeom>
                        <a:noFill/>
                        <a:ln>
                          <a:solidFill>
                            <a:srgbClr val="3465A4"/>
                          </a:solidFill>
                        </a:ln>
                        <a:effectLst/>
                      </wps:spPr>
                      <wps:bodyPr/>
                    </wps:wsp>
                  </a:graphicData>
                </a:graphic>
              </wp:anchor>
            </w:drawing>
          </mc:Choice>
          <mc:Fallback>
            <w:pict>
              <v:line w14:anchorId="1C810E32" id="Forma4" o:spid="_x0000_s1026" style="position:absolute;z-index:251868160;visibility:visible;mso-wrap-style:square;mso-wrap-distance-left:0;mso-wrap-distance-top:0;mso-wrap-distance-right:0;mso-wrap-distance-bottom:0;mso-position-horizontal:absolute;mso-position-horizontal-relative:text;mso-position-vertical:absolute;mso-position-vertical-relative:text" from="302.2pt,.6pt" to="331.9pt,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WKckAEAABADAAAOAAAAZHJzL2Uyb0RvYy54bWysUsluGzEMvQfoPwi61xov2QYeB0EC9xK0&#10;Btp+AK2RPAK0gVI99t+Xkh3XaG5FL5S46JHvUcung7NsrzCZ4Ds+nTScKS9Db/yu4z9/rD8/cJYy&#10;+B5s8KrjR5X40+rTzXKMrZqFIdheISMQn9oxdnzIObZCJDkoB2kSovKU1AEdZHJxJ3qEkdCdFbOm&#10;uRNjwD5ikColir6eknxV8bVWMn/TOqnMbMdptlwtVrstVqyW0O4Q4mDkeQz4hykcGE9NL1CvkIH9&#10;QvMByhmJIQWdJzI4EbQ2UlUOxGba/MXm+wBRVS4kTooXmdL/g5Vf9xtkpu/4gjMPjla0LmIvijJj&#10;TC0VvPgNnr0UN1hoHjS6chIBdqhqHi9qqkNmkoLz+/vpI2kuKTV7aJr5bcEUfx5HTPmLCo6VS8et&#10;8YUstLB/S/lU+l5Swj6sjbUUh9b6YlOwpi+x6uBu+2KR7YE2PV/c3T5XCtTuqoy801NVv8a5TaF5&#10;IlZu29AfK19RPJK9znz+ImWv1z7drz/y6jcAAAD//wMAUEsDBBQABgAIAAAAIQDtexXl3AAAAAgB&#10;AAAPAAAAZHJzL2Rvd25yZXYueG1sTI9BTsMwEEX3SNzBGiR21CYNAYU4VUtVCYluKBzAjYc4Ih5H&#10;sduE2zOs6HL0vv68X61m34szjrELpOF+oUAgNcF21Gr4/NjdPYGIyZA1fSDU8IMRVvX1VWVKGyZ6&#10;x/MhtYJLKJZGg0tpKKWMjUNv4iIMSMy+wuhN4nNspR3NxOW+l5lShfSmI/7gzIAvDpvvw8lr2NBm&#10;vdvarXEZTq9vaj/Ocv+o9e3NvH4GkXBO/2H402d1qNnpGE5ko+g1FCrPOcogA8G8KJY85aghf1iC&#10;rCt5OaD+BQAA//8DAFBLAQItABQABgAIAAAAIQC2gziS/gAAAOEBAAATAAAAAAAAAAAAAAAAAAAA&#10;AABbQ29udGVudF9UeXBlc10ueG1sUEsBAi0AFAAGAAgAAAAhADj9If/WAAAAlAEAAAsAAAAAAAAA&#10;AAAAAAAALwEAAF9yZWxzLy5yZWxzUEsBAi0AFAAGAAgAAAAhAAU9YpyQAQAAEAMAAA4AAAAAAAAA&#10;AAAAAAAALgIAAGRycy9lMm9Eb2MueG1sUEsBAi0AFAAGAAgAAAAhAO17FeXcAAAACAEAAA8AAAAA&#10;AAAAAAAAAAAA6gMAAGRycy9kb3ducmV2LnhtbFBLBQYAAAAABAAEAPMAAADzBAAAAAA=&#10;" strokecolor="#3465a4"/>
            </w:pict>
          </mc:Fallback>
        </mc:AlternateContent>
      </w:r>
    </w:p>
    <w:p w14:paraId="067DA763" w14:textId="77777777" w:rsidR="0097167A" w:rsidRPr="00A07BE9" w:rsidRDefault="0097167A" w:rsidP="0097167A">
      <w:pPr>
        <w:spacing w:after="0" w:line="240" w:lineRule="auto"/>
        <w:jc w:val="center"/>
        <w:rPr>
          <w:rFonts w:ascii="Open Sans" w:eastAsia="NSimSun" w:hAnsi="Open Sans" w:cs="Arial"/>
          <w:kern w:val="2"/>
          <w:sz w:val="24"/>
          <w:szCs w:val="24"/>
          <w:lang w:eastAsia="zh-CN" w:bidi="hi-IN"/>
        </w:rPr>
      </w:pPr>
      <w:r w:rsidRPr="00A07BE9">
        <w:rPr>
          <w:rFonts w:ascii="Open Sans" w:eastAsia="NSimSun" w:hAnsi="Open Sans" w:cs="Arial"/>
          <w:noProof/>
          <w:kern w:val="2"/>
          <w:sz w:val="24"/>
          <w:szCs w:val="24"/>
          <w:lang w:eastAsia="es-ES"/>
        </w:rPr>
        <mc:AlternateContent>
          <mc:Choice Requires="wps">
            <w:drawing>
              <wp:anchor distT="0" distB="0" distL="0" distR="0" simplePos="0" relativeHeight="251877376" behindDoc="0" locked="0" layoutInCell="1" allowOverlap="1" wp14:anchorId="0984DD6E" wp14:editId="492F8087">
                <wp:simplePos x="0" y="0"/>
                <wp:positionH relativeFrom="margin">
                  <wp:align>right</wp:align>
                </wp:positionH>
                <wp:positionV relativeFrom="paragraph">
                  <wp:posOffset>11430</wp:posOffset>
                </wp:positionV>
                <wp:extent cx="1466850" cy="495300"/>
                <wp:effectExtent l="0" t="0" r="19050" b="19050"/>
                <wp:wrapNone/>
                <wp:docPr id="211" name="Forma1"/>
                <wp:cNvGraphicFramePr/>
                <a:graphic xmlns:a="http://schemas.openxmlformats.org/drawingml/2006/main">
                  <a:graphicData uri="http://schemas.microsoft.com/office/word/2010/wordprocessingShape">
                    <wps:wsp>
                      <wps:cNvSpPr/>
                      <wps:spPr>
                        <a:xfrm>
                          <a:off x="0" y="0"/>
                          <a:ext cx="1466850" cy="495300"/>
                        </a:xfrm>
                        <a:custGeom>
                          <a:avLst/>
                          <a:gdLst/>
                          <a:ahLst/>
                          <a:cxnLst/>
                          <a:rect l="0" t="0" r="r" b="b"/>
                          <a:pathLst>
                            <a:path w="2598" h="716">
                              <a:moveTo>
                                <a:pt x="119" y="0"/>
                              </a:moveTo>
                              <a:lnTo>
                                <a:pt x="119" y="0"/>
                              </a:lnTo>
                              <a:cubicBezTo>
                                <a:pt x="98" y="0"/>
                                <a:pt x="78" y="6"/>
                                <a:pt x="60" y="16"/>
                              </a:cubicBezTo>
                              <a:cubicBezTo>
                                <a:pt x="41" y="26"/>
                                <a:pt x="26" y="41"/>
                                <a:pt x="16" y="60"/>
                              </a:cubicBezTo>
                              <a:cubicBezTo>
                                <a:pt x="6" y="78"/>
                                <a:pt x="0" y="98"/>
                                <a:pt x="0" y="119"/>
                              </a:cubicBezTo>
                              <a:lnTo>
                                <a:pt x="0" y="595"/>
                              </a:lnTo>
                              <a:lnTo>
                                <a:pt x="0" y="596"/>
                              </a:lnTo>
                              <a:cubicBezTo>
                                <a:pt x="0" y="617"/>
                                <a:pt x="6" y="637"/>
                                <a:pt x="16" y="655"/>
                              </a:cubicBezTo>
                              <a:cubicBezTo>
                                <a:pt x="26" y="674"/>
                                <a:pt x="41" y="689"/>
                                <a:pt x="60" y="699"/>
                              </a:cubicBezTo>
                              <a:cubicBezTo>
                                <a:pt x="78" y="709"/>
                                <a:pt x="98" y="715"/>
                                <a:pt x="119" y="715"/>
                              </a:cubicBezTo>
                              <a:lnTo>
                                <a:pt x="2477" y="715"/>
                              </a:lnTo>
                              <a:lnTo>
                                <a:pt x="2478" y="715"/>
                              </a:lnTo>
                              <a:cubicBezTo>
                                <a:pt x="2499" y="715"/>
                                <a:pt x="2519" y="709"/>
                                <a:pt x="2537" y="699"/>
                              </a:cubicBezTo>
                              <a:cubicBezTo>
                                <a:pt x="2556" y="689"/>
                                <a:pt x="2571" y="674"/>
                                <a:pt x="2581" y="655"/>
                              </a:cubicBezTo>
                              <a:cubicBezTo>
                                <a:pt x="2591" y="637"/>
                                <a:pt x="2597" y="617"/>
                                <a:pt x="2597" y="596"/>
                              </a:cubicBezTo>
                              <a:lnTo>
                                <a:pt x="2597" y="119"/>
                              </a:lnTo>
                              <a:lnTo>
                                <a:pt x="2597" y="119"/>
                              </a:lnTo>
                              <a:lnTo>
                                <a:pt x="2597" y="119"/>
                              </a:lnTo>
                              <a:cubicBezTo>
                                <a:pt x="2597" y="98"/>
                                <a:pt x="2591" y="78"/>
                                <a:pt x="2581" y="60"/>
                              </a:cubicBezTo>
                              <a:cubicBezTo>
                                <a:pt x="2571" y="41"/>
                                <a:pt x="2556" y="26"/>
                                <a:pt x="2537" y="16"/>
                              </a:cubicBezTo>
                              <a:cubicBezTo>
                                <a:pt x="2519" y="6"/>
                                <a:pt x="2499" y="0"/>
                                <a:pt x="2478" y="0"/>
                              </a:cubicBezTo>
                              <a:lnTo>
                                <a:pt x="119" y="0"/>
                              </a:lnTo>
                            </a:path>
                          </a:pathLst>
                        </a:custGeom>
                        <a:solidFill>
                          <a:srgbClr val="EC8F89"/>
                        </a:solidFill>
                        <a:ln>
                          <a:solidFill>
                            <a:srgbClr val="3465A4"/>
                          </a:solidFill>
                        </a:ln>
                        <a:effectLst/>
                      </wps:spPr>
                      <wps:txbx>
                        <w:txbxContent>
                          <w:p w14:paraId="44DD2B0D" w14:textId="77777777" w:rsidR="000F0D13" w:rsidRPr="00A97B43" w:rsidRDefault="000F0D13" w:rsidP="0097167A">
                            <w:pPr>
                              <w:spacing w:after="0"/>
                              <w:jc w:val="center"/>
                              <w:rPr>
                                <w:rFonts w:ascii="Open Sans" w:hAnsi="Open Sans" w:cs="Open Sans"/>
                              </w:rPr>
                            </w:pPr>
                            <w:r w:rsidRPr="00A97B43">
                              <w:rPr>
                                <w:rFonts w:ascii="Open Sans" w:hAnsi="Open Sans" w:cs="Open Sans"/>
                                <w:b/>
                                <w:bCs/>
                                <w:color w:val="FFFFFF"/>
                                <w:sz w:val="16"/>
                                <w:szCs w:val="16"/>
                                <w:u w:val="single"/>
                              </w:rPr>
                              <w:t>Servicio de Generalitat y</w:t>
                            </w:r>
                          </w:p>
                          <w:p w14:paraId="73C968A3" w14:textId="77777777" w:rsidR="000F0D13" w:rsidRPr="00A97B43" w:rsidRDefault="000F0D13" w:rsidP="0097167A">
                            <w:pPr>
                              <w:spacing w:after="0"/>
                              <w:jc w:val="center"/>
                              <w:rPr>
                                <w:rFonts w:ascii="Open Sans" w:hAnsi="Open Sans" w:cs="Open Sans"/>
                              </w:rPr>
                            </w:pPr>
                            <w:r w:rsidRPr="00A97B43">
                              <w:rPr>
                                <w:rFonts w:ascii="Open Sans" w:hAnsi="Open Sans" w:cs="Open Sans"/>
                                <w:b/>
                                <w:bCs/>
                                <w:color w:val="FFFFFF"/>
                                <w:sz w:val="16"/>
                                <w:szCs w:val="16"/>
                                <w:u w:val="single"/>
                              </w:rPr>
                              <w:t>Sector Público Autonómico</w:t>
                            </w:r>
                          </w:p>
                          <w:p w14:paraId="10C02A08" w14:textId="6358E184" w:rsidR="000F0D13" w:rsidRPr="00A97B43" w:rsidRDefault="000F0D13" w:rsidP="0097167A">
                            <w:pPr>
                              <w:spacing w:after="0"/>
                              <w:jc w:val="center"/>
                              <w:rPr>
                                <w:rFonts w:ascii="Open Sans" w:hAnsi="Open Sans" w:cs="Open Sans"/>
                              </w:rPr>
                            </w:pPr>
                            <w:r>
                              <w:rPr>
                                <w:rFonts w:ascii="Open Sans" w:hAnsi="Open Sans" w:cs="Open Sans"/>
                                <w:b/>
                                <w:bCs/>
                                <w:color w:val="FFFFFF"/>
                                <w:sz w:val="16"/>
                                <w:szCs w:val="16"/>
                              </w:rPr>
                              <w:t>j</w:t>
                            </w:r>
                            <w:r w:rsidRPr="00A97B43">
                              <w:rPr>
                                <w:rFonts w:ascii="Open Sans" w:hAnsi="Open Sans" w:cs="Open Sans"/>
                                <w:b/>
                                <w:bCs/>
                                <w:color w:val="FFFFFF"/>
                                <w:sz w:val="16"/>
                                <w:szCs w:val="16"/>
                              </w:rPr>
                              <w:t>efe</w:t>
                            </w:r>
                            <w:r>
                              <w:rPr>
                                <w:rFonts w:ascii="Open Sans" w:hAnsi="Open Sans" w:cs="Open Sans"/>
                                <w:b/>
                                <w:bCs/>
                                <w:color w:val="FFFFFF"/>
                                <w:sz w:val="16"/>
                                <w:szCs w:val="16"/>
                              </w:rPr>
                              <w:t>/a</w:t>
                            </w:r>
                            <w:r w:rsidRPr="00A97B43">
                              <w:rPr>
                                <w:rFonts w:ascii="Open Sans" w:hAnsi="Open Sans" w:cs="Open Sans"/>
                                <w:b/>
                                <w:bCs/>
                                <w:color w:val="FFFFFF"/>
                                <w:sz w:val="16"/>
                                <w:szCs w:val="16"/>
                              </w:rPr>
                              <w:t xml:space="preserve"> de Servicio</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0984DD6E" id="_x0000_s1027" style="position:absolute;left:0;text-align:left;margin-left:64.3pt;margin-top:.9pt;width:115.5pt;height:39pt;z-index:251877376;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margin;mso-height-relative:margin;v-text-anchor:middle" coordsize="2598,71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S0QRQMAAP4JAAAOAAAAZHJzL2Uyb0RvYy54bWysVm1vmzAQ/j5p/8Hi+0qgAZKopOq6dZo0&#10;bZXa/QDHmIIEmNnOS/frd36DmGRTO/UL2Ofz47vnzne+uj60DdpRLmrW5UF0MQsQ7Qgr6u4pD34+&#10;3n1YBEhI3BW4YR3Ng2cqguv1+3dX+35FY1axpqAcAUgnVvs+Dyop+1UYClLRFosL1tMOFkvGWyxh&#10;yp/CguM9oLdNGM9mabhnvOg5I1QIkH4yi8Fa45clJfJHWQoqUZMHYJvUX66/G/UN11d49cRxX9XE&#10;moH/w4oW1x0cOkB9whKjLa9PoNqacCZYKS8Ia0NWljWh2gfwJppNvHmocE+1L0CO6AeaxNvBku+7&#10;h/6eAw37XqwEDJUXh5K36g/2oYMm63kgix4kIiCM5mm6SIBTAmvzZXI502yG426yFfILZRoJ774J&#10;acgu3AhXbkQOnRtyCNk0WDxAEKyNCVaPpdqnzFNDtM+DOFlCmlV5kEWpjkLLdvSRaRWpHIiiZYCc&#10;C2DhuN50/9Jzq2S7qclH+vtYVx3pIMEUfU5mZKm1VMtSoAj0wDJwH872sfyZQZlHekfswcBMwcCa&#10;ZtFoAqgSwhEvxTYbwM4jFGMg+HMiU7ydQ3a8GCvM/mSZWF236v6+luPBrZ5jwCCmUXZskvX10hM6&#10;BhJ3uA/nz4whlsk0mx+jW9LThfbYBdQGL12e5+EcvM2BbOYB2WzJIm2ng3d5acUn2eE4sobPs0zH&#10;e1R3Cu4/KJpEPFU8Z3E8B/dUHk2sixN7bSa+xAnEQOfdK2iJk8QG0Gc4TjKT7pN4xMnCyl8T2mRp&#10;N/lZAgXCWhx52TPIk6VLS5+gCa8OZrwXTsH9bQDeQNE3ZILrX1Zww7jt3+uRwpfXhyEcfqEZojcp&#10;Si4TXlHdhqzyy5vLQduSJ4l83gGfdHeZnK5ZhTul2oQuvUPr0BdtbE6CNXVxVzeN6hiCP21uG452&#10;GJ4Mn28XdyZfYYun1nRa+a87L+dpcqMrjL8TZmYr1a8T0/bCsfmqkTxsDqguoGmoCqUkG1Y833O0&#10;h4dKHohfW8xpgJqvHbwEoFZKN+BusHED3JGKwXuHSK47Y8dutpKVterF+lSDbCfwyNBE2QeResUc&#10;z7XW+Gxb/wEAAP//AwBQSwMEFAAGAAgAAAAhANvyLkjZAAAABQEAAA8AAABkcnMvZG93bnJldi54&#10;bWxMj81OwzAQhO9IvIO1SNyo0yKVEOJUBSkHDhz68wCbeJtEtddR7Lbh7VlOcJyd1cw35Wb2Tl1p&#10;ikNgA8tFBoq4DXbgzsDxUD/loGJCtugCk4FvirCp7u9KLGy48Y6u+9QpCeFYoIE+pbHQOrY9eYyL&#10;MBKLdwqTxyRy6rSd8Cbh3ulVlq21x4GloceRPnpqz/uLNzBvbZ6+3LmuP9fjscmjtu+7kzGPD/P2&#10;DVSiOf09wy++oEMlTE24sI3KGZAhSa6CL+bqeSm6MfDymoOuSv2fvvoBAAD//wMAUEsBAi0AFAAG&#10;AAgAAAAhALaDOJL+AAAA4QEAABMAAAAAAAAAAAAAAAAAAAAAAFtDb250ZW50X1R5cGVzXS54bWxQ&#10;SwECLQAUAAYACAAAACEAOP0h/9YAAACUAQAACwAAAAAAAAAAAAAAAAAvAQAAX3JlbHMvLnJlbHNQ&#10;SwECLQAUAAYACAAAACEAQR0tEEUDAAD+CQAADgAAAAAAAAAAAAAAAAAuAgAAZHJzL2Uyb0RvYy54&#10;bWxQSwECLQAUAAYACAAAACEA2/IuSNkAAAAFAQAADwAAAAAAAAAAAAAAAACfBQAAZHJzL2Rvd25y&#10;ZXYueG1sUEsFBgAAAAAEAAQA8wAAAKUGAAAAAA==&#10;" adj="-11796480,,5400" path="m119,r,c98,,78,6,60,16,41,26,26,41,16,60,6,78,,98,,119l,595r,1c,617,6,637,16,655v10,19,25,34,44,44c78,709,98,715,119,715r2358,l2478,715v21,,41,-6,59,-16c2556,689,2571,674,2581,655v10,-18,16,-38,16,-59l2597,119r,l2597,119v,-21,-6,-41,-16,-59c2571,41,2556,26,2537,16,2519,6,2499,,2478,l119,e" fillcolor="#ec8f89" strokecolor="#3465a4">
                <v:stroke joinstyle="miter"/>
                <v:formulas/>
                <v:path arrowok="t" o:connecttype="custom" textboxrect="0,0,2598,716"/>
                <v:textbox inset="0,0,0,0">
                  <w:txbxContent>
                    <w:p w14:paraId="44DD2B0D" w14:textId="77777777" w:rsidR="000F0D13" w:rsidRPr="00A97B43" w:rsidRDefault="000F0D13" w:rsidP="0097167A">
                      <w:pPr>
                        <w:spacing w:after="0"/>
                        <w:jc w:val="center"/>
                        <w:rPr>
                          <w:rFonts w:ascii="Open Sans" w:hAnsi="Open Sans" w:cs="Open Sans"/>
                        </w:rPr>
                      </w:pPr>
                      <w:r w:rsidRPr="00A97B43">
                        <w:rPr>
                          <w:rFonts w:ascii="Open Sans" w:hAnsi="Open Sans" w:cs="Open Sans"/>
                          <w:b/>
                          <w:bCs/>
                          <w:color w:val="FFFFFF"/>
                          <w:sz w:val="16"/>
                          <w:szCs w:val="16"/>
                          <w:u w:val="single"/>
                        </w:rPr>
                        <w:t>Servicio de Generalitat y</w:t>
                      </w:r>
                    </w:p>
                    <w:p w14:paraId="73C968A3" w14:textId="77777777" w:rsidR="000F0D13" w:rsidRPr="00A97B43" w:rsidRDefault="000F0D13" w:rsidP="0097167A">
                      <w:pPr>
                        <w:spacing w:after="0"/>
                        <w:jc w:val="center"/>
                        <w:rPr>
                          <w:rFonts w:ascii="Open Sans" w:hAnsi="Open Sans" w:cs="Open Sans"/>
                        </w:rPr>
                      </w:pPr>
                      <w:r w:rsidRPr="00A97B43">
                        <w:rPr>
                          <w:rFonts w:ascii="Open Sans" w:hAnsi="Open Sans" w:cs="Open Sans"/>
                          <w:b/>
                          <w:bCs/>
                          <w:color w:val="FFFFFF"/>
                          <w:sz w:val="16"/>
                          <w:szCs w:val="16"/>
                          <w:u w:val="single"/>
                        </w:rPr>
                        <w:t>Sector Público Autonómico</w:t>
                      </w:r>
                    </w:p>
                    <w:p w14:paraId="10C02A08" w14:textId="6358E184" w:rsidR="000F0D13" w:rsidRPr="00A97B43" w:rsidRDefault="000F0D13" w:rsidP="0097167A">
                      <w:pPr>
                        <w:spacing w:after="0"/>
                        <w:jc w:val="center"/>
                        <w:rPr>
                          <w:rFonts w:ascii="Open Sans" w:hAnsi="Open Sans" w:cs="Open Sans"/>
                        </w:rPr>
                      </w:pPr>
                      <w:r>
                        <w:rPr>
                          <w:rFonts w:ascii="Open Sans" w:hAnsi="Open Sans" w:cs="Open Sans"/>
                          <w:b/>
                          <w:bCs/>
                          <w:color w:val="FFFFFF"/>
                          <w:sz w:val="16"/>
                          <w:szCs w:val="16"/>
                        </w:rPr>
                        <w:t>j</w:t>
                      </w:r>
                      <w:r w:rsidRPr="00A97B43">
                        <w:rPr>
                          <w:rFonts w:ascii="Open Sans" w:hAnsi="Open Sans" w:cs="Open Sans"/>
                          <w:b/>
                          <w:bCs/>
                          <w:color w:val="FFFFFF"/>
                          <w:sz w:val="16"/>
                          <w:szCs w:val="16"/>
                        </w:rPr>
                        <w:t>efe</w:t>
                      </w:r>
                      <w:r>
                        <w:rPr>
                          <w:rFonts w:ascii="Open Sans" w:hAnsi="Open Sans" w:cs="Open Sans"/>
                          <w:b/>
                          <w:bCs/>
                          <w:color w:val="FFFFFF"/>
                          <w:sz w:val="16"/>
                          <w:szCs w:val="16"/>
                        </w:rPr>
                        <w:t>/a</w:t>
                      </w:r>
                      <w:r w:rsidRPr="00A97B43">
                        <w:rPr>
                          <w:rFonts w:ascii="Open Sans" w:hAnsi="Open Sans" w:cs="Open Sans"/>
                          <w:b/>
                          <w:bCs/>
                          <w:color w:val="FFFFFF"/>
                          <w:sz w:val="16"/>
                          <w:szCs w:val="16"/>
                        </w:rPr>
                        <w:t xml:space="preserve"> de Servicio</w:t>
                      </w:r>
                    </w:p>
                  </w:txbxContent>
                </v:textbox>
                <w10:wrap anchorx="margin"/>
              </v:shape>
            </w:pict>
          </mc:Fallback>
        </mc:AlternateContent>
      </w:r>
      <w:r w:rsidRPr="00A07BE9">
        <w:rPr>
          <w:rFonts w:ascii="Open Sans" w:eastAsia="NSimSun" w:hAnsi="Open Sans" w:cs="Arial"/>
          <w:noProof/>
          <w:kern w:val="2"/>
          <w:sz w:val="24"/>
          <w:szCs w:val="24"/>
          <w:lang w:eastAsia="es-ES"/>
        </w:rPr>
        <mc:AlternateContent>
          <mc:Choice Requires="wps">
            <w:drawing>
              <wp:anchor distT="0" distB="0" distL="0" distR="0" simplePos="0" relativeHeight="251876352" behindDoc="0" locked="0" layoutInCell="1" allowOverlap="1" wp14:anchorId="3E62A464" wp14:editId="69497900">
                <wp:simplePos x="0" y="0"/>
                <wp:positionH relativeFrom="column">
                  <wp:posOffset>1986915</wp:posOffset>
                </wp:positionH>
                <wp:positionV relativeFrom="paragraph">
                  <wp:posOffset>11430</wp:posOffset>
                </wp:positionV>
                <wp:extent cx="1590675" cy="457200"/>
                <wp:effectExtent l="0" t="0" r="28575" b="19050"/>
                <wp:wrapNone/>
                <wp:docPr id="212" name="Forma1"/>
                <wp:cNvGraphicFramePr/>
                <a:graphic xmlns:a="http://schemas.openxmlformats.org/drawingml/2006/main">
                  <a:graphicData uri="http://schemas.microsoft.com/office/word/2010/wordprocessingShape">
                    <wps:wsp>
                      <wps:cNvSpPr/>
                      <wps:spPr>
                        <a:xfrm>
                          <a:off x="0" y="0"/>
                          <a:ext cx="1590675" cy="457200"/>
                        </a:xfrm>
                        <a:custGeom>
                          <a:avLst/>
                          <a:gdLst/>
                          <a:ahLst/>
                          <a:cxnLst/>
                          <a:rect l="0" t="0" r="r" b="b"/>
                          <a:pathLst>
                            <a:path w="2598" h="716">
                              <a:moveTo>
                                <a:pt x="119" y="0"/>
                              </a:moveTo>
                              <a:lnTo>
                                <a:pt x="119" y="0"/>
                              </a:lnTo>
                              <a:cubicBezTo>
                                <a:pt x="98" y="0"/>
                                <a:pt x="78" y="6"/>
                                <a:pt x="60" y="16"/>
                              </a:cubicBezTo>
                              <a:cubicBezTo>
                                <a:pt x="41" y="26"/>
                                <a:pt x="26" y="41"/>
                                <a:pt x="16" y="60"/>
                              </a:cubicBezTo>
                              <a:cubicBezTo>
                                <a:pt x="6" y="78"/>
                                <a:pt x="0" y="98"/>
                                <a:pt x="0" y="119"/>
                              </a:cubicBezTo>
                              <a:lnTo>
                                <a:pt x="0" y="595"/>
                              </a:lnTo>
                              <a:lnTo>
                                <a:pt x="0" y="596"/>
                              </a:lnTo>
                              <a:cubicBezTo>
                                <a:pt x="0" y="617"/>
                                <a:pt x="6" y="637"/>
                                <a:pt x="16" y="655"/>
                              </a:cubicBezTo>
                              <a:cubicBezTo>
                                <a:pt x="26" y="674"/>
                                <a:pt x="41" y="689"/>
                                <a:pt x="60" y="699"/>
                              </a:cubicBezTo>
                              <a:cubicBezTo>
                                <a:pt x="78" y="709"/>
                                <a:pt x="98" y="715"/>
                                <a:pt x="119" y="715"/>
                              </a:cubicBezTo>
                              <a:lnTo>
                                <a:pt x="2477" y="715"/>
                              </a:lnTo>
                              <a:lnTo>
                                <a:pt x="2478" y="715"/>
                              </a:lnTo>
                              <a:cubicBezTo>
                                <a:pt x="2499" y="715"/>
                                <a:pt x="2519" y="709"/>
                                <a:pt x="2537" y="699"/>
                              </a:cubicBezTo>
                              <a:cubicBezTo>
                                <a:pt x="2556" y="689"/>
                                <a:pt x="2571" y="674"/>
                                <a:pt x="2581" y="655"/>
                              </a:cubicBezTo>
                              <a:cubicBezTo>
                                <a:pt x="2591" y="637"/>
                                <a:pt x="2597" y="617"/>
                                <a:pt x="2597" y="596"/>
                              </a:cubicBezTo>
                              <a:lnTo>
                                <a:pt x="2597" y="119"/>
                              </a:lnTo>
                              <a:lnTo>
                                <a:pt x="2597" y="119"/>
                              </a:lnTo>
                              <a:lnTo>
                                <a:pt x="2597" y="119"/>
                              </a:lnTo>
                              <a:cubicBezTo>
                                <a:pt x="2597" y="98"/>
                                <a:pt x="2591" y="78"/>
                                <a:pt x="2581" y="60"/>
                              </a:cubicBezTo>
                              <a:cubicBezTo>
                                <a:pt x="2571" y="41"/>
                                <a:pt x="2556" y="26"/>
                                <a:pt x="2537" y="16"/>
                              </a:cubicBezTo>
                              <a:cubicBezTo>
                                <a:pt x="2519" y="6"/>
                                <a:pt x="2499" y="0"/>
                                <a:pt x="2478" y="0"/>
                              </a:cubicBezTo>
                              <a:lnTo>
                                <a:pt x="119" y="0"/>
                              </a:lnTo>
                            </a:path>
                          </a:pathLst>
                        </a:custGeom>
                        <a:solidFill>
                          <a:srgbClr val="EC8F89"/>
                        </a:solidFill>
                        <a:ln>
                          <a:solidFill>
                            <a:srgbClr val="3465A4"/>
                          </a:solidFill>
                        </a:ln>
                        <a:effectLst/>
                      </wps:spPr>
                      <wps:txbx>
                        <w:txbxContent>
                          <w:p w14:paraId="37192F47" w14:textId="77777777" w:rsidR="000F0D13" w:rsidRPr="00A97B43" w:rsidRDefault="000F0D13" w:rsidP="0097167A">
                            <w:pPr>
                              <w:spacing w:after="0"/>
                              <w:jc w:val="center"/>
                              <w:rPr>
                                <w:rFonts w:ascii="Open Sans" w:hAnsi="Open Sans" w:cs="Open Sans"/>
                              </w:rPr>
                            </w:pPr>
                            <w:r w:rsidRPr="00A97B43">
                              <w:rPr>
                                <w:rFonts w:ascii="Open Sans" w:hAnsi="Open Sans" w:cs="Open Sans"/>
                                <w:b/>
                                <w:bCs/>
                                <w:color w:val="FFFFFF"/>
                                <w:sz w:val="16"/>
                                <w:szCs w:val="16"/>
                                <w:u w:val="single"/>
                              </w:rPr>
                              <w:t>Servicio de Entes Locales y</w:t>
                            </w:r>
                          </w:p>
                          <w:p w14:paraId="5C377D60" w14:textId="77777777" w:rsidR="000F0D13" w:rsidRPr="00A97B43" w:rsidRDefault="000F0D13" w:rsidP="0097167A">
                            <w:pPr>
                              <w:spacing w:after="0"/>
                              <w:jc w:val="center"/>
                              <w:rPr>
                                <w:rFonts w:ascii="Open Sans" w:hAnsi="Open Sans" w:cs="Open Sans"/>
                              </w:rPr>
                            </w:pPr>
                            <w:r w:rsidRPr="00A97B43">
                              <w:rPr>
                                <w:rFonts w:ascii="Open Sans" w:hAnsi="Open Sans" w:cs="Open Sans"/>
                                <w:b/>
                                <w:bCs/>
                                <w:color w:val="FFFFFF"/>
                                <w:sz w:val="16"/>
                                <w:szCs w:val="16"/>
                                <w:u w:val="single"/>
                              </w:rPr>
                              <w:t>Sector Público Local</w:t>
                            </w:r>
                          </w:p>
                          <w:p w14:paraId="57D1A9C2" w14:textId="5C2EF0DC" w:rsidR="000F0D13" w:rsidRPr="00A97B43" w:rsidRDefault="000F0D13" w:rsidP="0097167A">
                            <w:pPr>
                              <w:jc w:val="center"/>
                              <w:rPr>
                                <w:rFonts w:ascii="Open Sans" w:hAnsi="Open Sans" w:cs="Open Sans"/>
                              </w:rPr>
                            </w:pPr>
                            <w:r>
                              <w:rPr>
                                <w:rFonts w:ascii="Open Sans" w:hAnsi="Open Sans" w:cs="Open Sans"/>
                                <w:b/>
                                <w:bCs/>
                                <w:color w:val="FFFFFF"/>
                                <w:sz w:val="16"/>
                                <w:szCs w:val="16"/>
                              </w:rPr>
                              <w:t>j</w:t>
                            </w:r>
                            <w:r w:rsidRPr="00A97B43">
                              <w:rPr>
                                <w:rFonts w:ascii="Open Sans" w:hAnsi="Open Sans" w:cs="Open Sans"/>
                                <w:b/>
                                <w:bCs/>
                                <w:color w:val="FFFFFF"/>
                                <w:sz w:val="16"/>
                                <w:szCs w:val="16"/>
                              </w:rPr>
                              <w:t>efe</w:t>
                            </w:r>
                            <w:r>
                              <w:rPr>
                                <w:rFonts w:ascii="Open Sans" w:hAnsi="Open Sans" w:cs="Open Sans"/>
                                <w:b/>
                                <w:bCs/>
                                <w:color w:val="FFFFFF"/>
                                <w:sz w:val="16"/>
                                <w:szCs w:val="16"/>
                              </w:rPr>
                              <w:t>/a</w:t>
                            </w:r>
                            <w:r w:rsidRPr="00A97B43">
                              <w:rPr>
                                <w:rFonts w:ascii="Open Sans" w:hAnsi="Open Sans" w:cs="Open Sans"/>
                                <w:b/>
                                <w:bCs/>
                                <w:color w:val="FFFFFF"/>
                                <w:sz w:val="16"/>
                                <w:szCs w:val="16"/>
                              </w:rPr>
                              <w:t xml:space="preserve"> de Servicio</w:t>
                            </w:r>
                          </w:p>
                        </w:txbxContent>
                      </wps:txbx>
                      <wps:bodyPr wrap="square" lIns="0" tIns="0" rIns="0" bIns="0" anchor="ctr">
                        <a:noAutofit/>
                      </wps:bodyPr>
                    </wps:wsp>
                  </a:graphicData>
                </a:graphic>
                <wp14:sizeRelH relativeFrom="margin">
                  <wp14:pctWidth>0</wp14:pctWidth>
                </wp14:sizeRelH>
              </wp:anchor>
            </w:drawing>
          </mc:Choice>
          <mc:Fallback>
            <w:pict>
              <v:shape w14:anchorId="3E62A464" id="_x0000_s1028" style="position:absolute;left:0;text-align:left;margin-left:156.45pt;margin-top:.9pt;width:125.25pt;height:36pt;z-index:251876352;visibility:visible;mso-wrap-style:square;mso-width-percent:0;mso-wrap-distance-left:0;mso-wrap-distance-top:0;mso-wrap-distance-right:0;mso-wrap-distance-bottom:0;mso-position-horizontal:absolute;mso-position-horizontal-relative:text;mso-position-vertical:absolute;mso-position-vertical-relative:text;mso-width-percent:0;mso-width-relative:margin;v-text-anchor:middle" coordsize="2598,71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GgMRwMAAP4JAAAOAAAAZHJzL2Uyb0RvYy54bWysVm1vmzAQ/j5p/wH5+0qgAZKopOq6dZo0&#10;bZXa/QDHmIAEmNnOS/frd36DmGZTO/UL2Oe7x3fPnX2+uj62TbCnXNSsy1F0MUMB7Qgr6m6bo5+P&#10;dx8WKBASdwVuWEdz9EQFul6/f3d16Fc0ZhVrCsoDAOnE6tDnqJKyX4WhIBVtsbhgPe1gsWS8xRKm&#10;fBsWHB8AvW3CeDZLwwPjRc8ZoUKA9JNZRGuNX5aUyB9lKagMmhyBb1J/uf5u1DdcX+HVluO+qol1&#10;A/+HFy2uO9h0gPqEJQ52vH4G1daEM8FKeUFYG7KyrAnVMUA00WwSzUOFe6pjAXJEP9Ak3g6WfN8/&#10;9PccaDj0YiVgqKI4lrxVf/AvOGqyngay6FEGBIRRspylWYICAmvzJINsKDbD0ZrshPxCmUbC+29C&#10;GrILN8KVG5Fj54YcUjZNFkcBJGtjktVjqeyUe2oYHHIUJ0sosypHWZTqLLRsTx+ZVpEqgChaosCF&#10;AB6O6033Lz23Snabmnykv0911ZYOElzR+2RGllpPtSyFsgM98Myw42P5M4Myj7RF7MHATMHAmmbR&#10;aAKoEsIWL8U2BuDnCYpxEOJ5JlO8nUN2vBgvjH2yTKyuW3V/X8vx4FbPMWAQ0yg7dcnGeukJHQOJ&#10;29yH82fGEctkms1P0S3p6UJH7BJqk5cuz/NwDt7WQDbzgGy1ZJH208G7urRiqEwf0XFkHZ9nmc73&#10;qO4U3H9QNIX4XNHHd+oQnqqjiXdxYo/NJJY4gRzounsFLXGS2AT6DMdJZsp9ko84WVj5a1KbLK2R&#10;XyVwQViPI696BnmydGXpEzTh1cGM58IpuL9l9A0UfUcmuP5hhTBM2P65Hil8+f0wpMO/aIbsTS4l&#10;VwmvuN2GqvKvt7mtQduSXWXa03Q+AJ90d5icrlmFM6XahG5MQ+vQB21sToI1dXFXN43qGIJvN7cN&#10;D/YYngyfbxd3pl7BxFNrOq38V8vLeZrc6BvGt4SZMaX6dWLaXjg2XzWSx80xqAtobOqGUpINK57u&#10;eXCAh0qOxK8d5hQFzdcOXgJwV0o34G6wcQPckYrBe4dIrjtjx252kpW16sV6V4NsJ/DI0ETZB5F6&#10;xZzOtdb4bFv/AQAA//8DAFBLAwQUAAYACAAAACEAmGka6d0AAAAIAQAADwAAAGRycy9kb3ducmV2&#10;LnhtbEyPQU7DMBBF90i9gzWV2FGnDYQQ4lQFKQsWLFp6ACeeJlHtcRS7bbg9wwqWo/f15/1yOzsr&#10;rjiFwZOC9SoBgdR6M1Cn4PhVP+QgQtRktPWECr4xwLZa3JW6MP5Ge7weYie4hEKhFfQxjoWUoe3R&#10;6bDyIxKzk5+cjnxOnTSTvnG5s3KTJJl0eiD+0OsR33tsz4eLUzDvTB4/7bmuP7Lx2ORBmrf9San7&#10;5bx7BRFxjn9h+NVndajYqfEXMkFYBel688JRBryA+VOWPoJoFDynOciqlP8HVD8AAAD//wMAUEsB&#10;Ai0AFAAGAAgAAAAhALaDOJL+AAAA4QEAABMAAAAAAAAAAAAAAAAAAAAAAFtDb250ZW50X1R5cGVz&#10;XS54bWxQSwECLQAUAAYACAAAACEAOP0h/9YAAACUAQAACwAAAAAAAAAAAAAAAAAvAQAAX3JlbHMv&#10;LnJlbHNQSwECLQAUAAYACAAAACEAe7BoDEcDAAD+CQAADgAAAAAAAAAAAAAAAAAuAgAAZHJzL2Uy&#10;b0RvYy54bWxQSwECLQAUAAYACAAAACEAmGka6d0AAAAIAQAADwAAAAAAAAAAAAAAAAChBQAAZHJz&#10;L2Rvd25yZXYueG1sUEsFBgAAAAAEAAQA8wAAAKsGAAAAAA==&#10;" adj="-11796480,,5400" path="m119,r,c98,,78,6,60,16,41,26,26,41,16,60,6,78,,98,,119l,595r,1c,617,6,637,16,655v10,19,25,34,44,44c78,709,98,715,119,715r2358,l2478,715v21,,41,-6,59,-16c2556,689,2571,674,2581,655v10,-18,16,-38,16,-59l2597,119r,l2597,119v,-21,-6,-41,-16,-59c2571,41,2556,26,2537,16,2519,6,2499,,2478,l119,e" fillcolor="#ec8f89" strokecolor="#3465a4">
                <v:stroke joinstyle="miter"/>
                <v:formulas/>
                <v:path arrowok="t" o:connecttype="custom" textboxrect="0,0,2598,716"/>
                <v:textbox inset="0,0,0,0">
                  <w:txbxContent>
                    <w:p w14:paraId="37192F47" w14:textId="77777777" w:rsidR="000F0D13" w:rsidRPr="00A97B43" w:rsidRDefault="000F0D13" w:rsidP="0097167A">
                      <w:pPr>
                        <w:spacing w:after="0"/>
                        <w:jc w:val="center"/>
                        <w:rPr>
                          <w:rFonts w:ascii="Open Sans" w:hAnsi="Open Sans" w:cs="Open Sans"/>
                        </w:rPr>
                      </w:pPr>
                      <w:r w:rsidRPr="00A97B43">
                        <w:rPr>
                          <w:rFonts w:ascii="Open Sans" w:hAnsi="Open Sans" w:cs="Open Sans"/>
                          <w:b/>
                          <w:bCs/>
                          <w:color w:val="FFFFFF"/>
                          <w:sz w:val="16"/>
                          <w:szCs w:val="16"/>
                          <w:u w:val="single"/>
                        </w:rPr>
                        <w:t>Servicio de Entes Locales y</w:t>
                      </w:r>
                    </w:p>
                    <w:p w14:paraId="5C377D60" w14:textId="77777777" w:rsidR="000F0D13" w:rsidRPr="00A97B43" w:rsidRDefault="000F0D13" w:rsidP="0097167A">
                      <w:pPr>
                        <w:spacing w:after="0"/>
                        <w:jc w:val="center"/>
                        <w:rPr>
                          <w:rFonts w:ascii="Open Sans" w:hAnsi="Open Sans" w:cs="Open Sans"/>
                        </w:rPr>
                      </w:pPr>
                      <w:r w:rsidRPr="00A97B43">
                        <w:rPr>
                          <w:rFonts w:ascii="Open Sans" w:hAnsi="Open Sans" w:cs="Open Sans"/>
                          <w:b/>
                          <w:bCs/>
                          <w:color w:val="FFFFFF"/>
                          <w:sz w:val="16"/>
                          <w:szCs w:val="16"/>
                          <w:u w:val="single"/>
                        </w:rPr>
                        <w:t>Sector Público Local</w:t>
                      </w:r>
                    </w:p>
                    <w:p w14:paraId="57D1A9C2" w14:textId="5C2EF0DC" w:rsidR="000F0D13" w:rsidRPr="00A97B43" w:rsidRDefault="000F0D13" w:rsidP="0097167A">
                      <w:pPr>
                        <w:jc w:val="center"/>
                        <w:rPr>
                          <w:rFonts w:ascii="Open Sans" w:hAnsi="Open Sans" w:cs="Open Sans"/>
                        </w:rPr>
                      </w:pPr>
                      <w:r>
                        <w:rPr>
                          <w:rFonts w:ascii="Open Sans" w:hAnsi="Open Sans" w:cs="Open Sans"/>
                          <w:b/>
                          <w:bCs/>
                          <w:color w:val="FFFFFF"/>
                          <w:sz w:val="16"/>
                          <w:szCs w:val="16"/>
                        </w:rPr>
                        <w:t>j</w:t>
                      </w:r>
                      <w:r w:rsidRPr="00A97B43">
                        <w:rPr>
                          <w:rFonts w:ascii="Open Sans" w:hAnsi="Open Sans" w:cs="Open Sans"/>
                          <w:b/>
                          <w:bCs/>
                          <w:color w:val="FFFFFF"/>
                          <w:sz w:val="16"/>
                          <w:szCs w:val="16"/>
                        </w:rPr>
                        <w:t>efe</w:t>
                      </w:r>
                      <w:r>
                        <w:rPr>
                          <w:rFonts w:ascii="Open Sans" w:hAnsi="Open Sans" w:cs="Open Sans"/>
                          <w:b/>
                          <w:bCs/>
                          <w:color w:val="FFFFFF"/>
                          <w:sz w:val="16"/>
                          <w:szCs w:val="16"/>
                        </w:rPr>
                        <w:t>/a</w:t>
                      </w:r>
                      <w:r w:rsidRPr="00A97B43">
                        <w:rPr>
                          <w:rFonts w:ascii="Open Sans" w:hAnsi="Open Sans" w:cs="Open Sans"/>
                          <w:b/>
                          <w:bCs/>
                          <w:color w:val="FFFFFF"/>
                          <w:sz w:val="16"/>
                          <w:szCs w:val="16"/>
                        </w:rPr>
                        <w:t xml:space="preserve"> de Servicio</w:t>
                      </w:r>
                    </w:p>
                  </w:txbxContent>
                </v:textbox>
              </v:shape>
            </w:pict>
          </mc:Fallback>
        </mc:AlternateContent>
      </w:r>
      <w:r w:rsidRPr="00A07BE9">
        <w:rPr>
          <w:rFonts w:ascii="Open Sans" w:eastAsia="NSimSun" w:hAnsi="Open Sans" w:cs="Arial"/>
          <w:noProof/>
          <w:kern w:val="2"/>
          <w:sz w:val="24"/>
          <w:szCs w:val="24"/>
          <w:lang w:eastAsia="es-ES"/>
        </w:rPr>
        <mc:AlternateContent>
          <mc:Choice Requires="wps">
            <w:drawing>
              <wp:anchor distT="0" distB="0" distL="0" distR="0" simplePos="0" relativeHeight="251866112" behindDoc="0" locked="0" layoutInCell="1" allowOverlap="1" wp14:anchorId="42B3EBB0" wp14:editId="0B658DFE">
                <wp:simplePos x="0" y="0"/>
                <wp:positionH relativeFrom="column">
                  <wp:posOffset>224790</wp:posOffset>
                </wp:positionH>
                <wp:positionV relativeFrom="paragraph">
                  <wp:posOffset>11430</wp:posOffset>
                </wp:positionV>
                <wp:extent cx="1638300" cy="371475"/>
                <wp:effectExtent l="0" t="0" r="19050" b="28575"/>
                <wp:wrapNone/>
                <wp:docPr id="213" name="Forma1"/>
                <wp:cNvGraphicFramePr/>
                <a:graphic xmlns:a="http://schemas.openxmlformats.org/drawingml/2006/main">
                  <a:graphicData uri="http://schemas.microsoft.com/office/word/2010/wordprocessingShape">
                    <wps:wsp>
                      <wps:cNvSpPr/>
                      <wps:spPr>
                        <a:xfrm>
                          <a:off x="0" y="0"/>
                          <a:ext cx="1638300" cy="371475"/>
                        </a:xfrm>
                        <a:custGeom>
                          <a:avLst/>
                          <a:gdLst/>
                          <a:ahLst/>
                          <a:cxnLst/>
                          <a:rect l="0" t="0" r="r" b="b"/>
                          <a:pathLst>
                            <a:path w="2598" h="716">
                              <a:moveTo>
                                <a:pt x="119" y="0"/>
                              </a:moveTo>
                              <a:lnTo>
                                <a:pt x="119" y="0"/>
                              </a:lnTo>
                              <a:cubicBezTo>
                                <a:pt x="98" y="0"/>
                                <a:pt x="78" y="6"/>
                                <a:pt x="60" y="16"/>
                              </a:cubicBezTo>
                              <a:cubicBezTo>
                                <a:pt x="41" y="26"/>
                                <a:pt x="26" y="41"/>
                                <a:pt x="16" y="60"/>
                              </a:cubicBezTo>
                              <a:cubicBezTo>
                                <a:pt x="6" y="78"/>
                                <a:pt x="0" y="98"/>
                                <a:pt x="0" y="119"/>
                              </a:cubicBezTo>
                              <a:lnTo>
                                <a:pt x="0" y="595"/>
                              </a:lnTo>
                              <a:lnTo>
                                <a:pt x="0" y="596"/>
                              </a:lnTo>
                              <a:cubicBezTo>
                                <a:pt x="0" y="617"/>
                                <a:pt x="6" y="637"/>
                                <a:pt x="16" y="655"/>
                              </a:cubicBezTo>
                              <a:cubicBezTo>
                                <a:pt x="26" y="674"/>
                                <a:pt x="41" y="689"/>
                                <a:pt x="60" y="699"/>
                              </a:cubicBezTo>
                              <a:cubicBezTo>
                                <a:pt x="78" y="709"/>
                                <a:pt x="98" y="715"/>
                                <a:pt x="119" y="715"/>
                              </a:cubicBezTo>
                              <a:lnTo>
                                <a:pt x="2477" y="715"/>
                              </a:lnTo>
                              <a:lnTo>
                                <a:pt x="2478" y="715"/>
                              </a:lnTo>
                              <a:cubicBezTo>
                                <a:pt x="2499" y="715"/>
                                <a:pt x="2519" y="709"/>
                                <a:pt x="2537" y="699"/>
                              </a:cubicBezTo>
                              <a:cubicBezTo>
                                <a:pt x="2556" y="689"/>
                                <a:pt x="2571" y="674"/>
                                <a:pt x="2581" y="655"/>
                              </a:cubicBezTo>
                              <a:cubicBezTo>
                                <a:pt x="2591" y="637"/>
                                <a:pt x="2597" y="617"/>
                                <a:pt x="2597" y="596"/>
                              </a:cubicBezTo>
                              <a:lnTo>
                                <a:pt x="2597" y="119"/>
                              </a:lnTo>
                              <a:lnTo>
                                <a:pt x="2597" y="119"/>
                              </a:lnTo>
                              <a:lnTo>
                                <a:pt x="2597" y="119"/>
                              </a:lnTo>
                              <a:cubicBezTo>
                                <a:pt x="2597" y="98"/>
                                <a:pt x="2591" y="78"/>
                                <a:pt x="2581" y="60"/>
                              </a:cubicBezTo>
                              <a:cubicBezTo>
                                <a:pt x="2571" y="41"/>
                                <a:pt x="2556" y="26"/>
                                <a:pt x="2537" y="16"/>
                              </a:cubicBezTo>
                              <a:cubicBezTo>
                                <a:pt x="2519" y="6"/>
                                <a:pt x="2499" y="0"/>
                                <a:pt x="2478" y="0"/>
                              </a:cubicBezTo>
                              <a:lnTo>
                                <a:pt x="119" y="0"/>
                              </a:lnTo>
                            </a:path>
                          </a:pathLst>
                        </a:custGeom>
                        <a:solidFill>
                          <a:srgbClr val="EC8F89"/>
                        </a:solidFill>
                        <a:ln>
                          <a:solidFill>
                            <a:srgbClr val="3465A4"/>
                          </a:solidFill>
                        </a:ln>
                        <a:effectLst/>
                      </wps:spPr>
                      <wps:txbx>
                        <w:txbxContent>
                          <w:p w14:paraId="216A682C" w14:textId="77777777" w:rsidR="000F0D13" w:rsidRPr="00A97B43" w:rsidRDefault="000F0D13" w:rsidP="0097167A">
                            <w:pPr>
                              <w:spacing w:after="0"/>
                              <w:jc w:val="center"/>
                              <w:rPr>
                                <w:rFonts w:ascii="Open Sans" w:hAnsi="Open Sans" w:cs="Open Sans"/>
                              </w:rPr>
                            </w:pPr>
                            <w:r w:rsidRPr="00A97B43">
                              <w:rPr>
                                <w:rFonts w:ascii="Open Sans" w:hAnsi="Open Sans" w:cs="Open Sans"/>
                                <w:b/>
                                <w:bCs/>
                                <w:color w:val="FFFFFF"/>
                                <w:sz w:val="16"/>
                                <w:szCs w:val="16"/>
                                <w:u w:val="single"/>
                              </w:rPr>
                              <w:t>Servicio de Análisis y Evaluación</w:t>
                            </w:r>
                          </w:p>
                          <w:p w14:paraId="0A2B1AA8" w14:textId="016E6CC0" w:rsidR="000F0D13" w:rsidRPr="00A97B43" w:rsidRDefault="000F0D13" w:rsidP="0097167A">
                            <w:pPr>
                              <w:spacing w:after="0"/>
                              <w:jc w:val="center"/>
                              <w:rPr>
                                <w:rFonts w:ascii="Open Sans" w:hAnsi="Open Sans" w:cs="Open Sans"/>
                              </w:rPr>
                            </w:pPr>
                            <w:r>
                              <w:rPr>
                                <w:rFonts w:ascii="Open Sans" w:hAnsi="Open Sans" w:cs="Open Sans"/>
                                <w:b/>
                                <w:bCs/>
                                <w:color w:val="FFFFFF"/>
                                <w:sz w:val="16"/>
                                <w:szCs w:val="16"/>
                              </w:rPr>
                              <w:t>j</w:t>
                            </w:r>
                            <w:r w:rsidRPr="00A97B43">
                              <w:rPr>
                                <w:rFonts w:ascii="Open Sans" w:hAnsi="Open Sans" w:cs="Open Sans"/>
                                <w:b/>
                                <w:bCs/>
                                <w:color w:val="FFFFFF"/>
                                <w:sz w:val="16"/>
                                <w:szCs w:val="16"/>
                              </w:rPr>
                              <w:t>efe</w:t>
                            </w:r>
                            <w:r>
                              <w:rPr>
                                <w:rFonts w:ascii="Open Sans" w:hAnsi="Open Sans" w:cs="Open Sans"/>
                                <w:b/>
                                <w:bCs/>
                                <w:color w:val="FFFFFF"/>
                                <w:sz w:val="16"/>
                                <w:szCs w:val="16"/>
                              </w:rPr>
                              <w:t>/a</w:t>
                            </w:r>
                            <w:r w:rsidRPr="00A97B43">
                              <w:rPr>
                                <w:rFonts w:ascii="Open Sans" w:hAnsi="Open Sans" w:cs="Open Sans"/>
                                <w:b/>
                                <w:bCs/>
                                <w:color w:val="FFFFFF"/>
                                <w:sz w:val="16"/>
                                <w:szCs w:val="16"/>
                              </w:rPr>
                              <w:t xml:space="preserve"> de Servicio</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42B3EBB0" id="_x0000_s1029" style="position:absolute;left:0;text-align:left;margin-left:17.7pt;margin-top:.9pt;width:129pt;height:29.25pt;z-index:2518661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2598,71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z9WSAMAAP4JAAAOAAAAZHJzL2Uyb0RvYy54bWysVttu2zAMfR+wfzD8vjp2YjsJ6hRdtw4D&#10;hq1Auw9QZLk2YFuepFy6rx91oROl2dAOfbElijwiDylRl1f7rg22TMiG90UYX0zCgPWUl03/WIQ/&#10;H24/zMNAKtKXpOU9K8InJsOr1ft3l7thyRJe87ZkIgCQXi53QxHWSg3LKJK0Zh2RF3xgPSxWXHRE&#10;wVQ8RqUgO0Dv2iiZTLJox0U5CE6ZlCD9ZBfDlcGvKkbVj6qSTAVtEYJvynyF+a71N1pdkuWjIEPd&#10;UOcG+Q8vOtL0sOkI9YkoEmxE8wyqa6jgklfqgvIu4lXVUGZigGjiyUk09zUZmIkFyJHDSJN8O1j6&#10;fXs/3AmgYTfIpYShjmJfiU7/wb9gb8h6GsliexVQEMbZdD6dAKcU1qZ5PMtTzWZ0sKYbqb4wbpDI&#10;9ptUluwSR6TGEd33OBSQstNkiTCAZK1tsgaitJ12Tw+DXREm6QLKrC7CPM5MFjq+ZQ/cqCgdQBwv&#10;wgBDAA8P623/Lz1cpZt1Qz+y38e6ekuEBFfMPrmVZc5TI8uAItADzyw7PpY/syiz2FgkHgzMNAys&#10;GRatJoBqIWzxUmxrAH4eoVgHIZ5nMs3bOWTkxXph7dMF5h9X8e9rIQ+4eo4Bi5jF+bFLLtapJ0QG&#10;Utzch/Nn1hHHZJbPjtEd6dncRIwJdcnLFud5OAfvaiCfeECuWvLY+InwWJdODJXpIyJHzvFZnpt8&#10;H9RRAf+joi3E54o+PqpDeLqOTrxLUndsTmJJUsiBqbtX0JKkqUugz3CS5rbcT/KRpHMnf01q04Uz&#10;8qsELgjncexVzyhPF1iWPkEnvCLM4VygAv4do2+g6DtygusfVgjDhu2f6wOFL78fxnT4F82YvZNL&#10;CSvhFbfbWFX+9TZzNehaMlamO03nA/BJx8OEunYVzpRuE6Yxja3DHLRDc5K8bcrbpm11x5DicX3T&#10;imBL4Mnw+WZ+a+sVTDy1tjfKf7WczrL02twwviXMrCkzrxPb9qJD89UjtV/vg6aEtqpvKC1Z8/Lp&#10;TgQ7eKgUofy1IYKFQfu1h5cA3JUKBwIHaxyQntYc3jtUCdMZe369UbxqdC82u1pkN4FHhiHKPYj0&#10;K+Z4brQOz7bVHwAAAP//AwBQSwMEFAAGAAgAAAAhAJHhozTbAAAABwEAAA8AAABkcnMvZG93bnJl&#10;di54bWxMj8FOwzAQRO9I/QdrK3GjDg1EIcSp2ko5cODQ0g9w4m0S1V5HsduGv2c5wXF2RrNvys3s&#10;rLjhFAZPCp5XCQik1puBOgWnr/opBxGiJqOtJ1TwjQE21eKh1IXxdzrg7Rg7wSUUCq2gj3EspAxt&#10;j06HlR+R2Dv7yenIcuqkmfSdy52V6yTJpNMD8Ydej7jvsb0cr07BvDV5/LSXuv7IxlOTB2l2h7NS&#10;j8t5+w4i4hz/wvCLz+hQMVPjr2SCsArS1xdO8p0HsL1+S1k3CrIkBVmV8j9/9QMAAP//AwBQSwEC&#10;LQAUAAYACAAAACEAtoM4kv4AAADhAQAAEwAAAAAAAAAAAAAAAAAAAAAAW0NvbnRlbnRfVHlwZXNd&#10;LnhtbFBLAQItABQABgAIAAAAIQA4/SH/1gAAAJQBAAALAAAAAAAAAAAAAAAAAC8BAABfcmVscy8u&#10;cmVsc1BLAQItABQABgAIAAAAIQB8Fz9WSAMAAP4JAAAOAAAAAAAAAAAAAAAAAC4CAABkcnMvZTJv&#10;RG9jLnhtbFBLAQItABQABgAIAAAAIQCR4aM02wAAAAcBAAAPAAAAAAAAAAAAAAAAAKIFAABkcnMv&#10;ZG93bnJldi54bWxQSwUGAAAAAAQABADzAAAAqgYAAAAA&#10;" adj="-11796480,,5400" path="m119,r,c98,,78,6,60,16,41,26,26,41,16,60,6,78,,98,,119l,595r,1c,617,6,637,16,655v10,19,25,34,44,44c78,709,98,715,119,715r2358,l2478,715v21,,41,-6,59,-16c2556,689,2571,674,2581,655v10,-18,16,-38,16,-59l2597,119r,l2597,119v,-21,-6,-41,-16,-59c2571,41,2556,26,2537,16,2519,6,2499,,2478,l119,e" fillcolor="#ec8f89" strokecolor="#3465a4">
                <v:stroke joinstyle="miter"/>
                <v:formulas/>
                <v:path arrowok="t" o:connecttype="custom" textboxrect="0,0,2598,716"/>
                <v:textbox inset="0,0,0,0">
                  <w:txbxContent>
                    <w:p w14:paraId="216A682C" w14:textId="77777777" w:rsidR="000F0D13" w:rsidRPr="00A97B43" w:rsidRDefault="000F0D13" w:rsidP="0097167A">
                      <w:pPr>
                        <w:spacing w:after="0"/>
                        <w:jc w:val="center"/>
                        <w:rPr>
                          <w:rFonts w:ascii="Open Sans" w:hAnsi="Open Sans" w:cs="Open Sans"/>
                        </w:rPr>
                      </w:pPr>
                      <w:r w:rsidRPr="00A97B43">
                        <w:rPr>
                          <w:rFonts w:ascii="Open Sans" w:hAnsi="Open Sans" w:cs="Open Sans"/>
                          <w:b/>
                          <w:bCs/>
                          <w:color w:val="FFFFFF"/>
                          <w:sz w:val="16"/>
                          <w:szCs w:val="16"/>
                          <w:u w:val="single"/>
                        </w:rPr>
                        <w:t>Servicio de Análisis y Evaluación</w:t>
                      </w:r>
                    </w:p>
                    <w:p w14:paraId="0A2B1AA8" w14:textId="016E6CC0" w:rsidR="000F0D13" w:rsidRPr="00A97B43" w:rsidRDefault="000F0D13" w:rsidP="0097167A">
                      <w:pPr>
                        <w:spacing w:after="0"/>
                        <w:jc w:val="center"/>
                        <w:rPr>
                          <w:rFonts w:ascii="Open Sans" w:hAnsi="Open Sans" w:cs="Open Sans"/>
                        </w:rPr>
                      </w:pPr>
                      <w:r>
                        <w:rPr>
                          <w:rFonts w:ascii="Open Sans" w:hAnsi="Open Sans" w:cs="Open Sans"/>
                          <w:b/>
                          <w:bCs/>
                          <w:color w:val="FFFFFF"/>
                          <w:sz w:val="16"/>
                          <w:szCs w:val="16"/>
                        </w:rPr>
                        <w:t>j</w:t>
                      </w:r>
                      <w:r w:rsidRPr="00A97B43">
                        <w:rPr>
                          <w:rFonts w:ascii="Open Sans" w:hAnsi="Open Sans" w:cs="Open Sans"/>
                          <w:b/>
                          <w:bCs/>
                          <w:color w:val="FFFFFF"/>
                          <w:sz w:val="16"/>
                          <w:szCs w:val="16"/>
                        </w:rPr>
                        <w:t>efe</w:t>
                      </w:r>
                      <w:r>
                        <w:rPr>
                          <w:rFonts w:ascii="Open Sans" w:hAnsi="Open Sans" w:cs="Open Sans"/>
                          <w:b/>
                          <w:bCs/>
                          <w:color w:val="FFFFFF"/>
                          <w:sz w:val="16"/>
                          <w:szCs w:val="16"/>
                        </w:rPr>
                        <w:t>/a</w:t>
                      </w:r>
                      <w:r w:rsidRPr="00A97B43">
                        <w:rPr>
                          <w:rFonts w:ascii="Open Sans" w:hAnsi="Open Sans" w:cs="Open Sans"/>
                          <w:b/>
                          <w:bCs/>
                          <w:color w:val="FFFFFF"/>
                          <w:sz w:val="16"/>
                          <w:szCs w:val="16"/>
                        </w:rPr>
                        <w:t xml:space="preserve"> de Servicio</w:t>
                      </w:r>
                    </w:p>
                  </w:txbxContent>
                </v:textbox>
              </v:shape>
            </w:pict>
          </mc:Fallback>
        </mc:AlternateContent>
      </w:r>
    </w:p>
    <w:p w14:paraId="1D8B3112" w14:textId="0873EA3D" w:rsidR="0097167A" w:rsidRPr="00A07BE9" w:rsidRDefault="00B120CB" w:rsidP="0097167A">
      <w:pPr>
        <w:spacing w:after="0" w:line="240" w:lineRule="auto"/>
        <w:jc w:val="center"/>
        <w:rPr>
          <w:rFonts w:ascii="Open Sans" w:eastAsia="NSimSun" w:hAnsi="Open Sans" w:cs="Arial"/>
          <w:kern w:val="2"/>
          <w:sz w:val="24"/>
          <w:szCs w:val="24"/>
          <w:lang w:eastAsia="zh-CN" w:bidi="hi-IN"/>
        </w:rPr>
      </w:pPr>
      <w:r w:rsidRPr="00A07BE9">
        <w:rPr>
          <w:rFonts w:ascii="Open Sans" w:eastAsia="NSimSun" w:hAnsi="Open Sans" w:cs="Arial"/>
          <w:noProof/>
          <w:kern w:val="2"/>
          <w:sz w:val="24"/>
          <w:szCs w:val="24"/>
          <w:lang w:eastAsia="es-ES"/>
        </w:rPr>
        <mc:AlternateContent>
          <mc:Choice Requires="wps">
            <w:drawing>
              <wp:anchor distT="0" distB="0" distL="0" distR="0" simplePos="0" relativeHeight="251870208" behindDoc="0" locked="0" layoutInCell="1" allowOverlap="1" wp14:anchorId="2D19D9CE" wp14:editId="6C3CC4E4">
                <wp:simplePos x="0" y="0"/>
                <wp:positionH relativeFrom="column">
                  <wp:posOffset>989965</wp:posOffset>
                </wp:positionH>
                <wp:positionV relativeFrom="paragraph">
                  <wp:posOffset>210185</wp:posOffset>
                </wp:positionV>
                <wp:extent cx="6350" cy="152400"/>
                <wp:effectExtent l="0" t="0" r="31750" b="19050"/>
                <wp:wrapNone/>
                <wp:docPr id="9" name="Forma5"/>
                <wp:cNvGraphicFramePr/>
                <a:graphic xmlns:a="http://schemas.openxmlformats.org/drawingml/2006/main">
                  <a:graphicData uri="http://schemas.microsoft.com/office/word/2010/wordprocessingShape">
                    <wps:wsp>
                      <wps:cNvCnPr/>
                      <wps:spPr>
                        <a:xfrm flipH="1">
                          <a:off x="0" y="0"/>
                          <a:ext cx="6350" cy="152400"/>
                        </a:xfrm>
                        <a:prstGeom prst="line">
                          <a:avLst/>
                        </a:prstGeom>
                        <a:no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line w14:anchorId="37013D4E" id="Forma5" o:spid="_x0000_s1026" style="position:absolute;flip:x;z-index:25187020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77.95pt,16.55pt" to="78.45pt,2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igQlgEAABgDAAAOAAAAZHJzL2Uyb0RvYy54bWysUk1vGjEQvVfqf7B8L14IoGbFEkWJSA9V&#10;i5TkBxivzVqyPdbYYeHfd2woQu2t6sWaL7+Z92ZWD0fv2EFjshA6Pp00nOmgoLdh3/H3t82Xr5yl&#10;LEMvHQTd8ZNO/GH9+dNqjK2ewQCu18gIJKR2jB0fco6tEEkN2ss0gagDJQ2gl5lc3Ise5Ujo3olZ&#10;0yzFCNhHBKVToujzOcnXFd8YrfJPY5LOzHWcZsv1xfruyivWK9nuUcbBqssY8h+m8NIGanqFepZZ&#10;sg+0f0F5qxASmDxR4AUYY5WuHIjNtPmDzesgo65cSJwUrzKl/werfhy2yGzf8XvOgvS0ok0Re1GU&#10;GWNqqeApbPHipbjFQvNo0DPjbPxGS6/EiQo7Vl1PV131MTNFweXdgrRXlJguZvOmqi7OIAUsYsov&#10;GjwrRsedDYW0bOXhe8rUmEp/l5RwgI11ri7OhRJI4GxfYtXB/e7JITtI2vjdfLl4nBcqhHFTRt75&#10;q64ncmlT6J4JFmsH/anyFsUj+SvI5VTKfm99sm8Pev0LAAD//wMAUEsDBBQABgAIAAAAIQAs0szH&#10;3QAAAAkBAAAPAAAAZHJzL2Rvd25yZXYueG1sTI/BTsMwDIbvSLxDZCRuLC1VR9Y1ndAGJ9iBgXb2&#10;Gq+taJKqybby9ngnOP72p9+fy9Vke3GmMXTeaUhnCQhytTedazR8fb4+KBAhojPYe0cafijAqrq9&#10;KbEw/uI+6LyLjeASFwrU0MY4FFKGuiWLYeYHcrw7+tFi5Dg20ox44XLby8ckmUuLneMLLQ60bqn+&#10;3p2shqPK3vZBqfVm8z5spXoxmPYLre/vpucliEhT/IPhqs/qULHTwZ+cCaLnnOcLRjVkWQriCuRz&#10;Hhw05E8pyKqU/z+ofgEAAP//AwBQSwECLQAUAAYACAAAACEAtoM4kv4AAADhAQAAEwAAAAAAAAAA&#10;AAAAAAAAAAAAW0NvbnRlbnRfVHlwZXNdLnhtbFBLAQItABQABgAIAAAAIQA4/SH/1gAAAJQBAAAL&#10;AAAAAAAAAAAAAAAAAC8BAABfcmVscy8ucmVsc1BLAQItABQABgAIAAAAIQBJ7igQlgEAABgDAAAO&#10;AAAAAAAAAAAAAAAAAC4CAABkcnMvZTJvRG9jLnhtbFBLAQItABQABgAIAAAAIQAs0szH3QAAAAkB&#10;AAAPAAAAAAAAAAAAAAAAAPADAABkcnMvZG93bnJldi54bWxQSwUGAAAAAAQABADzAAAA+gQAAAAA&#10;" strokecolor="#3465a4"/>
            </w:pict>
          </mc:Fallback>
        </mc:AlternateContent>
      </w:r>
    </w:p>
    <w:p w14:paraId="7FE64A8A" w14:textId="669EE190" w:rsidR="0097167A" w:rsidRPr="00A07BE9" w:rsidRDefault="00B120CB" w:rsidP="0097167A">
      <w:pPr>
        <w:spacing w:after="0" w:line="240" w:lineRule="auto"/>
        <w:jc w:val="center"/>
        <w:rPr>
          <w:rFonts w:ascii="Open Sans" w:eastAsia="NSimSun" w:hAnsi="Open Sans" w:cs="Arial"/>
          <w:kern w:val="2"/>
          <w:sz w:val="24"/>
          <w:szCs w:val="24"/>
          <w:lang w:eastAsia="zh-CN" w:bidi="hi-IN"/>
        </w:rPr>
      </w:pPr>
      <w:r w:rsidRPr="00A07BE9">
        <w:rPr>
          <w:rFonts w:ascii="Open Sans" w:eastAsia="NSimSun" w:hAnsi="Open Sans" w:cs="Arial"/>
          <w:noProof/>
          <w:kern w:val="2"/>
          <w:sz w:val="24"/>
          <w:szCs w:val="24"/>
          <w:lang w:eastAsia="es-ES"/>
        </w:rPr>
        <mc:AlternateContent>
          <mc:Choice Requires="wps">
            <w:drawing>
              <wp:anchor distT="0" distB="0" distL="0" distR="0" simplePos="0" relativeHeight="251875328" behindDoc="0" locked="0" layoutInCell="1" allowOverlap="1" wp14:anchorId="5A9A1162" wp14:editId="026CCEDF">
                <wp:simplePos x="0" y="0"/>
                <wp:positionH relativeFrom="column">
                  <wp:posOffset>2844165</wp:posOffset>
                </wp:positionH>
                <wp:positionV relativeFrom="paragraph">
                  <wp:posOffset>66040</wp:posOffset>
                </wp:positionV>
                <wp:extent cx="6350" cy="133350"/>
                <wp:effectExtent l="0" t="0" r="31750" b="19050"/>
                <wp:wrapNone/>
                <wp:docPr id="215" name="Forma10"/>
                <wp:cNvGraphicFramePr/>
                <a:graphic xmlns:a="http://schemas.openxmlformats.org/drawingml/2006/main">
                  <a:graphicData uri="http://schemas.microsoft.com/office/word/2010/wordprocessingShape">
                    <wps:wsp>
                      <wps:cNvCnPr/>
                      <wps:spPr>
                        <a:xfrm>
                          <a:off x="0" y="0"/>
                          <a:ext cx="6350" cy="133350"/>
                        </a:xfrm>
                        <a:prstGeom prst="line">
                          <a:avLst/>
                        </a:prstGeom>
                        <a:no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line w14:anchorId="2A966763" id="Forma10" o:spid="_x0000_s1026" style="position:absolute;z-index:2518753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223.95pt,5.2pt" to="224.45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50BjgEAABEDAAAOAAAAZHJzL2Uyb0RvYy54bWysUk1vGjEQvVfKf7B8D2YhoGrFElWJ6KVK&#10;kdr8AOO1WUv+0ozLwr/v2FCCklvUy3hmPH4z741Xj0fv2EED2hg63kymnOmgYm/DvuOvvzf3XznD&#10;LEMvXQy64yeN/HF992U1plbP4hBdr4ERSMB2TB0fck6tEKgG7SVOYtKBLk0ELzOFsBc9yJHQvROz&#10;6XQpxgh9gqg0ImWfz5d8XfGN0Sr/NAZ1Zq7jNFuuFqrdFSvWK9nuQabBqssY8hNTeGkDNb1CPcss&#10;2R+wH6C8VRAxmjxR0YtojFW6ciA2zfQdm1+DTLpyIXEwXWXC/werXg5bYLbv+KxZcBakpyVtitxN&#10;FWdM2FLNU9gCSVUiTFsoTI8GfDmJAztWQU9XQfUxM0XJ5XxBoiu6aObz4hOGeHuaAPN3HT0rTsed&#10;DYWtbOXhB+Zz6b+Skg5xY52rG3OhJDA625dcDWC/e3LADpJWPX9YLr49XNrdlFHz81Nd/8alzRut&#10;4u1if6psRYlI9zrz5Y+Uxd7G5N/+5PVfAAAA//8DAFBLAwQUAAYACAAAACEAOO+mvd0AAAAJAQAA&#10;DwAAAGRycy9kb3ducmV2LnhtbEyPwU7DMAyG70i8Q2QkbizZiNgoTaeNaRISuzB4gKwxTUXjVE22&#10;lrfHnOBo/59+fy7XU+jEBYfURjIwnykQSHV0LTUGPt73dysQKVtytouEBr4xwbq6vipt4eJIb3g5&#10;5kZwCaXCGvA594WUqfYYbJrFHomzzzgEm3kcGukGO3J56ORCqQcZbEt8wdsenz3WX8dzMLCl7Wa/&#10;czvrFzi+vKrDMMnD0pjbm2nzBCLjlP9g+NVndajY6RTP5JLoDGi9fGSUA6VBMKD1ihcnA/dzDbIq&#10;5f8Pqh8AAAD//wMAUEsBAi0AFAAGAAgAAAAhALaDOJL+AAAA4QEAABMAAAAAAAAAAAAAAAAAAAAA&#10;AFtDb250ZW50X1R5cGVzXS54bWxQSwECLQAUAAYACAAAACEAOP0h/9YAAACUAQAACwAAAAAAAAAA&#10;AAAAAAAvAQAAX3JlbHMvLnJlbHNQSwECLQAUAAYACAAAACEA5cOdAY4BAAARAwAADgAAAAAAAAAA&#10;AAAAAAAuAgAAZHJzL2Uyb0RvYy54bWxQSwECLQAUAAYACAAAACEAOO+mvd0AAAAJAQAADwAAAAAA&#10;AAAAAAAAAADoAwAAZHJzL2Rvd25yZXYueG1sUEsFBgAAAAAEAAQA8wAAAPIEAAAAAA==&#10;" strokecolor="#3465a4"/>
            </w:pict>
          </mc:Fallback>
        </mc:AlternateContent>
      </w:r>
      <w:r w:rsidR="0097167A" w:rsidRPr="00A07BE9">
        <w:rPr>
          <w:rFonts w:ascii="Open Sans" w:eastAsia="NSimSun" w:hAnsi="Open Sans" w:cs="Arial"/>
          <w:noProof/>
          <w:kern w:val="2"/>
          <w:sz w:val="24"/>
          <w:szCs w:val="24"/>
          <w:lang w:eastAsia="es-ES"/>
        </w:rPr>
        <mc:AlternateContent>
          <mc:Choice Requires="wps">
            <w:drawing>
              <wp:anchor distT="0" distB="0" distL="0" distR="0" simplePos="0" relativeHeight="251872256" behindDoc="0" locked="0" layoutInCell="1" allowOverlap="1" wp14:anchorId="5204EE96" wp14:editId="2241DBDE">
                <wp:simplePos x="0" y="0"/>
                <wp:positionH relativeFrom="column">
                  <wp:posOffset>4701540</wp:posOffset>
                </wp:positionH>
                <wp:positionV relativeFrom="paragraph">
                  <wp:posOffset>53340</wp:posOffset>
                </wp:positionV>
                <wp:extent cx="9525" cy="161925"/>
                <wp:effectExtent l="0" t="0" r="28575" b="28575"/>
                <wp:wrapNone/>
                <wp:docPr id="214" name="Forma9"/>
                <wp:cNvGraphicFramePr/>
                <a:graphic xmlns:a="http://schemas.openxmlformats.org/drawingml/2006/main">
                  <a:graphicData uri="http://schemas.microsoft.com/office/word/2010/wordprocessingShape">
                    <wps:wsp>
                      <wps:cNvCnPr/>
                      <wps:spPr>
                        <a:xfrm>
                          <a:off x="0" y="0"/>
                          <a:ext cx="9525" cy="161925"/>
                        </a:xfrm>
                        <a:prstGeom prst="line">
                          <a:avLst/>
                        </a:prstGeom>
                        <a:no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line w14:anchorId="374A8E64" id="Forma9" o:spid="_x0000_s1026" style="position:absolute;z-index:25187225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370.2pt,4.2pt" to="370.95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ebojgEAABADAAAOAAAAZHJzL2Uyb0RvYy54bWysUl2vEjEQfTfxPzR9l7IIRDYsN+be4ItR&#10;Eq8/YOi2bJN+ZVpZ+PdOy4pE34wv0/nqmTmn3T5dnGVnhckE3/FmNudMeRl6408d//66f/eBs5TB&#10;92CDVx2/qsSfdm/fbMfYqkUYgu0VMgLxqR1jx4ecYytEkoNykGYhKk9FHdBBphBPokcYCd1ZsZjP&#10;12IM2EcMUqVE2Zdbke8qvtZK5q9aJ5WZ7TjtlqvFao/Fit0W2hNCHIyc1oB/2MKB8TT0DvUCGdgP&#10;NH9BOSMxpKDzTAYngtZGqsqB2DTzP9h8GyCqyoXESfEuU/p/sPLL+YDM9B1fNEvOPDh6pH2Re1O0&#10;GWNqqeXZH3CKUjxgIXrR6MpJFNil6nm966kumUlKblaLFWeSCs262ZBPGOL31Ygpf1LBseJ03Bpf&#10;yEIL588p31p/tZS0D3tjLeWhtb7YFKzpS64GeDo+W2RnoJd+v1yvPi6ncQ9tNPx2VdWvMY0pJG+0&#10;incM/bWyFSUi2evO0xcp7/oYk//4kXc/AQAA//8DAFBLAwQUAAYACAAAACEAWld4Q94AAAAIAQAA&#10;DwAAAGRycy9kb3ducmV2LnhtbEyPwU7DMBBE70j8g7VI3KjdNiJtiFO1VJWQ6IXCB7jxEkfE6yh2&#10;m/D3LCc4jVYzmnlbbibfiSsOsQ2kYT5TIJDqYFtqNHy8Hx5WIGIyZE0XCDV8Y4RNdXtTmsKGkd7w&#10;ekqN4BKKhdHgUuoLKWPt0Js4Cz0Se59h8CbxOTTSDmbkct/JhVKP0puWeMGZHp8d1l+ni9ewo932&#10;sLd74xY4vryq4zDJY671/d20fQKRcEp/YfjFZ3SomOkcLmSj6DTkmco4qmHFwn6ezdcgzhqWyzXI&#10;qpT/H6h+AAAA//8DAFBLAQItABQABgAIAAAAIQC2gziS/gAAAOEBAAATAAAAAAAAAAAAAAAAAAAA&#10;AABbQ29udGVudF9UeXBlc10ueG1sUEsBAi0AFAAGAAgAAAAhADj9If/WAAAAlAEAAAsAAAAAAAAA&#10;AAAAAAAALwEAAF9yZWxzLy5yZWxzUEsBAi0AFAAGAAgAAAAhAEDh5uiOAQAAEAMAAA4AAAAAAAAA&#10;AAAAAAAALgIAAGRycy9lMm9Eb2MueG1sUEsBAi0AFAAGAAgAAAAhAFpXeEPeAAAACAEAAA8AAAAA&#10;AAAAAAAAAAAA6AMAAGRycy9kb3ducmV2LnhtbFBLBQYAAAAABAAEAPMAAADzBAAAAAA=&#10;" strokecolor="#3465a4"/>
            </w:pict>
          </mc:Fallback>
        </mc:AlternateContent>
      </w:r>
      <w:r w:rsidR="0097167A" w:rsidRPr="00A07BE9">
        <w:rPr>
          <w:rFonts w:ascii="Open Sans" w:eastAsia="NSimSun" w:hAnsi="Open Sans" w:cs="Arial"/>
          <w:noProof/>
          <w:kern w:val="2"/>
          <w:sz w:val="24"/>
          <w:szCs w:val="24"/>
          <w:lang w:eastAsia="es-ES"/>
        </w:rPr>
        <mc:AlternateContent>
          <mc:Choice Requires="wps">
            <w:drawing>
              <wp:anchor distT="0" distB="0" distL="0" distR="0" simplePos="0" relativeHeight="251871232" behindDoc="0" locked="0" layoutInCell="1" allowOverlap="1" wp14:anchorId="539C924A" wp14:editId="38A4F507">
                <wp:simplePos x="0" y="0"/>
                <wp:positionH relativeFrom="column">
                  <wp:posOffset>3953510</wp:posOffset>
                </wp:positionH>
                <wp:positionV relativeFrom="paragraph">
                  <wp:posOffset>197485</wp:posOffset>
                </wp:positionV>
                <wp:extent cx="1678940" cy="636905"/>
                <wp:effectExtent l="0" t="0" r="16510" b="10795"/>
                <wp:wrapNone/>
                <wp:docPr id="216" name="Forma1"/>
                <wp:cNvGraphicFramePr/>
                <a:graphic xmlns:a="http://schemas.openxmlformats.org/drawingml/2006/main">
                  <a:graphicData uri="http://schemas.microsoft.com/office/word/2010/wordprocessingShape">
                    <wps:wsp>
                      <wps:cNvSpPr/>
                      <wps:spPr>
                        <a:xfrm>
                          <a:off x="0" y="0"/>
                          <a:ext cx="1678940" cy="636905"/>
                        </a:xfrm>
                        <a:custGeom>
                          <a:avLst/>
                          <a:gdLst/>
                          <a:ahLst/>
                          <a:cxnLst/>
                          <a:rect l="0" t="0" r="r" b="b"/>
                          <a:pathLst>
                            <a:path w="2645" h="1004">
                              <a:moveTo>
                                <a:pt x="167" y="0"/>
                              </a:moveTo>
                              <a:lnTo>
                                <a:pt x="167" y="0"/>
                              </a:lnTo>
                              <a:cubicBezTo>
                                <a:pt x="138" y="0"/>
                                <a:pt x="109" y="8"/>
                                <a:pt x="84" y="22"/>
                              </a:cubicBezTo>
                              <a:cubicBezTo>
                                <a:pt x="58" y="37"/>
                                <a:pt x="37" y="58"/>
                                <a:pt x="22" y="84"/>
                              </a:cubicBezTo>
                              <a:cubicBezTo>
                                <a:pt x="8" y="109"/>
                                <a:pt x="0" y="138"/>
                                <a:pt x="0" y="167"/>
                              </a:cubicBezTo>
                              <a:lnTo>
                                <a:pt x="0" y="835"/>
                              </a:lnTo>
                              <a:lnTo>
                                <a:pt x="0" y="836"/>
                              </a:lnTo>
                              <a:cubicBezTo>
                                <a:pt x="0" y="865"/>
                                <a:pt x="8" y="894"/>
                                <a:pt x="22" y="919"/>
                              </a:cubicBezTo>
                              <a:cubicBezTo>
                                <a:pt x="37" y="945"/>
                                <a:pt x="58" y="966"/>
                                <a:pt x="84" y="981"/>
                              </a:cubicBezTo>
                              <a:cubicBezTo>
                                <a:pt x="109" y="995"/>
                                <a:pt x="138" y="1003"/>
                                <a:pt x="167" y="1003"/>
                              </a:cubicBezTo>
                              <a:lnTo>
                                <a:pt x="2476" y="1003"/>
                              </a:lnTo>
                              <a:lnTo>
                                <a:pt x="2477" y="1003"/>
                              </a:lnTo>
                              <a:cubicBezTo>
                                <a:pt x="2506" y="1003"/>
                                <a:pt x="2535" y="995"/>
                                <a:pt x="2560" y="981"/>
                              </a:cubicBezTo>
                              <a:cubicBezTo>
                                <a:pt x="2586" y="966"/>
                                <a:pt x="2607" y="945"/>
                                <a:pt x="2622" y="919"/>
                              </a:cubicBezTo>
                              <a:cubicBezTo>
                                <a:pt x="2636" y="894"/>
                                <a:pt x="2644" y="865"/>
                                <a:pt x="2644" y="836"/>
                              </a:cubicBezTo>
                              <a:lnTo>
                                <a:pt x="2644" y="167"/>
                              </a:lnTo>
                              <a:lnTo>
                                <a:pt x="2644" y="167"/>
                              </a:lnTo>
                              <a:lnTo>
                                <a:pt x="2644" y="167"/>
                              </a:lnTo>
                              <a:cubicBezTo>
                                <a:pt x="2644" y="138"/>
                                <a:pt x="2636" y="109"/>
                                <a:pt x="2622" y="84"/>
                              </a:cubicBezTo>
                              <a:cubicBezTo>
                                <a:pt x="2607" y="58"/>
                                <a:pt x="2586" y="37"/>
                                <a:pt x="2560" y="22"/>
                              </a:cubicBezTo>
                              <a:cubicBezTo>
                                <a:pt x="2535" y="8"/>
                                <a:pt x="2506" y="0"/>
                                <a:pt x="2477" y="0"/>
                              </a:cubicBezTo>
                              <a:lnTo>
                                <a:pt x="167" y="0"/>
                              </a:lnTo>
                            </a:path>
                          </a:pathLst>
                        </a:custGeom>
                        <a:solidFill>
                          <a:srgbClr val="EABAC2"/>
                        </a:solidFill>
                        <a:ln>
                          <a:solidFill>
                            <a:srgbClr val="3465A4"/>
                          </a:solidFill>
                        </a:ln>
                        <a:effectLst/>
                      </wps:spPr>
                      <wps:txbx>
                        <w:txbxContent>
                          <w:p w14:paraId="32AA5B20" w14:textId="77777777" w:rsidR="000F0D13" w:rsidRPr="00A97B43" w:rsidRDefault="000F0D13" w:rsidP="0097167A">
                            <w:pPr>
                              <w:spacing w:after="0"/>
                              <w:jc w:val="center"/>
                              <w:rPr>
                                <w:rFonts w:ascii="Open Sans" w:hAnsi="Open Sans" w:cs="Open Sans"/>
                              </w:rPr>
                            </w:pPr>
                            <w:r w:rsidRPr="00A97B43">
                              <w:rPr>
                                <w:rFonts w:ascii="Open Sans" w:hAnsi="Open Sans" w:cs="Open Sans"/>
                                <w:b/>
                                <w:bCs/>
                                <w:color w:val="FFFFFF"/>
                                <w:sz w:val="16"/>
                                <w:szCs w:val="16"/>
                                <w:u w:val="single"/>
                              </w:rPr>
                              <w:t>Puestos Adscritos</w:t>
                            </w:r>
                          </w:p>
                          <w:p w14:paraId="4C76A807" w14:textId="1B4120EB" w:rsidR="000F0D13" w:rsidRPr="00A97B43" w:rsidRDefault="000F0D13" w:rsidP="0097167A">
                            <w:pPr>
                              <w:spacing w:after="0"/>
                              <w:jc w:val="center"/>
                              <w:rPr>
                                <w:rFonts w:ascii="Open Sans" w:hAnsi="Open Sans" w:cs="Open Sans"/>
                              </w:rPr>
                            </w:pPr>
                            <w:r w:rsidRPr="00A97B43">
                              <w:rPr>
                                <w:rFonts w:ascii="Open Sans" w:hAnsi="Open Sans" w:cs="Open Sans"/>
                                <w:b/>
                                <w:bCs/>
                                <w:color w:val="FFFFFF"/>
                                <w:sz w:val="16"/>
                                <w:szCs w:val="16"/>
                              </w:rPr>
                              <w:t>Unidad de Generalitat y</w:t>
                            </w:r>
                          </w:p>
                          <w:p w14:paraId="7F18E05E" w14:textId="77777777" w:rsidR="000F0D13" w:rsidRDefault="000F0D13" w:rsidP="0097167A">
                            <w:pPr>
                              <w:spacing w:after="0"/>
                              <w:jc w:val="center"/>
                            </w:pPr>
                            <w:r w:rsidRPr="00A97B43">
                              <w:rPr>
                                <w:rFonts w:ascii="Open Sans" w:hAnsi="Open Sans" w:cs="Open Sans"/>
                                <w:b/>
                                <w:bCs/>
                                <w:color w:val="FFFFFF"/>
                                <w:sz w:val="16"/>
                                <w:szCs w:val="16"/>
                              </w:rPr>
                              <w:t>Sector Público Autonómico</w:t>
                            </w:r>
                          </w:p>
                        </w:txbxContent>
                      </wps:txbx>
                      <wps:bodyPr lIns="0" tIns="0" rIns="0" bIns="0" anchor="ctr">
                        <a:noAutofit/>
                      </wps:bodyPr>
                    </wps:wsp>
                  </a:graphicData>
                </a:graphic>
              </wp:anchor>
            </w:drawing>
          </mc:Choice>
          <mc:Fallback>
            <w:pict>
              <v:shape w14:anchorId="539C924A" id="_x0000_s1030" style="position:absolute;left:0;text-align:left;margin-left:311.3pt;margin-top:15.55pt;width:132.2pt;height:50.15pt;z-index:251871232;visibility:visible;mso-wrap-style:square;mso-wrap-distance-left:0;mso-wrap-distance-top:0;mso-wrap-distance-right:0;mso-wrap-distance-bottom:0;mso-position-horizontal:absolute;mso-position-horizontal-relative:text;mso-position-vertical:absolute;mso-position-vertical-relative:text;v-text-anchor:middle" coordsize="2645,100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egSQMAAP4JAAAOAAAAZHJzL2Uyb0RvYy54bWysVttunDAQfa/Uf7B4b2DZhcAqbLRJmqpS&#10;1UZK+gFeYxYkwMj2XtKv79jGLCbbRkn7AvZ4fHzmzPhydX1sarSnXFSszbzZReAh2hKWV+02834+&#10;3X9KPCQkbnNcs5Zm3jMV3vXq44erQ7ekIStZnVOOAKQVy0OXeaWU3dL3BSlpg8UF62gLgwXjDZbQ&#10;5Vs/5/gA6E3th0EQ+wfG844zQoUA650Z9FYavygokT+KQlCJ6swDblJ/uf5u1NdfXeHlluOurEhP&#10;A7+DRYOrFhYdoO6wxGjHqxdQTUU4E6yQF4Q1PiuKilAdA0QzCybRPJa4ozoWEEd0g0zi/8GS7/vH&#10;7oGDDIdOLAU0VRTHgjfqD/zQUYv1PIhFjxIRMM7iyyRdgKYExuJ5nAaRUtM/zSY7Ib9QppHw/puQ&#10;RuzctnBpW+TY2iaHlE2TxT0EydqYZHVYqnmKnmqiQ+aF8SLyUAmcgmCh09CwPX1i2keqCICsh2wM&#10;QPE0Xrd/87OjZLepyA395fjOobYtJpAxCwWpNiY9WW1MFtoWhr1ALprbMzCRgZ5fjmGgp9aDMS2k&#10;8QRQZYQljPgumtszMwz0DIiOYCCPgDKDkF4aQbtz2FYbg2oAkrktAjtq/65X3CPa0XM8e8RYI1p9&#10;DXkovDHPXoN0pkOC9Lpwbs8Q6bVMoXBGAfeyp7HmN6xp0pcms7M6nINX6ipB09TBV/pqnYNgPl7X&#10;lifUr7a/CMHqZMiHi8vYwQF/62H/g6cpmhGy9TjHO4wCF9lqEEaQ2TMRhVFs8vQWdcIoMatMhA7j&#10;wLCdpCWM35HhEM4kzXhaLPHC5DNxKwsOkd4O816v98Fd5c64W2Htv0+Bxf0Hx7OpGnDdTTvEPdnh&#10;g4hvOCqGhEzOHJs/93waauENB91QV87BM5Rhf0FPillbX9kjdktZX5MUmKQuDX1NDReJRjpdVYLV&#10;VX5f1bW6PgTfbm5rjvYYHhCf1zfrW3uIO251q53/OHO+iKO1PaJHM/XGVVOpfquYS9A/XcWqJY+b&#10;I6ryzNPzlWXD8ucHjuqvLbwEYPtJ2+C2sbEN3JKSwXuHSK4vxpatd5IVlbqL9ToGq+/AI0NL0z+I&#10;1Ctm3Ndep2fb6jcAAAD//wMAUEsDBBQABgAIAAAAIQBOataj4AAAAAoBAAAPAAAAZHJzL2Rvd25y&#10;ZXYueG1sTI/LTsMwEEX3SPyDNUjsqOMUhSjEqVrEY9FuKF2wdOMhiRqPo9hNw98zrGA5mqN7zy1X&#10;s+vFhGPoPGlQiwQEUu1tR42Gw8fLXQ4iREPW9J5QwzcGWFXXV6UprL/QO0772AgOoVAYDW2MQyFl&#10;qFt0Jiz8gMS/Lz86E/kcG2lHc+Fw18s0STLpTEfc0JoBn1qsT/uz0zDlu1d8PrwNm9O82daftltv&#10;Vaf17c28fgQRcY5/MPzqszpU7HT0Z7JB9BqyNM0Y1bBUCgQDef7A445MLtU9yKqU/ydUPwAAAP//&#10;AwBQSwECLQAUAAYACAAAACEAtoM4kv4AAADhAQAAEwAAAAAAAAAAAAAAAAAAAAAAW0NvbnRlbnRf&#10;VHlwZXNdLnhtbFBLAQItABQABgAIAAAAIQA4/SH/1gAAAJQBAAALAAAAAAAAAAAAAAAAAC8BAABf&#10;cmVscy8ucmVsc1BLAQItABQABgAIAAAAIQDI+degSQMAAP4JAAAOAAAAAAAAAAAAAAAAAC4CAABk&#10;cnMvZTJvRG9jLnhtbFBLAQItABQABgAIAAAAIQBOataj4AAAAAoBAAAPAAAAAAAAAAAAAAAAAKMF&#10;AABkcnMvZG93bnJldi54bWxQSwUGAAAAAAQABADzAAAAsAYAAAAA&#10;" adj="-11796480,,5400" path="m167,r,c138,,109,8,84,22,58,37,37,58,22,84,8,109,,138,,167l,835r,1c,865,8,894,22,919v15,26,36,47,62,62c109,995,138,1003,167,1003r2309,l2477,1003v29,,58,-8,83,-22c2586,966,2607,945,2622,919v14,-25,22,-54,22,-83l2644,167r,l2644,167v,-29,-8,-58,-22,-83c2607,58,2586,37,2560,22,2535,8,2506,,2477,l167,e" fillcolor="#eabac2" strokecolor="#3465a4">
                <v:stroke joinstyle="miter"/>
                <v:formulas/>
                <v:path arrowok="t" o:connecttype="custom" textboxrect="0,0,2645,1004"/>
                <v:textbox inset="0,0,0,0">
                  <w:txbxContent>
                    <w:p w14:paraId="32AA5B20" w14:textId="77777777" w:rsidR="000F0D13" w:rsidRPr="00A97B43" w:rsidRDefault="000F0D13" w:rsidP="0097167A">
                      <w:pPr>
                        <w:spacing w:after="0"/>
                        <w:jc w:val="center"/>
                        <w:rPr>
                          <w:rFonts w:ascii="Open Sans" w:hAnsi="Open Sans" w:cs="Open Sans"/>
                        </w:rPr>
                      </w:pPr>
                      <w:r w:rsidRPr="00A97B43">
                        <w:rPr>
                          <w:rFonts w:ascii="Open Sans" w:hAnsi="Open Sans" w:cs="Open Sans"/>
                          <w:b/>
                          <w:bCs/>
                          <w:color w:val="FFFFFF"/>
                          <w:sz w:val="16"/>
                          <w:szCs w:val="16"/>
                          <w:u w:val="single"/>
                        </w:rPr>
                        <w:t>Puestos Adscritos</w:t>
                      </w:r>
                    </w:p>
                    <w:p w14:paraId="4C76A807" w14:textId="1B4120EB" w:rsidR="000F0D13" w:rsidRPr="00A97B43" w:rsidRDefault="000F0D13" w:rsidP="0097167A">
                      <w:pPr>
                        <w:spacing w:after="0"/>
                        <w:jc w:val="center"/>
                        <w:rPr>
                          <w:rFonts w:ascii="Open Sans" w:hAnsi="Open Sans" w:cs="Open Sans"/>
                        </w:rPr>
                      </w:pPr>
                      <w:r w:rsidRPr="00A97B43">
                        <w:rPr>
                          <w:rFonts w:ascii="Open Sans" w:hAnsi="Open Sans" w:cs="Open Sans"/>
                          <w:b/>
                          <w:bCs/>
                          <w:color w:val="FFFFFF"/>
                          <w:sz w:val="16"/>
                          <w:szCs w:val="16"/>
                        </w:rPr>
                        <w:t>Unidad de Generalitat y</w:t>
                      </w:r>
                    </w:p>
                    <w:p w14:paraId="7F18E05E" w14:textId="77777777" w:rsidR="000F0D13" w:rsidRDefault="000F0D13" w:rsidP="0097167A">
                      <w:pPr>
                        <w:spacing w:after="0"/>
                        <w:jc w:val="center"/>
                      </w:pPr>
                      <w:r w:rsidRPr="00A97B43">
                        <w:rPr>
                          <w:rFonts w:ascii="Open Sans" w:hAnsi="Open Sans" w:cs="Open Sans"/>
                          <w:b/>
                          <w:bCs/>
                          <w:color w:val="FFFFFF"/>
                          <w:sz w:val="16"/>
                          <w:szCs w:val="16"/>
                        </w:rPr>
                        <w:t>Sector Público Autonómico</w:t>
                      </w:r>
                    </w:p>
                  </w:txbxContent>
                </v:textbox>
              </v:shape>
            </w:pict>
          </mc:Fallback>
        </mc:AlternateContent>
      </w:r>
      <w:r w:rsidR="0097167A" w:rsidRPr="00A07BE9">
        <w:rPr>
          <w:rFonts w:ascii="Open Sans" w:eastAsia="NSimSun" w:hAnsi="Open Sans" w:cs="Arial"/>
          <w:noProof/>
          <w:kern w:val="2"/>
          <w:sz w:val="24"/>
          <w:szCs w:val="24"/>
          <w:lang w:eastAsia="es-ES"/>
        </w:rPr>
        <mc:AlternateContent>
          <mc:Choice Requires="wps">
            <w:drawing>
              <wp:anchor distT="0" distB="0" distL="0" distR="0" simplePos="0" relativeHeight="251869184" behindDoc="0" locked="0" layoutInCell="1" allowOverlap="1" wp14:anchorId="2B58E6B6" wp14:editId="2B3CEBF1">
                <wp:simplePos x="0" y="0"/>
                <wp:positionH relativeFrom="column">
                  <wp:posOffset>320040</wp:posOffset>
                </wp:positionH>
                <wp:positionV relativeFrom="paragraph">
                  <wp:posOffset>177165</wp:posOffset>
                </wp:positionV>
                <wp:extent cx="1371600" cy="647700"/>
                <wp:effectExtent l="0" t="0" r="19050" b="19050"/>
                <wp:wrapNone/>
                <wp:docPr id="218" name="Forma1"/>
                <wp:cNvGraphicFramePr/>
                <a:graphic xmlns:a="http://schemas.openxmlformats.org/drawingml/2006/main">
                  <a:graphicData uri="http://schemas.microsoft.com/office/word/2010/wordprocessingShape">
                    <wps:wsp>
                      <wps:cNvSpPr/>
                      <wps:spPr>
                        <a:xfrm>
                          <a:off x="0" y="0"/>
                          <a:ext cx="1371600" cy="647700"/>
                        </a:xfrm>
                        <a:custGeom>
                          <a:avLst/>
                          <a:gdLst/>
                          <a:ahLst/>
                          <a:cxnLst/>
                          <a:rect l="0" t="0" r="r" b="b"/>
                          <a:pathLst>
                            <a:path w="2652" h="1002">
                              <a:moveTo>
                                <a:pt x="166" y="0"/>
                              </a:moveTo>
                              <a:lnTo>
                                <a:pt x="167" y="0"/>
                              </a:lnTo>
                              <a:cubicBezTo>
                                <a:pt x="138" y="0"/>
                                <a:pt x="109" y="8"/>
                                <a:pt x="83" y="22"/>
                              </a:cubicBezTo>
                              <a:cubicBezTo>
                                <a:pt x="58" y="37"/>
                                <a:pt x="37" y="58"/>
                                <a:pt x="22" y="83"/>
                              </a:cubicBezTo>
                              <a:cubicBezTo>
                                <a:pt x="8" y="109"/>
                                <a:pt x="0" y="138"/>
                                <a:pt x="0" y="167"/>
                              </a:cubicBezTo>
                              <a:lnTo>
                                <a:pt x="0" y="834"/>
                              </a:lnTo>
                              <a:lnTo>
                                <a:pt x="0" y="834"/>
                              </a:lnTo>
                              <a:cubicBezTo>
                                <a:pt x="0" y="863"/>
                                <a:pt x="8" y="892"/>
                                <a:pt x="22" y="918"/>
                              </a:cubicBezTo>
                              <a:cubicBezTo>
                                <a:pt x="37" y="943"/>
                                <a:pt x="58" y="964"/>
                                <a:pt x="83" y="979"/>
                              </a:cubicBezTo>
                              <a:cubicBezTo>
                                <a:pt x="109" y="993"/>
                                <a:pt x="138" y="1001"/>
                                <a:pt x="167" y="1001"/>
                              </a:cubicBezTo>
                              <a:lnTo>
                                <a:pt x="2484" y="1001"/>
                              </a:lnTo>
                              <a:lnTo>
                                <a:pt x="2484" y="1001"/>
                              </a:lnTo>
                              <a:cubicBezTo>
                                <a:pt x="2513" y="1001"/>
                                <a:pt x="2542" y="993"/>
                                <a:pt x="2568" y="979"/>
                              </a:cubicBezTo>
                              <a:cubicBezTo>
                                <a:pt x="2593" y="964"/>
                                <a:pt x="2614" y="943"/>
                                <a:pt x="2629" y="918"/>
                              </a:cubicBezTo>
                              <a:cubicBezTo>
                                <a:pt x="2643" y="892"/>
                                <a:pt x="2651" y="863"/>
                                <a:pt x="2651" y="834"/>
                              </a:cubicBezTo>
                              <a:lnTo>
                                <a:pt x="2651" y="166"/>
                              </a:lnTo>
                              <a:lnTo>
                                <a:pt x="2651" y="167"/>
                              </a:lnTo>
                              <a:lnTo>
                                <a:pt x="2651" y="167"/>
                              </a:lnTo>
                              <a:cubicBezTo>
                                <a:pt x="2651" y="138"/>
                                <a:pt x="2643" y="109"/>
                                <a:pt x="2629" y="83"/>
                              </a:cubicBezTo>
                              <a:cubicBezTo>
                                <a:pt x="2614" y="58"/>
                                <a:pt x="2593" y="37"/>
                                <a:pt x="2568" y="22"/>
                              </a:cubicBezTo>
                              <a:cubicBezTo>
                                <a:pt x="2542" y="8"/>
                                <a:pt x="2513" y="0"/>
                                <a:pt x="2484" y="0"/>
                              </a:cubicBezTo>
                              <a:lnTo>
                                <a:pt x="166" y="0"/>
                              </a:lnTo>
                            </a:path>
                          </a:pathLst>
                        </a:custGeom>
                        <a:solidFill>
                          <a:srgbClr val="EABAC2"/>
                        </a:solidFill>
                        <a:ln>
                          <a:solidFill>
                            <a:srgbClr val="3465A4"/>
                          </a:solidFill>
                        </a:ln>
                        <a:effectLst/>
                      </wps:spPr>
                      <wps:txbx>
                        <w:txbxContent>
                          <w:p w14:paraId="78646F74" w14:textId="77777777" w:rsidR="000F0D13" w:rsidRPr="00A97B43" w:rsidRDefault="000F0D13" w:rsidP="0097167A">
                            <w:pPr>
                              <w:spacing w:after="0"/>
                              <w:jc w:val="center"/>
                              <w:rPr>
                                <w:rFonts w:ascii="Open Sans" w:hAnsi="Open Sans" w:cs="Open Sans"/>
                              </w:rPr>
                            </w:pPr>
                            <w:r w:rsidRPr="00A97B43">
                              <w:rPr>
                                <w:rFonts w:ascii="Open Sans" w:hAnsi="Open Sans" w:cs="Open Sans"/>
                                <w:b/>
                                <w:bCs/>
                                <w:color w:val="FFFFFF"/>
                                <w:sz w:val="16"/>
                                <w:szCs w:val="16"/>
                                <w:u w:val="single"/>
                              </w:rPr>
                              <w:t>Puestos Adscritos</w:t>
                            </w:r>
                          </w:p>
                          <w:p w14:paraId="4014B857" w14:textId="67E2F2E0" w:rsidR="000F0D13" w:rsidRPr="00A97B43" w:rsidRDefault="000F0D13" w:rsidP="0097167A">
                            <w:pPr>
                              <w:spacing w:after="0"/>
                              <w:jc w:val="center"/>
                              <w:rPr>
                                <w:rFonts w:ascii="Open Sans" w:hAnsi="Open Sans" w:cs="Open Sans"/>
                              </w:rPr>
                            </w:pPr>
                            <w:r w:rsidRPr="00A97B43">
                              <w:rPr>
                                <w:rFonts w:ascii="Open Sans" w:hAnsi="Open Sans" w:cs="Open Sans"/>
                                <w:b/>
                                <w:bCs/>
                                <w:color w:val="FFFFFF"/>
                                <w:sz w:val="16"/>
                                <w:szCs w:val="16"/>
                              </w:rPr>
                              <w:t>Unidad de Análisis de Gasto Público</w:t>
                            </w:r>
                          </w:p>
                          <w:p w14:paraId="75F0BD8A" w14:textId="1517C649" w:rsidR="000F0D13" w:rsidRPr="00A97B43" w:rsidRDefault="000F0D13" w:rsidP="0097167A">
                            <w:pPr>
                              <w:spacing w:after="0"/>
                              <w:jc w:val="center"/>
                              <w:rPr>
                                <w:rFonts w:ascii="Open Sans" w:hAnsi="Open Sans" w:cs="Open Sans"/>
                              </w:rPr>
                            </w:pPr>
                            <w:r w:rsidRPr="00A97B43">
                              <w:rPr>
                                <w:rFonts w:ascii="Open Sans" w:hAnsi="Open Sans" w:cs="Open Sans"/>
                                <w:b/>
                                <w:bCs/>
                                <w:color w:val="FFFFFF"/>
                                <w:sz w:val="16"/>
                                <w:szCs w:val="16"/>
                              </w:rPr>
                              <w:t>Unidad de Evaluación</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2B58E6B6" id="_x0000_s1031" style="position:absolute;left:0;text-align:left;margin-left:25.2pt;margin-top:13.95pt;width:108pt;height:51pt;z-index:25186918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2652,100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y1aWAMAAAwKAAAOAAAAZHJzL2Uyb0RvYy54bWysVm1v2yAQ/j5p/wH5+2qbJE4cNanSdp0m&#10;TVuldj+AYBxbso0H5KX79TvAOMHpumXaFxuO4+HuueOO65tDXaEdE7LkzSKIr6IAsYbyrGw2i+D7&#10;88OHWYCkIk1GKt6wRfDCZHCzfP/uet/OGeYFrzImEIA0cr5vF0GhVDsPQ0kLVhN5xVvWwGLORU0U&#10;TMUmzATZA3pdhTiKknDPRdYKTpmUIL23i8HS4Oc5o+pbnkumULUIwDZlvsJ81/obLq/JfCNIW5S0&#10;M4P8gxU1KRs4tIe6J4qgrSjPoOqSCi55rq4or0Oe5yVlxgfwJo4G3jwVpGXGFyBHtj1N8v/B0q+7&#10;p/ZRAA37Vs4lDLUXh1zU+g/2oYMh66Unix0UoiCMR9M4iYBTCmvJeDqFMcCEx910K9Unxg0S2X2R&#10;ypKduREp3IgeGjcUELJhsESAIFhrG6yWKL1Pm6eHaL8IcDLBASrApijCJgw137FnbnSU9iBOkgA5&#10;H8DE43rV+HpTT8+t0u26pLfsp6c7gtx2mGCMPShKjXDWGWuEs5GRYdwR5KP5MwszsdCj6SkMzPR5&#10;sGaItJoAqoVwhCXfR/NndoeFjsHQExiII6DE4NK5MDFWAGs+muPGolqA2Wjc2eFW3f9tLR/Z002M&#10;Z45fa/wsNVQ6YcdBGhvrzwx9DbzjMh176B3taWK8cPBd+NKpYeyv4DW7mtA09fA1v4bnKIpPiY6B&#10;4lP52Rk+i3g8Gw/1nYb7Ww7f0nyNFjyJba7CTfIsxJOxTbSBR3iSWJcuYQdPgBZDj080TmLr1yAs&#10;OMEdnRdEGCcQW33IMFmSSWzlfmZBEenkfQ77DA2Ydeq6tNir5xTcvwvBUdHdI6fg/n9U9A0ZqvuX&#10;tvd7cMN7Ei8oFX1ABjXHxc+vT30uXFDo+rzyCk+fhl2DHiSzazQ+LT6bw4pvV+Fi6aZh2lTfSMxt&#10;O7YqyasyeyirSrcPKTbru0qgHYEHxMfV7erOFXFPrWqM8m93jsbJZOVK48lOONpuZeatYptgeGzF&#10;eqQO6wMqMyj8Os+0ZM2zl0eB9vBsWQTyx5YIFqDqcwPvAv3GcQPhBms3IA0tOLx+qBKmTTZ8tVU8&#10;L3VnNqda5G4CTw5DVPc80m+a07nROj7ilr8AAAD//wMAUEsDBBQABgAIAAAAIQBer1VM4AAAAAkB&#10;AAAPAAAAZHJzL2Rvd25yZXYueG1sTI/LTsMwEEX3SPyDNUjsqEPUhibEqXiIFeqiDRUs3XiaBGI7&#10;ip3E9OsZVrCcuUd3zuSboDs24eBaawTcLiJgaCqrWlMLeCtfbtbAnJdGyc4aFPCNDjbF5UUuM2Vn&#10;s8Np72tGJcZlUkDjfZ9x7qoGtXQL26Oh7GQHLT2NQ83VIGcq1x2PoyjhWraGLjSyx6cGq6/9qAU8&#10;nspxdQ6HsJy27/P2/Fp+uOdPIa6vwsM9MI/B/8Hwq0/qUJDT0Y5GOdYJWEVLIgXEdykwyuMkocWR&#10;wDhNgRc5//9B8QMAAP//AwBQSwECLQAUAAYACAAAACEAtoM4kv4AAADhAQAAEwAAAAAAAAAAAAAA&#10;AAAAAAAAW0NvbnRlbnRfVHlwZXNdLnhtbFBLAQItABQABgAIAAAAIQA4/SH/1gAAAJQBAAALAAAA&#10;AAAAAAAAAAAAAC8BAABfcmVscy8ucmVsc1BLAQItABQABgAIAAAAIQCFgy1aWAMAAAwKAAAOAAAA&#10;AAAAAAAAAAAAAC4CAABkcnMvZTJvRG9jLnhtbFBLAQItABQABgAIAAAAIQBer1VM4AAAAAkBAAAP&#10;AAAAAAAAAAAAAAAAALIFAABkcnMvZG93bnJldi54bWxQSwUGAAAAAAQABADzAAAAvwYAAAAA&#10;" adj="-11796480,,5400" path="m166,r1,c138,,109,8,83,22,58,37,37,58,22,83,8,109,,138,,167l,834r,c,863,8,892,22,918v15,25,36,46,61,61c109,993,138,1001,167,1001r2317,l2484,1001v29,,58,-8,84,-22c2593,964,2614,943,2629,918v14,-26,22,-55,22,-84l2651,166r,1l2651,167v,-29,-8,-58,-22,-84c2614,58,2593,37,2568,22,2542,8,2513,,2484,l166,e" fillcolor="#eabac2" strokecolor="#3465a4">
                <v:stroke joinstyle="miter"/>
                <v:formulas/>
                <v:path arrowok="t" o:connecttype="custom" textboxrect="0,0,2652,1002"/>
                <v:textbox inset="0,0,0,0">
                  <w:txbxContent>
                    <w:p w14:paraId="78646F74" w14:textId="77777777" w:rsidR="000F0D13" w:rsidRPr="00A97B43" w:rsidRDefault="000F0D13" w:rsidP="0097167A">
                      <w:pPr>
                        <w:spacing w:after="0"/>
                        <w:jc w:val="center"/>
                        <w:rPr>
                          <w:rFonts w:ascii="Open Sans" w:hAnsi="Open Sans" w:cs="Open Sans"/>
                        </w:rPr>
                      </w:pPr>
                      <w:r w:rsidRPr="00A97B43">
                        <w:rPr>
                          <w:rFonts w:ascii="Open Sans" w:hAnsi="Open Sans" w:cs="Open Sans"/>
                          <w:b/>
                          <w:bCs/>
                          <w:color w:val="FFFFFF"/>
                          <w:sz w:val="16"/>
                          <w:szCs w:val="16"/>
                          <w:u w:val="single"/>
                        </w:rPr>
                        <w:t>Puestos Adscritos</w:t>
                      </w:r>
                    </w:p>
                    <w:p w14:paraId="4014B857" w14:textId="67E2F2E0" w:rsidR="000F0D13" w:rsidRPr="00A97B43" w:rsidRDefault="000F0D13" w:rsidP="0097167A">
                      <w:pPr>
                        <w:spacing w:after="0"/>
                        <w:jc w:val="center"/>
                        <w:rPr>
                          <w:rFonts w:ascii="Open Sans" w:hAnsi="Open Sans" w:cs="Open Sans"/>
                        </w:rPr>
                      </w:pPr>
                      <w:r w:rsidRPr="00A97B43">
                        <w:rPr>
                          <w:rFonts w:ascii="Open Sans" w:hAnsi="Open Sans" w:cs="Open Sans"/>
                          <w:b/>
                          <w:bCs/>
                          <w:color w:val="FFFFFF"/>
                          <w:sz w:val="16"/>
                          <w:szCs w:val="16"/>
                        </w:rPr>
                        <w:t>Unidad de Análisis de Gasto Público</w:t>
                      </w:r>
                    </w:p>
                    <w:p w14:paraId="75F0BD8A" w14:textId="1517C649" w:rsidR="000F0D13" w:rsidRPr="00A97B43" w:rsidRDefault="000F0D13" w:rsidP="0097167A">
                      <w:pPr>
                        <w:spacing w:after="0"/>
                        <w:jc w:val="center"/>
                        <w:rPr>
                          <w:rFonts w:ascii="Open Sans" w:hAnsi="Open Sans" w:cs="Open Sans"/>
                        </w:rPr>
                      </w:pPr>
                      <w:r w:rsidRPr="00A97B43">
                        <w:rPr>
                          <w:rFonts w:ascii="Open Sans" w:hAnsi="Open Sans" w:cs="Open Sans"/>
                          <w:b/>
                          <w:bCs/>
                          <w:color w:val="FFFFFF"/>
                          <w:sz w:val="16"/>
                          <w:szCs w:val="16"/>
                        </w:rPr>
                        <w:t>Unidad de Evaluación</w:t>
                      </w:r>
                    </w:p>
                  </w:txbxContent>
                </v:textbox>
              </v:shape>
            </w:pict>
          </mc:Fallback>
        </mc:AlternateContent>
      </w:r>
    </w:p>
    <w:p w14:paraId="40C68984" w14:textId="77777777" w:rsidR="0097167A" w:rsidRPr="00A07BE9" w:rsidRDefault="0097167A" w:rsidP="0097167A">
      <w:pPr>
        <w:spacing w:after="0" w:line="240" w:lineRule="auto"/>
        <w:jc w:val="center"/>
        <w:rPr>
          <w:rFonts w:ascii="Open Sans" w:eastAsia="NSimSun" w:hAnsi="Open Sans" w:cs="Arial"/>
          <w:kern w:val="2"/>
          <w:sz w:val="24"/>
          <w:szCs w:val="24"/>
          <w:lang w:eastAsia="zh-CN" w:bidi="hi-IN"/>
        </w:rPr>
      </w:pPr>
      <w:r w:rsidRPr="00A07BE9">
        <w:rPr>
          <w:rFonts w:ascii="Open Sans" w:eastAsia="NSimSun" w:hAnsi="Open Sans" w:cs="Arial"/>
          <w:noProof/>
          <w:kern w:val="2"/>
          <w:sz w:val="24"/>
          <w:szCs w:val="24"/>
          <w:lang w:eastAsia="es-ES"/>
        </w:rPr>
        <mc:AlternateContent>
          <mc:Choice Requires="wps">
            <w:drawing>
              <wp:anchor distT="0" distB="0" distL="0" distR="0" simplePos="0" relativeHeight="251879424" behindDoc="0" locked="0" layoutInCell="1" allowOverlap="1" wp14:anchorId="1DB07F6E" wp14:editId="17155224">
                <wp:simplePos x="0" y="0"/>
                <wp:positionH relativeFrom="column">
                  <wp:posOffset>2005965</wp:posOffset>
                </wp:positionH>
                <wp:positionV relativeFrom="paragraph">
                  <wp:posOffset>7620</wp:posOffset>
                </wp:positionV>
                <wp:extent cx="1552575" cy="571500"/>
                <wp:effectExtent l="0" t="0" r="28575" b="19050"/>
                <wp:wrapNone/>
                <wp:docPr id="217" name="Forma1"/>
                <wp:cNvGraphicFramePr/>
                <a:graphic xmlns:a="http://schemas.openxmlformats.org/drawingml/2006/main">
                  <a:graphicData uri="http://schemas.microsoft.com/office/word/2010/wordprocessingShape">
                    <wps:wsp>
                      <wps:cNvSpPr/>
                      <wps:spPr>
                        <a:xfrm>
                          <a:off x="0" y="0"/>
                          <a:ext cx="1552575" cy="571500"/>
                        </a:xfrm>
                        <a:custGeom>
                          <a:avLst/>
                          <a:gdLst/>
                          <a:ahLst/>
                          <a:cxnLst/>
                          <a:rect l="0" t="0" r="r" b="b"/>
                          <a:pathLst>
                            <a:path w="2652" h="1002">
                              <a:moveTo>
                                <a:pt x="166" y="0"/>
                              </a:moveTo>
                              <a:lnTo>
                                <a:pt x="167" y="0"/>
                              </a:lnTo>
                              <a:cubicBezTo>
                                <a:pt x="138" y="0"/>
                                <a:pt x="109" y="8"/>
                                <a:pt x="83" y="22"/>
                              </a:cubicBezTo>
                              <a:cubicBezTo>
                                <a:pt x="58" y="37"/>
                                <a:pt x="37" y="58"/>
                                <a:pt x="22" y="83"/>
                              </a:cubicBezTo>
                              <a:cubicBezTo>
                                <a:pt x="8" y="109"/>
                                <a:pt x="0" y="138"/>
                                <a:pt x="0" y="167"/>
                              </a:cubicBezTo>
                              <a:lnTo>
                                <a:pt x="0" y="834"/>
                              </a:lnTo>
                              <a:lnTo>
                                <a:pt x="0" y="834"/>
                              </a:lnTo>
                              <a:cubicBezTo>
                                <a:pt x="0" y="863"/>
                                <a:pt x="8" y="892"/>
                                <a:pt x="22" y="918"/>
                              </a:cubicBezTo>
                              <a:cubicBezTo>
                                <a:pt x="37" y="943"/>
                                <a:pt x="58" y="964"/>
                                <a:pt x="83" y="979"/>
                              </a:cubicBezTo>
                              <a:cubicBezTo>
                                <a:pt x="109" y="993"/>
                                <a:pt x="138" y="1001"/>
                                <a:pt x="167" y="1001"/>
                              </a:cubicBezTo>
                              <a:lnTo>
                                <a:pt x="2484" y="1001"/>
                              </a:lnTo>
                              <a:lnTo>
                                <a:pt x="2484" y="1001"/>
                              </a:lnTo>
                              <a:cubicBezTo>
                                <a:pt x="2513" y="1001"/>
                                <a:pt x="2542" y="993"/>
                                <a:pt x="2568" y="979"/>
                              </a:cubicBezTo>
                              <a:cubicBezTo>
                                <a:pt x="2593" y="964"/>
                                <a:pt x="2614" y="943"/>
                                <a:pt x="2629" y="918"/>
                              </a:cubicBezTo>
                              <a:cubicBezTo>
                                <a:pt x="2643" y="892"/>
                                <a:pt x="2651" y="863"/>
                                <a:pt x="2651" y="834"/>
                              </a:cubicBezTo>
                              <a:lnTo>
                                <a:pt x="2651" y="166"/>
                              </a:lnTo>
                              <a:lnTo>
                                <a:pt x="2651" y="167"/>
                              </a:lnTo>
                              <a:lnTo>
                                <a:pt x="2651" y="167"/>
                              </a:lnTo>
                              <a:cubicBezTo>
                                <a:pt x="2651" y="138"/>
                                <a:pt x="2643" y="109"/>
                                <a:pt x="2629" y="83"/>
                              </a:cubicBezTo>
                              <a:cubicBezTo>
                                <a:pt x="2614" y="58"/>
                                <a:pt x="2593" y="37"/>
                                <a:pt x="2568" y="22"/>
                              </a:cubicBezTo>
                              <a:cubicBezTo>
                                <a:pt x="2542" y="8"/>
                                <a:pt x="2513" y="0"/>
                                <a:pt x="2484" y="0"/>
                              </a:cubicBezTo>
                              <a:lnTo>
                                <a:pt x="166" y="0"/>
                              </a:lnTo>
                            </a:path>
                          </a:pathLst>
                        </a:custGeom>
                        <a:solidFill>
                          <a:srgbClr val="EABAC2"/>
                        </a:solidFill>
                        <a:ln>
                          <a:solidFill>
                            <a:srgbClr val="3465A4"/>
                          </a:solidFill>
                        </a:ln>
                        <a:effectLst/>
                      </wps:spPr>
                      <wps:txbx>
                        <w:txbxContent>
                          <w:p w14:paraId="2FA45277" w14:textId="77777777" w:rsidR="000F0D13" w:rsidRPr="00A97B43" w:rsidRDefault="000F0D13" w:rsidP="0097167A">
                            <w:pPr>
                              <w:spacing w:after="0"/>
                              <w:jc w:val="center"/>
                              <w:rPr>
                                <w:rFonts w:ascii="Open Sans" w:hAnsi="Open Sans" w:cs="Open Sans"/>
                              </w:rPr>
                            </w:pPr>
                            <w:r w:rsidRPr="00A97B43">
                              <w:rPr>
                                <w:rFonts w:ascii="Open Sans" w:hAnsi="Open Sans" w:cs="Open Sans"/>
                                <w:b/>
                                <w:bCs/>
                                <w:color w:val="FFFFFF"/>
                                <w:sz w:val="16"/>
                                <w:szCs w:val="16"/>
                                <w:u w:val="single"/>
                              </w:rPr>
                              <w:t>Puestos Adscritos</w:t>
                            </w:r>
                          </w:p>
                          <w:p w14:paraId="4DFC7878" w14:textId="3786C977" w:rsidR="000F0D13" w:rsidRPr="00A97B43" w:rsidRDefault="000F0D13" w:rsidP="0097167A">
                            <w:pPr>
                              <w:spacing w:after="0"/>
                              <w:jc w:val="center"/>
                              <w:rPr>
                                <w:rFonts w:ascii="Open Sans" w:hAnsi="Open Sans" w:cs="Open Sans"/>
                              </w:rPr>
                            </w:pPr>
                            <w:r w:rsidRPr="00A97B43">
                              <w:rPr>
                                <w:rFonts w:ascii="Open Sans" w:hAnsi="Open Sans" w:cs="Open Sans"/>
                                <w:b/>
                                <w:bCs/>
                                <w:color w:val="FFFFFF"/>
                                <w:sz w:val="16"/>
                                <w:szCs w:val="16"/>
                              </w:rPr>
                              <w:t xml:space="preserve">Unidad de Entes Locales </w:t>
                            </w:r>
                          </w:p>
                          <w:p w14:paraId="69A67A3E" w14:textId="77777777" w:rsidR="000F0D13" w:rsidRPr="00A97B43" w:rsidRDefault="000F0D13" w:rsidP="0097167A">
                            <w:pPr>
                              <w:spacing w:after="0"/>
                              <w:jc w:val="center"/>
                              <w:rPr>
                                <w:rFonts w:ascii="Open Sans" w:hAnsi="Open Sans" w:cs="Open Sans"/>
                              </w:rPr>
                            </w:pPr>
                            <w:r w:rsidRPr="00A97B43">
                              <w:rPr>
                                <w:rFonts w:ascii="Open Sans" w:hAnsi="Open Sans" w:cs="Open Sans"/>
                                <w:b/>
                                <w:bCs/>
                                <w:color w:val="FFFFFF"/>
                                <w:sz w:val="16"/>
                                <w:szCs w:val="16"/>
                              </w:rPr>
                              <w:t>y Sector Público Local</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1DB07F6E" id="_x0000_s1032" style="position:absolute;left:0;text-align:left;margin-left:157.95pt;margin-top:.6pt;width:122.25pt;height:45pt;z-index:25187942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2652,100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iUOVAMAAAwKAAAOAAAAZHJzL2Uyb0RvYy54bWysVm1v2yAQ/j5p/wHxfbVNYudFTau03aZJ&#10;01ap3Q8gGCeWbOMBeel+/Q4wTnC6rp32xYbjeLh77rjj8vpQV2jHpSpFs8DJRYwRb5jIy2a9wD8e&#10;P32YYqQ0bXJaiYYv8BNX+Prq/bvLfTvnRGxElXOJAKRR8327wBut23kUKbbhNVUXouUNLBZC1lTD&#10;VK6jXNI9oNdVROI4i/ZC5q0UjCsF0ju3iK8sflFwpr8XheIaVQsMtmn7lfa7Mt/o6pLO15K2m5J1&#10;ZtB/sKKmZQOH9lB3VFO0leUZVF0yKZQo9AUTdSSKomTc+gDeJPHAm4cNbbn1BchRbU+T+n+w7Nvu&#10;ob2XQMO+VXMFQ+PFoZC1+YN96GDJeurJ4geNGAiTNCXpJMWIwVo6SdLYshkdd7Ot0p+5sEh091Vp&#10;R3buR3TjR+zQ+KGEkA2DJTGCYK1csFqqzT5jnhmi/QKTLCUYbcCmOCY2DLXY8UdhdbTxIMkyjLwP&#10;YOJxvWpCvUmg51fZdlWyG/4r0B1BbntMMMYdFM+scNoZa4XTkZURYoRweogWzhxM6qBHk1MYmJnz&#10;YM0S6TQB1AjhiNdiO+gEDD2BgbsBKAm4dC7MrBVndntunB0OYDoad3b4Vf9/Wes5DjrEzHrm+XXG&#10;T2eWSi/sOJgl1vozQ58D77icjQP0jvZZZr3w8F34ZhPL2KvgDbuG0NkswDf8Wp7jODklOgGKT+Vn&#10;Z4QskvF0PNT3Gv7fZccLms/RQtLE5SrcpMBCko5dog08ImnmXHoLOyQFWiw9IdEkS5xfg7CQjHR0&#10;viHCJIPYmkOGyZKliZOHmQVFpJP3ORwyNGDWq5vS4q6eV/D/LgRHRX+PvIL//1UxNGSoHl7a3u/B&#10;De9JfEOp6AMyqDk+fmF96nPhDYWuz6ug8PRp2DXoQTL7RhPSErI5rPhuFS6WaRq2CveNxN62Y6tS&#10;oirzT2VVmfah5Hp1W0m0o/CA+Li8Wd76Ih6oVY1V/uPO0ThLl740nuyEo91Wbt8qrglGx1ZsRvqw&#10;OqAyX2CbZ0ayEvnTvUR7eLYssPq5pZJjVH1p4F1g3jh+IP1g5Qe0YRsBrx+mpW2TjVhutShK05nt&#10;qQ65m8CTwxLVPY/Mm+Z0brWOj7ir3wAAAP//AwBQSwMEFAAGAAgAAAAhAEYCQADfAAAACAEAAA8A&#10;AABkcnMvZG93bnJldi54bWxMj01PwzAMhu9I/IfISNxYurFOrDSd+BAntAMr0zhmrdcWGqdq0jbs&#10;12NOcLSfV68fp5tgWjFi7xpLCuazCARSYcuGKgXv+cvNHQjnNZW6tYQKvtHBJru8SHVS2onecNz5&#10;SnAJuUQrqL3vEildUaPRbmY7JGYn2xvteewrWfZ64nLTykUUraTRDfGFWnf4VGPxtRuMgsdTPsTn&#10;sA/LcXuYtufX/MM9fyp1fRUe7kF4DP4vDL/6rA4ZOx3tQKUTrYLbebzmKIMFCObxKlqCOCpY80Jm&#10;qfz/QPYDAAD//wMAUEsBAi0AFAAGAAgAAAAhALaDOJL+AAAA4QEAABMAAAAAAAAAAAAAAAAAAAAA&#10;AFtDb250ZW50X1R5cGVzXS54bWxQSwECLQAUAAYACAAAACEAOP0h/9YAAACUAQAACwAAAAAAAAAA&#10;AAAAAAAvAQAAX3JlbHMvLnJlbHNQSwECLQAUAAYACAAAACEAOoolDlQDAAAMCgAADgAAAAAAAAAA&#10;AAAAAAAuAgAAZHJzL2Uyb0RvYy54bWxQSwECLQAUAAYACAAAACEARgJAAN8AAAAIAQAADwAAAAAA&#10;AAAAAAAAAACuBQAAZHJzL2Rvd25yZXYueG1sUEsFBgAAAAAEAAQA8wAAALoGAAAAAA==&#10;" adj="-11796480,,5400" path="m166,r1,c138,,109,8,83,22,58,37,37,58,22,83,8,109,,138,,167l,834r,c,863,8,892,22,918v15,25,36,46,61,61c109,993,138,1001,167,1001r2317,l2484,1001v29,,58,-8,84,-22c2593,964,2614,943,2629,918v14,-26,22,-55,22,-84l2651,166r,1l2651,167v,-29,-8,-58,-22,-84c2614,58,2593,37,2568,22,2542,8,2513,,2484,l166,e" fillcolor="#eabac2" strokecolor="#3465a4">
                <v:stroke joinstyle="miter"/>
                <v:formulas/>
                <v:path arrowok="t" o:connecttype="custom" textboxrect="0,0,2652,1002"/>
                <v:textbox inset="0,0,0,0">
                  <w:txbxContent>
                    <w:p w14:paraId="2FA45277" w14:textId="77777777" w:rsidR="000F0D13" w:rsidRPr="00A97B43" w:rsidRDefault="000F0D13" w:rsidP="0097167A">
                      <w:pPr>
                        <w:spacing w:after="0"/>
                        <w:jc w:val="center"/>
                        <w:rPr>
                          <w:rFonts w:ascii="Open Sans" w:hAnsi="Open Sans" w:cs="Open Sans"/>
                        </w:rPr>
                      </w:pPr>
                      <w:r w:rsidRPr="00A97B43">
                        <w:rPr>
                          <w:rFonts w:ascii="Open Sans" w:hAnsi="Open Sans" w:cs="Open Sans"/>
                          <w:b/>
                          <w:bCs/>
                          <w:color w:val="FFFFFF"/>
                          <w:sz w:val="16"/>
                          <w:szCs w:val="16"/>
                          <w:u w:val="single"/>
                        </w:rPr>
                        <w:t>Puestos Adscritos</w:t>
                      </w:r>
                    </w:p>
                    <w:p w14:paraId="4DFC7878" w14:textId="3786C977" w:rsidR="000F0D13" w:rsidRPr="00A97B43" w:rsidRDefault="000F0D13" w:rsidP="0097167A">
                      <w:pPr>
                        <w:spacing w:after="0"/>
                        <w:jc w:val="center"/>
                        <w:rPr>
                          <w:rFonts w:ascii="Open Sans" w:hAnsi="Open Sans" w:cs="Open Sans"/>
                        </w:rPr>
                      </w:pPr>
                      <w:r w:rsidRPr="00A97B43">
                        <w:rPr>
                          <w:rFonts w:ascii="Open Sans" w:hAnsi="Open Sans" w:cs="Open Sans"/>
                          <w:b/>
                          <w:bCs/>
                          <w:color w:val="FFFFFF"/>
                          <w:sz w:val="16"/>
                          <w:szCs w:val="16"/>
                        </w:rPr>
                        <w:t xml:space="preserve">Unidad de Entes Locales </w:t>
                      </w:r>
                    </w:p>
                    <w:p w14:paraId="69A67A3E" w14:textId="77777777" w:rsidR="000F0D13" w:rsidRPr="00A97B43" w:rsidRDefault="000F0D13" w:rsidP="0097167A">
                      <w:pPr>
                        <w:spacing w:after="0"/>
                        <w:jc w:val="center"/>
                        <w:rPr>
                          <w:rFonts w:ascii="Open Sans" w:hAnsi="Open Sans" w:cs="Open Sans"/>
                        </w:rPr>
                      </w:pPr>
                      <w:r w:rsidRPr="00A97B43">
                        <w:rPr>
                          <w:rFonts w:ascii="Open Sans" w:hAnsi="Open Sans" w:cs="Open Sans"/>
                          <w:b/>
                          <w:bCs/>
                          <w:color w:val="FFFFFF"/>
                          <w:sz w:val="16"/>
                          <w:szCs w:val="16"/>
                        </w:rPr>
                        <w:t>y Sector Público Local</w:t>
                      </w:r>
                    </w:p>
                  </w:txbxContent>
                </v:textbox>
              </v:shape>
            </w:pict>
          </mc:Fallback>
        </mc:AlternateContent>
      </w:r>
    </w:p>
    <w:p w14:paraId="1B9670AF" w14:textId="77777777" w:rsidR="0097167A" w:rsidRPr="00A07BE9" w:rsidRDefault="0097167A" w:rsidP="0097167A">
      <w:pPr>
        <w:spacing w:after="0" w:line="240" w:lineRule="auto"/>
        <w:jc w:val="center"/>
        <w:rPr>
          <w:rFonts w:ascii="Open Sans" w:eastAsia="NSimSun" w:hAnsi="Open Sans" w:cs="Arial"/>
          <w:kern w:val="2"/>
          <w:sz w:val="24"/>
          <w:szCs w:val="24"/>
          <w:lang w:eastAsia="zh-CN" w:bidi="hi-IN"/>
        </w:rPr>
      </w:pPr>
    </w:p>
    <w:p w14:paraId="756DBA58" w14:textId="77777777" w:rsidR="0097167A" w:rsidRPr="00A07BE9" w:rsidRDefault="0097167A" w:rsidP="0097167A">
      <w:pPr>
        <w:spacing w:after="0" w:line="240" w:lineRule="auto"/>
        <w:jc w:val="center"/>
        <w:rPr>
          <w:rFonts w:ascii="Open Sans" w:eastAsia="NSimSun" w:hAnsi="Open Sans" w:cs="Arial"/>
          <w:kern w:val="2"/>
          <w:sz w:val="24"/>
          <w:szCs w:val="24"/>
          <w:lang w:eastAsia="zh-CN" w:bidi="hi-IN"/>
        </w:rPr>
      </w:pPr>
      <w:r w:rsidRPr="00A07BE9">
        <w:rPr>
          <w:rFonts w:ascii="Open Sans" w:eastAsia="NSimSun" w:hAnsi="Open Sans" w:cs="Arial"/>
          <w:noProof/>
          <w:kern w:val="2"/>
          <w:sz w:val="24"/>
          <w:szCs w:val="24"/>
          <w:lang w:eastAsia="es-ES"/>
        </w:rPr>
        <mc:AlternateContent>
          <mc:Choice Requires="wps">
            <w:drawing>
              <wp:anchor distT="0" distB="0" distL="0" distR="0" simplePos="0" relativeHeight="251882496" behindDoc="0" locked="0" layoutInCell="1" allowOverlap="1" wp14:anchorId="27FCE4E1" wp14:editId="2BE54F40">
                <wp:simplePos x="0" y="0"/>
                <wp:positionH relativeFrom="column">
                  <wp:posOffset>2758439</wp:posOffset>
                </wp:positionH>
                <wp:positionV relativeFrom="paragraph">
                  <wp:posOffset>164466</wp:posOffset>
                </wp:positionV>
                <wp:extent cx="0" cy="95250"/>
                <wp:effectExtent l="0" t="0" r="38100" b="19050"/>
                <wp:wrapNone/>
                <wp:docPr id="220" name="Forma9"/>
                <wp:cNvGraphicFramePr/>
                <a:graphic xmlns:a="http://schemas.openxmlformats.org/drawingml/2006/main">
                  <a:graphicData uri="http://schemas.microsoft.com/office/word/2010/wordprocessingShape">
                    <wps:wsp>
                      <wps:cNvCnPr/>
                      <wps:spPr>
                        <a:xfrm>
                          <a:off x="0" y="0"/>
                          <a:ext cx="0" cy="95250"/>
                        </a:xfrm>
                        <a:prstGeom prst="line">
                          <a:avLst/>
                        </a:prstGeom>
                        <a:no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line w14:anchorId="717F8D6C" id="Forma9" o:spid="_x0000_s1026" style="position:absolute;z-index:25188249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217.2pt,12.95pt" to="217.2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MItiwEAAAwDAAAOAAAAZHJzL2Uyb0RvYy54bWysUk1PIzEMvSPtf4hy36YMFMGoU4RA5YKg&#10;EuwPSDNJJ1K+ZGc77b9fJy3daveGuDi24zz7PWd+v/OObTWgjaHjl5MpZzqo2Nuw6fivj+XPW84w&#10;y9BLF4Pu+F4jv1/8uJiPqdVNHKLrNTACCdiOqeNDzqkVAtWgvcRJTDrQpYngZaYQNqIHORK6d6KZ&#10;Tm/EGKFPEJVGpOzT4ZIvKr4xWuU3Y1Bn5jpOs+Vqodp1sWIxl+0GZBqsOo4hvzCFlzZQ0xPUk8yS&#10;/Qb7H5S3CiJGkycqehGNsUpXDsTmcvoPm/dBJl25kDiYTjLh98Gq1+0KmO073jSkT5CelrQsct8V&#10;bcaELZU8hhUcI0wrKER3Bnw5iQLbVT33Jz31LjN1SCrK3s2aWVVa/H2WAPOzjp4Vp+POhkJUtnL7&#10;gplaUelnSUmHuLTO1WW5UBIYne1LrgawWT86YFtJW766vpk9XJfhCeOsjKLDU12/xbFNIXigVLx1&#10;7PeVqSgRSV5Bjt+j7PQ8Jv/8Ey/+AAAA//8DAFBLAwQUAAYACAAAACEAy6vpX9wAAAAJAQAADwAA&#10;AGRycy9kb3ducmV2LnhtbEyPTU7DMBBG90jcwRokdtQmBEpDnKqlqoREN7QcYBoPcUQ8jmK3CbfH&#10;iAXs5ufpmzflcnKdONMQWs8abmcKBHHtTcuNhvfD9uYRRIjIBjvPpOGLAiyry4sSC+NHfqPzPjYi&#10;hXAoUIONsS+kDLUlh2Hme+K0+/CDw5jaoZFmwDGFu05mSj1Ihy2nCxZ7erZUf+5PTsOa16vtxmzQ&#10;ZjS+vKrdMMndXOvrq2n1BCLSFP9g+NFP6lAlp6M/sQmi05Df5XlCNWT3CxAJ+B0cU6EWIKtS/v+g&#10;+gYAAP//AwBQSwECLQAUAAYACAAAACEAtoM4kv4AAADhAQAAEwAAAAAAAAAAAAAAAAAAAAAAW0Nv&#10;bnRlbnRfVHlwZXNdLnhtbFBLAQItABQABgAIAAAAIQA4/SH/1gAAAJQBAAALAAAAAAAAAAAAAAAA&#10;AC8BAABfcmVscy8ucmVsc1BLAQItABQABgAIAAAAIQAOZMItiwEAAAwDAAAOAAAAAAAAAAAAAAAA&#10;AC4CAABkcnMvZTJvRG9jLnhtbFBLAQItABQABgAIAAAAIQDLq+lf3AAAAAkBAAAPAAAAAAAAAAAA&#10;AAAAAOUDAABkcnMvZG93bnJldi54bWxQSwUGAAAAAAQABADzAAAA7gQAAAAA&#10;" strokecolor="#3465a4"/>
            </w:pict>
          </mc:Fallback>
        </mc:AlternateContent>
      </w:r>
      <w:r w:rsidRPr="00A07BE9">
        <w:rPr>
          <w:rFonts w:ascii="Open Sans" w:eastAsia="NSimSun" w:hAnsi="Open Sans" w:cs="Arial"/>
          <w:noProof/>
          <w:kern w:val="2"/>
          <w:sz w:val="24"/>
          <w:szCs w:val="24"/>
          <w:lang w:eastAsia="es-ES"/>
        </w:rPr>
        <mc:AlternateContent>
          <mc:Choice Requires="wps">
            <w:drawing>
              <wp:anchor distT="0" distB="0" distL="0" distR="0" simplePos="0" relativeHeight="251881472" behindDoc="0" locked="0" layoutInCell="1" allowOverlap="1" wp14:anchorId="171E16FB" wp14:editId="78644EA8">
                <wp:simplePos x="0" y="0"/>
                <wp:positionH relativeFrom="column">
                  <wp:posOffset>4739640</wp:posOffset>
                </wp:positionH>
                <wp:positionV relativeFrom="paragraph">
                  <wp:posOffset>183515</wp:posOffset>
                </wp:positionV>
                <wp:extent cx="0" cy="161925"/>
                <wp:effectExtent l="0" t="0" r="38100" b="28575"/>
                <wp:wrapNone/>
                <wp:docPr id="219" name="Forma10"/>
                <wp:cNvGraphicFramePr/>
                <a:graphic xmlns:a="http://schemas.openxmlformats.org/drawingml/2006/main">
                  <a:graphicData uri="http://schemas.microsoft.com/office/word/2010/wordprocessingShape">
                    <wps:wsp>
                      <wps:cNvCnPr/>
                      <wps:spPr>
                        <a:xfrm flipH="1">
                          <a:off x="0" y="0"/>
                          <a:ext cx="0" cy="161925"/>
                        </a:xfrm>
                        <a:prstGeom prst="line">
                          <a:avLst/>
                        </a:prstGeom>
                        <a:no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line w14:anchorId="02ABE816" id="Forma10" o:spid="_x0000_s1026" style="position:absolute;flip:x;z-index:25188147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373.2pt,14.45pt" to="373.2pt,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Z9lAEAABgDAAAOAAAAZHJzL2Uyb0RvYy54bWysUstuGzEMvBfIPwi61/K6idEsvA6CBG4P&#10;RWsg7QfIWskrQC+Qqtf++1Ja1zHSW5ELQVLUkDPk6uHoHTtoQBtDx5vZnDMdVOxt2Hf818/Nx8+c&#10;YZahly4G3fGTRv6wvvmwGlOrF3GIrtfACCRgO6aODzmnVghUg/YSZzHpQI8mgpeZQtiLHuRI6N6J&#10;xXy+FGOEPkFUGpGyz9MjX1d8Y7TKP4xBnZnrOM2Wq4Vqd8WK9Uq2e5BpsOo8hvyPKby0gZpeoJ5l&#10;luw32H+gvFUQMZo8U9GLaIxVunIgNs38DZuXQSZduZA4mC4y4fvBqu+HLTDbd3zR3HMWpKclbYrc&#10;TRVnTNhSzVPYAklVIkxbKEyPBjwzzqavtPfKndiwY5X2dJFWHzNTU1JRtlk294u7orqYEApSAsxf&#10;dPSsOB13NhTSspWHb5in0r8lJR3ixjpXF+dCSWB0ti+5GsB+9+SAHSRt/NPt8u7x9tzuqoyaT191&#10;PZFzm1d2xdvF/lRJixKR/HXm86mU/V7H5F8f9PoPAAAA//8DAFBLAwQUAAYACAAAACEAtj3X7t0A&#10;AAAJAQAADwAAAGRycy9kb3ducmV2LnhtbEyPwU7DMAyG70i8Q2QkbizdKFtWmk5ogxNwYEOcvcZr&#10;KxKnarKtvD1BHOBo+9Pv7y9Xo7PiREPoPGuYTjIQxLU3HTca3ndPNwpEiMgGrWfS8EUBVtXlRYmF&#10;8Wd+o9M2NiKFcChQQxtjX0gZ6pYchonvidPt4AeHMY1DI82A5xTurJxl2Vw67Dh9aLGndUv15/bo&#10;NBzU7fNHUGq92bz0r1I9GpzapdbXV+PDPYhIY/yD4Uc/qUOVnPb+yCYIq2GRz/OEapipJYgE/C72&#10;Gu7yHGRVyv8Nqm8AAAD//wMAUEsBAi0AFAAGAAgAAAAhALaDOJL+AAAA4QEAABMAAAAAAAAAAAAA&#10;AAAAAAAAAFtDb250ZW50X1R5cGVzXS54bWxQSwECLQAUAAYACAAAACEAOP0h/9YAAACUAQAACwAA&#10;AAAAAAAAAAAAAAAvAQAAX3JlbHMvLnJlbHNQSwECLQAUAAYACAAAACEArP62fZQBAAAYAwAADgAA&#10;AAAAAAAAAAAAAAAuAgAAZHJzL2Uyb0RvYy54bWxQSwECLQAUAAYACAAAACEAtj3X7t0AAAAJAQAA&#10;DwAAAAAAAAAAAAAAAADuAwAAZHJzL2Rvd25yZXYueG1sUEsFBgAAAAAEAAQA8wAAAPgEAAAAAA==&#10;" strokecolor="#3465a4"/>
            </w:pict>
          </mc:Fallback>
        </mc:AlternateContent>
      </w:r>
    </w:p>
    <w:p w14:paraId="0D92BAD5" w14:textId="77777777" w:rsidR="0097167A" w:rsidRPr="00A07BE9" w:rsidRDefault="0097167A" w:rsidP="0097167A">
      <w:pPr>
        <w:spacing w:after="0" w:line="240" w:lineRule="auto"/>
        <w:jc w:val="center"/>
        <w:rPr>
          <w:rFonts w:ascii="Open Sans" w:eastAsia="NSimSun" w:hAnsi="Open Sans" w:cs="Arial"/>
          <w:kern w:val="2"/>
          <w:sz w:val="24"/>
          <w:szCs w:val="24"/>
          <w:lang w:eastAsia="zh-CN" w:bidi="hi-IN"/>
        </w:rPr>
      </w:pPr>
      <w:r w:rsidRPr="00A07BE9">
        <w:rPr>
          <w:rFonts w:ascii="Open Sans" w:eastAsia="NSimSun" w:hAnsi="Open Sans" w:cs="Arial"/>
          <w:noProof/>
          <w:kern w:val="2"/>
          <w:sz w:val="24"/>
          <w:szCs w:val="24"/>
          <w:lang w:eastAsia="es-ES"/>
        </w:rPr>
        <mc:AlternateContent>
          <mc:Choice Requires="wps">
            <w:drawing>
              <wp:anchor distT="0" distB="0" distL="0" distR="0" simplePos="0" relativeHeight="251873280" behindDoc="0" locked="0" layoutInCell="1" allowOverlap="1" wp14:anchorId="3B2A7B11" wp14:editId="67C014B7">
                <wp:simplePos x="0" y="0"/>
                <wp:positionH relativeFrom="column">
                  <wp:posOffset>1901190</wp:posOffset>
                </wp:positionH>
                <wp:positionV relativeFrom="paragraph">
                  <wp:posOffset>13970</wp:posOffset>
                </wp:positionV>
                <wp:extent cx="1839595" cy="451485"/>
                <wp:effectExtent l="0" t="0" r="27305" b="24765"/>
                <wp:wrapNone/>
                <wp:docPr id="222" name="Forma1"/>
                <wp:cNvGraphicFramePr/>
                <a:graphic xmlns:a="http://schemas.openxmlformats.org/drawingml/2006/main">
                  <a:graphicData uri="http://schemas.microsoft.com/office/word/2010/wordprocessingShape">
                    <wps:wsp>
                      <wps:cNvSpPr/>
                      <wps:spPr>
                        <a:xfrm>
                          <a:off x="0" y="0"/>
                          <a:ext cx="1839595" cy="451485"/>
                        </a:xfrm>
                        <a:custGeom>
                          <a:avLst/>
                          <a:gdLst/>
                          <a:ahLst/>
                          <a:cxnLst/>
                          <a:rect l="0" t="0" r="r" b="b"/>
                          <a:pathLst>
                            <a:path w="2688" h="682">
                              <a:moveTo>
                                <a:pt x="113" y="0"/>
                              </a:moveTo>
                              <a:lnTo>
                                <a:pt x="114" y="0"/>
                              </a:lnTo>
                              <a:cubicBezTo>
                                <a:pt x="94" y="0"/>
                                <a:pt x="74" y="5"/>
                                <a:pt x="57" y="15"/>
                              </a:cubicBezTo>
                              <a:cubicBezTo>
                                <a:pt x="39" y="25"/>
                                <a:pt x="25" y="39"/>
                                <a:pt x="15" y="57"/>
                              </a:cubicBezTo>
                              <a:cubicBezTo>
                                <a:pt x="5" y="74"/>
                                <a:pt x="0" y="94"/>
                                <a:pt x="0" y="114"/>
                              </a:cubicBezTo>
                              <a:lnTo>
                                <a:pt x="0" y="567"/>
                              </a:lnTo>
                              <a:lnTo>
                                <a:pt x="0" y="568"/>
                              </a:lnTo>
                              <a:cubicBezTo>
                                <a:pt x="0" y="587"/>
                                <a:pt x="5" y="607"/>
                                <a:pt x="15" y="624"/>
                              </a:cubicBezTo>
                              <a:cubicBezTo>
                                <a:pt x="25" y="642"/>
                                <a:pt x="39" y="656"/>
                                <a:pt x="57" y="666"/>
                              </a:cubicBezTo>
                              <a:cubicBezTo>
                                <a:pt x="74" y="676"/>
                                <a:pt x="94" y="681"/>
                                <a:pt x="114" y="681"/>
                              </a:cubicBezTo>
                              <a:lnTo>
                                <a:pt x="2573" y="681"/>
                              </a:lnTo>
                              <a:lnTo>
                                <a:pt x="2574" y="681"/>
                              </a:lnTo>
                              <a:cubicBezTo>
                                <a:pt x="2593" y="681"/>
                                <a:pt x="2613" y="676"/>
                                <a:pt x="2630" y="666"/>
                              </a:cubicBezTo>
                              <a:cubicBezTo>
                                <a:pt x="2648" y="656"/>
                                <a:pt x="2662" y="642"/>
                                <a:pt x="2672" y="624"/>
                              </a:cubicBezTo>
                              <a:cubicBezTo>
                                <a:pt x="2682" y="607"/>
                                <a:pt x="2687" y="587"/>
                                <a:pt x="2687" y="568"/>
                              </a:cubicBezTo>
                              <a:lnTo>
                                <a:pt x="2687" y="113"/>
                              </a:lnTo>
                              <a:lnTo>
                                <a:pt x="2687" y="114"/>
                              </a:lnTo>
                              <a:lnTo>
                                <a:pt x="2687" y="114"/>
                              </a:lnTo>
                              <a:cubicBezTo>
                                <a:pt x="2687" y="94"/>
                                <a:pt x="2682" y="74"/>
                                <a:pt x="2672" y="57"/>
                              </a:cubicBezTo>
                              <a:cubicBezTo>
                                <a:pt x="2662" y="39"/>
                                <a:pt x="2648" y="25"/>
                                <a:pt x="2630" y="15"/>
                              </a:cubicBezTo>
                              <a:cubicBezTo>
                                <a:pt x="2613" y="5"/>
                                <a:pt x="2593" y="0"/>
                                <a:pt x="2574" y="0"/>
                              </a:cubicBezTo>
                              <a:lnTo>
                                <a:pt x="113" y="0"/>
                              </a:lnTo>
                            </a:path>
                          </a:pathLst>
                        </a:custGeom>
                        <a:solidFill>
                          <a:srgbClr val="F3DED7"/>
                        </a:solidFill>
                        <a:ln>
                          <a:solidFill>
                            <a:srgbClr val="3465A4"/>
                          </a:solidFill>
                        </a:ln>
                        <a:effectLst/>
                      </wps:spPr>
                      <wps:txbx>
                        <w:txbxContent>
                          <w:p w14:paraId="32AC96E2" w14:textId="77777777" w:rsidR="000F0D13" w:rsidRPr="00A97B43" w:rsidRDefault="000F0D13" w:rsidP="0097167A">
                            <w:pPr>
                              <w:spacing w:after="0"/>
                              <w:jc w:val="center"/>
                              <w:rPr>
                                <w:rFonts w:ascii="Open Sans" w:hAnsi="Open Sans" w:cs="Open Sans"/>
                              </w:rPr>
                            </w:pPr>
                            <w:r w:rsidRPr="00A97B43">
                              <w:rPr>
                                <w:rFonts w:ascii="Open Sans" w:hAnsi="Open Sans" w:cs="Open Sans"/>
                                <w:b/>
                                <w:bCs/>
                                <w:color w:val="FFFFFF"/>
                                <w:sz w:val="16"/>
                                <w:szCs w:val="16"/>
                                <w:u w:val="single"/>
                              </w:rPr>
                              <w:t>Puestos Adscritos</w:t>
                            </w:r>
                          </w:p>
                          <w:p w14:paraId="22252755" w14:textId="7EAAF279" w:rsidR="000F0D13" w:rsidRDefault="000F0D13" w:rsidP="0097167A">
                            <w:pPr>
                              <w:spacing w:after="0"/>
                              <w:jc w:val="center"/>
                            </w:pPr>
                            <w:r w:rsidRPr="00A97B43">
                              <w:rPr>
                                <w:rFonts w:ascii="Open Sans" w:hAnsi="Open Sans" w:cs="Open Sans"/>
                                <w:b/>
                                <w:bCs/>
                                <w:color w:val="FFFFFF"/>
                                <w:sz w:val="16"/>
                                <w:szCs w:val="16"/>
                              </w:rPr>
                              <w:t>Técnico</w:t>
                            </w:r>
                            <w:r>
                              <w:rPr>
                                <w:rFonts w:ascii="Open Sans" w:hAnsi="Open Sans" w:cs="Open Sans"/>
                                <w:b/>
                                <w:bCs/>
                                <w:color w:val="FFFFFF"/>
                                <w:sz w:val="16"/>
                                <w:szCs w:val="16"/>
                              </w:rPr>
                              <w:t>/a</w:t>
                            </w:r>
                            <w:r w:rsidRPr="00A97B43">
                              <w:rPr>
                                <w:rFonts w:ascii="Open Sans" w:hAnsi="Open Sans" w:cs="Open Sans"/>
                                <w:b/>
                                <w:bCs/>
                                <w:color w:val="FFFFFF"/>
                                <w:sz w:val="16"/>
                                <w:szCs w:val="16"/>
                              </w:rPr>
                              <w:t xml:space="preserve"> Investigador</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3B2A7B11" id="_x0000_s1033" style="position:absolute;left:0;text-align:left;margin-left:149.7pt;margin-top:1.1pt;width:144.85pt;height:35.55pt;z-index:25187328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2688,68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ACkUQMAAP4JAAAOAAAAZHJzL2Uyb0RvYy54bWysVttu2zAMfR+wfzD0vjp2YsUJ6hTdsg4D&#10;hq1Auw9QZDkxYFuepFy6rx91c6IkQ9FhL7ZEkUfkISXq9u7QNtGOCVnzrkDJzQhFrKO8rLt1gX4+&#10;P3zIUSQV6UrS8I4V6IVJdLd4/+52389Zyje8KZmIAKST831foI1S/TyOJd2wlsgb3rMOFisuWqJg&#10;KtZxKcge0NsmTkcjHO+5KHvBKZMSpEu7iBYGv6oYVT+qSjIVNQUC35T5CvNd6W+8uCXztSD9pqbO&#10;DfIPXrSk7mDTAWpJFIm2or6AamsquOSVuqG8jXlV1ZSZGCCaZHQWzdOG9MzEAuTIfqBJ/j9Y+n33&#10;1D8KoGHfy7mEoY7iUIlW/8G/6GDIehnIYgcVURAm+XiWzTIUUVibZMkkzzSb8dGabqX6wrhBIrtv&#10;UlmySz8iGz+ih84PBaTsPFkCRZCslU1WT5S20+7pYbQvUIpzKLNNgXCemiy0fMeeuVFROoAkGaPI&#10;hwAeHtebLtSbBHp+lW5XNf3Ifp/qzk5UwRWzz9TKDBFelk0NZOLZCbHCmUUZz4xFGsDATEcAa4ZF&#10;qwmgWghbWOZDtHBmLawB+HmCAucCQCCeC1mSGCEwFmJ5Xiymtc+w98Kv+n+olTtf/WqIHOjmBnEg&#10;0riJR4HQMYDT645eA3dM4kl6GrAjHWf4VOqSh7GRXvBwDd7VAJ4GQK5acJ6cwmt+NfdOfIHvObKs&#10;pNnUlvFR3Sv4/6B4jusVrnmcZrMA1xOeYndszmJJ8dim/C20pHgCZ1THGjKcYpxaeZiPFE+d/C2p&#10;1ReA2SSsErgg7CnMwpI6yrEvy5AgT5vj1cPo+8SeOK/g/xeKvi69gv+/qhg6cqYeHlYIw4YdnuuB&#10;wjfcD0M6wotmyN7ZpeQr4Q2321BVZ9ebq0HXkl28mTtNRvrK8Ti/5C3TYKTbhGlMQ+swSMfmJHlT&#10;lw910+iOIcV69akR0Y7Ak+FhvPy89PdaoNZ0RvmvluMJzu598k8sYWtryszrxLa9+Nh89UgdVoeo&#10;LgtkdtaSFS9fHkW0h4dKgeSvLREMRc3XDl4C+lXjB8IPVn5AOrrh8N6hSpjO2PH7reJVrXux2dUi&#10;uwk8MgxR7kGkXzGnc6N1fLYt/gAAAP//AwBQSwMEFAAGAAgAAAAhAE3uapPgAAAACAEAAA8AAABk&#10;cnMvZG93bnJldi54bWxMj81OwzAQhO9IvIO1SNyo81OgCXGqCsGl9NKAkLhtY5NEjddR7KaBp2c5&#10;wW1WM5r5tljPtheTGX3nSEG8iEAYqp3uqFHw9vp8swLhA5LG3pFR8GU8rMvLiwJz7c60N1MVGsEl&#10;5HNU0IYw5FL6ujUW/cINhtj7dKPFwOfYSD3imcttL5MoupMWO+KFFgfz2Jr6WJ2sgmq7S6eX7cdx&#10;Y7/fn7TDfbzMZqWur+bNA4hg5vAXhl98RoeSmQ7uRNqLXkGSZUuOskhAsH+7ymIQBwX3aQqyLOT/&#10;B8ofAAAA//8DAFBLAQItABQABgAIAAAAIQC2gziS/gAAAOEBAAATAAAAAAAAAAAAAAAAAAAAAABb&#10;Q29udGVudF9UeXBlc10ueG1sUEsBAi0AFAAGAAgAAAAhADj9If/WAAAAlAEAAAsAAAAAAAAAAAAA&#10;AAAALwEAAF9yZWxzLy5yZWxzUEsBAi0AFAAGAAgAAAAhAGBIAKRRAwAA/gkAAA4AAAAAAAAAAAAA&#10;AAAALgIAAGRycy9lMm9Eb2MueG1sUEsBAi0AFAAGAAgAAAAhAE3uapPgAAAACAEAAA8AAAAAAAAA&#10;AAAAAAAAqwUAAGRycy9kb3ducmV2LnhtbFBLBQYAAAAABAAEAPMAAAC4BgAAAAA=&#10;" adj="-11796480,,5400" path="m113,r1,c94,,74,5,57,15,39,25,25,39,15,57,5,74,,94,,114l,567r,1c,587,5,607,15,624v10,18,24,32,42,42c74,676,94,681,114,681r2459,l2574,681v19,,39,-5,56,-15c2648,656,2662,642,2672,624v10,-17,15,-37,15,-56l2687,113r,1l2687,114v,-20,-5,-40,-15,-57c2662,39,2648,25,2630,15,2613,5,2593,,2574,l113,e" fillcolor="#f3ded7" strokecolor="#3465a4">
                <v:stroke joinstyle="miter"/>
                <v:formulas/>
                <v:path arrowok="t" o:connecttype="custom" textboxrect="0,0,2688,682"/>
                <v:textbox inset="0,0,0,0">
                  <w:txbxContent>
                    <w:p w14:paraId="32AC96E2" w14:textId="77777777" w:rsidR="000F0D13" w:rsidRPr="00A97B43" w:rsidRDefault="000F0D13" w:rsidP="0097167A">
                      <w:pPr>
                        <w:spacing w:after="0"/>
                        <w:jc w:val="center"/>
                        <w:rPr>
                          <w:rFonts w:ascii="Open Sans" w:hAnsi="Open Sans" w:cs="Open Sans"/>
                        </w:rPr>
                      </w:pPr>
                      <w:r w:rsidRPr="00A97B43">
                        <w:rPr>
                          <w:rFonts w:ascii="Open Sans" w:hAnsi="Open Sans" w:cs="Open Sans"/>
                          <w:b/>
                          <w:bCs/>
                          <w:color w:val="FFFFFF"/>
                          <w:sz w:val="16"/>
                          <w:szCs w:val="16"/>
                          <w:u w:val="single"/>
                        </w:rPr>
                        <w:t>Puestos Adscritos</w:t>
                      </w:r>
                    </w:p>
                    <w:p w14:paraId="22252755" w14:textId="7EAAF279" w:rsidR="000F0D13" w:rsidRDefault="000F0D13" w:rsidP="0097167A">
                      <w:pPr>
                        <w:spacing w:after="0"/>
                        <w:jc w:val="center"/>
                      </w:pPr>
                      <w:r w:rsidRPr="00A97B43">
                        <w:rPr>
                          <w:rFonts w:ascii="Open Sans" w:hAnsi="Open Sans" w:cs="Open Sans"/>
                          <w:b/>
                          <w:bCs/>
                          <w:color w:val="FFFFFF"/>
                          <w:sz w:val="16"/>
                          <w:szCs w:val="16"/>
                        </w:rPr>
                        <w:t>Técnico</w:t>
                      </w:r>
                      <w:r>
                        <w:rPr>
                          <w:rFonts w:ascii="Open Sans" w:hAnsi="Open Sans" w:cs="Open Sans"/>
                          <w:b/>
                          <w:bCs/>
                          <w:color w:val="FFFFFF"/>
                          <w:sz w:val="16"/>
                          <w:szCs w:val="16"/>
                        </w:rPr>
                        <w:t>/a</w:t>
                      </w:r>
                      <w:r w:rsidRPr="00A97B43">
                        <w:rPr>
                          <w:rFonts w:ascii="Open Sans" w:hAnsi="Open Sans" w:cs="Open Sans"/>
                          <w:b/>
                          <w:bCs/>
                          <w:color w:val="FFFFFF"/>
                          <w:sz w:val="16"/>
                          <w:szCs w:val="16"/>
                        </w:rPr>
                        <w:t xml:space="preserve"> Investigador</w:t>
                      </w:r>
                    </w:p>
                  </w:txbxContent>
                </v:textbox>
              </v:shape>
            </w:pict>
          </mc:Fallback>
        </mc:AlternateContent>
      </w:r>
      <w:r w:rsidRPr="00A07BE9">
        <w:rPr>
          <w:rFonts w:ascii="Open Sans" w:eastAsia="NSimSun" w:hAnsi="Open Sans" w:cs="Arial"/>
          <w:noProof/>
          <w:kern w:val="2"/>
          <w:sz w:val="24"/>
          <w:szCs w:val="24"/>
          <w:lang w:eastAsia="es-ES"/>
        </w:rPr>
        <mc:AlternateContent>
          <mc:Choice Requires="wps">
            <w:drawing>
              <wp:anchor distT="0" distB="0" distL="0" distR="0" simplePos="0" relativeHeight="251880448" behindDoc="0" locked="0" layoutInCell="1" allowOverlap="1" wp14:anchorId="4EE78CA4" wp14:editId="240B5974">
                <wp:simplePos x="0" y="0"/>
                <wp:positionH relativeFrom="column">
                  <wp:posOffset>4093210</wp:posOffset>
                </wp:positionH>
                <wp:positionV relativeFrom="paragraph">
                  <wp:posOffset>128270</wp:posOffset>
                </wp:positionV>
                <wp:extent cx="1438275" cy="432435"/>
                <wp:effectExtent l="0" t="0" r="28575" b="24765"/>
                <wp:wrapNone/>
                <wp:docPr id="221" name="Forma1"/>
                <wp:cNvGraphicFramePr/>
                <a:graphic xmlns:a="http://schemas.openxmlformats.org/drawingml/2006/main">
                  <a:graphicData uri="http://schemas.microsoft.com/office/word/2010/wordprocessingShape">
                    <wps:wsp>
                      <wps:cNvSpPr/>
                      <wps:spPr>
                        <a:xfrm>
                          <a:off x="0" y="0"/>
                          <a:ext cx="1438275" cy="432435"/>
                        </a:xfrm>
                        <a:custGeom>
                          <a:avLst/>
                          <a:gdLst/>
                          <a:ahLst/>
                          <a:cxnLst/>
                          <a:rect l="0" t="0" r="r" b="b"/>
                          <a:pathLst>
                            <a:path w="2688" h="682">
                              <a:moveTo>
                                <a:pt x="113" y="0"/>
                              </a:moveTo>
                              <a:lnTo>
                                <a:pt x="114" y="0"/>
                              </a:lnTo>
                              <a:cubicBezTo>
                                <a:pt x="94" y="0"/>
                                <a:pt x="74" y="5"/>
                                <a:pt x="57" y="15"/>
                              </a:cubicBezTo>
                              <a:cubicBezTo>
                                <a:pt x="39" y="25"/>
                                <a:pt x="25" y="39"/>
                                <a:pt x="15" y="57"/>
                              </a:cubicBezTo>
                              <a:cubicBezTo>
                                <a:pt x="5" y="74"/>
                                <a:pt x="0" y="94"/>
                                <a:pt x="0" y="114"/>
                              </a:cubicBezTo>
                              <a:lnTo>
                                <a:pt x="0" y="567"/>
                              </a:lnTo>
                              <a:lnTo>
                                <a:pt x="0" y="568"/>
                              </a:lnTo>
                              <a:cubicBezTo>
                                <a:pt x="0" y="587"/>
                                <a:pt x="5" y="607"/>
                                <a:pt x="15" y="624"/>
                              </a:cubicBezTo>
                              <a:cubicBezTo>
                                <a:pt x="25" y="642"/>
                                <a:pt x="39" y="656"/>
                                <a:pt x="57" y="666"/>
                              </a:cubicBezTo>
                              <a:cubicBezTo>
                                <a:pt x="74" y="676"/>
                                <a:pt x="94" y="681"/>
                                <a:pt x="114" y="681"/>
                              </a:cubicBezTo>
                              <a:lnTo>
                                <a:pt x="2573" y="681"/>
                              </a:lnTo>
                              <a:lnTo>
                                <a:pt x="2574" y="681"/>
                              </a:lnTo>
                              <a:cubicBezTo>
                                <a:pt x="2593" y="681"/>
                                <a:pt x="2613" y="676"/>
                                <a:pt x="2630" y="666"/>
                              </a:cubicBezTo>
                              <a:cubicBezTo>
                                <a:pt x="2648" y="656"/>
                                <a:pt x="2662" y="642"/>
                                <a:pt x="2672" y="624"/>
                              </a:cubicBezTo>
                              <a:cubicBezTo>
                                <a:pt x="2682" y="607"/>
                                <a:pt x="2687" y="587"/>
                                <a:pt x="2687" y="568"/>
                              </a:cubicBezTo>
                              <a:lnTo>
                                <a:pt x="2687" y="113"/>
                              </a:lnTo>
                              <a:lnTo>
                                <a:pt x="2687" y="114"/>
                              </a:lnTo>
                              <a:lnTo>
                                <a:pt x="2687" y="114"/>
                              </a:lnTo>
                              <a:cubicBezTo>
                                <a:pt x="2687" y="94"/>
                                <a:pt x="2682" y="74"/>
                                <a:pt x="2672" y="57"/>
                              </a:cubicBezTo>
                              <a:cubicBezTo>
                                <a:pt x="2662" y="39"/>
                                <a:pt x="2648" y="25"/>
                                <a:pt x="2630" y="15"/>
                              </a:cubicBezTo>
                              <a:cubicBezTo>
                                <a:pt x="2613" y="5"/>
                                <a:pt x="2593" y="0"/>
                                <a:pt x="2574" y="0"/>
                              </a:cubicBezTo>
                              <a:lnTo>
                                <a:pt x="113" y="0"/>
                              </a:lnTo>
                            </a:path>
                          </a:pathLst>
                        </a:custGeom>
                        <a:solidFill>
                          <a:srgbClr val="F3DED7"/>
                        </a:solidFill>
                        <a:ln>
                          <a:solidFill>
                            <a:srgbClr val="3465A4"/>
                          </a:solidFill>
                        </a:ln>
                        <a:effectLst/>
                      </wps:spPr>
                      <wps:txbx>
                        <w:txbxContent>
                          <w:p w14:paraId="0662A972" w14:textId="77777777" w:rsidR="000F0D13" w:rsidRPr="00A97B43" w:rsidRDefault="000F0D13" w:rsidP="0097167A">
                            <w:pPr>
                              <w:spacing w:after="0"/>
                              <w:jc w:val="center"/>
                              <w:rPr>
                                <w:rFonts w:ascii="Open Sans" w:hAnsi="Open Sans" w:cs="Open Sans"/>
                              </w:rPr>
                            </w:pPr>
                            <w:r w:rsidRPr="00A97B43">
                              <w:rPr>
                                <w:rFonts w:ascii="Open Sans" w:hAnsi="Open Sans" w:cs="Open Sans"/>
                                <w:b/>
                                <w:bCs/>
                                <w:color w:val="FFFFFF"/>
                                <w:sz w:val="16"/>
                                <w:szCs w:val="16"/>
                                <w:u w:val="single"/>
                              </w:rPr>
                              <w:t>Puestos Adscritos</w:t>
                            </w:r>
                          </w:p>
                          <w:p w14:paraId="120B2B6C" w14:textId="4CD46142" w:rsidR="000F0D13" w:rsidRPr="00A97B43" w:rsidRDefault="000F0D13" w:rsidP="0097167A">
                            <w:pPr>
                              <w:spacing w:after="0"/>
                              <w:jc w:val="center"/>
                              <w:rPr>
                                <w:rFonts w:ascii="Open Sans" w:hAnsi="Open Sans" w:cs="Open Sans"/>
                              </w:rPr>
                            </w:pPr>
                            <w:r w:rsidRPr="00A97B43">
                              <w:rPr>
                                <w:rFonts w:ascii="Open Sans" w:hAnsi="Open Sans" w:cs="Open Sans"/>
                                <w:b/>
                                <w:bCs/>
                                <w:color w:val="FFFFFF"/>
                                <w:sz w:val="16"/>
                                <w:szCs w:val="16"/>
                              </w:rPr>
                              <w:t>Técnico</w:t>
                            </w:r>
                            <w:r>
                              <w:rPr>
                                <w:rFonts w:ascii="Open Sans" w:hAnsi="Open Sans" w:cs="Open Sans"/>
                                <w:b/>
                                <w:bCs/>
                                <w:color w:val="FFFFFF"/>
                                <w:sz w:val="16"/>
                                <w:szCs w:val="16"/>
                              </w:rPr>
                              <w:t>/a</w:t>
                            </w:r>
                            <w:r w:rsidRPr="00A97B43">
                              <w:rPr>
                                <w:rFonts w:ascii="Open Sans" w:hAnsi="Open Sans" w:cs="Open Sans"/>
                                <w:b/>
                                <w:bCs/>
                                <w:color w:val="FFFFFF"/>
                                <w:sz w:val="16"/>
                                <w:szCs w:val="16"/>
                              </w:rPr>
                              <w:t xml:space="preserve"> Investigador</w:t>
                            </w:r>
                          </w:p>
                        </w:txbxContent>
                      </wps:txbx>
                      <wps:bodyPr wrap="square" lIns="0" tIns="0" rIns="0" bIns="0" anchor="ctr">
                        <a:noAutofit/>
                      </wps:bodyPr>
                    </wps:wsp>
                  </a:graphicData>
                </a:graphic>
                <wp14:sizeRelH relativeFrom="margin">
                  <wp14:pctWidth>0</wp14:pctWidth>
                </wp14:sizeRelH>
              </wp:anchor>
            </w:drawing>
          </mc:Choice>
          <mc:Fallback>
            <w:pict>
              <v:shape w14:anchorId="4EE78CA4" id="_x0000_s1034" style="position:absolute;left:0;text-align:left;margin-left:322.3pt;margin-top:10.1pt;width:113.25pt;height:34.05pt;z-index:251880448;visibility:visible;mso-wrap-style:square;mso-width-percent:0;mso-wrap-distance-left:0;mso-wrap-distance-top:0;mso-wrap-distance-right:0;mso-wrap-distance-bottom:0;mso-position-horizontal:absolute;mso-position-horizontal-relative:text;mso-position-vertical:absolute;mso-position-vertical-relative:text;mso-width-percent:0;mso-width-relative:margin;v-text-anchor:middle" coordsize="2688,68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XkNUQMAAP4JAAAOAAAAZHJzL2Uyb0RvYy54bWysVttu2zAMfR+wfzD0vjpWYiUN6hTdug4D&#10;hq1Auw9QZDkxYFuepFy6rx91c6IkQ9FhL7ZEkUfkIUXp5nbfNsmWS1WLrkDZ1QglvGOirLtVgX4+&#10;P3yYoURp2pW0ER0v0AtX6Hbx/t3Nrp9zLNaiKblMAKRT811foLXW/TxNFVvzlqor0fMOFishW6ph&#10;KldpKekO0NsmxaMRSXdClr0UjCsF0nu3iBYWv6o40z+qSnGdNAUC37T9Svtdmm+6uKHzlaT9umbe&#10;DfoPXrS07mDTAeqeappsZH0G1dZMCiUqfcVEm4qqqhm3MUA02egkmqc17bmNBchR/UCT+n+w7Pv2&#10;qX+UQMOuV3MFQxPFvpKt+YN/yd6S9TKQxfc6YSDMJuMZnuYoYbA2GePJODdspgdrtlH6CxcWiW6/&#10;Ke3ILsOIrsOI7bswlJCy02RJlECyli5ZPdXGzrhnhsmuQJjMoMzWBSIzbLPQii1/FlZFmwCybIyS&#10;EAJ4eFhvulhvEumFVbZZ1uwj/32se32kCq7YfaZOZokIsnxqIbPATowVzxzK+Npa4AgGZiYCWLMs&#10;Ok0ANULYwjEfo8UzZ+EMwM8jFDgXAALxnMmyzAqBsRgr8OIwnX1OghdhNfxjrZn3NazGyJHuzCIO&#10;RFo3ySgSegYIvuzoJXDPJJng44A96SQnx1KfPEKs9IyHS/C+Bsg0AvLVQmbZMbzh13DvxWf4gSPH&#10;Cs6nrowP6kEh/AfFU9ygcMljnF9HuIFwTPyxOYkFk7FL+VtowWQCZ9TEGjOMCcFOHucDk6mXvyW1&#10;pgHYTeIqgQbhTmEel9RBTkJZxgQF2jyvAcb0E3figkL4nymGugwK4f+qYuzIiXp8WCEMF3Z8rgcK&#10;39AfhnTEjWbI3klTCpXwhu42VNVJe/M16K9kH2/uT5OVvnI8Tpu8YxqMzDVhL6bh6rBIh8tJiaYu&#10;H+qmMTeGkqvlp0YmWwpPhofx/ef70Ncitaazyn+1HE9IfheSf2QJWztTbl8n7tpLD5evGen9cp/U&#10;ZYFsURrJUpQvjzLZwUOlQOrXhkqOkuZrBy8B86oJAxkGyzCgHVsLeO8wLe3N2Im7jRZVbe5iu6tD&#10;9hN4ZFii/IPIvGKO51br8Gxb/AEAAP//AwBQSwMEFAAGAAgAAAAhAB4CxUHgAAAACQEAAA8AAABk&#10;cnMvZG93bnJldi54bWxMj8FOg0AQhu8mvsNmTLzZBUoQkaVpjF6ql6Ix8bZlRyBlZwm7pejTO570&#10;NpP58s/3l5vFDmLGyfeOFMSrCARS40xPrYK316ebHIQPmoweHKGCL/SwqS4vSl0Yd6Y9znVoBYeQ&#10;L7SCLoSxkNI3HVrtV25E4tunm6wOvE6tNJM+c7gdZBJFmbS6J/7Q6REfOmyO9ckqqHcv6/l593Hc&#10;2u/3R+P0Pk7vFqWur5btPYiAS/iD4Vef1aFip4M7kfFiUJClacaogiRKQDCQ38YxiAMP+RpkVcr/&#10;DaofAAAA//8DAFBLAQItABQABgAIAAAAIQC2gziS/gAAAOEBAAATAAAAAAAAAAAAAAAAAAAAAABb&#10;Q29udGVudF9UeXBlc10ueG1sUEsBAi0AFAAGAAgAAAAhADj9If/WAAAAlAEAAAsAAAAAAAAAAAAA&#10;AAAALwEAAF9yZWxzLy5yZWxzUEsBAi0AFAAGAAgAAAAhAG+ZeQ1RAwAA/gkAAA4AAAAAAAAAAAAA&#10;AAAALgIAAGRycy9lMm9Eb2MueG1sUEsBAi0AFAAGAAgAAAAhAB4CxUHgAAAACQEAAA8AAAAAAAAA&#10;AAAAAAAAqwUAAGRycy9kb3ducmV2LnhtbFBLBQYAAAAABAAEAPMAAAC4BgAAAAA=&#10;" adj="-11796480,,5400" path="m113,r1,c94,,74,5,57,15,39,25,25,39,15,57,5,74,,94,,114l,567r,1c,587,5,607,15,624v10,18,24,32,42,42c74,676,94,681,114,681r2459,l2574,681v19,,39,-5,56,-15c2648,656,2662,642,2672,624v10,-17,15,-37,15,-56l2687,113r,1l2687,114v,-20,-5,-40,-15,-57c2662,39,2648,25,2630,15,2613,5,2593,,2574,l113,e" fillcolor="#f3ded7" strokecolor="#3465a4">
                <v:stroke joinstyle="miter"/>
                <v:formulas/>
                <v:path arrowok="t" o:connecttype="custom" textboxrect="0,0,2688,682"/>
                <v:textbox inset="0,0,0,0">
                  <w:txbxContent>
                    <w:p w14:paraId="0662A972" w14:textId="77777777" w:rsidR="000F0D13" w:rsidRPr="00A97B43" w:rsidRDefault="000F0D13" w:rsidP="0097167A">
                      <w:pPr>
                        <w:spacing w:after="0"/>
                        <w:jc w:val="center"/>
                        <w:rPr>
                          <w:rFonts w:ascii="Open Sans" w:hAnsi="Open Sans" w:cs="Open Sans"/>
                        </w:rPr>
                      </w:pPr>
                      <w:r w:rsidRPr="00A97B43">
                        <w:rPr>
                          <w:rFonts w:ascii="Open Sans" w:hAnsi="Open Sans" w:cs="Open Sans"/>
                          <w:b/>
                          <w:bCs/>
                          <w:color w:val="FFFFFF"/>
                          <w:sz w:val="16"/>
                          <w:szCs w:val="16"/>
                          <w:u w:val="single"/>
                        </w:rPr>
                        <w:t>Puestos Adscritos</w:t>
                      </w:r>
                    </w:p>
                    <w:p w14:paraId="120B2B6C" w14:textId="4CD46142" w:rsidR="000F0D13" w:rsidRPr="00A97B43" w:rsidRDefault="000F0D13" w:rsidP="0097167A">
                      <w:pPr>
                        <w:spacing w:after="0"/>
                        <w:jc w:val="center"/>
                        <w:rPr>
                          <w:rFonts w:ascii="Open Sans" w:hAnsi="Open Sans" w:cs="Open Sans"/>
                        </w:rPr>
                      </w:pPr>
                      <w:r w:rsidRPr="00A97B43">
                        <w:rPr>
                          <w:rFonts w:ascii="Open Sans" w:hAnsi="Open Sans" w:cs="Open Sans"/>
                          <w:b/>
                          <w:bCs/>
                          <w:color w:val="FFFFFF"/>
                          <w:sz w:val="16"/>
                          <w:szCs w:val="16"/>
                        </w:rPr>
                        <w:t>Técnico</w:t>
                      </w:r>
                      <w:r>
                        <w:rPr>
                          <w:rFonts w:ascii="Open Sans" w:hAnsi="Open Sans" w:cs="Open Sans"/>
                          <w:b/>
                          <w:bCs/>
                          <w:color w:val="FFFFFF"/>
                          <w:sz w:val="16"/>
                          <w:szCs w:val="16"/>
                        </w:rPr>
                        <w:t>/a</w:t>
                      </w:r>
                      <w:r w:rsidRPr="00A97B43">
                        <w:rPr>
                          <w:rFonts w:ascii="Open Sans" w:hAnsi="Open Sans" w:cs="Open Sans"/>
                          <w:b/>
                          <w:bCs/>
                          <w:color w:val="FFFFFF"/>
                          <w:sz w:val="16"/>
                          <w:szCs w:val="16"/>
                        </w:rPr>
                        <w:t xml:space="preserve"> Investigador</w:t>
                      </w:r>
                    </w:p>
                  </w:txbxContent>
                </v:textbox>
              </v:shape>
            </w:pict>
          </mc:Fallback>
        </mc:AlternateContent>
      </w:r>
    </w:p>
    <w:p w14:paraId="51163068" w14:textId="77777777" w:rsidR="0097167A" w:rsidRPr="00A07BE9" w:rsidRDefault="0097167A" w:rsidP="0097167A">
      <w:pPr>
        <w:spacing w:after="0" w:line="240" w:lineRule="auto"/>
        <w:jc w:val="center"/>
        <w:rPr>
          <w:rFonts w:ascii="Open Sans" w:eastAsia="NSimSun" w:hAnsi="Open Sans" w:cs="Arial"/>
          <w:kern w:val="2"/>
          <w:sz w:val="24"/>
          <w:szCs w:val="24"/>
          <w:lang w:eastAsia="zh-CN" w:bidi="hi-IN"/>
        </w:rPr>
      </w:pPr>
    </w:p>
    <w:p w14:paraId="5B4BD401" w14:textId="77777777" w:rsidR="0097167A" w:rsidRPr="00A07BE9" w:rsidRDefault="0097167A" w:rsidP="0097167A">
      <w:pPr>
        <w:spacing w:after="0" w:line="240" w:lineRule="auto"/>
        <w:jc w:val="center"/>
        <w:rPr>
          <w:rFonts w:ascii="Open Sans" w:eastAsia="NSimSun" w:hAnsi="Open Sans" w:cs="Arial"/>
          <w:kern w:val="2"/>
          <w:sz w:val="24"/>
          <w:szCs w:val="24"/>
          <w:lang w:eastAsia="zh-CN" w:bidi="hi-IN"/>
        </w:rPr>
      </w:pPr>
      <w:r w:rsidRPr="00A07BE9">
        <w:rPr>
          <w:rFonts w:ascii="Open Sans" w:eastAsia="NSimSun" w:hAnsi="Open Sans" w:cs="Arial"/>
          <w:noProof/>
          <w:kern w:val="2"/>
          <w:sz w:val="24"/>
          <w:szCs w:val="24"/>
          <w:lang w:eastAsia="es-ES"/>
        </w:rPr>
        <mc:AlternateContent>
          <mc:Choice Requires="wps">
            <w:drawing>
              <wp:anchor distT="0" distB="0" distL="0" distR="0" simplePos="0" relativeHeight="251874304" behindDoc="0" locked="0" layoutInCell="1" allowOverlap="1" wp14:anchorId="627383DE" wp14:editId="0496B57E">
                <wp:simplePos x="0" y="0"/>
                <wp:positionH relativeFrom="column">
                  <wp:posOffset>1301115</wp:posOffset>
                </wp:positionH>
                <wp:positionV relativeFrom="paragraph">
                  <wp:posOffset>197485</wp:posOffset>
                </wp:positionV>
                <wp:extent cx="2952750" cy="180975"/>
                <wp:effectExtent l="0" t="0" r="19050" b="28575"/>
                <wp:wrapNone/>
                <wp:docPr id="223" name="Forma1"/>
                <wp:cNvGraphicFramePr/>
                <a:graphic xmlns:a="http://schemas.openxmlformats.org/drawingml/2006/main">
                  <a:graphicData uri="http://schemas.microsoft.com/office/word/2010/wordprocessingShape">
                    <wps:wsp>
                      <wps:cNvSpPr/>
                      <wps:spPr>
                        <a:xfrm>
                          <a:off x="0" y="0"/>
                          <a:ext cx="2952750" cy="180975"/>
                        </a:xfrm>
                        <a:custGeom>
                          <a:avLst/>
                          <a:gdLst/>
                          <a:ahLst/>
                          <a:cxnLst/>
                          <a:rect l="0" t="0" r="r" b="b"/>
                          <a:pathLst>
                            <a:path w="5057" h="579">
                              <a:moveTo>
                                <a:pt x="96" y="0"/>
                              </a:moveTo>
                              <a:lnTo>
                                <a:pt x="96" y="0"/>
                              </a:lnTo>
                              <a:cubicBezTo>
                                <a:pt x="79" y="0"/>
                                <a:pt x="63" y="4"/>
                                <a:pt x="48" y="13"/>
                              </a:cubicBezTo>
                              <a:cubicBezTo>
                                <a:pt x="34" y="21"/>
                                <a:pt x="21" y="34"/>
                                <a:pt x="13" y="48"/>
                              </a:cubicBezTo>
                              <a:cubicBezTo>
                                <a:pt x="4" y="63"/>
                                <a:pt x="0" y="79"/>
                                <a:pt x="0" y="96"/>
                              </a:cubicBezTo>
                              <a:lnTo>
                                <a:pt x="0" y="481"/>
                              </a:lnTo>
                              <a:lnTo>
                                <a:pt x="0" y="482"/>
                              </a:lnTo>
                              <a:cubicBezTo>
                                <a:pt x="0" y="499"/>
                                <a:pt x="4" y="515"/>
                                <a:pt x="13" y="530"/>
                              </a:cubicBezTo>
                              <a:cubicBezTo>
                                <a:pt x="21" y="544"/>
                                <a:pt x="34" y="557"/>
                                <a:pt x="48" y="565"/>
                              </a:cubicBezTo>
                              <a:cubicBezTo>
                                <a:pt x="63" y="574"/>
                                <a:pt x="79" y="578"/>
                                <a:pt x="96" y="578"/>
                              </a:cubicBezTo>
                              <a:lnTo>
                                <a:pt x="4959" y="578"/>
                              </a:lnTo>
                              <a:lnTo>
                                <a:pt x="4960" y="578"/>
                              </a:lnTo>
                              <a:cubicBezTo>
                                <a:pt x="4977" y="578"/>
                                <a:pt x="4993" y="574"/>
                                <a:pt x="5008" y="565"/>
                              </a:cubicBezTo>
                              <a:cubicBezTo>
                                <a:pt x="5022" y="557"/>
                                <a:pt x="5035" y="544"/>
                                <a:pt x="5043" y="530"/>
                              </a:cubicBezTo>
                              <a:cubicBezTo>
                                <a:pt x="5052" y="515"/>
                                <a:pt x="5056" y="499"/>
                                <a:pt x="5056" y="482"/>
                              </a:cubicBezTo>
                              <a:lnTo>
                                <a:pt x="5056" y="96"/>
                              </a:lnTo>
                              <a:lnTo>
                                <a:pt x="5056" y="96"/>
                              </a:lnTo>
                              <a:lnTo>
                                <a:pt x="5056" y="96"/>
                              </a:lnTo>
                              <a:cubicBezTo>
                                <a:pt x="5056" y="79"/>
                                <a:pt x="5052" y="63"/>
                                <a:pt x="5043" y="48"/>
                              </a:cubicBezTo>
                              <a:cubicBezTo>
                                <a:pt x="5035" y="34"/>
                                <a:pt x="5022" y="21"/>
                                <a:pt x="5008" y="13"/>
                              </a:cubicBezTo>
                              <a:cubicBezTo>
                                <a:pt x="4993" y="4"/>
                                <a:pt x="4977" y="0"/>
                                <a:pt x="4960" y="0"/>
                              </a:cubicBezTo>
                              <a:lnTo>
                                <a:pt x="96" y="0"/>
                              </a:lnTo>
                            </a:path>
                          </a:pathLst>
                        </a:custGeom>
                        <a:solidFill>
                          <a:srgbClr val="D83A23"/>
                        </a:solidFill>
                        <a:ln>
                          <a:solidFill>
                            <a:srgbClr val="3465A4"/>
                          </a:solidFill>
                        </a:ln>
                        <a:effectLst/>
                      </wps:spPr>
                      <wps:txbx>
                        <w:txbxContent>
                          <w:p w14:paraId="518D79C4" w14:textId="4D91CF3E" w:rsidR="000F0D13" w:rsidRPr="00A97B43" w:rsidRDefault="000F0D13" w:rsidP="00DC3B3A">
                            <w:pPr>
                              <w:spacing w:after="0"/>
                              <w:jc w:val="center"/>
                              <w:rPr>
                                <w:rFonts w:ascii="Open Sans" w:hAnsi="Open Sans" w:cs="Open Sans"/>
                              </w:rPr>
                            </w:pPr>
                            <w:r>
                              <w:rPr>
                                <w:rFonts w:ascii="Open Sans" w:hAnsi="Open Sans" w:cs="Open Sans"/>
                                <w:b/>
                                <w:bCs/>
                                <w:color w:val="FFFFFF"/>
                                <w:sz w:val="16"/>
                                <w:szCs w:val="16"/>
                              </w:rPr>
                              <w:t>j</w:t>
                            </w:r>
                            <w:r w:rsidRPr="00A97B43">
                              <w:rPr>
                                <w:rFonts w:ascii="Open Sans" w:hAnsi="Open Sans" w:cs="Open Sans"/>
                                <w:b/>
                                <w:bCs/>
                                <w:color w:val="FFFFFF"/>
                                <w:sz w:val="16"/>
                                <w:szCs w:val="16"/>
                              </w:rPr>
                              <w:t>efe</w:t>
                            </w:r>
                            <w:r>
                              <w:rPr>
                                <w:rFonts w:ascii="Open Sans" w:hAnsi="Open Sans" w:cs="Open Sans"/>
                                <w:b/>
                                <w:bCs/>
                                <w:color w:val="FFFFFF"/>
                                <w:sz w:val="16"/>
                                <w:szCs w:val="16"/>
                              </w:rPr>
                              <w:t>/a</w:t>
                            </w:r>
                            <w:r w:rsidRPr="00A97B43">
                              <w:rPr>
                                <w:rFonts w:ascii="Open Sans" w:hAnsi="Open Sans" w:cs="Open Sans"/>
                                <w:b/>
                                <w:bCs/>
                                <w:color w:val="FFFFFF"/>
                                <w:sz w:val="16"/>
                                <w:szCs w:val="16"/>
                              </w:rPr>
                              <w:t xml:space="preserve"> de Equipo</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627383DE" id="_x0000_s1035" style="position:absolute;left:0;text-align:left;margin-left:102.45pt;margin-top:15.55pt;width:232.5pt;height:14.25pt;z-index:2518743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5057,57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Pr7UgMAAPYJAAAOAAAAZHJzL2Uyb0RvYy54bWysVttu2zAMfR+wfxD8vtpxrCQOmhTdig4D&#10;hrVAuw9QZDk2YFuepFy6rx91c6IkG5BtL7Yu1CF5SIq6vdu3DdoyIWveLaLRTRIh1lFe1N16EX1/&#10;ffwwi5BUpCtIwzu2iN6YjO6W79/d7vo5S3nFm4IJBCCdnO/6RVQp1c/jWNKKtUTe8J51sFly0RIF&#10;U7GOC0F2gN42cZokk3jHRdELTpmUsPpgN6OlwS9LRtVTWUqmULOIwDZlvsJ8V/obL2/JfC1IX9XU&#10;mUH+woqW1B0oHaAeiCJoI+ozqLamgkteqhvK25iXZU2Z8QG8GSUn3rxUpGfGFyBH9gNN8v/B0m/b&#10;l/5ZAA27Xs4lDLUX+1K0+g/2ob0h620gi+0VorCY5jidYuCUwt5oluRTrNmMD6fpRqrPjBsksv0q&#10;lSW78CNS+RHdd34oIGSnwRIRgmCtbLB6ovQ5bZ4eot0iwgmeRqiCwTQ3UWj5lr1yI6K0A/kkQt4D&#10;MPCw3XR/EPObdLOq6Uf281gUFA2IYIjRMhmbtczZadYyyH/Nz9hxE2KFM4syzsyJdHQMAzMNA3uG&#10;QysJoHoRVFjeQ7RwZk9YaLDzCAUiCCDgz9kasHYJ2NNiIe3xbGbMBW79rv+HUqlD9LuXjHSIeWCR&#10;tRyPTI55wh0BeGzqGJSHcOHMGuKIxFnApOMcQxodseBihyc+sUPAcGbhXQrgaQDvkgVPTaS89S4p&#10;3eqZ9Z4iC5zl2GbcQdwL+L8XnFgCzwUvGZzlUygdSIAT47I8t9l14gpOEpvR17CCkzS1SkKCcTLG&#10;dj0MB04yp/yKyMIl4JSESQLrtvrBpePoHtZnPitDgkJeB/GhKvy+/1v+/10utOIENaxTUGZ9Dkt6&#10;4O+Kq2GIRXjHDKEL76MhDa642IaUCmpjSEDXi0+y+HJlh5Sf3O52E+pJtwfTkIaWYYrs0JQkb+ri&#10;sW4a3SmkWK8+NQJtCTwVHmbj+9Tf2YFY0xnh354cZxN8bzwEZUcnYWaPMvMqse0uPjRdPVL71R7V&#10;BfQrnah6ZcWLt2eBdvBAWUTyx4YIFqHmSwcvAKhy5QfCD1Z+QDpacXjnUCVMR+z4/UbxstY92Gi1&#10;yG4CjwtDlHsI6dfL8dxIHZ5ry18AAAD//wMAUEsDBBQABgAIAAAAIQArCLbi4QAAAAkBAAAPAAAA&#10;ZHJzL2Rvd25yZXYueG1sTI9BTsMwEEX3SNzBGiR21E4JLgmZVFUhQqoEEi2wdmMTR8R2ZLttenvM&#10;CpYz8/Tn/Wo5mYEclQ+9swjZjAFRtnWytx3C+665uQcSorBSDM4qhLMKsKwvLypRSneyb+q4jR1J&#10;ITaUAkHHOJaUhlYrI8LMjcqm25fzRsQ0+o5KL04p3Ax0zhinRvQ2fdBiVGut2u/twSBwfX7+zJun&#10;/MUvVo+vG/YxNusM8fpqWj0AiWqKfzD86id1qJPT3h2sDGRAmLO8SCjCbZYBSQDnRVrsEe4KDrSu&#10;6P8G9Q8AAAD//wMAUEsBAi0AFAAGAAgAAAAhALaDOJL+AAAA4QEAABMAAAAAAAAAAAAAAAAAAAAA&#10;AFtDb250ZW50X1R5cGVzXS54bWxQSwECLQAUAAYACAAAACEAOP0h/9YAAACUAQAACwAAAAAAAAAA&#10;AAAAAAAvAQAAX3JlbHMvLnJlbHNQSwECLQAUAAYACAAAACEAUdz6+1IDAAD2CQAADgAAAAAAAAAA&#10;AAAAAAAuAgAAZHJzL2Uyb0RvYy54bWxQSwECLQAUAAYACAAAACEAKwi24uEAAAAJAQAADwAAAAAA&#10;AAAAAAAAAACsBQAAZHJzL2Rvd25yZXYueG1sUEsFBgAAAAAEAAQA8wAAALoGAAAAAA==&#10;" adj="-11796480,,5400" path="m96,r,c79,,63,4,48,13,34,21,21,34,13,48,4,63,,79,,96l,481r,1c,499,4,515,13,530v8,14,21,27,35,35c63,574,79,578,96,578r4863,l4960,578v17,,33,-4,48,-13c5022,557,5035,544,5043,530v9,-15,13,-31,13,-48l5056,96r,l5056,96v,-17,-4,-33,-13,-48c5035,34,5022,21,5008,13,4993,4,4977,,4960,l96,e" fillcolor="#d83a23" strokecolor="#3465a4">
                <v:stroke joinstyle="miter"/>
                <v:formulas/>
                <v:path arrowok="t" o:connecttype="custom" textboxrect="0,0,5057,579"/>
                <v:textbox inset="0,0,0,0">
                  <w:txbxContent>
                    <w:p w14:paraId="518D79C4" w14:textId="4D91CF3E" w:rsidR="000F0D13" w:rsidRPr="00A97B43" w:rsidRDefault="000F0D13" w:rsidP="00DC3B3A">
                      <w:pPr>
                        <w:spacing w:after="0"/>
                        <w:jc w:val="center"/>
                        <w:rPr>
                          <w:rFonts w:ascii="Open Sans" w:hAnsi="Open Sans" w:cs="Open Sans"/>
                        </w:rPr>
                      </w:pPr>
                      <w:r>
                        <w:rPr>
                          <w:rFonts w:ascii="Open Sans" w:hAnsi="Open Sans" w:cs="Open Sans"/>
                          <w:b/>
                          <w:bCs/>
                          <w:color w:val="FFFFFF"/>
                          <w:sz w:val="16"/>
                          <w:szCs w:val="16"/>
                        </w:rPr>
                        <w:t>j</w:t>
                      </w:r>
                      <w:r w:rsidRPr="00A97B43">
                        <w:rPr>
                          <w:rFonts w:ascii="Open Sans" w:hAnsi="Open Sans" w:cs="Open Sans"/>
                          <w:b/>
                          <w:bCs/>
                          <w:color w:val="FFFFFF"/>
                          <w:sz w:val="16"/>
                          <w:szCs w:val="16"/>
                        </w:rPr>
                        <w:t>efe</w:t>
                      </w:r>
                      <w:r>
                        <w:rPr>
                          <w:rFonts w:ascii="Open Sans" w:hAnsi="Open Sans" w:cs="Open Sans"/>
                          <w:b/>
                          <w:bCs/>
                          <w:color w:val="FFFFFF"/>
                          <w:sz w:val="16"/>
                          <w:szCs w:val="16"/>
                        </w:rPr>
                        <w:t>/a</w:t>
                      </w:r>
                      <w:r w:rsidRPr="00A97B43">
                        <w:rPr>
                          <w:rFonts w:ascii="Open Sans" w:hAnsi="Open Sans" w:cs="Open Sans"/>
                          <w:b/>
                          <w:bCs/>
                          <w:color w:val="FFFFFF"/>
                          <w:sz w:val="16"/>
                          <w:szCs w:val="16"/>
                        </w:rPr>
                        <w:t xml:space="preserve"> de Equipo</w:t>
                      </w:r>
                    </w:p>
                  </w:txbxContent>
                </v:textbox>
              </v:shape>
            </w:pict>
          </mc:Fallback>
        </mc:AlternateContent>
      </w:r>
    </w:p>
    <w:p w14:paraId="07111C7C" w14:textId="77777777" w:rsidR="0097167A" w:rsidRPr="00A07BE9" w:rsidRDefault="0097167A" w:rsidP="0097167A">
      <w:pPr>
        <w:spacing w:after="0" w:line="240" w:lineRule="auto"/>
        <w:jc w:val="center"/>
        <w:rPr>
          <w:rFonts w:ascii="Open Sans" w:eastAsia="NSimSun" w:hAnsi="Open Sans" w:cs="Arial"/>
          <w:kern w:val="2"/>
          <w:sz w:val="24"/>
          <w:szCs w:val="24"/>
          <w:lang w:eastAsia="zh-CN" w:bidi="hi-IN"/>
        </w:rPr>
      </w:pPr>
    </w:p>
    <w:p w14:paraId="367E66A9" w14:textId="77777777" w:rsidR="0097167A" w:rsidRPr="00A07BE9" w:rsidRDefault="0097167A" w:rsidP="0097167A">
      <w:pPr>
        <w:spacing w:after="0" w:line="240" w:lineRule="auto"/>
        <w:jc w:val="both"/>
        <w:rPr>
          <w:rFonts w:ascii="Open Sans" w:eastAsia="NSimSun" w:hAnsi="Open Sans" w:cs="Arial"/>
          <w:kern w:val="2"/>
          <w:sz w:val="20"/>
          <w:szCs w:val="20"/>
          <w:lang w:eastAsia="zh-CN" w:bidi="hi-IN"/>
        </w:rPr>
      </w:pPr>
    </w:p>
    <w:p w14:paraId="61013C01" w14:textId="77777777" w:rsidR="004A5F93" w:rsidRPr="00A07BE9" w:rsidRDefault="004A5F93" w:rsidP="0097167A">
      <w:pPr>
        <w:spacing w:after="0" w:line="276" w:lineRule="auto"/>
        <w:jc w:val="both"/>
        <w:rPr>
          <w:rFonts w:ascii="Open Sans" w:eastAsia="NSimSun" w:hAnsi="Open Sans" w:cs="Arial"/>
          <w:kern w:val="2"/>
          <w:sz w:val="20"/>
          <w:szCs w:val="20"/>
          <w:lang w:eastAsia="zh-CN" w:bidi="hi-IN"/>
        </w:rPr>
      </w:pPr>
    </w:p>
    <w:p w14:paraId="2A354247" w14:textId="47DC143D" w:rsidR="0097167A" w:rsidRPr="00A07BE9" w:rsidRDefault="0097167A" w:rsidP="0097167A">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Con el paso del tiempo y a la vista de la evolución de los métodos de trabajo, durante la anualidad 2019 se ha procedido a modificar esta distribución inicial, con el fin de dotar de una mayor eficacia y realizar un mejor aprovechamiento y optimización de los medios personales disponibles, pasando a configurarse con la siguiente distribución:</w:t>
      </w:r>
    </w:p>
    <w:p w14:paraId="583C7250" w14:textId="0767D606" w:rsidR="0097167A" w:rsidRPr="00A07BE9" w:rsidRDefault="0097167A" w:rsidP="0097167A">
      <w:pPr>
        <w:spacing w:after="0" w:line="240" w:lineRule="auto"/>
        <w:jc w:val="both"/>
        <w:rPr>
          <w:rFonts w:ascii="Open Sans" w:eastAsia="NSimSun" w:hAnsi="Open Sans" w:cs="Arial"/>
          <w:kern w:val="2"/>
          <w:sz w:val="20"/>
          <w:szCs w:val="20"/>
          <w:lang w:eastAsia="zh-CN" w:bidi="hi-IN"/>
        </w:rPr>
      </w:pPr>
    </w:p>
    <w:p w14:paraId="358A479F" w14:textId="77777777" w:rsidR="004A5F93" w:rsidRPr="00A07BE9" w:rsidRDefault="004A5F93" w:rsidP="0097167A">
      <w:pPr>
        <w:spacing w:after="0" w:line="240" w:lineRule="auto"/>
        <w:jc w:val="both"/>
        <w:rPr>
          <w:rFonts w:ascii="Open Sans" w:eastAsia="NSimSun" w:hAnsi="Open Sans" w:cs="Arial"/>
          <w:kern w:val="2"/>
          <w:sz w:val="20"/>
          <w:szCs w:val="20"/>
          <w:lang w:eastAsia="zh-CN" w:bidi="hi-IN"/>
        </w:rPr>
      </w:pPr>
    </w:p>
    <w:p w14:paraId="21FA3CB5" w14:textId="5514281F" w:rsidR="0097167A" w:rsidRPr="00A07BE9" w:rsidRDefault="0097167A" w:rsidP="0097167A">
      <w:pPr>
        <w:spacing w:after="0" w:line="240" w:lineRule="auto"/>
        <w:jc w:val="center"/>
        <w:rPr>
          <w:rFonts w:ascii="Open Sans" w:eastAsia="NSimSun" w:hAnsi="Open Sans" w:cs="Arial"/>
          <w:b/>
          <w:bCs/>
          <w:color w:val="9D2235"/>
          <w:kern w:val="2"/>
          <w:sz w:val="24"/>
          <w:szCs w:val="24"/>
          <w:u w:val="single"/>
          <w:lang w:eastAsia="zh-CN" w:bidi="hi-IN"/>
        </w:rPr>
      </w:pPr>
      <w:r w:rsidRPr="00A07BE9">
        <w:rPr>
          <w:rFonts w:ascii="Open Sans" w:eastAsia="NSimSun" w:hAnsi="Open Sans" w:cs="Arial"/>
          <w:b/>
          <w:bCs/>
          <w:color w:val="9D2235"/>
          <w:kern w:val="2"/>
          <w:sz w:val="24"/>
          <w:szCs w:val="24"/>
          <w:u w:val="single"/>
          <w:lang w:eastAsia="zh-CN" w:bidi="hi-IN"/>
        </w:rPr>
        <w:t>ORGANIGRAMA</w:t>
      </w:r>
    </w:p>
    <w:p w14:paraId="152DE35F" w14:textId="5646B0C8" w:rsidR="0097167A" w:rsidRPr="00A07BE9" w:rsidRDefault="0097167A" w:rsidP="0097167A">
      <w:pPr>
        <w:spacing w:after="0" w:line="240" w:lineRule="auto"/>
        <w:jc w:val="center"/>
        <w:rPr>
          <w:rFonts w:ascii="Open Sans" w:eastAsia="NSimSun" w:hAnsi="Open Sans" w:cs="Arial"/>
          <w:i/>
          <w:iCs/>
          <w:kern w:val="2"/>
          <w:sz w:val="16"/>
          <w:szCs w:val="16"/>
          <w:lang w:eastAsia="zh-CN" w:bidi="hi-IN"/>
        </w:rPr>
      </w:pPr>
      <w:r w:rsidRPr="00A07BE9">
        <w:rPr>
          <w:rFonts w:ascii="Open Sans" w:eastAsia="NSimSun" w:hAnsi="Open Sans" w:cs="Arial"/>
          <w:i/>
          <w:iCs/>
          <w:kern w:val="2"/>
          <w:sz w:val="16"/>
          <w:szCs w:val="16"/>
          <w:lang w:eastAsia="zh-CN" w:bidi="hi-IN"/>
        </w:rPr>
        <w:t>(Modificación operada en 2019</w:t>
      </w:r>
      <w:r w:rsidRPr="00A07BE9">
        <w:rPr>
          <w:rFonts w:ascii="Open Sans" w:eastAsia="NSimSun" w:hAnsi="Open Sans" w:cs="Arial"/>
          <w:noProof/>
          <w:kern w:val="2"/>
          <w:sz w:val="24"/>
          <w:szCs w:val="24"/>
          <w:lang w:eastAsia="es-ES"/>
        </w:rPr>
        <mc:AlternateContent>
          <mc:Choice Requires="wps">
            <w:drawing>
              <wp:anchor distT="0" distB="0" distL="0" distR="0" simplePos="0" relativeHeight="251851776" behindDoc="1" locked="0" layoutInCell="1" allowOverlap="1" wp14:anchorId="24BD4E16" wp14:editId="0D695506">
                <wp:simplePos x="0" y="0"/>
                <wp:positionH relativeFrom="margin">
                  <wp:posOffset>-89535</wp:posOffset>
                </wp:positionH>
                <wp:positionV relativeFrom="paragraph">
                  <wp:posOffset>134621</wp:posOffset>
                </wp:positionV>
                <wp:extent cx="5717540" cy="3352800"/>
                <wp:effectExtent l="0" t="0" r="16510" b="19050"/>
                <wp:wrapNone/>
                <wp:docPr id="224" name="Forma1"/>
                <wp:cNvGraphicFramePr/>
                <a:graphic xmlns:a="http://schemas.openxmlformats.org/drawingml/2006/main">
                  <a:graphicData uri="http://schemas.microsoft.com/office/word/2010/wordprocessingShape">
                    <wps:wsp>
                      <wps:cNvSpPr/>
                      <wps:spPr>
                        <a:xfrm>
                          <a:off x="0" y="0"/>
                          <a:ext cx="5717540" cy="3352800"/>
                        </a:xfrm>
                        <a:custGeom>
                          <a:avLst/>
                          <a:gdLst/>
                          <a:ahLst/>
                          <a:cxnLst/>
                          <a:rect l="0" t="0" r="r" b="b"/>
                          <a:pathLst>
                            <a:path w="11051" h="5535">
                              <a:moveTo>
                                <a:pt x="922" y="0"/>
                              </a:moveTo>
                              <a:lnTo>
                                <a:pt x="922" y="0"/>
                              </a:lnTo>
                              <a:cubicBezTo>
                                <a:pt x="760" y="0"/>
                                <a:pt x="601" y="43"/>
                                <a:pt x="461" y="124"/>
                              </a:cubicBezTo>
                              <a:cubicBezTo>
                                <a:pt x="321" y="205"/>
                                <a:pt x="205" y="321"/>
                                <a:pt x="124" y="461"/>
                              </a:cubicBezTo>
                              <a:cubicBezTo>
                                <a:pt x="43" y="601"/>
                                <a:pt x="0" y="760"/>
                                <a:pt x="0" y="922"/>
                              </a:cubicBezTo>
                              <a:lnTo>
                                <a:pt x="0" y="4611"/>
                              </a:lnTo>
                              <a:lnTo>
                                <a:pt x="0" y="4612"/>
                              </a:lnTo>
                              <a:cubicBezTo>
                                <a:pt x="0" y="4774"/>
                                <a:pt x="43" y="4933"/>
                                <a:pt x="124" y="5073"/>
                              </a:cubicBezTo>
                              <a:cubicBezTo>
                                <a:pt x="205" y="5213"/>
                                <a:pt x="321" y="5329"/>
                                <a:pt x="461" y="5410"/>
                              </a:cubicBezTo>
                              <a:cubicBezTo>
                                <a:pt x="601" y="5491"/>
                                <a:pt x="760" y="5534"/>
                                <a:pt x="922" y="5534"/>
                              </a:cubicBezTo>
                              <a:lnTo>
                                <a:pt x="10127" y="5534"/>
                              </a:lnTo>
                              <a:lnTo>
                                <a:pt x="10128" y="5534"/>
                              </a:lnTo>
                              <a:cubicBezTo>
                                <a:pt x="10290" y="5534"/>
                                <a:pt x="10449" y="5491"/>
                                <a:pt x="10589" y="5410"/>
                              </a:cubicBezTo>
                              <a:cubicBezTo>
                                <a:pt x="10729" y="5329"/>
                                <a:pt x="10845" y="5213"/>
                                <a:pt x="10926" y="5073"/>
                              </a:cubicBezTo>
                              <a:cubicBezTo>
                                <a:pt x="11007" y="4933"/>
                                <a:pt x="11050" y="4774"/>
                                <a:pt x="11050" y="4612"/>
                              </a:cubicBezTo>
                              <a:lnTo>
                                <a:pt x="11050" y="922"/>
                              </a:lnTo>
                              <a:lnTo>
                                <a:pt x="11050" y="922"/>
                              </a:lnTo>
                              <a:lnTo>
                                <a:pt x="11050" y="922"/>
                              </a:lnTo>
                              <a:cubicBezTo>
                                <a:pt x="11050" y="760"/>
                                <a:pt x="11007" y="601"/>
                                <a:pt x="10926" y="461"/>
                              </a:cubicBezTo>
                              <a:cubicBezTo>
                                <a:pt x="10845" y="321"/>
                                <a:pt x="10729" y="205"/>
                                <a:pt x="10589" y="124"/>
                              </a:cubicBezTo>
                              <a:cubicBezTo>
                                <a:pt x="10449" y="43"/>
                                <a:pt x="10290" y="0"/>
                                <a:pt x="10128" y="0"/>
                              </a:cubicBezTo>
                              <a:lnTo>
                                <a:pt x="922" y="0"/>
                              </a:lnTo>
                            </a:path>
                          </a:pathLst>
                        </a:custGeom>
                        <a:solidFill>
                          <a:srgbClr val="C6C6C6"/>
                        </a:solid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shape w14:anchorId="1DEEB6B4" id="Forma1" o:spid="_x0000_s1026" style="position:absolute;margin-left:-7.05pt;margin-top:10.6pt;width:450.2pt;height:264pt;z-index:-25146470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coordsize="11051,5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2e2PwMAAAIKAAAOAAAAZHJzL2Uyb0RvYy54bWysVttu2zAMfR+wfzD8vlryJU6CJsXWonsZ&#10;tgJtP0Cx5cSAbRmSm6T7+lGS6Vu8oR2KALEkXkSeQ1G6vjmXhXPkUuWi2rj0irgOrxKR5tV+4z4/&#10;3X9Zuo5qWJWyQlR8475y5d5sP3+6PtVr7ouDKFIuHXBSqfWp3riHpqnXnqeSAy+ZuhI1r0CYCVmy&#10;BqZy76WSncB7WXg+IQvvJGRaS5FwpWD1zgrdrfGfZTxpfmWZ4o1TbFyIrTH/0vzv9L+3vWbrvWT1&#10;IU/aMNh/RFGyvIJNO1d3rGHOi8wvXJV5IoUSWXOViNITWZYn3OQA2VAyyebxwGpucgFwVN3BpD7O&#10;bfLz+CCdPN24vh+6TsVKIOlew001NqdarUHlsX6Q7UzBUCd6zmSpv5CCczZ4vnZ48nPjJLAYxTSO&#10;QoA9AVkQRP6SGMS93jx5Uc13LowrdvyhGktIiiN2wFFyrnAogdYpodJ1gNCdJbRmjbbT8emhc4LS&#10;pCSirnOAqKIgMlyV4sifhFFqdA4r33cdzAJi7OVF9S89lCYvuzz5xn8PdeMFpI8+IRqz0YJAJLAY&#10;Bm24ZjVc2FUKRAAKEMDY4XhmPQW+tfFJNHSlp3oDLTaAWm3t2ewLO711B4hRm+iQB55sUjq5i0WN&#10;4pxzRMmGYh1AyhgJivE7UUOfKJ4Do/UZxwY/BLtNIFwFI7QRi4jEZv1NcCOukU9HzpCGKPBXQ0SQ&#10;0iikWPjjwMczmzNWRxSuRphjKUH9jhLEssX1i0wQs7YICPVjw+nAAFXw26tC/wb6Z1TnQqfEX1kW&#10;0ABZoCQMV9bVJC04l0uUvAMlSmLA2sQ2AZ2SZWjLf0oTJSt/YW3ewzq0DmIRuygiCH6+6nS76Woc&#10;i3cM2QTrzqA/QKiB35aVD9EcxzL1PDnZPQKTPtAjqkt97tjP7tMxNG1QHamThgYpt0Xynu7YF924&#10;0/ZlOupfFE6GLff5wzqmAY8d6lopHD5945j23d1C5kT295wSRZ7e50Whrx4l97vbQjpHBi+U24X+&#10;tTiO1IrKKP/VMggX0Ve8NwaWsLU15eYxZG9QT1/r9iLXo51IX839btbhoWGibx9F+iUznMN4+HTb&#10;/gEAAP//AwBQSwMEFAAGAAgAAAAhAIIevyTgAAAACgEAAA8AAABkcnMvZG93bnJldi54bWxMj8Fu&#10;wjAQRO+V+g/WIvUGTlIapSEOQkgVFy6lUcXRxG4cYa9T24D793VP5biap5m3zToaTa7S+dEig3yR&#10;AZHYWzHiwKD7eJtXQHzgKLi2KBn8SA/r9vGh4bWwN3yX10MYSCpBX3MGKoSpptT3ShruF3aSmLIv&#10;6wwP6XQDFY7fUrnRtMiykho+YlpQfJJbJfvz4WIYGHc8br93ujtH7Daq/NxXu7hn7GkWNysgQcbw&#10;D8OfflKHNjmd7AWFJ5rBPF/mCWVQ5AWQBFRV+QzkxOBl+VoAbRt6/0L7CwAA//8DAFBLAQItABQA&#10;BgAIAAAAIQC2gziS/gAAAOEBAAATAAAAAAAAAAAAAAAAAAAAAABbQ29udGVudF9UeXBlc10ueG1s&#10;UEsBAi0AFAAGAAgAAAAhADj9If/WAAAAlAEAAAsAAAAAAAAAAAAAAAAALwEAAF9yZWxzLy5yZWxz&#10;UEsBAi0AFAAGAAgAAAAhAPFLZ7Y/AwAAAgoAAA4AAAAAAAAAAAAAAAAALgIAAGRycy9lMm9Eb2Mu&#10;eG1sUEsBAi0AFAAGAAgAAAAhAIIevyTgAAAACgEAAA8AAAAAAAAAAAAAAAAAmQUAAGRycy9kb3du&#10;cmV2LnhtbFBLBQYAAAAABAAEAPMAAACmBgAAAAA=&#10;" path="m922,r,c760,,601,43,461,124,321,205,205,321,124,461,43,601,,760,,922l,4611r,1c,4774,43,4933,124,5073v81,140,197,256,337,337c601,5491,760,5534,922,5534r9205,l10128,5534v162,,321,-43,461,-124c10729,5329,10845,5213,10926,5073v81,-140,124,-299,124,-461l11050,922r,l11050,922v,-162,-43,-321,-124,-461c10845,321,10729,205,10589,124,10449,43,10290,,10128,l922,e" fillcolor="#c6c6c6" strokecolor="#3465a4">
                <v:path arrowok="t"/>
                <w10:wrap anchorx="margin"/>
              </v:shape>
            </w:pict>
          </mc:Fallback>
        </mc:AlternateContent>
      </w:r>
      <w:r w:rsidR="00E24B87" w:rsidRPr="00A07BE9">
        <w:rPr>
          <w:rFonts w:ascii="Open Sans" w:eastAsia="NSimSun" w:hAnsi="Open Sans" w:cs="Arial"/>
          <w:i/>
          <w:iCs/>
          <w:kern w:val="2"/>
          <w:sz w:val="16"/>
          <w:szCs w:val="16"/>
          <w:lang w:eastAsia="zh-CN" w:bidi="hi-IN"/>
        </w:rPr>
        <w:t>)</w:t>
      </w:r>
    </w:p>
    <w:p w14:paraId="1C786CC2" w14:textId="77777777" w:rsidR="0097167A" w:rsidRPr="00A07BE9" w:rsidRDefault="0097167A" w:rsidP="0097167A">
      <w:pPr>
        <w:spacing w:after="0" w:line="240" w:lineRule="auto"/>
        <w:jc w:val="center"/>
        <w:rPr>
          <w:rFonts w:ascii="Open Sans" w:eastAsia="NSimSun" w:hAnsi="Open Sans" w:cs="Arial"/>
          <w:kern w:val="2"/>
          <w:sz w:val="24"/>
          <w:szCs w:val="24"/>
          <w:lang w:eastAsia="zh-CN" w:bidi="hi-IN"/>
        </w:rPr>
      </w:pPr>
      <w:r w:rsidRPr="00A07BE9">
        <w:rPr>
          <w:rFonts w:ascii="Open Sans" w:eastAsia="NSimSun" w:hAnsi="Open Sans" w:cs="Arial"/>
          <w:noProof/>
          <w:kern w:val="2"/>
          <w:sz w:val="24"/>
          <w:szCs w:val="24"/>
          <w:lang w:eastAsia="es-ES"/>
        </w:rPr>
        <mc:AlternateContent>
          <mc:Choice Requires="wps">
            <w:drawing>
              <wp:anchor distT="0" distB="0" distL="0" distR="0" simplePos="0" relativeHeight="251883520" behindDoc="0" locked="0" layoutInCell="1" allowOverlap="1" wp14:anchorId="1CEF6F0B" wp14:editId="2883C4C0">
                <wp:simplePos x="0" y="0"/>
                <wp:positionH relativeFrom="column">
                  <wp:posOffset>1453516</wp:posOffset>
                </wp:positionH>
                <wp:positionV relativeFrom="paragraph">
                  <wp:posOffset>110490</wp:posOffset>
                </wp:positionV>
                <wp:extent cx="2552700" cy="238125"/>
                <wp:effectExtent l="0" t="0" r="19050" b="28575"/>
                <wp:wrapNone/>
                <wp:docPr id="52" name="Forma1"/>
                <wp:cNvGraphicFramePr/>
                <a:graphic xmlns:a="http://schemas.openxmlformats.org/drawingml/2006/main">
                  <a:graphicData uri="http://schemas.microsoft.com/office/word/2010/wordprocessingShape">
                    <wps:wsp>
                      <wps:cNvSpPr/>
                      <wps:spPr>
                        <a:xfrm>
                          <a:off x="0" y="0"/>
                          <a:ext cx="2552700" cy="238125"/>
                        </a:xfrm>
                        <a:custGeom>
                          <a:avLst/>
                          <a:gdLst/>
                          <a:ahLst/>
                          <a:cxnLst/>
                          <a:rect l="0" t="0" r="r" b="b"/>
                          <a:pathLst>
                            <a:path w="3997" h="1048">
                              <a:moveTo>
                                <a:pt x="174" y="0"/>
                              </a:moveTo>
                              <a:lnTo>
                                <a:pt x="175" y="0"/>
                              </a:lnTo>
                              <a:cubicBezTo>
                                <a:pt x="144" y="0"/>
                                <a:pt x="114" y="8"/>
                                <a:pt x="87" y="23"/>
                              </a:cubicBezTo>
                              <a:cubicBezTo>
                                <a:pt x="61" y="39"/>
                                <a:pt x="39" y="61"/>
                                <a:pt x="23" y="87"/>
                              </a:cubicBezTo>
                              <a:cubicBezTo>
                                <a:pt x="8" y="114"/>
                                <a:pt x="0" y="144"/>
                                <a:pt x="0" y="175"/>
                              </a:cubicBezTo>
                              <a:lnTo>
                                <a:pt x="0" y="872"/>
                              </a:lnTo>
                              <a:lnTo>
                                <a:pt x="0" y="873"/>
                              </a:lnTo>
                              <a:cubicBezTo>
                                <a:pt x="0" y="903"/>
                                <a:pt x="8" y="933"/>
                                <a:pt x="23" y="960"/>
                              </a:cubicBezTo>
                              <a:cubicBezTo>
                                <a:pt x="39" y="986"/>
                                <a:pt x="61" y="1008"/>
                                <a:pt x="87" y="1024"/>
                              </a:cubicBezTo>
                              <a:cubicBezTo>
                                <a:pt x="114" y="1039"/>
                                <a:pt x="144" y="1047"/>
                                <a:pt x="175" y="1047"/>
                              </a:cubicBezTo>
                              <a:lnTo>
                                <a:pt x="3821" y="1047"/>
                              </a:lnTo>
                              <a:lnTo>
                                <a:pt x="3822" y="1047"/>
                              </a:lnTo>
                              <a:cubicBezTo>
                                <a:pt x="3852" y="1047"/>
                                <a:pt x="3882" y="1039"/>
                                <a:pt x="3909" y="1024"/>
                              </a:cubicBezTo>
                              <a:cubicBezTo>
                                <a:pt x="3935" y="1008"/>
                                <a:pt x="3957" y="986"/>
                                <a:pt x="3973" y="960"/>
                              </a:cubicBezTo>
                              <a:cubicBezTo>
                                <a:pt x="3988" y="933"/>
                                <a:pt x="3996" y="903"/>
                                <a:pt x="3996" y="873"/>
                              </a:cubicBezTo>
                              <a:lnTo>
                                <a:pt x="3996" y="174"/>
                              </a:lnTo>
                              <a:lnTo>
                                <a:pt x="3996" y="175"/>
                              </a:lnTo>
                              <a:lnTo>
                                <a:pt x="3996" y="175"/>
                              </a:lnTo>
                              <a:cubicBezTo>
                                <a:pt x="3996" y="144"/>
                                <a:pt x="3988" y="114"/>
                                <a:pt x="3973" y="87"/>
                              </a:cubicBezTo>
                              <a:cubicBezTo>
                                <a:pt x="3957" y="61"/>
                                <a:pt x="3935" y="39"/>
                                <a:pt x="3909" y="23"/>
                              </a:cubicBezTo>
                              <a:cubicBezTo>
                                <a:pt x="3882" y="8"/>
                                <a:pt x="3852" y="0"/>
                                <a:pt x="3822" y="0"/>
                              </a:cubicBezTo>
                              <a:lnTo>
                                <a:pt x="174" y="0"/>
                              </a:lnTo>
                            </a:path>
                          </a:pathLst>
                        </a:custGeom>
                        <a:solidFill>
                          <a:srgbClr val="9D2235"/>
                        </a:solidFill>
                        <a:ln>
                          <a:solidFill>
                            <a:srgbClr val="3465A4"/>
                          </a:solidFill>
                        </a:ln>
                        <a:effectLst/>
                      </wps:spPr>
                      <wps:txbx>
                        <w:txbxContent>
                          <w:p w14:paraId="3B854280" w14:textId="1013905E" w:rsidR="000F0D13" w:rsidRPr="000A2FA4" w:rsidRDefault="000F0D13" w:rsidP="0097167A">
                            <w:pPr>
                              <w:spacing w:after="0"/>
                              <w:jc w:val="center"/>
                              <w:rPr>
                                <w:rFonts w:ascii="Open Sans" w:hAnsi="Open Sans" w:cs="Open Sans"/>
                                <w:sz w:val="16"/>
                                <w:szCs w:val="16"/>
                              </w:rPr>
                            </w:pPr>
                            <w:r w:rsidRPr="000A2FA4">
                              <w:rPr>
                                <w:rFonts w:ascii="Open Sans" w:hAnsi="Open Sans" w:cs="Open Sans"/>
                                <w:b/>
                                <w:bCs/>
                                <w:color w:val="FFFFFF"/>
                                <w:sz w:val="16"/>
                                <w:szCs w:val="16"/>
                              </w:rPr>
                              <w:t>Direc</w:t>
                            </w:r>
                            <w:r>
                              <w:rPr>
                                <w:rFonts w:ascii="Open Sans" w:hAnsi="Open Sans" w:cs="Open Sans"/>
                                <w:b/>
                                <w:bCs/>
                                <w:color w:val="FFFFFF"/>
                                <w:sz w:val="16"/>
                                <w:szCs w:val="16"/>
                              </w:rPr>
                              <w:t xml:space="preserve">ción </w:t>
                            </w:r>
                            <w:r w:rsidRPr="000A2FA4">
                              <w:rPr>
                                <w:rFonts w:ascii="Open Sans" w:hAnsi="Open Sans" w:cs="Open Sans"/>
                                <w:b/>
                                <w:bCs/>
                                <w:color w:val="FFFFFF"/>
                                <w:sz w:val="16"/>
                                <w:szCs w:val="16"/>
                              </w:rPr>
                              <w:t>de Análisis e Investigación</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1CEF6F0B" id="_x0000_s1036" style="position:absolute;left:0;text-align:left;margin-left:114.45pt;margin-top:8.7pt;width:201pt;height:18.75pt;z-index:25188352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3997,104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olVWAMAABMKAAAOAAAAZHJzL2Uyb0RvYy54bWysVttu3CAQfa/Uf0B+b3xhL/YqmyhtlKpS&#10;1UZK+gEsxruWbOMCe0m/vgMYr/E6alP1xYZhOMycmWG4vj3VFTowIUverIP4KgoQayjPy2a7Dn48&#10;P3xIAyQVaXJS8Yatgxcmg9ub9++uj+2KJXzHq5wJBCCNXB3bdbBTql2FoaQ7VhN5xVvWwGLBRU0U&#10;TMU2zAU5AnpdhUkULcIjF3krOGVSgvTeLgY3Br8oGFXfi0Iyhap1ALYp8xXmu9Hf8OaarLaCtLuS&#10;dmaQf7CiJmUDh/ZQ90QRtBflBVRdUsElL9QV5XXIi6KkzPgA3sTRyJunHWmZ8QXIkW1Pk/x/sPTb&#10;4al9FEDDsZUrCUPtxakQtf6DfehkyHrpyWInhSgIk/k8WUbAKYW1BKdxMtdshufddC/VZ8YNEjl8&#10;lcqSnbsR2bkRPTVuKCBk42CJAEGwNjZYLVF6nzZPD9FxHeAsWwZoB/kXzVIThpof2DM3Okp7EC9n&#10;AXI+gInn9arx9eaenlul+01JP7Jfnu5sgAnG2INiK0w7Y40wBesMSR1BPpo/szCL2OzA2RAGZhoG&#10;1gyRVjPBRghHWPJ9NH9md0BFAkoMhg5gII5aCC5dCpcusD6a48aiWoB0mXR2uFX397XwSMtHHupm&#10;kdF1/FrjM+wJOw6yhalnCK8P588seMdlli6GDne0x1E0Fb84Sgw9f3WA5tdQGvlB1BRb+cyEzDkW&#10;A8tD+cUhPpE4TWyKQMq70DsN9+88TZNkjOw0JplJ576+sxCnqVvwXcJZZDPzTQThDDuPfbZxNrf1&#10;MgoOzpY2198W53QyZeDKWBhWRvnVy1M4bKqiHHUujToYfcFYdafg/heKrpqcgvv/UXEyWs6PUeni&#10;rPN7VOc9iW+4MPqA+DdPH8BXsgGqcorASS9canllh10mdm16lM/Txe6zOb737SrUlm4dpln17cQU&#10;3LlhSV6V+UNZVbqJSLHdfKoEOhB4RmT3SQKpa33z1KrGKL+6E88W8zuXJ4OdcLTdysyLxbbC8NyQ&#10;9UidNidU5rrH6aO1aMPzl0eBjvB6WQfy554IFqDqSwPPA/3UcQPhBhs3IA3dcXgEUSVMt2z43V7x&#10;otQN2hxrkbsJvDwMU90rST9thnOjdX7L3fwGAAD//wMAUEsDBBQABgAIAAAAIQCZJfx83gAAAAkB&#10;AAAPAAAAZHJzL2Rvd25yZXYueG1sTI/LTsMwEEX3SPyDNUjsqE3oM8SpChKPFRJtJFi68RBHxOMo&#10;dtvA1zOsYDlzj+6cKdaj78QRh9gG0nA9USCQ6mBbajRUu4erJYiYDFnTBUINXxhhXZ6fFSa34USv&#10;eNymRnAJxdxocCn1uZSxduhNnIQeibOPMHiTeBwaaQdz4nLfyUypufSmJb7gTI/3DuvP7cFr2AWs&#10;Hr/VZvHint+eqveZurNUaX15MW5uQSQc0x8Mv/qsDiU77cOBbBSdhixbrhjlYDEFwcD8RvFir2E2&#10;XYEsC/n/g/IHAAD//wMAUEsBAi0AFAAGAAgAAAAhALaDOJL+AAAA4QEAABMAAAAAAAAAAAAAAAAA&#10;AAAAAFtDb250ZW50X1R5cGVzXS54bWxQSwECLQAUAAYACAAAACEAOP0h/9YAAACUAQAACwAAAAAA&#10;AAAAAAAAAAAvAQAAX3JlbHMvLnJlbHNQSwECLQAUAAYACAAAACEAmAqJVVgDAAATCgAADgAAAAAA&#10;AAAAAAAAAAAuAgAAZHJzL2Uyb0RvYy54bWxQSwECLQAUAAYACAAAACEAmSX8fN4AAAAJAQAADwAA&#10;AAAAAAAAAAAAAACyBQAAZHJzL2Rvd25yZXYueG1sUEsFBgAAAAAEAAQA8wAAAL0GAAAAAA==&#10;" adj="-11796480,,5400" path="m174,r1,c144,,114,8,87,23,61,39,39,61,23,87,8,114,,144,,175l,872r,1c,903,8,933,23,960v16,26,38,48,64,64c114,1039,144,1047,175,1047r3646,l3822,1047v30,,60,-8,87,-23c3935,1008,3957,986,3973,960v15,-27,23,-57,23,-87l3996,174r,1l3996,175v,-31,-8,-61,-23,-88c3957,61,3935,39,3909,23,3882,8,3852,,3822,l174,e" fillcolor="#9d2235" strokecolor="#3465a4">
                <v:stroke joinstyle="miter"/>
                <v:formulas/>
                <v:path arrowok="t" o:connecttype="custom" textboxrect="0,0,3997,1048"/>
                <v:textbox inset="0,0,0,0">
                  <w:txbxContent>
                    <w:p w14:paraId="3B854280" w14:textId="1013905E" w:rsidR="000F0D13" w:rsidRPr="000A2FA4" w:rsidRDefault="000F0D13" w:rsidP="0097167A">
                      <w:pPr>
                        <w:spacing w:after="0"/>
                        <w:jc w:val="center"/>
                        <w:rPr>
                          <w:rFonts w:ascii="Open Sans" w:hAnsi="Open Sans" w:cs="Open Sans"/>
                          <w:sz w:val="16"/>
                          <w:szCs w:val="16"/>
                        </w:rPr>
                      </w:pPr>
                      <w:r w:rsidRPr="000A2FA4">
                        <w:rPr>
                          <w:rFonts w:ascii="Open Sans" w:hAnsi="Open Sans" w:cs="Open Sans"/>
                          <w:b/>
                          <w:bCs/>
                          <w:color w:val="FFFFFF"/>
                          <w:sz w:val="16"/>
                          <w:szCs w:val="16"/>
                        </w:rPr>
                        <w:t>Direc</w:t>
                      </w:r>
                      <w:r>
                        <w:rPr>
                          <w:rFonts w:ascii="Open Sans" w:hAnsi="Open Sans" w:cs="Open Sans"/>
                          <w:b/>
                          <w:bCs/>
                          <w:color w:val="FFFFFF"/>
                          <w:sz w:val="16"/>
                          <w:szCs w:val="16"/>
                        </w:rPr>
                        <w:t xml:space="preserve">ción </w:t>
                      </w:r>
                      <w:r w:rsidRPr="000A2FA4">
                        <w:rPr>
                          <w:rFonts w:ascii="Open Sans" w:hAnsi="Open Sans" w:cs="Open Sans"/>
                          <w:b/>
                          <w:bCs/>
                          <w:color w:val="FFFFFF"/>
                          <w:sz w:val="16"/>
                          <w:szCs w:val="16"/>
                        </w:rPr>
                        <w:t>de Análisis e Investigación</w:t>
                      </w:r>
                    </w:p>
                  </w:txbxContent>
                </v:textbox>
              </v:shape>
            </w:pict>
          </mc:Fallback>
        </mc:AlternateContent>
      </w:r>
    </w:p>
    <w:p w14:paraId="52F11FA0" w14:textId="77777777" w:rsidR="0097167A" w:rsidRPr="00A07BE9" w:rsidRDefault="0097167A" w:rsidP="0097167A">
      <w:pPr>
        <w:spacing w:after="0" w:line="240" w:lineRule="auto"/>
        <w:jc w:val="center"/>
        <w:rPr>
          <w:rFonts w:ascii="Open Sans" w:eastAsia="NSimSun" w:hAnsi="Open Sans" w:cs="Arial"/>
          <w:kern w:val="2"/>
          <w:sz w:val="24"/>
          <w:szCs w:val="24"/>
          <w:lang w:eastAsia="zh-CN" w:bidi="hi-IN"/>
        </w:rPr>
      </w:pPr>
      <w:r w:rsidRPr="00A07BE9">
        <w:rPr>
          <w:rFonts w:ascii="Open Sans" w:eastAsia="NSimSun" w:hAnsi="Open Sans" w:cs="Arial"/>
          <w:noProof/>
          <w:kern w:val="2"/>
          <w:sz w:val="24"/>
          <w:szCs w:val="24"/>
          <w:lang w:eastAsia="es-ES"/>
        </w:rPr>
        <mc:AlternateContent>
          <mc:Choice Requires="wps">
            <w:drawing>
              <wp:anchor distT="0" distB="0" distL="0" distR="0" simplePos="0" relativeHeight="251855872" behindDoc="0" locked="0" layoutInCell="1" allowOverlap="1" wp14:anchorId="621FC5BA" wp14:editId="77F15173">
                <wp:simplePos x="0" y="0"/>
                <wp:positionH relativeFrom="column">
                  <wp:posOffset>3339465</wp:posOffset>
                </wp:positionH>
                <wp:positionV relativeFrom="paragraph">
                  <wp:posOffset>93345</wp:posOffset>
                </wp:positionV>
                <wp:extent cx="371475" cy="342900"/>
                <wp:effectExtent l="0" t="0" r="28575" b="19050"/>
                <wp:wrapNone/>
                <wp:docPr id="225" name="Forma4"/>
                <wp:cNvGraphicFramePr/>
                <a:graphic xmlns:a="http://schemas.openxmlformats.org/drawingml/2006/main">
                  <a:graphicData uri="http://schemas.microsoft.com/office/word/2010/wordprocessingShape">
                    <wps:wsp>
                      <wps:cNvCnPr/>
                      <wps:spPr>
                        <a:xfrm>
                          <a:off x="0" y="0"/>
                          <a:ext cx="371475" cy="342900"/>
                        </a:xfrm>
                        <a:prstGeom prst="line">
                          <a:avLst/>
                        </a:prstGeom>
                        <a:no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line w14:anchorId="7A36F77D" id="Forma4" o:spid="_x0000_s1026" style="position:absolute;z-index:25185587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262.95pt,7.35pt" to="292.2pt,3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XAnkgEAABIDAAAOAAAAZHJzL2Uyb0RvYy54bWysUk1vGyEQvVfqf0Dca9ZrJ2lWXkdVIvdS&#10;tZbS/gDMghcJGDRQr/3vO2DXtdpblcvAfPBm3htWT0fv2EFjshB6Pp81nOmgYLBh3/Mf3zcfPnKW&#10;sgyDdBB0z0868af1+3erKXa6hRHcoJERSEjdFHs+5hw7IZIatZdpBlEHShpALzO5uBcDyonQvRNt&#10;09yLCXCICEqnRNGXc5KvK74xWuVvxiSdmes5zZarxWp3xYr1SnZ7lHG06jKG/I8pvLSBml6hXmSW&#10;7Cfaf6C8VQgJTJ4p8AKMsUpXDsRm3vzF5nWUUVcuJE6KV5nS28Gqr4ctMjv0vG3vOAvS05I2Re5l&#10;0WaKqaOS57DFi5fiFgvRo0FfTqLAjlXP01VPfcxMUXDxMF8+EKqi1GLZPjZVb/HnccSUP2vwrFx6&#10;7mwodGUnD19SpoZU+rukhANsrHN1ZS6UQAJnhxKrDu53zw7ZQdKuF8v7u0+VAmHclJF3fqrr57i0&#10;KTTPxMptB8Op8hXFI+HrIJdPUjZ769P99iuvfwEAAP//AwBQSwMEFAAGAAgAAAAhAP/S2UzeAAAA&#10;CQEAAA8AAABkcnMvZG93bnJldi54bWxMj0FOwzAQRfdI3MEaJHbUIUqakMapWqpKSHRD4QBuPI0j&#10;4nFku024PWZFl6P/9P+bej2bgV3R+d6SgOdFAgyptaqnTsDX5/6pBOaDJCUHSyjgBz2sm/u7WlbK&#10;TvSB12PoWCwhX0kBOoSx4ty3Go30CzsixexsnZEhnq7jyskplpuBp0my5Eb2FBe0HPFVY/t9vBgB&#10;W9pu9ju1kzrF6e09ObiZHwohHh/mzQpYwDn8w/CnH9WhiU4neyHl2SAgT/OXiMYgK4BFIC+zDNhJ&#10;wLIsgDc1v/2g+QUAAP//AwBQSwECLQAUAAYACAAAACEAtoM4kv4AAADhAQAAEwAAAAAAAAAAAAAA&#10;AAAAAAAAW0NvbnRlbnRfVHlwZXNdLnhtbFBLAQItABQABgAIAAAAIQA4/SH/1gAAAJQBAAALAAAA&#10;AAAAAAAAAAAAAC8BAABfcmVscy8ucmVsc1BLAQItABQABgAIAAAAIQAl9XAnkgEAABIDAAAOAAAA&#10;AAAAAAAAAAAAAC4CAABkcnMvZTJvRG9jLnhtbFBLAQItABQABgAIAAAAIQD/0tlM3gAAAAkBAAAP&#10;AAAAAAAAAAAAAAAAAOwDAABkcnMvZG93bnJldi54bWxQSwUGAAAAAAQABADzAAAA9wQAAAAA&#10;" strokecolor="#3465a4"/>
            </w:pict>
          </mc:Fallback>
        </mc:AlternateContent>
      </w:r>
      <w:r w:rsidRPr="00A07BE9">
        <w:rPr>
          <w:rFonts w:ascii="Open Sans" w:eastAsia="NSimSun" w:hAnsi="Open Sans" w:cs="Arial"/>
          <w:noProof/>
          <w:kern w:val="2"/>
          <w:sz w:val="24"/>
          <w:szCs w:val="24"/>
          <w:lang w:eastAsia="es-ES"/>
        </w:rPr>
        <mc:AlternateContent>
          <mc:Choice Requires="wps">
            <w:drawing>
              <wp:anchor distT="0" distB="0" distL="0" distR="0" simplePos="0" relativeHeight="251854848" behindDoc="0" locked="0" layoutInCell="1" allowOverlap="1" wp14:anchorId="7FCEA3A8" wp14:editId="3569600A">
                <wp:simplePos x="0" y="0"/>
                <wp:positionH relativeFrom="column">
                  <wp:posOffset>1609090</wp:posOffset>
                </wp:positionH>
                <wp:positionV relativeFrom="paragraph">
                  <wp:posOffset>125730</wp:posOffset>
                </wp:positionV>
                <wp:extent cx="393700" cy="283845"/>
                <wp:effectExtent l="0" t="0" r="25400" b="20955"/>
                <wp:wrapNone/>
                <wp:docPr id="226" name="Forma2"/>
                <wp:cNvGraphicFramePr/>
                <a:graphic xmlns:a="http://schemas.openxmlformats.org/drawingml/2006/main">
                  <a:graphicData uri="http://schemas.microsoft.com/office/word/2010/wordprocessingShape">
                    <wps:wsp>
                      <wps:cNvCnPr/>
                      <wps:spPr>
                        <a:xfrm flipH="1">
                          <a:off x="0" y="0"/>
                          <a:ext cx="393700" cy="283845"/>
                        </a:xfrm>
                        <a:prstGeom prst="line">
                          <a:avLst/>
                        </a:prstGeom>
                        <a:noFill/>
                        <a:ln>
                          <a:solidFill>
                            <a:srgbClr val="3465A4"/>
                          </a:solidFill>
                        </a:ln>
                        <a:effectLst/>
                      </wps:spPr>
                      <wps:bodyPr/>
                    </wps:wsp>
                  </a:graphicData>
                </a:graphic>
              </wp:anchor>
            </w:drawing>
          </mc:Choice>
          <mc:Fallback>
            <w:pict>
              <v:line w14:anchorId="6A380A2B" id="Forma2" o:spid="_x0000_s1026" style="position:absolute;flip:x;z-index:251854848;visibility:visible;mso-wrap-style:square;mso-wrap-distance-left:0;mso-wrap-distance-top:0;mso-wrap-distance-right:0;mso-wrap-distance-bottom:0;mso-position-horizontal:absolute;mso-position-horizontal-relative:text;mso-position-vertical:absolute;mso-position-vertical-relative:text" from="126.7pt,9.9pt" to="157.7pt,3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07EmQEAABwDAAAOAAAAZHJzL2Uyb0RvYy54bWysUstu2zAQvAfoPxC811Rkx3EFy0GRwO0h&#10;SAy0/QCaIi0CfGHJWvbfZ0kphtHcgl4W++LszizXDydryFFC1N619HZWUSKd8J12h5b++b39uqIk&#10;Ju46bryTLT3LSB82X27WQ2hk7XtvOgkEQVxshtDSPqXQMBZFLy2PMx+kw6LyYHnCEA6sAz4gujWs&#10;rqolGzx0AbyQMWL2aSzSTcFXSor0qlSUiZiW4m6pWCh2ny3brHlzAB56LaY1+Ce2sFw7HHqBeuKJ&#10;k7+gP0BZLcBHr9JMeMu8UlrIwgHZ3Fb/sPnV8yALFxQnhotM8f/BipfjDojuWlrXS0oct3ikbZa7&#10;ztoMITbY8uh2MEUx7CATPSmwRBkdfuLZC3UkQ05F2fNFWXlKRGBy/m1+X6H+Akv1ar5a3GV0NsJk&#10;uAAx/ZDekuy01GiXifOGH59jGlvfW3La+a02BvO8MS7b6I3ucq4EcNg/GiBHjlefL5Z33xfTuKs2&#10;HD4+leWbTGMy4ZFi9va+OxfmLEd4grLz9F3yja9j9K8/9eYNAAD//wMAUEsDBBQABgAIAAAAIQCO&#10;9A/13gAAAAkBAAAPAAAAZHJzL2Rvd25yZXYueG1sTI/BTsMwEETvSPyDtUjcqJOmqdw0ToVaOAEH&#10;Cup5G2+TiNiOYrcNf89yguPOPM3OlJvJ9uJCY+i805DOEhDkam8612j4/Hh+UCBCRGew9440fFOA&#10;TXV7U2Jh/NW902UfG8EhLhSooY1xKKQMdUsWw8wP5Ng7+dFi5HNspBnxyuG2l/MkWUqLneMPLQ60&#10;ban+2p+thpPKXg5Bqe1u9zq8SfVkMO1XWt/fTY9rEJGm+AfDb32uDhV3OvqzM0H0GuZ5tmCUjRVP&#10;YCBLcxaOGpaLHGRVyv8Lqh8AAAD//wMAUEsBAi0AFAAGAAgAAAAhALaDOJL+AAAA4QEAABMAAAAA&#10;AAAAAAAAAAAAAAAAAFtDb250ZW50X1R5cGVzXS54bWxQSwECLQAUAAYACAAAACEAOP0h/9YAAACU&#10;AQAACwAAAAAAAAAAAAAAAAAvAQAAX3JlbHMvLnJlbHNQSwECLQAUAAYACAAAACEALF9OxJkBAAAc&#10;AwAADgAAAAAAAAAAAAAAAAAuAgAAZHJzL2Uyb0RvYy54bWxQSwECLQAUAAYACAAAACEAjvQP9d4A&#10;AAAJAQAADwAAAAAAAAAAAAAAAADzAwAAZHJzL2Rvd25yZXYueG1sUEsFBgAAAAAEAAQA8wAAAP4E&#10;AAAAAA==&#10;" strokecolor="#3465a4"/>
            </w:pict>
          </mc:Fallback>
        </mc:AlternateContent>
      </w:r>
    </w:p>
    <w:p w14:paraId="07570C1A" w14:textId="77777777" w:rsidR="0097167A" w:rsidRPr="00A07BE9" w:rsidRDefault="0097167A" w:rsidP="0097167A">
      <w:pPr>
        <w:spacing w:after="0" w:line="240" w:lineRule="auto"/>
        <w:jc w:val="center"/>
        <w:rPr>
          <w:rFonts w:ascii="Open Sans" w:eastAsia="NSimSun" w:hAnsi="Open Sans" w:cs="Arial"/>
          <w:kern w:val="2"/>
          <w:sz w:val="24"/>
          <w:szCs w:val="24"/>
          <w:lang w:eastAsia="zh-CN" w:bidi="hi-IN"/>
        </w:rPr>
      </w:pPr>
    </w:p>
    <w:p w14:paraId="31780628" w14:textId="77777777" w:rsidR="0097167A" w:rsidRPr="00A07BE9" w:rsidRDefault="0097167A" w:rsidP="0097167A">
      <w:pPr>
        <w:spacing w:after="0" w:line="240" w:lineRule="auto"/>
        <w:jc w:val="center"/>
        <w:rPr>
          <w:rFonts w:ascii="Open Sans" w:eastAsia="NSimSun" w:hAnsi="Open Sans" w:cs="Arial"/>
          <w:kern w:val="2"/>
          <w:sz w:val="24"/>
          <w:szCs w:val="24"/>
          <w:lang w:eastAsia="zh-CN" w:bidi="hi-IN"/>
        </w:rPr>
      </w:pPr>
      <w:r w:rsidRPr="00A07BE9">
        <w:rPr>
          <w:rFonts w:ascii="Open Sans" w:eastAsia="NSimSun" w:hAnsi="Open Sans" w:cs="Arial"/>
          <w:noProof/>
          <w:kern w:val="2"/>
          <w:sz w:val="24"/>
          <w:szCs w:val="24"/>
          <w:lang w:eastAsia="es-ES"/>
        </w:rPr>
        <mc:AlternateContent>
          <mc:Choice Requires="wps">
            <w:drawing>
              <wp:anchor distT="0" distB="0" distL="0" distR="0" simplePos="0" relativeHeight="251852800" behindDoc="0" locked="0" layoutInCell="1" allowOverlap="1" wp14:anchorId="26962ACA" wp14:editId="69F441F9">
                <wp:simplePos x="0" y="0"/>
                <wp:positionH relativeFrom="margin">
                  <wp:align>left</wp:align>
                </wp:positionH>
                <wp:positionV relativeFrom="paragraph">
                  <wp:posOffset>12065</wp:posOffset>
                </wp:positionV>
                <wp:extent cx="2831465" cy="453390"/>
                <wp:effectExtent l="0" t="0" r="26035" b="22860"/>
                <wp:wrapNone/>
                <wp:docPr id="228" name="Forma1"/>
                <wp:cNvGraphicFramePr/>
                <a:graphic xmlns:a="http://schemas.openxmlformats.org/drawingml/2006/main">
                  <a:graphicData uri="http://schemas.microsoft.com/office/word/2010/wordprocessingShape">
                    <wps:wsp>
                      <wps:cNvSpPr/>
                      <wps:spPr>
                        <a:xfrm>
                          <a:off x="0" y="0"/>
                          <a:ext cx="2831465" cy="453390"/>
                        </a:xfrm>
                        <a:custGeom>
                          <a:avLst/>
                          <a:gdLst/>
                          <a:ahLst/>
                          <a:cxnLst/>
                          <a:rect l="0" t="0" r="r" b="b"/>
                          <a:pathLst>
                            <a:path w="5135" h="715">
                              <a:moveTo>
                                <a:pt x="118" y="0"/>
                              </a:moveTo>
                              <a:lnTo>
                                <a:pt x="119" y="0"/>
                              </a:lnTo>
                              <a:cubicBezTo>
                                <a:pt x="98" y="0"/>
                                <a:pt x="78" y="5"/>
                                <a:pt x="60" y="16"/>
                              </a:cubicBezTo>
                              <a:cubicBezTo>
                                <a:pt x="41" y="26"/>
                                <a:pt x="26" y="41"/>
                                <a:pt x="16" y="60"/>
                              </a:cubicBezTo>
                              <a:cubicBezTo>
                                <a:pt x="5" y="78"/>
                                <a:pt x="0" y="98"/>
                                <a:pt x="0" y="119"/>
                              </a:cubicBezTo>
                              <a:lnTo>
                                <a:pt x="0" y="595"/>
                              </a:lnTo>
                              <a:lnTo>
                                <a:pt x="0" y="595"/>
                              </a:lnTo>
                              <a:cubicBezTo>
                                <a:pt x="0" y="616"/>
                                <a:pt x="5" y="636"/>
                                <a:pt x="16" y="655"/>
                              </a:cubicBezTo>
                              <a:cubicBezTo>
                                <a:pt x="26" y="673"/>
                                <a:pt x="41" y="688"/>
                                <a:pt x="60" y="698"/>
                              </a:cubicBezTo>
                              <a:cubicBezTo>
                                <a:pt x="78" y="709"/>
                                <a:pt x="98" y="714"/>
                                <a:pt x="119" y="714"/>
                              </a:cubicBezTo>
                              <a:lnTo>
                                <a:pt x="5014" y="714"/>
                              </a:lnTo>
                              <a:lnTo>
                                <a:pt x="5015" y="714"/>
                              </a:lnTo>
                              <a:cubicBezTo>
                                <a:pt x="5036" y="714"/>
                                <a:pt x="5056" y="709"/>
                                <a:pt x="5075" y="698"/>
                              </a:cubicBezTo>
                              <a:cubicBezTo>
                                <a:pt x="5093" y="688"/>
                                <a:pt x="5108" y="673"/>
                                <a:pt x="5118" y="655"/>
                              </a:cubicBezTo>
                              <a:cubicBezTo>
                                <a:pt x="5129" y="636"/>
                                <a:pt x="5134" y="616"/>
                                <a:pt x="5134" y="595"/>
                              </a:cubicBezTo>
                              <a:lnTo>
                                <a:pt x="5133" y="118"/>
                              </a:lnTo>
                              <a:lnTo>
                                <a:pt x="5134" y="119"/>
                              </a:lnTo>
                              <a:lnTo>
                                <a:pt x="5134" y="119"/>
                              </a:lnTo>
                              <a:cubicBezTo>
                                <a:pt x="5134" y="98"/>
                                <a:pt x="5129" y="78"/>
                                <a:pt x="5118" y="60"/>
                              </a:cubicBezTo>
                              <a:cubicBezTo>
                                <a:pt x="5108" y="41"/>
                                <a:pt x="5093" y="26"/>
                                <a:pt x="5075" y="16"/>
                              </a:cubicBezTo>
                              <a:cubicBezTo>
                                <a:pt x="5056" y="5"/>
                                <a:pt x="5036" y="0"/>
                                <a:pt x="5015" y="0"/>
                              </a:cubicBezTo>
                              <a:lnTo>
                                <a:pt x="118" y="0"/>
                              </a:lnTo>
                            </a:path>
                          </a:pathLst>
                        </a:custGeom>
                        <a:solidFill>
                          <a:srgbClr val="EC8F89"/>
                        </a:solidFill>
                        <a:ln>
                          <a:solidFill>
                            <a:srgbClr val="3465A4"/>
                          </a:solidFill>
                        </a:ln>
                        <a:effectLst/>
                      </wps:spPr>
                      <wps:txbx>
                        <w:txbxContent>
                          <w:p w14:paraId="0254EA5E" w14:textId="77777777" w:rsidR="000F0D13" w:rsidRPr="000A2FA4" w:rsidRDefault="000F0D13" w:rsidP="0097167A">
                            <w:pPr>
                              <w:spacing w:after="0"/>
                              <w:jc w:val="center"/>
                              <w:rPr>
                                <w:rFonts w:ascii="Open Sans" w:hAnsi="Open Sans" w:cs="Open Sans"/>
                              </w:rPr>
                            </w:pPr>
                            <w:r w:rsidRPr="000A2FA4">
                              <w:rPr>
                                <w:rFonts w:ascii="Open Sans" w:hAnsi="Open Sans" w:cs="Open Sans"/>
                                <w:b/>
                                <w:bCs/>
                                <w:color w:val="FFFFFF"/>
                                <w:sz w:val="16"/>
                                <w:szCs w:val="16"/>
                                <w:u w:val="single"/>
                              </w:rPr>
                              <w:t xml:space="preserve">Servicio de Análisis e Investigación </w:t>
                            </w:r>
                          </w:p>
                          <w:p w14:paraId="0EAFBEAA" w14:textId="7C98F0F1" w:rsidR="000F0D13" w:rsidRDefault="000F0D13" w:rsidP="0097167A">
                            <w:pPr>
                              <w:spacing w:after="0"/>
                              <w:jc w:val="center"/>
                            </w:pPr>
                            <w:r>
                              <w:rPr>
                                <w:rFonts w:ascii="Open Sans" w:hAnsi="Open Sans" w:cs="Open Sans"/>
                                <w:b/>
                                <w:bCs/>
                                <w:color w:val="FFFFFF"/>
                                <w:sz w:val="16"/>
                                <w:szCs w:val="16"/>
                              </w:rPr>
                              <w:t>j</w:t>
                            </w:r>
                            <w:r w:rsidRPr="000A2FA4">
                              <w:rPr>
                                <w:rFonts w:ascii="Open Sans" w:hAnsi="Open Sans" w:cs="Open Sans"/>
                                <w:b/>
                                <w:bCs/>
                                <w:color w:val="FFFFFF"/>
                                <w:sz w:val="16"/>
                                <w:szCs w:val="16"/>
                              </w:rPr>
                              <w:t>efe</w:t>
                            </w:r>
                            <w:r>
                              <w:rPr>
                                <w:rFonts w:ascii="Open Sans" w:hAnsi="Open Sans" w:cs="Open Sans"/>
                                <w:b/>
                                <w:bCs/>
                                <w:color w:val="FFFFFF"/>
                                <w:sz w:val="16"/>
                                <w:szCs w:val="16"/>
                              </w:rPr>
                              <w:t>/a</w:t>
                            </w:r>
                            <w:r w:rsidRPr="000A2FA4">
                              <w:rPr>
                                <w:rFonts w:ascii="Open Sans" w:hAnsi="Open Sans" w:cs="Open Sans"/>
                                <w:b/>
                                <w:bCs/>
                                <w:color w:val="FFFFFF"/>
                                <w:sz w:val="16"/>
                                <w:szCs w:val="16"/>
                              </w:rPr>
                              <w:t xml:space="preserve"> de Servicio de Análisis e Investigación</w:t>
                            </w:r>
                            <w:r>
                              <w:rPr>
                                <w:b/>
                                <w:bCs/>
                                <w:color w:val="FFFFFF"/>
                                <w:sz w:val="16"/>
                                <w:szCs w:val="16"/>
                              </w:rPr>
                              <w:t xml:space="preserve"> I</w:t>
                            </w:r>
                          </w:p>
                          <w:p w14:paraId="0732412D" w14:textId="12848DCB" w:rsidR="000F0D13" w:rsidRPr="000A2FA4" w:rsidRDefault="000F0D13" w:rsidP="0097167A">
                            <w:pPr>
                              <w:jc w:val="center"/>
                              <w:rPr>
                                <w:rFonts w:ascii="Open Sans" w:hAnsi="Open Sans" w:cs="Open Sans"/>
                              </w:rPr>
                            </w:pPr>
                            <w:r>
                              <w:rPr>
                                <w:rFonts w:ascii="Open Sans" w:hAnsi="Open Sans" w:cs="Open Sans"/>
                                <w:b/>
                                <w:bCs/>
                                <w:color w:val="FFFFFF"/>
                                <w:sz w:val="16"/>
                                <w:szCs w:val="16"/>
                              </w:rPr>
                              <w:t>j</w:t>
                            </w:r>
                            <w:r w:rsidRPr="000A2FA4">
                              <w:rPr>
                                <w:rFonts w:ascii="Open Sans" w:hAnsi="Open Sans" w:cs="Open Sans"/>
                                <w:b/>
                                <w:bCs/>
                                <w:color w:val="FFFFFF"/>
                                <w:sz w:val="16"/>
                                <w:szCs w:val="16"/>
                              </w:rPr>
                              <w:t>efe</w:t>
                            </w:r>
                            <w:r>
                              <w:rPr>
                                <w:rFonts w:ascii="Open Sans" w:hAnsi="Open Sans" w:cs="Open Sans"/>
                                <w:b/>
                                <w:bCs/>
                                <w:color w:val="FFFFFF"/>
                                <w:sz w:val="16"/>
                                <w:szCs w:val="16"/>
                              </w:rPr>
                              <w:t>/a</w:t>
                            </w:r>
                            <w:r w:rsidRPr="000A2FA4">
                              <w:rPr>
                                <w:rFonts w:ascii="Open Sans" w:hAnsi="Open Sans" w:cs="Open Sans"/>
                                <w:b/>
                                <w:bCs/>
                                <w:color w:val="FFFFFF"/>
                                <w:sz w:val="16"/>
                                <w:szCs w:val="16"/>
                              </w:rPr>
                              <w:t xml:space="preserve"> de Servicio de Análisis e Investigación II</w:t>
                            </w:r>
                          </w:p>
                        </w:txbxContent>
                      </wps:txbx>
                      <wps:bodyPr wrap="square" lIns="0" tIns="0" rIns="0" bIns="0" anchor="ctr">
                        <a:noAutofit/>
                      </wps:bodyPr>
                    </wps:wsp>
                  </a:graphicData>
                </a:graphic>
                <wp14:sizeRelH relativeFrom="margin">
                  <wp14:pctWidth>0</wp14:pctWidth>
                </wp14:sizeRelH>
              </wp:anchor>
            </w:drawing>
          </mc:Choice>
          <mc:Fallback>
            <w:pict>
              <v:shape w14:anchorId="26962ACA" id="_x0000_s1037" style="position:absolute;left:0;text-align:left;margin-left:0;margin-top:.95pt;width:222.95pt;height:35.7pt;z-index:251852800;visibility:visible;mso-wrap-style:square;mso-width-percent:0;mso-wrap-distance-left:0;mso-wrap-distance-top:0;mso-wrap-distance-right:0;mso-wrap-distance-bottom:0;mso-position-horizontal:left;mso-position-horizontal-relative:margin;mso-position-vertical:absolute;mso-position-vertical-relative:text;mso-width-percent:0;mso-width-relative:margin;v-text-anchor:middle" coordsize="5135,7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4f+VQMAAP8JAAAOAAAAZHJzL2Uyb0RvYy54bWysVm1vmzAQ/j5p/wHxfQVCIC8qqbpunSZN&#10;W6V2P8AxJkECzGznpfv1O9sc4DTbmmlfwD6fn7t77uzz9c2xrrw9E7LkTeZHV6HvsYbyvGw2mf/9&#10;6f7d3PekIk1OKt6wzH9m0r9ZvX1zfWiXbMK3vMqZ8ACkkctDm/lbpdplEEi6ZTWRV7xlDSwWXNRE&#10;wVRsglyQA6DXVTAJwzQ4cJG3glMmJUg/2EV/ZfCLglH1rSgkU16V+eCbMl9hvmv9DVbXZLkRpN2W&#10;tHOD/IMXNSkbMNpDfSCKeDtRvoCqSyq45IW6orwOeFGUlJkYIJooPInmcUtaZmIBcmTb0yT/Hyz9&#10;un9sHwTQcGjlUsJQR3EsRK3/4J93NGQ992Sxo/IoCCfzOJqmie9RWJsmcbwwbAbDbrqT6hPjBons&#10;v0hlyc5xRLY4oscGhwJSdpos4XuQrLVNVkuU3qfd00PvkPlJFIMf28yfRYnJQs337IkbFaUDiCIo&#10;QwwBPBzWq8bVWzh6uEp365K+Zz/HuosRJLhi7MysLOk8NbIUyg5MR6kWgm0Xy51ZlGlkdkzMDoSG&#10;mYaBNcOi1QRQLQQTr8UGnmAD+DlCsQ5CPC9kUbQ4i4y8WC/s/mRhwoYIcRX/f9Y6x4BFTC1nyIB1&#10;PY0dWpCBBI27cO7MOtIxmc7iccAd6encoaFLXmrJeVX2uhqYhYY6dL6rllk0HRvV/Jp8WPELfJfB&#10;JAQ1Vx0V8G8jBMUuzz0uKpwjJAmB0xEu+pyESSd3Y0nCWZeLC2hJwkVsjJwwnEShPTQn+UjwzKYX&#10;pDaJJpbQkyqBC8Iyd1pSKB+K1yUIaet4jWIbg/bNnjhUwH+vaO0NBwgV8P9XRdeRE3X3sPZhu+d6&#10;oPCC+wHT4V40ffbcS6mvhAtut76qnFuyr8GuJXfxYiGfD8DlEgsGde0qnCndJszV27cOc9CG5iR5&#10;Veb3ZVXpjiHFZn1XCW9P4Mnw8W5+P8c70FGrGqP8250x9MZbc9jB2GgnzOxWZl4ntu0FQ/PVI3Vc&#10;H70y131Ll5kWrXn+/CC8A7xUMl/+2BHBfK/63MBTAC5LhQOBgzUOSEO3HB48VAnTGht+u1O8KHUz&#10;NmYtcjeBV4ZhqnsR6WfMeG60hnfb6hcAAAD//wMAUEsDBBQABgAIAAAAIQCBQJHx3AAAAAUBAAAP&#10;AAAAZHJzL2Rvd25yZXYueG1sTI/NTsNADITvSLzDykjc6KakLRCyqVAlEIf0QAFxdbPOj8h6o+y2&#10;Td8ec4Kbx2PNfM7Xk+vVkcbQeTYwnyWgiCtvO24MfLw/39yDChHZYu+ZDJwpwLq4vMgxs/7Eb3Tc&#10;xUZJCIcMDbQxDpnWoWrJYZj5gVi82o8Oo8ix0XbEk4S7Xt8myUo77FgaWhxo01L1vTs4A1huX2nV&#10;h6+XNPBnvZyfy7LeGHN9NT09goo0xb9j+MUXdCiEae8PbIPqDcgjUbYPoMRcLJYy7A3cpSnoItf/&#10;6YsfAAAA//8DAFBLAQItABQABgAIAAAAIQC2gziS/gAAAOEBAAATAAAAAAAAAAAAAAAAAAAAAABb&#10;Q29udGVudF9UeXBlc10ueG1sUEsBAi0AFAAGAAgAAAAhADj9If/WAAAAlAEAAAsAAAAAAAAAAAAA&#10;AAAALwEAAF9yZWxzLy5yZWxzUEsBAi0AFAAGAAgAAAAhAGEfh/5VAwAA/wkAAA4AAAAAAAAAAAAA&#10;AAAALgIAAGRycy9lMm9Eb2MueG1sUEsBAi0AFAAGAAgAAAAhAIFAkfHcAAAABQEAAA8AAAAAAAAA&#10;AAAAAAAArwUAAGRycy9kb3ducmV2LnhtbFBLBQYAAAAABAAEAPMAAAC4BgAAAAA=&#10;" adj="-11796480,,5400" path="m118,r1,c98,,78,5,60,16,41,26,26,41,16,60,5,78,,98,,119l,595r,c,616,5,636,16,655v10,18,25,33,44,43c78,709,98,714,119,714r4895,l5015,714v21,,41,-5,60,-16c5093,688,5108,673,5118,655v11,-19,16,-39,16,-60l5133,118r1,1l5134,119v,-21,-5,-41,-16,-59c5108,41,5093,26,5075,16,5056,5,5036,,5015,l118,e" fillcolor="#ec8f89" strokecolor="#3465a4">
                <v:stroke joinstyle="miter"/>
                <v:formulas/>
                <v:path arrowok="t" o:connecttype="custom" textboxrect="0,0,5135,715"/>
                <v:textbox inset="0,0,0,0">
                  <w:txbxContent>
                    <w:p w14:paraId="0254EA5E" w14:textId="77777777" w:rsidR="000F0D13" w:rsidRPr="000A2FA4" w:rsidRDefault="000F0D13" w:rsidP="0097167A">
                      <w:pPr>
                        <w:spacing w:after="0"/>
                        <w:jc w:val="center"/>
                        <w:rPr>
                          <w:rFonts w:ascii="Open Sans" w:hAnsi="Open Sans" w:cs="Open Sans"/>
                        </w:rPr>
                      </w:pPr>
                      <w:r w:rsidRPr="000A2FA4">
                        <w:rPr>
                          <w:rFonts w:ascii="Open Sans" w:hAnsi="Open Sans" w:cs="Open Sans"/>
                          <w:b/>
                          <w:bCs/>
                          <w:color w:val="FFFFFF"/>
                          <w:sz w:val="16"/>
                          <w:szCs w:val="16"/>
                          <w:u w:val="single"/>
                        </w:rPr>
                        <w:t xml:space="preserve">Servicio de Análisis e Investigación </w:t>
                      </w:r>
                    </w:p>
                    <w:p w14:paraId="0EAFBEAA" w14:textId="7C98F0F1" w:rsidR="000F0D13" w:rsidRDefault="000F0D13" w:rsidP="0097167A">
                      <w:pPr>
                        <w:spacing w:after="0"/>
                        <w:jc w:val="center"/>
                      </w:pPr>
                      <w:r>
                        <w:rPr>
                          <w:rFonts w:ascii="Open Sans" w:hAnsi="Open Sans" w:cs="Open Sans"/>
                          <w:b/>
                          <w:bCs/>
                          <w:color w:val="FFFFFF"/>
                          <w:sz w:val="16"/>
                          <w:szCs w:val="16"/>
                        </w:rPr>
                        <w:t>j</w:t>
                      </w:r>
                      <w:r w:rsidRPr="000A2FA4">
                        <w:rPr>
                          <w:rFonts w:ascii="Open Sans" w:hAnsi="Open Sans" w:cs="Open Sans"/>
                          <w:b/>
                          <w:bCs/>
                          <w:color w:val="FFFFFF"/>
                          <w:sz w:val="16"/>
                          <w:szCs w:val="16"/>
                        </w:rPr>
                        <w:t>efe</w:t>
                      </w:r>
                      <w:r>
                        <w:rPr>
                          <w:rFonts w:ascii="Open Sans" w:hAnsi="Open Sans" w:cs="Open Sans"/>
                          <w:b/>
                          <w:bCs/>
                          <w:color w:val="FFFFFF"/>
                          <w:sz w:val="16"/>
                          <w:szCs w:val="16"/>
                        </w:rPr>
                        <w:t>/a</w:t>
                      </w:r>
                      <w:r w:rsidRPr="000A2FA4">
                        <w:rPr>
                          <w:rFonts w:ascii="Open Sans" w:hAnsi="Open Sans" w:cs="Open Sans"/>
                          <w:b/>
                          <w:bCs/>
                          <w:color w:val="FFFFFF"/>
                          <w:sz w:val="16"/>
                          <w:szCs w:val="16"/>
                        </w:rPr>
                        <w:t xml:space="preserve"> de Servicio de Análisis e Investigación</w:t>
                      </w:r>
                      <w:r>
                        <w:rPr>
                          <w:b/>
                          <w:bCs/>
                          <w:color w:val="FFFFFF"/>
                          <w:sz w:val="16"/>
                          <w:szCs w:val="16"/>
                        </w:rPr>
                        <w:t xml:space="preserve"> I</w:t>
                      </w:r>
                    </w:p>
                    <w:p w14:paraId="0732412D" w14:textId="12848DCB" w:rsidR="000F0D13" w:rsidRPr="000A2FA4" w:rsidRDefault="000F0D13" w:rsidP="0097167A">
                      <w:pPr>
                        <w:jc w:val="center"/>
                        <w:rPr>
                          <w:rFonts w:ascii="Open Sans" w:hAnsi="Open Sans" w:cs="Open Sans"/>
                        </w:rPr>
                      </w:pPr>
                      <w:r>
                        <w:rPr>
                          <w:rFonts w:ascii="Open Sans" w:hAnsi="Open Sans" w:cs="Open Sans"/>
                          <w:b/>
                          <w:bCs/>
                          <w:color w:val="FFFFFF"/>
                          <w:sz w:val="16"/>
                          <w:szCs w:val="16"/>
                        </w:rPr>
                        <w:t>j</w:t>
                      </w:r>
                      <w:r w:rsidRPr="000A2FA4">
                        <w:rPr>
                          <w:rFonts w:ascii="Open Sans" w:hAnsi="Open Sans" w:cs="Open Sans"/>
                          <w:b/>
                          <w:bCs/>
                          <w:color w:val="FFFFFF"/>
                          <w:sz w:val="16"/>
                          <w:szCs w:val="16"/>
                        </w:rPr>
                        <w:t>efe</w:t>
                      </w:r>
                      <w:r>
                        <w:rPr>
                          <w:rFonts w:ascii="Open Sans" w:hAnsi="Open Sans" w:cs="Open Sans"/>
                          <w:b/>
                          <w:bCs/>
                          <w:color w:val="FFFFFF"/>
                          <w:sz w:val="16"/>
                          <w:szCs w:val="16"/>
                        </w:rPr>
                        <w:t>/a</w:t>
                      </w:r>
                      <w:r w:rsidRPr="000A2FA4">
                        <w:rPr>
                          <w:rFonts w:ascii="Open Sans" w:hAnsi="Open Sans" w:cs="Open Sans"/>
                          <w:b/>
                          <w:bCs/>
                          <w:color w:val="FFFFFF"/>
                          <w:sz w:val="16"/>
                          <w:szCs w:val="16"/>
                        </w:rPr>
                        <w:t xml:space="preserve"> de Servicio de Análisis e Investigación II</w:t>
                      </w:r>
                    </w:p>
                  </w:txbxContent>
                </v:textbox>
                <w10:wrap anchorx="margin"/>
              </v:shape>
            </w:pict>
          </mc:Fallback>
        </mc:AlternateContent>
      </w:r>
      <w:r w:rsidRPr="00A07BE9">
        <w:rPr>
          <w:rFonts w:ascii="Open Sans" w:eastAsia="NSimSun" w:hAnsi="Open Sans" w:cs="Arial"/>
          <w:noProof/>
          <w:kern w:val="2"/>
          <w:sz w:val="24"/>
          <w:szCs w:val="24"/>
          <w:lang w:eastAsia="es-ES"/>
        </w:rPr>
        <mc:AlternateContent>
          <mc:Choice Requires="wps">
            <w:drawing>
              <wp:anchor distT="0" distB="0" distL="0" distR="0" simplePos="0" relativeHeight="251853824" behindDoc="0" locked="0" layoutInCell="1" allowOverlap="1" wp14:anchorId="5A93EF4E" wp14:editId="78507B38">
                <wp:simplePos x="0" y="0"/>
                <wp:positionH relativeFrom="column">
                  <wp:posOffset>3158490</wp:posOffset>
                </wp:positionH>
                <wp:positionV relativeFrom="paragraph">
                  <wp:posOffset>12065</wp:posOffset>
                </wp:positionV>
                <wp:extent cx="2333625" cy="453390"/>
                <wp:effectExtent l="0" t="0" r="28575" b="22860"/>
                <wp:wrapNone/>
                <wp:docPr id="227" name="Forma1"/>
                <wp:cNvGraphicFramePr/>
                <a:graphic xmlns:a="http://schemas.openxmlformats.org/drawingml/2006/main">
                  <a:graphicData uri="http://schemas.microsoft.com/office/word/2010/wordprocessingShape">
                    <wps:wsp>
                      <wps:cNvSpPr/>
                      <wps:spPr>
                        <a:xfrm>
                          <a:off x="0" y="0"/>
                          <a:ext cx="2333625" cy="453390"/>
                        </a:xfrm>
                        <a:custGeom>
                          <a:avLst/>
                          <a:gdLst/>
                          <a:ahLst/>
                          <a:cxnLst/>
                          <a:rect l="0" t="0" r="r" b="b"/>
                          <a:pathLst>
                            <a:path w="4244" h="715">
                              <a:moveTo>
                                <a:pt x="118" y="0"/>
                              </a:moveTo>
                              <a:lnTo>
                                <a:pt x="119" y="0"/>
                              </a:lnTo>
                              <a:cubicBezTo>
                                <a:pt x="98" y="0"/>
                                <a:pt x="78" y="5"/>
                                <a:pt x="60" y="16"/>
                              </a:cubicBezTo>
                              <a:cubicBezTo>
                                <a:pt x="41" y="26"/>
                                <a:pt x="26" y="41"/>
                                <a:pt x="16" y="60"/>
                              </a:cubicBezTo>
                              <a:cubicBezTo>
                                <a:pt x="5" y="78"/>
                                <a:pt x="0" y="98"/>
                                <a:pt x="0" y="119"/>
                              </a:cubicBezTo>
                              <a:lnTo>
                                <a:pt x="0" y="595"/>
                              </a:lnTo>
                              <a:lnTo>
                                <a:pt x="0" y="595"/>
                              </a:lnTo>
                              <a:cubicBezTo>
                                <a:pt x="0" y="616"/>
                                <a:pt x="5" y="636"/>
                                <a:pt x="16" y="655"/>
                              </a:cubicBezTo>
                              <a:cubicBezTo>
                                <a:pt x="26" y="673"/>
                                <a:pt x="41" y="688"/>
                                <a:pt x="60" y="698"/>
                              </a:cubicBezTo>
                              <a:cubicBezTo>
                                <a:pt x="78" y="709"/>
                                <a:pt x="98" y="714"/>
                                <a:pt x="119" y="714"/>
                              </a:cubicBezTo>
                              <a:lnTo>
                                <a:pt x="4124" y="714"/>
                              </a:lnTo>
                              <a:lnTo>
                                <a:pt x="4124" y="714"/>
                              </a:lnTo>
                              <a:cubicBezTo>
                                <a:pt x="4145" y="714"/>
                                <a:pt x="4165" y="709"/>
                                <a:pt x="4184" y="698"/>
                              </a:cubicBezTo>
                              <a:cubicBezTo>
                                <a:pt x="4202" y="688"/>
                                <a:pt x="4217" y="673"/>
                                <a:pt x="4227" y="655"/>
                              </a:cubicBezTo>
                              <a:cubicBezTo>
                                <a:pt x="4238" y="636"/>
                                <a:pt x="4243" y="616"/>
                                <a:pt x="4243" y="595"/>
                              </a:cubicBezTo>
                              <a:lnTo>
                                <a:pt x="4243" y="118"/>
                              </a:lnTo>
                              <a:lnTo>
                                <a:pt x="4243" y="119"/>
                              </a:lnTo>
                              <a:lnTo>
                                <a:pt x="4243" y="119"/>
                              </a:lnTo>
                              <a:cubicBezTo>
                                <a:pt x="4243" y="98"/>
                                <a:pt x="4238" y="78"/>
                                <a:pt x="4227" y="60"/>
                              </a:cubicBezTo>
                              <a:cubicBezTo>
                                <a:pt x="4217" y="41"/>
                                <a:pt x="4202" y="26"/>
                                <a:pt x="4184" y="16"/>
                              </a:cubicBezTo>
                              <a:cubicBezTo>
                                <a:pt x="4165" y="5"/>
                                <a:pt x="4145" y="0"/>
                                <a:pt x="4124" y="0"/>
                              </a:cubicBezTo>
                              <a:lnTo>
                                <a:pt x="118" y="0"/>
                              </a:lnTo>
                            </a:path>
                          </a:pathLst>
                        </a:custGeom>
                        <a:solidFill>
                          <a:srgbClr val="EC8F89"/>
                        </a:solidFill>
                        <a:ln>
                          <a:solidFill>
                            <a:srgbClr val="3465A4"/>
                          </a:solidFill>
                        </a:ln>
                        <a:effectLst/>
                      </wps:spPr>
                      <wps:txbx>
                        <w:txbxContent>
                          <w:p w14:paraId="2DFB156B" w14:textId="77777777" w:rsidR="000F0D13" w:rsidRPr="000A2FA4" w:rsidRDefault="000F0D13" w:rsidP="0097167A">
                            <w:pPr>
                              <w:spacing w:after="0"/>
                              <w:jc w:val="center"/>
                              <w:rPr>
                                <w:rFonts w:ascii="Open Sans" w:hAnsi="Open Sans" w:cs="Open Sans"/>
                              </w:rPr>
                            </w:pPr>
                            <w:r w:rsidRPr="000A2FA4">
                              <w:rPr>
                                <w:rFonts w:ascii="Open Sans" w:hAnsi="Open Sans" w:cs="Open Sans"/>
                                <w:b/>
                                <w:bCs/>
                                <w:color w:val="FFFFFF"/>
                                <w:sz w:val="16"/>
                                <w:szCs w:val="16"/>
                                <w:u w:val="single"/>
                              </w:rPr>
                              <w:t>Servicio de Apoyo y Pericia</w:t>
                            </w:r>
                          </w:p>
                          <w:p w14:paraId="14717AF2" w14:textId="206C2AF6" w:rsidR="000F0D13" w:rsidRPr="000A2FA4" w:rsidRDefault="000F0D13" w:rsidP="0097167A">
                            <w:pPr>
                              <w:spacing w:after="0"/>
                              <w:jc w:val="center"/>
                              <w:rPr>
                                <w:rFonts w:ascii="Open Sans" w:hAnsi="Open Sans" w:cs="Open Sans"/>
                              </w:rPr>
                            </w:pPr>
                            <w:r>
                              <w:rPr>
                                <w:rFonts w:ascii="Open Sans" w:hAnsi="Open Sans" w:cs="Open Sans"/>
                                <w:b/>
                                <w:bCs/>
                                <w:color w:val="FFFFFF"/>
                                <w:sz w:val="16"/>
                                <w:szCs w:val="16"/>
                              </w:rPr>
                              <w:t>j</w:t>
                            </w:r>
                            <w:r w:rsidRPr="000A2FA4">
                              <w:rPr>
                                <w:rFonts w:ascii="Open Sans" w:hAnsi="Open Sans" w:cs="Open Sans"/>
                                <w:b/>
                                <w:bCs/>
                                <w:color w:val="FFFFFF"/>
                                <w:sz w:val="16"/>
                                <w:szCs w:val="16"/>
                              </w:rPr>
                              <w:t>efe</w:t>
                            </w:r>
                            <w:r>
                              <w:rPr>
                                <w:rFonts w:ascii="Open Sans" w:hAnsi="Open Sans" w:cs="Open Sans"/>
                                <w:b/>
                                <w:bCs/>
                                <w:color w:val="FFFFFF"/>
                                <w:sz w:val="16"/>
                                <w:szCs w:val="16"/>
                              </w:rPr>
                              <w:t>/a</w:t>
                            </w:r>
                            <w:r w:rsidRPr="000A2FA4">
                              <w:rPr>
                                <w:rFonts w:ascii="Open Sans" w:hAnsi="Open Sans" w:cs="Open Sans"/>
                                <w:b/>
                                <w:bCs/>
                                <w:color w:val="FFFFFF"/>
                                <w:sz w:val="16"/>
                                <w:szCs w:val="16"/>
                              </w:rPr>
                              <w:t xml:space="preserve"> de Servicio de Apoyo y Pericia</w:t>
                            </w:r>
                          </w:p>
                        </w:txbxContent>
                      </wps:txbx>
                      <wps:bodyPr wrap="square" lIns="0" tIns="0" rIns="0" bIns="0" anchor="ctr">
                        <a:noAutofit/>
                      </wps:bodyPr>
                    </wps:wsp>
                  </a:graphicData>
                </a:graphic>
                <wp14:sizeRelH relativeFrom="margin">
                  <wp14:pctWidth>0</wp14:pctWidth>
                </wp14:sizeRelH>
              </wp:anchor>
            </w:drawing>
          </mc:Choice>
          <mc:Fallback>
            <w:pict>
              <v:shape w14:anchorId="5A93EF4E" id="_x0000_s1038" style="position:absolute;left:0;text-align:left;margin-left:248.7pt;margin-top:.95pt;width:183.75pt;height:35.7pt;z-index:251853824;visibility:visible;mso-wrap-style:square;mso-width-percent:0;mso-wrap-distance-left:0;mso-wrap-distance-top:0;mso-wrap-distance-right:0;mso-wrap-distance-bottom:0;mso-position-horizontal:absolute;mso-position-horizontal-relative:text;mso-position-vertical:absolute;mso-position-vertical-relative:text;mso-width-percent:0;mso-width-relative:margin;v-text-anchor:middle" coordsize="4244,7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1VJUgMAAP8JAAAOAAAAZHJzL2Uyb0RvYy54bWysVm1v2yAQ/j5p/wH5++pgO86LklRdu06T&#10;pq1Sux9AMI4t2cYD8tL9+h1gnOBkXTvtiw3H8dzdcwfH4vpQV2jHhCx5swzw1ShArKE8K5vNMvjx&#10;dP9hGiCpSJORijdsGTwzGVyv3r9b7Ns5i3jBq4wJBCCNnO/bZVAo1c7DUNKC1URe8ZY1sJhzURMF&#10;U7EJM0H2gF5XYTQapeGei6wVnDIpQXpnF4OVwc9zRtX3PJdMoWoZgG/KfIX5rvU3XC3IfCNIW5S0&#10;c4P8gxc1KRsw2kPdEUXQVpRnUHVJBZc8V1eU1yHP85IyEwNEg0eDaB4L0jITC5Aj254m+f9g6bfd&#10;Y/sggIZ9K+cShjqKQy5q/Qf/0MGQ9dyTxQ4KURBGcRyn0ThAFNaScRzPDJvhcTfdSvWZcYNEdl+l&#10;smRnbkQKN6KHxg0FpGyYLBEgSNbaJqslSu/T7ukh2oP1KEkCVCyDCR6bLNR8x564UVE6AIyhDF0I&#10;4OFxvWp8vZmn51bpdl3Sj+zXqe7sBBJcMXYmVjbuPDWyFMoOTONUC8G2j+XPLEqCzY7I7HDQMNMw&#10;sGZYtJoAqoVg4rXYkC/YAH6eoFgHIZ4zGcazi8iOF+uF3T+embAhQrfq/i9rXWLAIqaWM8eAdT2N&#10;PVocA2Nn3IfzZ9aRjsl0Ep8G3JGeTj0auuSllpxXZa+rgcnIUOec76plgpNTo5pfkw8rPsP3GUxw&#10;BGWu09erOwX3txG+oHiJkAQnXVn43iU47eR+LAmeWj/eQksSjSJbrD7DSYQnVj7IRxR18jekNoli&#10;ewIHVQIXRGyN+CXVy4/F6xM04NXB6PvEnjin4P5dAo6K7gA5Bff/q6LvyEDdP6x92P65TnoKX38/&#10;9OnwL5o+e/6l1FeCpfWsfi/G4KrKuyX7Guxa8qCQLwfgczm85O0q+KTbhLl6+9ZhHD02J8mrMrsv&#10;q0p3DCk269tKoB2BJ8On2+n91KXQU6sao/zHnXGSjm/MYQdjJzthZrcy8zqxbS88Nl89Uof1AZUZ&#10;NI1Il5kWrXn2/CDQHl4qy0D+3BLBAlR9aeApAJelcgPhBms3IA0tODx4qBKmNTb8Zqt4XupmbMxa&#10;5G4CrwzDVPci0s+Y07nROr7bVr8BAAD//wMAUEsDBBQABgAIAAAAIQDbkk833QAAAAgBAAAPAAAA&#10;ZHJzL2Rvd25yZXYueG1sTI9NT8MwDIbvSPyHyEjcWAqt9lGaTmjSEJwYgwPHtPXaiMQpTdaWf485&#10;wc3W8+r142I7OytGHILxpOB2kYBAqn1jqFXw/ra/WYMIUVOjrSdU8I0BtuXlRaHzxk/0iuMxtoJL&#10;KORaQRdjn0sZ6g6dDgvfIzE7+cHpyOvQymbQE5c7K++SZCmdNsQXOt3jrsP683h2Cujrydhq2psP&#10;mz4eqvEZX3YnVOr6an64BxFxjn9h+NVndSjZqfJnaoKwCrLNKuMogw0I5utlxkOlYJWmIMtC/n+g&#10;/AEAAP//AwBQSwECLQAUAAYACAAAACEAtoM4kv4AAADhAQAAEwAAAAAAAAAAAAAAAAAAAAAAW0Nv&#10;bnRlbnRfVHlwZXNdLnhtbFBLAQItABQABgAIAAAAIQA4/SH/1gAAAJQBAAALAAAAAAAAAAAAAAAA&#10;AC8BAABfcmVscy8ucmVsc1BLAQItABQABgAIAAAAIQBzy1VJUgMAAP8JAAAOAAAAAAAAAAAAAAAA&#10;AC4CAABkcnMvZTJvRG9jLnhtbFBLAQItABQABgAIAAAAIQDbkk833QAAAAgBAAAPAAAAAAAAAAAA&#10;AAAAAKwFAABkcnMvZG93bnJldi54bWxQSwUGAAAAAAQABADzAAAAtgYAAAAA&#10;" adj="-11796480,,5400" path="m118,r1,c98,,78,5,60,16,41,26,26,41,16,60,5,78,,98,,119l,595r,c,616,5,636,16,655v10,18,25,33,44,43c78,709,98,714,119,714r4005,l4124,714v21,,41,-5,60,-16c4202,688,4217,673,4227,655v11,-19,16,-39,16,-60l4243,118r,1l4243,119v,-21,-5,-41,-16,-59c4217,41,4202,26,4184,16,4165,5,4145,,4124,l118,e" fillcolor="#ec8f89" strokecolor="#3465a4">
                <v:stroke joinstyle="miter"/>
                <v:formulas/>
                <v:path arrowok="t" o:connecttype="custom" textboxrect="0,0,4244,715"/>
                <v:textbox inset="0,0,0,0">
                  <w:txbxContent>
                    <w:p w14:paraId="2DFB156B" w14:textId="77777777" w:rsidR="000F0D13" w:rsidRPr="000A2FA4" w:rsidRDefault="000F0D13" w:rsidP="0097167A">
                      <w:pPr>
                        <w:spacing w:after="0"/>
                        <w:jc w:val="center"/>
                        <w:rPr>
                          <w:rFonts w:ascii="Open Sans" w:hAnsi="Open Sans" w:cs="Open Sans"/>
                        </w:rPr>
                      </w:pPr>
                      <w:r w:rsidRPr="000A2FA4">
                        <w:rPr>
                          <w:rFonts w:ascii="Open Sans" w:hAnsi="Open Sans" w:cs="Open Sans"/>
                          <w:b/>
                          <w:bCs/>
                          <w:color w:val="FFFFFF"/>
                          <w:sz w:val="16"/>
                          <w:szCs w:val="16"/>
                          <w:u w:val="single"/>
                        </w:rPr>
                        <w:t>Servicio de Apoyo y Pericia</w:t>
                      </w:r>
                    </w:p>
                    <w:p w14:paraId="14717AF2" w14:textId="206C2AF6" w:rsidR="000F0D13" w:rsidRPr="000A2FA4" w:rsidRDefault="000F0D13" w:rsidP="0097167A">
                      <w:pPr>
                        <w:spacing w:after="0"/>
                        <w:jc w:val="center"/>
                        <w:rPr>
                          <w:rFonts w:ascii="Open Sans" w:hAnsi="Open Sans" w:cs="Open Sans"/>
                        </w:rPr>
                      </w:pPr>
                      <w:r>
                        <w:rPr>
                          <w:rFonts w:ascii="Open Sans" w:hAnsi="Open Sans" w:cs="Open Sans"/>
                          <w:b/>
                          <w:bCs/>
                          <w:color w:val="FFFFFF"/>
                          <w:sz w:val="16"/>
                          <w:szCs w:val="16"/>
                        </w:rPr>
                        <w:t>j</w:t>
                      </w:r>
                      <w:r w:rsidRPr="000A2FA4">
                        <w:rPr>
                          <w:rFonts w:ascii="Open Sans" w:hAnsi="Open Sans" w:cs="Open Sans"/>
                          <w:b/>
                          <w:bCs/>
                          <w:color w:val="FFFFFF"/>
                          <w:sz w:val="16"/>
                          <w:szCs w:val="16"/>
                        </w:rPr>
                        <w:t>efe</w:t>
                      </w:r>
                      <w:r>
                        <w:rPr>
                          <w:rFonts w:ascii="Open Sans" w:hAnsi="Open Sans" w:cs="Open Sans"/>
                          <w:b/>
                          <w:bCs/>
                          <w:color w:val="FFFFFF"/>
                          <w:sz w:val="16"/>
                          <w:szCs w:val="16"/>
                        </w:rPr>
                        <w:t>/a</w:t>
                      </w:r>
                      <w:r w:rsidRPr="000A2FA4">
                        <w:rPr>
                          <w:rFonts w:ascii="Open Sans" w:hAnsi="Open Sans" w:cs="Open Sans"/>
                          <w:b/>
                          <w:bCs/>
                          <w:color w:val="FFFFFF"/>
                          <w:sz w:val="16"/>
                          <w:szCs w:val="16"/>
                        </w:rPr>
                        <w:t xml:space="preserve"> de Servicio de Apoyo y Pericia</w:t>
                      </w:r>
                    </w:p>
                  </w:txbxContent>
                </v:textbox>
              </v:shape>
            </w:pict>
          </mc:Fallback>
        </mc:AlternateContent>
      </w:r>
    </w:p>
    <w:p w14:paraId="6490F5A9" w14:textId="77777777" w:rsidR="0097167A" w:rsidRPr="00A07BE9" w:rsidRDefault="0097167A" w:rsidP="0097167A">
      <w:pPr>
        <w:spacing w:after="0" w:line="240" w:lineRule="auto"/>
        <w:jc w:val="center"/>
        <w:rPr>
          <w:rFonts w:ascii="Open Sans" w:eastAsia="NSimSun" w:hAnsi="Open Sans" w:cs="Arial"/>
          <w:kern w:val="2"/>
          <w:sz w:val="24"/>
          <w:szCs w:val="24"/>
          <w:lang w:eastAsia="zh-CN" w:bidi="hi-IN"/>
        </w:rPr>
      </w:pPr>
    </w:p>
    <w:p w14:paraId="282D3906" w14:textId="77777777" w:rsidR="0097167A" w:rsidRPr="00A07BE9" w:rsidRDefault="0097167A" w:rsidP="0097167A">
      <w:pPr>
        <w:spacing w:after="0" w:line="240" w:lineRule="auto"/>
        <w:rPr>
          <w:rFonts w:ascii="Open Sans" w:eastAsia="NSimSun" w:hAnsi="Open Sans" w:cs="Arial"/>
          <w:kern w:val="2"/>
          <w:sz w:val="24"/>
          <w:szCs w:val="24"/>
          <w:lang w:eastAsia="zh-CN" w:bidi="hi-IN"/>
        </w:rPr>
      </w:pPr>
      <w:r w:rsidRPr="00A07BE9">
        <w:rPr>
          <w:rFonts w:ascii="Open Sans" w:eastAsia="NSimSun" w:hAnsi="Open Sans" w:cs="Arial"/>
          <w:noProof/>
          <w:kern w:val="2"/>
          <w:sz w:val="24"/>
          <w:szCs w:val="24"/>
          <w:lang w:eastAsia="es-ES"/>
        </w:rPr>
        <mc:AlternateContent>
          <mc:Choice Requires="wps">
            <w:drawing>
              <wp:anchor distT="0" distB="0" distL="0" distR="0" simplePos="0" relativeHeight="251857920" behindDoc="0" locked="0" layoutInCell="1" allowOverlap="1" wp14:anchorId="42940529" wp14:editId="4396CC70">
                <wp:simplePos x="0" y="0"/>
                <wp:positionH relativeFrom="column">
                  <wp:posOffset>1205865</wp:posOffset>
                </wp:positionH>
                <wp:positionV relativeFrom="paragraph">
                  <wp:posOffset>63500</wp:posOffset>
                </wp:positionV>
                <wp:extent cx="9525" cy="228600"/>
                <wp:effectExtent l="0" t="0" r="28575" b="19050"/>
                <wp:wrapNone/>
                <wp:docPr id="229" name="Forma5"/>
                <wp:cNvGraphicFramePr/>
                <a:graphic xmlns:a="http://schemas.openxmlformats.org/drawingml/2006/main">
                  <a:graphicData uri="http://schemas.microsoft.com/office/word/2010/wordprocessingShape">
                    <wps:wsp>
                      <wps:cNvCnPr/>
                      <wps:spPr>
                        <a:xfrm flipH="1">
                          <a:off x="0" y="0"/>
                          <a:ext cx="9525" cy="228600"/>
                        </a:xfrm>
                        <a:prstGeom prst="line">
                          <a:avLst/>
                        </a:prstGeom>
                        <a:no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line w14:anchorId="10873F1C" id="Forma5" o:spid="_x0000_s1026" style="position:absolute;flip:x;z-index:25185792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94.95pt,5pt" to="95.7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ro0mQEAABoDAAAOAAAAZHJzL2Uyb0RvYy54bWysUk1vGyEQvVfqf0Dca9ab2EpWXkdRIreH&#10;KrHU9gdgFrxIwKCBeu1/3wG7ltXeql7QfPFm3ptZPR29YweNyULo+XzWcKaDgsGGfc9/fN98euAs&#10;ZRkG6SDonp904k/rjx9WU+x0CyO4QSMjkJC6KfZ8zDl2QiQ1ai/TDKIOlDSAXmZycS8GlBOheyfa&#10;plmKCXCICEqnRNHXc5KvK74xWuV3Y5LOzPWcZsv1xfruyivWK9ntUcbRqssY8h+m8NIGanqFepVZ&#10;sp9o/4LyViEkMHmmwAswxipdORCbefMHm2+jjLpyIXFSvMqU/h+sejtskdmh5237yFmQnpa0KXIv&#10;ijZTTB2VvIQtXrwUt1iIHg16ZpyNX2jtlTqRYceq7OmqrD5mpij4uGgXnClKtO3Dsqm6izNIAYuY&#10;8mcNnhWj586GQlt28vA1ZWpMpb9LSjjAxjpXV+dCCSRwdiix6uB+9+KQHSTt/O5+uXi+L1QI46aM&#10;vPNXXY/k0qbQPRMs1g6GU+UtikcLqCCXYykbvvXJvj3p9S8AAAD//wMAUEsDBBQABgAIAAAAIQCi&#10;1ws53AAAAAkBAAAPAAAAZHJzL2Rvd25yZXYueG1sTI89T8MwEIZ3JP6DdUhs1A5UlZPGqVALEzBQ&#10;ELMbX5Oo8TmK3Tb8e64T3e7VPXo/ytXke3HCMXaBDGQzBQKpDq6jxsD31+uDBhGTJWf7QGjgFyOs&#10;qtub0hYunOkTT9vUCDahWFgDbUpDIWWsW/Q2zsKAxL99GL1NLMdGutGe2dz38lGphfS2I05o7YDr&#10;FuvD9ugN7PXT20/Uer3ZvA8fUr84m/W5Mfd30/MSRMIp/cNwqc/VoeJOu3AkF0XPWuc5o3wo3nQB&#10;8mwOYmdgvlAgq1JeL6j+AAAA//8DAFBLAQItABQABgAIAAAAIQC2gziS/gAAAOEBAAATAAAAAAAA&#10;AAAAAAAAAAAAAABbQ29udGVudF9UeXBlc10ueG1sUEsBAi0AFAAGAAgAAAAhADj9If/WAAAAlAEA&#10;AAsAAAAAAAAAAAAAAAAALwEAAF9yZWxzLy5yZWxzUEsBAi0AFAAGAAgAAAAhALU+ujSZAQAAGgMA&#10;AA4AAAAAAAAAAAAAAAAALgIAAGRycy9lMm9Eb2MueG1sUEsBAi0AFAAGAAgAAAAhAKLXCzncAAAA&#10;CQEAAA8AAAAAAAAAAAAAAAAA8wMAAGRycy9kb3ducmV2LnhtbFBLBQYAAAAABAAEAPMAAAD8BAAA&#10;AAA=&#10;" strokecolor="#3465a4"/>
            </w:pict>
          </mc:Fallback>
        </mc:AlternateContent>
      </w:r>
      <w:r w:rsidRPr="00A07BE9">
        <w:rPr>
          <w:rFonts w:ascii="Open Sans" w:eastAsia="NSimSun" w:hAnsi="Open Sans" w:cs="Arial"/>
          <w:noProof/>
          <w:kern w:val="2"/>
          <w:sz w:val="24"/>
          <w:szCs w:val="24"/>
          <w:lang w:eastAsia="es-ES"/>
        </w:rPr>
        <mc:AlternateContent>
          <mc:Choice Requires="wps">
            <w:drawing>
              <wp:anchor distT="0" distB="0" distL="0" distR="0" simplePos="0" relativeHeight="251859968" behindDoc="0" locked="0" layoutInCell="1" allowOverlap="1" wp14:anchorId="0B2DB6AA" wp14:editId="73C5404B">
                <wp:simplePos x="0" y="0"/>
                <wp:positionH relativeFrom="column">
                  <wp:posOffset>4211320</wp:posOffset>
                </wp:positionH>
                <wp:positionV relativeFrom="paragraph">
                  <wp:posOffset>13335</wp:posOffset>
                </wp:positionV>
                <wp:extent cx="635" cy="323215"/>
                <wp:effectExtent l="0" t="0" r="37465" b="19685"/>
                <wp:wrapNone/>
                <wp:docPr id="230" name="Forma9"/>
                <wp:cNvGraphicFramePr/>
                <a:graphic xmlns:a="http://schemas.openxmlformats.org/drawingml/2006/main">
                  <a:graphicData uri="http://schemas.microsoft.com/office/word/2010/wordprocessingShape">
                    <wps:wsp>
                      <wps:cNvCnPr/>
                      <wps:spPr>
                        <a:xfrm>
                          <a:off x="0" y="0"/>
                          <a:ext cx="635" cy="323215"/>
                        </a:xfrm>
                        <a:prstGeom prst="line">
                          <a:avLst/>
                        </a:prstGeom>
                        <a:noFill/>
                        <a:ln>
                          <a:solidFill>
                            <a:srgbClr val="3465A4"/>
                          </a:solidFill>
                        </a:ln>
                        <a:effectLst/>
                      </wps:spPr>
                      <wps:bodyPr/>
                    </wps:wsp>
                  </a:graphicData>
                </a:graphic>
              </wp:anchor>
            </w:drawing>
          </mc:Choice>
          <mc:Fallback>
            <w:pict>
              <v:line w14:anchorId="3D23AB36" id="Forma9" o:spid="_x0000_s1026" style="position:absolute;z-index:251859968;visibility:visible;mso-wrap-style:square;mso-wrap-distance-left:0;mso-wrap-distance-top:0;mso-wrap-distance-right:0;mso-wrap-distance-bottom:0;mso-position-horizontal:absolute;mso-position-horizontal-relative:text;mso-position-vertical:absolute;mso-position-vertical-relative:text" from="331.6pt,1.05pt" to="331.6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3ZFjwEAAA8DAAAOAAAAZHJzL2Uyb0RvYy54bWysUk1PIzEMvSPxH6LcadoZWsGoU4RA3Qva&#10;rQT8gDSTdCLlS07otP8eJx261e4NcXFsx3n2e87y4WAN2UuI2ruWziZTSqQTvtNu19L3t/XNHSUx&#10;cddx451s6VFG+rC6vloOoZGV773pJBAEcbEZQkv7lELDWBS9tDxOfJAOL5UHyxOGsGMd8AHRrWHV&#10;dLpgg4cugBcyRsw+ny7pquArJUX6o1SUiZiW4mypWCh2my1bLXmzAx56LcYx+DemsFw7bHqGeuaJ&#10;kw/Q/0FZLcBHr9JEeMu8UlrIwgHZzKb/sHnteZCFC4oTw1mm+HOw4vd+A0R3La1q1Mdxi0taZ7nv&#10;szZDiA2WPLkNjFEMG8hEDwpsPpECORQ9j2c95SERgclFPadEYL6u6mo2z4Ds78sAMf2S3pLstNRo&#10;l7nyhu9fYjqVfpXktPNrbQzmeWNcttEb3eVcCWC3fTJA9hwXXd8u5o+3Y7uLMmx+eirLzxjbZI4n&#10;Vtnb+u5YyLIcoepl5vGH5LVexuhf/uPVJwAAAP//AwBQSwMEFAAGAAgAAAAhAIc4evLcAAAACAEA&#10;AA8AAABkcnMvZG93bnJldi54bWxMj8FOwzAQRO9I/IO1SNyo3UQEFLKpWqpKSPRC4QPceEki4nVk&#10;u034e8ypPY5mNPOmWs12EGfyoXeMsFwoEMSNMz23CF+fu4dnECFqNnpwTAi/FGBV395UujRu4g86&#10;H2IrUgmHUiN0MY6llKHpyOqwcCNx8r6dtzom6VtpvJ5SuR1kplQhre45LXR6pNeOmp/DySJseLPe&#10;bc1WdxlNb+9q72e5f0K8v5vXLyAizfEShn/8hA51Yjq6E5sgBoSiyLMURciWIJKfdA7iiPCYK5B1&#10;Ja8P1H8AAAD//wMAUEsBAi0AFAAGAAgAAAAhALaDOJL+AAAA4QEAABMAAAAAAAAAAAAAAAAAAAAA&#10;AFtDb250ZW50X1R5cGVzXS54bWxQSwECLQAUAAYACAAAACEAOP0h/9YAAACUAQAACwAAAAAAAAAA&#10;AAAAAAAvAQAAX3JlbHMvLnJlbHNQSwECLQAUAAYACAAAACEA4kt2RY8BAAAPAwAADgAAAAAAAAAA&#10;AAAAAAAuAgAAZHJzL2Uyb0RvYy54bWxQSwECLQAUAAYACAAAACEAhzh68twAAAAIAQAADwAAAAAA&#10;AAAAAAAAAADpAwAAZHJzL2Rvd25yZXYueG1sUEsFBgAAAAAEAAQA8wAAAPIEAAAAAA==&#10;" strokecolor="#3465a4"/>
            </w:pict>
          </mc:Fallback>
        </mc:AlternateContent>
      </w:r>
    </w:p>
    <w:p w14:paraId="69F172D8" w14:textId="77777777" w:rsidR="0097167A" w:rsidRPr="00A07BE9" w:rsidRDefault="0097167A" w:rsidP="0097167A">
      <w:pPr>
        <w:spacing w:after="0" w:line="240" w:lineRule="auto"/>
        <w:rPr>
          <w:rFonts w:ascii="Open Sans" w:eastAsia="NSimSun" w:hAnsi="Open Sans" w:cs="Arial"/>
          <w:kern w:val="2"/>
          <w:sz w:val="24"/>
          <w:szCs w:val="24"/>
          <w:lang w:eastAsia="zh-CN" w:bidi="hi-IN"/>
        </w:rPr>
      </w:pPr>
      <w:r w:rsidRPr="00A07BE9">
        <w:rPr>
          <w:rFonts w:ascii="Open Sans" w:eastAsia="NSimSun" w:hAnsi="Open Sans" w:cs="Arial"/>
          <w:noProof/>
          <w:kern w:val="2"/>
          <w:sz w:val="24"/>
          <w:szCs w:val="24"/>
          <w:lang w:eastAsia="es-ES"/>
        </w:rPr>
        <mc:AlternateContent>
          <mc:Choice Requires="wps">
            <w:drawing>
              <wp:anchor distT="0" distB="0" distL="0" distR="0" simplePos="0" relativeHeight="251858944" behindDoc="0" locked="0" layoutInCell="1" allowOverlap="1" wp14:anchorId="71406159" wp14:editId="4DE386F2">
                <wp:simplePos x="0" y="0"/>
                <wp:positionH relativeFrom="column">
                  <wp:posOffset>3244215</wp:posOffset>
                </wp:positionH>
                <wp:positionV relativeFrom="paragraph">
                  <wp:posOffset>151130</wp:posOffset>
                </wp:positionV>
                <wp:extent cx="1800225" cy="466725"/>
                <wp:effectExtent l="0" t="0" r="28575" b="28575"/>
                <wp:wrapNone/>
                <wp:docPr id="232" name="Forma1"/>
                <wp:cNvGraphicFramePr/>
                <a:graphic xmlns:a="http://schemas.openxmlformats.org/drawingml/2006/main">
                  <a:graphicData uri="http://schemas.microsoft.com/office/word/2010/wordprocessingShape">
                    <wps:wsp>
                      <wps:cNvSpPr/>
                      <wps:spPr>
                        <a:xfrm>
                          <a:off x="0" y="0"/>
                          <a:ext cx="1800225" cy="466725"/>
                        </a:xfrm>
                        <a:custGeom>
                          <a:avLst/>
                          <a:gdLst/>
                          <a:ahLst/>
                          <a:cxnLst/>
                          <a:rect l="0" t="0" r="r" b="b"/>
                          <a:pathLst>
                            <a:path w="3696" h="1004">
                              <a:moveTo>
                                <a:pt x="167" y="0"/>
                              </a:moveTo>
                              <a:lnTo>
                                <a:pt x="167" y="0"/>
                              </a:lnTo>
                              <a:cubicBezTo>
                                <a:pt x="138" y="0"/>
                                <a:pt x="109" y="8"/>
                                <a:pt x="84" y="22"/>
                              </a:cubicBezTo>
                              <a:cubicBezTo>
                                <a:pt x="58" y="37"/>
                                <a:pt x="37" y="58"/>
                                <a:pt x="22" y="84"/>
                              </a:cubicBezTo>
                              <a:cubicBezTo>
                                <a:pt x="8" y="109"/>
                                <a:pt x="0" y="138"/>
                                <a:pt x="0" y="167"/>
                              </a:cubicBezTo>
                              <a:lnTo>
                                <a:pt x="0" y="835"/>
                              </a:lnTo>
                              <a:lnTo>
                                <a:pt x="0" y="836"/>
                              </a:lnTo>
                              <a:cubicBezTo>
                                <a:pt x="0" y="865"/>
                                <a:pt x="8" y="894"/>
                                <a:pt x="22" y="919"/>
                              </a:cubicBezTo>
                              <a:cubicBezTo>
                                <a:pt x="37" y="945"/>
                                <a:pt x="58" y="966"/>
                                <a:pt x="84" y="981"/>
                              </a:cubicBezTo>
                              <a:cubicBezTo>
                                <a:pt x="109" y="995"/>
                                <a:pt x="138" y="1003"/>
                                <a:pt x="167" y="1003"/>
                              </a:cubicBezTo>
                              <a:lnTo>
                                <a:pt x="3527" y="1003"/>
                              </a:lnTo>
                              <a:lnTo>
                                <a:pt x="3528" y="1003"/>
                              </a:lnTo>
                              <a:cubicBezTo>
                                <a:pt x="3557" y="1003"/>
                                <a:pt x="3586" y="995"/>
                                <a:pt x="3611" y="981"/>
                              </a:cubicBezTo>
                              <a:cubicBezTo>
                                <a:pt x="3637" y="966"/>
                                <a:pt x="3658" y="945"/>
                                <a:pt x="3673" y="919"/>
                              </a:cubicBezTo>
                              <a:cubicBezTo>
                                <a:pt x="3687" y="894"/>
                                <a:pt x="3695" y="865"/>
                                <a:pt x="3695" y="836"/>
                              </a:cubicBezTo>
                              <a:lnTo>
                                <a:pt x="3695" y="167"/>
                              </a:lnTo>
                              <a:lnTo>
                                <a:pt x="3695" y="167"/>
                              </a:lnTo>
                              <a:lnTo>
                                <a:pt x="3695" y="167"/>
                              </a:lnTo>
                              <a:cubicBezTo>
                                <a:pt x="3695" y="138"/>
                                <a:pt x="3687" y="109"/>
                                <a:pt x="3673" y="84"/>
                              </a:cubicBezTo>
                              <a:cubicBezTo>
                                <a:pt x="3658" y="58"/>
                                <a:pt x="3637" y="37"/>
                                <a:pt x="3611" y="22"/>
                              </a:cubicBezTo>
                              <a:cubicBezTo>
                                <a:pt x="3586" y="8"/>
                                <a:pt x="3557" y="0"/>
                                <a:pt x="3528" y="0"/>
                              </a:cubicBezTo>
                              <a:lnTo>
                                <a:pt x="167" y="0"/>
                              </a:lnTo>
                            </a:path>
                          </a:pathLst>
                        </a:custGeom>
                        <a:solidFill>
                          <a:srgbClr val="EABAC2"/>
                        </a:solidFill>
                        <a:ln>
                          <a:solidFill>
                            <a:srgbClr val="3465A4"/>
                          </a:solidFill>
                        </a:ln>
                        <a:effectLst/>
                      </wps:spPr>
                      <wps:txbx>
                        <w:txbxContent>
                          <w:p w14:paraId="60865DEB" w14:textId="77777777" w:rsidR="000F0D13" w:rsidRPr="000A2FA4" w:rsidRDefault="000F0D13" w:rsidP="0097167A">
                            <w:pPr>
                              <w:spacing w:after="0"/>
                              <w:jc w:val="center"/>
                              <w:rPr>
                                <w:rFonts w:ascii="Open Sans" w:hAnsi="Open Sans" w:cs="Open Sans"/>
                              </w:rPr>
                            </w:pPr>
                            <w:r w:rsidRPr="000A2FA4">
                              <w:rPr>
                                <w:rFonts w:ascii="Open Sans" w:hAnsi="Open Sans" w:cs="Open Sans"/>
                                <w:b/>
                                <w:bCs/>
                                <w:color w:val="FFFFFF"/>
                                <w:sz w:val="16"/>
                                <w:szCs w:val="16"/>
                                <w:u w:val="single"/>
                              </w:rPr>
                              <w:t>Puestos Adscritos</w:t>
                            </w:r>
                          </w:p>
                          <w:p w14:paraId="1DCDEF91" w14:textId="2DDBB1DD" w:rsidR="000F0D13" w:rsidRPr="000A2FA4" w:rsidRDefault="000F0D13" w:rsidP="0097167A">
                            <w:pPr>
                              <w:spacing w:after="0"/>
                              <w:jc w:val="center"/>
                              <w:rPr>
                                <w:rFonts w:ascii="Open Sans" w:hAnsi="Open Sans" w:cs="Open Sans"/>
                              </w:rPr>
                            </w:pPr>
                            <w:r w:rsidRPr="000A2FA4">
                              <w:rPr>
                                <w:rFonts w:ascii="Open Sans" w:hAnsi="Open Sans" w:cs="Open Sans"/>
                                <w:b/>
                                <w:bCs/>
                                <w:color w:val="FFFFFF"/>
                                <w:sz w:val="16"/>
                                <w:szCs w:val="16"/>
                              </w:rPr>
                              <w:t>Unidad de Apoyo y Pericia</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71406159" id="_x0000_s1039" style="position:absolute;margin-left:255.45pt;margin-top:11.9pt;width:141.75pt;height:36.75pt;z-index:25185894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3696,100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Z+0VQMAAA0KAAAOAAAAZHJzL2Uyb0RvYy54bWysVttu2zAMfR+wfxD8vtqOE9cOmhS9bMOA&#10;YSvQ7gMUWa4N2JYnKZfu60dJphMl2YYOfbEpijoiDylRV9e7tiEbLlUtukUQX0QB4R0TRd09L4If&#10;T58+ZAFRmnYFbUTHF8ELV8H18v27q20/5xNRiabgkgBIp+bbfhFUWvfzMFSs4i1VF6LnHUyWQrZU&#10;w1A+h4WkW0Bvm3ASRWm4FbLopWBcKdDeu8lgafHLkjP9vSwV16RZBOCbtl9pvyvzDZdXdP4saV/V&#10;bHCD/ocXLa072HSEuqeakrWsT6DamkmhRKkvmGhDUZY14zYGiCaOjqJ5rGjPbSxAjupHmtTbwbJv&#10;m8f+QQIN217NFYgmil0pW/MH/8jOkvUyksV3mjBQxlkUTSazgDCYm6bpJcgAE+5Xs7XSn7mwSHTz&#10;VWlHdoESrVBiuw5FCSk7TpYMCCRr5ZLVU23WGfeMSLaLIEnzNCAV+BRFU5uGVmz4k7A22kQQp5cB&#10;wRjAxf180/3NDmfZelWzW/7Ls02gthETnHEbRblVZoOzVplNrW4yGQjy0fyRg5k56OTyEAZGZj+Y&#10;s0Q6SwA1StjCke+j+SO3wkHH4OgBDJwNQIkhpFMlcHcOG7lxqA4gS7AIcBb/vlU6IOLsOT8HxNQi&#10;Ir/O+Sy34aJy4CCPbUiQXh/OHzlHBi7zqYc+0J6n1j+EH9KXZ/FZHs7BG3YNoXnu4Rt+Lc9RlBwS&#10;jeUJ9Wv1JyEgT4Pzs4krhQN7tMD/aOnvCMhocc7vZDbzkZGDZJbBETuNKEnj2OlfwU6SIv0+0UmK&#10;CfDTkqSXidvkNRlOMxfKUbHAZQGXljkyfmXt9QlWp88Q8jYwizAmd+54oAH+387Qd+QY1z+0CcZ9&#10;dMJHEl9xVYwJ8e+cMX9H9xPWwisuurGuvItnLMOhQR8Vs9X+44zgkUJblxRYZJqGbVNjI7FI+1al&#10;RFMXn+qmMe1DyefVXSPJhsID4uPN7c0dXuKeWdNZ4z+uTKbp7Aav6IOV9jiapdy+VVwTDPet2Eh6&#10;t9qRujC3syk0o1qJ4uVBki28WxaB+rmmkgek+dLBw8A8clCQKKxQoB2rBDx/mJa2T3biZq1FWZvW&#10;bLd1yMMA3hyWqeF9ZB41h2NrtX/FLX8DAAD//wMAUEsDBBQABgAIAAAAIQAZQ5At3gAAAAkBAAAP&#10;AAAAZHJzL2Rvd25yZXYueG1sTI9BTsMwEEX3SNzBGiQ2iDppCiUhToUQXaCuWjiAaw9JRDxOY6cJ&#10;t2dY0eVonv5/v9zMrhNnHELrSUG6SEAgGW9bqhV8fmzvn0CEqMnqzhMq+MEAm+r6qtSF9RPt8XyI&#10;teAQCoVW0MTYF1IG06DTYeF7JP59+cHpyOdQSzvoicNdJ5dJ8iidbokbGt3ja4Pm+zA6BW8he9/1&#10;9u6EY3/aTunOoN0bpW5v5pdnEBHn+A/Dnz6rQ8VORz+SDaJT8JAmOaMKlhlPYGCdr1YgjgrydQay&#10;KuXlguoXAAD//wMAUEsBAi0AFAAGAAgAAAAhALaDOJL+AAAA4QEAABMAAAAAAAAAAAAAAAAAAAAA&#10;AFtDb250ZW50X1R5cGVzXS54bWxQSwECLQAUAAYACAAAACEAOP0h/9YAAACUAQAACwAAAAAAAAAA&#10;AAAAAAAvAQAAX3JlbHMvLnJlbHNQSwECLQAUAAYACAAAACEA0uWftFUDAAANCgAADgAAAAAAAAAA&#10;AAAAAAAuAgAAZHJzL2Uyb0RvYy54bWxQSwECLQAUAAYACAAAACEAGUOQLd4AAAAJAQAADwAAAAAA&#10;AAAAAAAAAACvBQAAZHJzL2Rvd25yZXYueG1sUEsFBgAAAAAEAAQA8wAAALoGAAAAAA==&#10;" adj="-11796480,,5400" path="m167,r,c138,,109,8,84,22,58,37,37,58,22,84,8,109,,138,,167l,835r,1c,865,8,894,22,919v15,26,36,47,62,62c109,995,138,1003,167,1003r3360,l3528,1003v29,,58,-8,83,-22c3637,966,3658,945,3673,919v14,-25,22,-54,22,-83l3695,167r,l3695,167v,-29,-8,-58,-22,-83c3658,58,3637,37,3611,22,3586,8,3557,,3528,l167,e" fillcolor="#eabac2" strokecolor="#3465a4">
                <v:stroke joinstyle="miter"/>
                <v:formulas/>
                <v:path arrowok="t" o:connecttype="custom" textboxrect="0,0,3696,1004"/>
                <v:textbox inset="0,0,0,0">
                  <w:txbxContent>
                    <w:p w14:paraId="60865DEB" w14:textId="77777777" w:rsidR="000F0D13" w:rsidRPr="000A2FA4" w:rsidRDefault="000F0D13" w:rsidP="0097167A">
                      <w:pPr>
                        <w:spacing w:after="0"/>
                        <w:jc w:val="center"/>
                        <w:rPr>
                          <w:rFonts w:ascii="Open Sans" w:hAnsi="Open Sans" w:cs="Open Sans"/>
                        </w:rPr>
                      </w:pPr>
                      <w:r w:rsidRPr="000A2FA4">
                        <w:rPr>
                          <w:rFonts w:ascii="Open Sans" w:hAnsi="Open Sans" w:cs="Open Sans"/>
                          <w:b/>
                          <w:bCs/>
                          <w:color w:val="FFFFFF"/>
                          <w:sz w:val="16"/>
                          <w:szCs w:val="16"/>
                          <w:u w:val="single"/>
                        </w:rPr>
                        <w:t>Puestos Adscritos</w:t>
                      </w:r>
                    </w:p>
                    <w:p w14:paraId="1DCDEF91" w14:textId="2DDBB1DD" w:rsidR="000F0D13" w:rsidRPr="000A2FA4" w:rsidRDefault="000F0D13" w:rsidP="0097167A">
                      <w:pPr>
                        <w:spacing w:after="0"/>
                        <w:jc w:val="center"/>
                        <w:rPr>
                          <w:rFonts w:ascii="Open Sans" w:hAnsi="Open Sans" w:cs="Open Sans"/>
                        </w:rPr>
                      </w:pPr>
                      <w:r w:rsidRPr="000A2FA4">
                        <w:rPr>
                          <w:rFonts w:ascii="Open Sans" w:hAnsi="Open Sans" w:cs="Open Sans"/>
                          <w:b/>
                          <w:bCs/>
                          <w:color w:val="FFFFFF"/>
                          <w:sz w:val="16"/>
                          <w:szCs w:val="16"/>
                        </w:rPr>
                        <w:t>Unidad de Apoyo y Pericia</w:t>
                      </w:r>
                    </w:p>
                  </w:txbxContent>
                </v:textbox>
              </v:shape>
            </w:pict>
          </mc:Fallback>
        </mc:AlternateContent>
      </w:r>
      <w:r w:rsidRPr="00A07BE9">
        <w:rPr>
          <w:rFonts w:ascii="Open Sans" w:eastAsia="NSimSun" w:hAnsi="Open Sans" w:cs="Arial"/>
          <w:noProof/>
          <w:kern w:val="2"/>
          <w:sz w:val="24"/>
          <w:szCs w:val="24"/>
          <w:lang w:eastAsia="es-ES"/>
        </w:rPr>
        <mc:AlternateContent>
          <mc:Choice Requires="wps">
            <w:drawing>
              <wp:anchor distT="0" distB="0" distL="0" distR="0" simplePos="0" relativeHeight="251856896" behindDoc="0" locked="0" layoutInCell="1" allowOverlap="1" wp14:anchorId="2CBCD63F" wp14:editId="6373EAAD">
                <wp:simplePos x="0" y="0"/>
                <wp:positionH relativeFrom="margin">
                  <wp:posOffset>186690</wp:posOffset>
                </wp:positionH>
                <wp:positionV relativeFrom="paragraph">
                  <wp:posOffset>74930</wp:posOffset>
                </wp:positionV>
                <wp:extent cx="2152650" cy="638175"/>
                <wp:effectExtent l="0" t="0" r="19050" b="28575"/>
                <wp:wrapNone/>
                <wp:docPr id="231" name="Forma1"/>
                <wp:cNvGraphicFramePr/>
                <a:graphic xmlns:a="http://schemas.openxmlformats.org/drawingml/2006/main">
                  <a:graphicData uri="http://schemas.microsoft.com/office/word/2010/wordprocessingShape">
                    <wps:wsp>
                      <wps:cNvSpPr/>
                      <wps:spPr>
                        <a:xfrm>
                          <a:off x="0" y="0"/>
                          <a:ext cx="2152650" cy="638175"/>
                        </a:xfrm>
                        <a:custGeom>
                          <a:avLst/>
                          <a:gdLst/>
                          <a:ahLst/>
                          <a:cxnLst/>
                          <a:rect l="0" t="0" r="r" b="b"/>
                          <a:pathLst>
                            <a:path w="4276" h="1002">
                              <a:moveTo>
                                <a:pt x="166" y="0"/>
                              </a:moveTo>
                              <a:lnTo>
                                <a:pt x="167" y="0"/>
                              </a:lnTo>
                              <a:cubicBezTo>
                                <a:pt x="138" y="0"/>
                                <a:pt x="109" y="8"/>
                                <a:pt x="83" y="22"/>
                              </a:cubicBezTo>
                              <a:cubicBezTo>
                                <a:pt x="58" y="37"/>
                                <a:pt x="37" y="58"/>
                                <a:pt x="22" y="83"/>
                              </a:cubicBezTo>
                              <a:cubicBezTo>
                                <a:pt x="8" y="109"/>
                                <a:pt x="0" y="138"/>
                                <a:pt x="0" y="167"/>
                              </a:cubicBezTo>
                              <a:lnTo>
                                <a:pt x="0" y="834"/>
                              </a:lnTo>
                              <a:lnTo>
                                <a:pt x="0" y="834"/>
                              </a:lnTo>
                              <a:cubicBezTo>
                                <a:pt x="0" y="863"/>
                                <a:pt x="8" y="892"/>
                                <a:pt x="22" y="918"/>
                              </a:cubicBezTo>
                              <a:cubicBezTo>
                                <a:pt x="37" y="943"/>
                                <a:pt x="58" y="964"/>
                                <a:pt x="83" y="979"/>
                              </a:cubicBezTo>
                              <a:cubicBezTo>
                                <a:pt x="109" y="993"/>
                                <a:pt x="138" y="1001"/>
                                <a:pt x="167" y="1001"/>
                              </a:cubicBezTo>
                              <a:lnTo>
                                <a:pt x="4108" y="1001"/>
                              </a:lnTo>
                              <a:lnTo>
                                <a:pt x="4108" y="1001"/>
                              </a:lnTo>
                              <a:cubicBezTo>
                                <a:pt x="4137" y="1001"/>
                                <a:pt x="4166" y="993"/>
                                <a:pt x="4192" y="979"/>
                              </a:cubicBezTo>
                              <a:cubicBezTo>
                                <a:pt x="4217" y="964"/>
                                <a:pt x="4238" y="943"/>
                                <a:pt x="4253" y="918"/>
                              </a:cubicBezTo>
                              <a:cubicBezTo>
                                <a:pt x="4267" y="892"/>
                                <a:pt x="4275" y="863"/>
                                <a:pt x="4275" y="834"/>
                              </a:cubicBezTo>
                              <a:lnTo>
                                <a:pt x="4275" y="166"/>
                              </a:lnTo>
                              <a:lnTo>
                                <a:pt x="4275" y="167"/>
                              </a:lnTo>
                              <a:lnTo>
                                <a:pt x="4275" y="167"/>
                              </a:lnTo>
                              <a:cubicBezTo>
                                <a:pt x="4275" y="138"/>
                                <a:pt x="4267" y="109"/>
                                <a:pt x="4253" y="83"/>
                              </a:cubicBezTo>
                              <a:cubicBezTo>
                                <a:pt x="4238" y="58"/>
                                <a:pt x="4217" y="37"/>
                                <a:pt x="4192" y="22"/>
                              </a:cubicBezTo>
                              <a:cubicBezTo>
                                <a:pt x="4166" y="8"/>
                                <a:pt x="4137" y="0"/>
                                <a:pt x="4108" y="0"/>
                              </a:cubicBezTo>
                              <a:lnTo>
                                <a:pt x="166" y="0"/>
                              </a:lnTo>
                            </a:path>
                          </a:pathLst>
                        </a:custGeom>
                        <a:solidFill>
                          <a:srgbClr val="EABAC2"/>
                        </a:solidFill>
                        <a:ln>
                          <a:solidFill>
                            <a:srgbClr val="3465A4"/>
                          </a:solidFill>
                        </a:ln>
                        <a:effectLst/>
                      </wps:spPr>
                      <wps:txbx>
                        <w:txbxContent>
                          <w:p w14:paraId="006C566F" w14:textId="77777777" w:rsidR="000F0D13" w:rsidRPr="000A2FA4" w:rsidRDefault="000F0D13" w:rsidP="0097167A">
                            <w:pPr>
                              <w:spacing w:after="0"/>
                              <w:jc w:val="center"/>
                              <w:rPr>
                                <w:rFonts w:ascii="Open Sans" w:hAnsi="Open Sans" w:cs="Open Sans"/>
                              </w:rPr>
                            </w:pPr>
                            <w:r w:rsidRPr="000A2FA4">
                              <w:rPr>
                                <w:rFonts w:ascii="Open Sans" w:hAnsi="Open Sans" w:cs="Open Sans"/>
                                <w:b/>
                                <w:bCs/>
                                <w:color w:val="FFFFFF"/>
                                <w:sz w:val="16"/>
                                <w:szCs w:val="16"/>
                                <w:u w:val="single"/>
                              </w:rPr>
                              <w:t>Puestos Adscritos</w:t>
                            </w:r>
                          </w:p>
                          <w:p w14:paraId="573CA21C" w14:textId="43B890A7" w:rsidR="000F0D13" w:rsidRPr="000A2FA4" w:rsidRDefault="000F0D13" w:rsidP="0097167A">
                            <w:pPr>
                              <w:spacing w:after="0"/>
                              <w:jc w:val="center"/>
                              <w:rPr>
                                <w:rFonts w:ascii="Open Sans" w:hAnsi="Open Sans" w:cs="Open Sans"/>
                              </w:rPr>
                            </w:pPr>
                            <w:r>
                              <w:rPr>
                                <w:rFonts w:ascii="Open Sans" w:hAnsi="Open Sans" w:cs="Open Sans"/>
                                <w:b/>
                                <w:bCs/>
                                <w:color w:val="FFFFFF"/>
                                <w:sz w:val="16"/>
                                <w:szCs w:val="16"/>
                              </w:rPr>
                              <w:t>U</w:t>
                            </w:r>
                            <w:r w:rsidRPr="000A2FA4">
                              <w:rPr>
                                <w:rFonts w:ascii="Open Sans" w:hAnsi="Open Sans" w:cs="Open Sans"/>
                                <w:b/>
                                <w:bCs/>
                                <w:color w:val="FFFFFF"/>
                                <w:sz w:val="16"/>
                                <w:szCs w:val="16"/>
                              </w:rPr>
                              <w:t>nidad de Análisis e Investigación I</w:t>
                            </w:r>
                          </w:p>
                          <w:p w14:paraId="4C23F872" w14:textId="27600E7E" w:rsidR="000F0D13" w:rsidRPr="000A2FA4" w:rsidRDefault="000F0D13" w:rsidP="0097167A">
                            <w:pPr>
                              <w:spacing w:after="0"/>
                              <w:jc w:val="center"/>
                              <w:rPr>
                                <w:rFonts w:ascii="Open Sans" w:hAnsi="Open Sans" w:cs="Open Sans"/>
                              </w:rPr>
                            </w:pPr>
                            <w:r w:rsidRPr="000A2FA4">
                              <w:rPr>
                                <w:rFonts w:ascii="Open Sans" w:hAnsi="Open Sans" w:cs="Open Sans"/>
                                <w:b/>
                                <w:bCs/>
                                <w:color w:val="FFFFFF"/>
                                <w:sz w:val="16"/>
                                <w:szCs w:val="16"/>
                              </w:rPr>
                              <w:t>Unidad de Análisis e Investigación II</w:t>
                            </w:r>
                          </w:p>
                          <w:p w14:paraId="1AFEFE6A" w14:textId="1037A1BC" w:rsidR="000F0D13" w:rsidRPr="000A2FA4" w:rsidRDefault="000F0D13" w:rsidP="0097167A">
                            <w:pPr>
                              <w:spacing w:after="0"/>
                              <w:jc w:val="center"/>
                              <w:rPr>
                                <w:rFonts w:ascii="Open Sans" w:hAnsi="Open Sans" w:cs="Open Sans"/>
                              </w:rPr>
                            </w:pPr>
                            <w:r w:rsidRPr="000A2FA4">
                              <w:rPr>
                                <w:rFonts w:ascii="Open Sans" w:hAnsi="Open Sans" w:cs="Open Sans"/>
                                <w:b/>
                                <w:bCs/>
                                <w:color w:val="FFFFFF"/>
                                <w:sz w:val="16"/>
                                <w:szCs w:val="16"/>
                              </w:rPr>
                              <w:t>Unidad de Análisis e Investigación III</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2CBCD63F" id="_x0000_s1040" style="position:absolute;margin-left:14.7pt;margin-top:5.9pt;width:169.5pt;height:50.25pt;z-index:251856896;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middle" coordsize="4276,100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s6oUgMAAA0KAAAOAAAAZHJzL2Uyb0RvYy54bWysVttu2zAMfR+wfzD8vvoSx4mDJkXabsOA&#10;YSvQ7gMUWU4M2JYnKZfu60dRlhM5XbsMe7ElijoiDymR1zeHuvJ2TMiSN3M/ugp9jzWU52Wznvs/&#10;nj59mPqeVKTJScUbNvefmfRvFu/fXe/bGYv5hlc5Ex6ANHK2b+f+Rql2FgSSblhN5BVvWQOLBRc1&#10;UTAV6yAXZA/odRXEYZgGey7yVnDKpATpvVn0F4hfFIyq70UhmfKquQ+2KfwK/K70N1hck9lakHZT&#10;0s4M8g9W1KRs4NAe6p4o4m1FeQZVl1RwyQt1RXkd8KIoKUMfwJsoHHjzuCEtQ1+AHNn2NMn/B0u/&#10;7R7bBwE07Fs5kzDUXhwKUes/2OcdkKznnix2UB4FYRyN43QMnFJYS0fTaDLWbAbH3XQr1WfGEYns&#10;vkplyM7tiGzsiB4aOxQQsmGwhO9BsFYmWC1Rep82Tw+9/dxP4knqexvIvzCMMQw137EnjjpKexCl&#10;oGB9ABOP61Xj6k0cPbtKt6uS3rJfju4IcttigjHmoDBD4bQzFoXTEcriuCPIRXNnBmZsoEeTUxiY&#10;6fNgDYk0mgCqhXCEId9Fc2dmh4GOwNATGIgjoETg0rkwRSuANRfNcmNQDcB0lHR22FX7f13LRXZ0&#10;U/TM8muMn2ZIpRV2HGQRWn9m6EvgHZdZ4qB3tGcpemHhu/BlE2Tsr+A1u5rQLHPwNb/IcxhGp0RH&#10;QPGp/OwMl8UkCl0c0Lca9m84fE3zJVqSqCMGbpJjYWJv0MCjJIJQoKcXsJPEkfF3QHQSd/wMwpLE&#10;Y3ODLolwEnekDpIFHosxWjx1M+so73PYZWjArIXRxJirZxXsvwvBUdHeI6tg/28quoYM1d1L2/s9&#10;uOE9iRc8FX1A3Denj5/7PvW5cMFD1+eV8/D0adgV6EEyo/SNO2Lz1eoarmGTLhpYpvpCgkjHUiV5&#10;VeafyqrS5UOK9equEt6OQAPxcXm7vLOPuKNWNaj8x52jJB0v7dN4shMvrt7KsFcxRTA4lmI9UofV&#10;wStzeJ0RQItWPH9+EN4e+pa5L39uiWC+V31poDHQTY4dCDtY2QFp6IZD+0OVwDrZ8OVW8aLUpRmP&#10;NcjdBHoOZKrrj3RTczpHrWMXt/gNAAD//wMAUEsDBBQABgAIAAAAIQByfM9v3QAAAAkBAAAPAAAA&#10;ZHJzL2Rvd25yZXYueG1sTI/BbsIwEETvlfoP1lbqrTgYhGiIg6qqObQ9QVuJo4mXJCJep7ED4e+7&#10;nMpxZ0azb7L16Fpxwj40njRMJwkIpNLbhioN31/F0xJEiIasaT2hhgsGWOf3d5lJrT/TBk/bWAku&#10;oZAaDXWMXSplKGt0Jkx8h8TewffORD77StrenLnctVIlyUI60xB/qE2HrzWWx+3gNPQfm9/3wqvj&#10;58/wdil36jAvUGr9+DC+rEBEHON/GK74jA45M+39QDaIVoN6nnOS9SkvYH+2WLKwvwpqBjLP5O2C&#10;/A8AAP//AwBQSwECLQAUAAYACAAAACEAtoM4kv4AAADhAQAAEwAAAAAAAAAAAAAAAAAAAAAAW0Nv&#10;bnRlbnRfVHlwZXNdLnhtbFBLAQItABQABgAIAAAAIQA4/SH/1gAAAJQBAAALAAAAAAAAAAAAAAAA&#10;AC8BAABfcmVscy8ucmVsc1BLAQItABQABgAIAAAAIQAHZs6oUgMAAA0KAAAOAAAAAAAAAAAAAAAA&#10;AC4CAABkcnMvZTJvRG9jLnhtbFBLAQItABQABgAIAAAAIQByfM9v3QAAAAkBAAAPAAAAAAAAAAAA&#10;AAAAAKwFAABkcnMvZG93bnJldi54bWxQSwUGAAAAAAQABADzAAAAtgYAAAAA&#10;" adj="-11796480,,5400" path="m166,r1,c138,,109,8,83,22,58,37,37,58,22,83,8,109,,138,,167l,834r,c,863,8,892,22,918v15,25,36,46,61,61c109,993,138,1001,167,1001r3941,l4108,1001v29,,58,-8,84,-22c4217,964,4238,943,4253,918v14,-26,22,-55,22,-84l4275,166r,1l4275,167v,-29,-8,-58,-22,-84c4238,58,4217,37,4192,22,4166,8,4137,,4108,l166,e" fillcolor="#eabac2" strokecolor="#3465a4">
                <v:stroke joinstyle="miter"/>
                <v:formulas/>
                <v:path arrowok="t" o:connecttype="custom" textboxrect="0,0,4276,1002"/>
                <v:textbox inset="0,0,0,0">
                  <w:txbxContent>
                    <w:p w14:paraId="006C566F" w14:textId="77777777" w:rsidR="000F0D13" w:rsidRPr="000A2FA4" w:rsidRDefault="000F0D13" w:rsidP="0097167A">
                      <w:pPr>
                        <w:spacing w:after="0"/>
                        <w:jc w:val="center"/>
                        <w:rPr>
                          <w:rFonts w:ascii="Open Sans" w:hAnsi="Open Sans" w:cs="Open Sans"/>
                        </w:rPr>
                      </w:pPr>
                      <w:r w:rsidRPr="000A2FA4">
                        <w:rPr>
                          <w:rFonts w:ascii="Open Sans" w:hAnsi="Open Sans" w:cs="Open Sans"/>
                          <w:b/>
                          <w:bCs/>
                          <w:color w:val="FFFFFF"/>
                          <w:sz w:val="16"/>
                          <w:szCs w:val="16"/>
                          <w:u w:val="single"/>
                        </w:rPr>
                        <w:t>Puestos Adscritos</w:t>
                      </w:r>
                    </w:p>
                    <w:p w14:paraId="573CA21C" w14:textId="43B890A7" w:rsidR="000F0D13" w:rsidRPr="000A2FA4" w:rsidRDefault="000F0D13" w:rsidP="0097167A">
                      <w:pPr>
                        <w:spacing w:after="0"/>
                        <w:jc w:val="center"/>
                        <w:rPr>
                          <w:rFonts w:ascii="Open Sans" w:hAnsi="Open Sans" w:cs="Open Sans"/>
                        </w:rPr>
                      </w:pPr>
                      <w:r>
                        <w:rPr>
                          <w:rFonts w:ascii="Open Sans" w:hAnsi="Open Sans" w:cs="Open Sans"/>
                          <w:b/>
                          <w:bCs/>
                          <w:color w:val="FFFFFF"/>
                          <w:sz w:val="16"/>
                          <w:szCs w:val="16"/>
                        </w:rPr>
                        <w:t>U</w:t>
                      </w:r>
                      <w:r w:rsidRPr="000A2FA4">
                        <w:rPr>
                          <w:rFonts w:ascii="Open Sans" w:hAnsi="Open Sans" w:cs="Open Sans"/>
                          <w:b/>
                          <w:bCs/>
                          <w:color w:val="FFFFFF"/>
                          <w:sz w:val="16"/>
                          <w:szCs w:val="16"/>
                        </w:rPr>
                        <w:t>nidad de Análisis e Investigación I</w:t>
                      </w:r>
                    </w:p>
                    <w:p w14:paraId="4C23F872" w14:textId="27600E7E" w:rsidR="000F0D13" w:rsidRPr="000A2FA4" w:rsidRDefault="000F0D13" w:rsidP="0097167A">
                      <w:pPr>
                        <w:spacing w:after="0"/>
                        <w:jc w:val="center"/>
                        <w:rPr>
                          <w:rFonts w:ascii="Open Sans" w:hAnsi="Open Sans" w:cs="Open Sans"/>
                        </w:rPr>
                      </w:pPr>
                      <w:r w:rsidRPr="000A2FA4">
                        <w:rPr>
                          <w:rFonts w:ascii="Open Sans" w:hAnsi="Open Sans" w:cs="Open Sans"/>
                          <w:b/>
                          <w:bCs/>
                          <w:color w:val="FFFFFF"/>
                          <w:sz w:val="16"/>
                          <w:szCs w:val="16"/>
                        </w:rPr>
                        <w:t>Unidad de Análisis e Investigación II</w:t>
                      </w:r>
                    </w:p>
                    <w:p w14:paraId="1AFEFE6A" w14:textId="1037A1BC" w:rsidR="000F0D13" w:rsidRPr="000A2FA4" w:rsidRDefault="000F0D13" w:rsidP="0097167A">
                      <w:pPr>
                        <w:spacing w:after="0"/>
                        <w:jc w:val="center"/>
                        <w:rPr>
                          <w:rFonts w:ascii="Open Sans" w:hAnsi="Open Sans" w:cs="Open Sans"/>
                        </w:rPr>
                      </w:pPr>
                      <w:r w:rsidRPr="000A2FA4">
                        <w:rPr>
                          <w:rFonts w:ascii="Open Sans" w:hAnsi="Open Sans" w:cs="Open Sans"/>
                          <w:b/>
                          <w:bCs/>
                          <w:color w:val="FFFFFF"/>
                          <w:sz w:val="16"/>
                          <w:szCs w:val="16"/>
                        </w:rPr>
                        <w:t>Unidad de Análisis e Investigación III</w:t>
                      </w:r>
                    </w:p>
                  </w:txbxContent>
                </v:textbox>
                <w10:wrap anchorx="margin"/>
              </v:shape>
            </w:pict>
          </mc:Fallback>
        </mc:AlternateContent>
      </w:r>
    </w:p>
    <w:p w14:paraId="6ECFB63C" w14:textId="77777777" w:rsidR="0097167A" w:rsidRPr="00A07BE9" w:rsidRDefault="0097167A" w:rsidP="0097167A">
      <w:pPr>
        <w:spacing w:after="0" w:line="240" w:lineRule="auto"/>
        <w:jc w:val="center"/>
        <w:rPr>
          <w:rFonts w:ascii="Open Sans" w:eastAsia="NSimSun" w:hAnsi="Open Sans" w:cs="Arial"/>
          <w:kern w:val="2"/>
          <w:sz w:val="24"/>
          <w:szCs w:val="24"/>
          <w:lang w:eastAsia="zh-CN" w:bidi="hi-IN"/>
        </w:rPr>
      </w:pPr>
    </w:p>
    <w:p w14:paraId="318F1FF9" w14:textId="78C1FB7B" w:rsidR="0097167A" w:rsidRPr="00A07BE9" w:rsidRDefault="0097167A" w:rsidP="0097167A">
      <w:pPr>
        <w:spacing w:after="0" w:line="240" w:lineRule="auto"/>
        <w:jc w:val="center"/>
        <w:rPr>
          <w:rFonts w:ascii="Open Sans" w:eastAsia="NSimSun" w:hAnsi="Open Sans" w:cs="Arial"/>
          <w:kern w:val="2"/>
          <w:sz w:val="24"/>
          <w:szCs w:val="24"/>
          <w:lang w:eastAsia="zh-CN" w:bidi="hi-IN"/>
        </w:rPr>
      </w:pPr>
    </w:p>
    <w:p w14:paraId="5ACA56D1" w14:textId="4017DB3A" w:rsidR="0097167A" w:rsidRPr="00A07BE9" w:rsidRDefault="0097167A" w:rsidP="0097167A">
      <w:pPr>
        <w:spacing w:after="0" w:line="240" w:lineRule="auto"/>
        <w:jc w:val="center"/>
        <w:rPr>
          <w:rFonts w:ascii="Open Sans" w:eastAsia="NSimSun" w:hAnsi="Open Sans" w:cs="Arial"/>
          <w:kern w:val="2"/>
          <w:sz w:val="24"/>
          <w:szCs w:val="24"/>
          <w:lang w:eastAsia="zh-CN" w:bidi="hi-IN"/>
        </w:rPr>
      </w:pPr>
      <w:r w:rsidRPr="00A07BE9">
        <w:rPr>
          <w:rFonts w:ascii="Open Sans" w:eastAsia="NSimSun" w:hAnsi="Open Sans" w:cs="Arial"/>
          <w:noProof/>
          <w:kern w:val="2"/>
          <w:sz w:val="24"/>
          <w:szCs w:val="24"/>
          <w:lang w:eastAsia="es-ES"/>
        </w:rPr>
        <mc:AlternateContent>
          <mc:Choice Requires="wps">
            <w:drawing>
              <wp:anchor distT="0" distB="0" distL="0" distR="0" simplePos="0" relativeHeight="251863040" behindDoc="0" locked="0" layoutInCell="1" allowOverlap="1" wp14:anchorId="70FEED19" wp14:editId="2A2957E7">
                <wp:simplePos x="0" y="0"/>
                <wp:positionH relativeFrom="column">
                  <wp:posOffset>1167766</wp:posOffset>
                </wp:positionH>
                <wp:positionV relativeFrom="paragraph">
                  <wp:posOffset>73660</wp:posOffset>
                </wp:positionV>
                <wp:extent cx="0" cy="342900"/>
                <wp:effectExtent l="0" t="0" r="38100" b="19050"/>
                <wp:wrapNone/>
                <wp:docPr id="233" name="Forma10"/>
                <wp:cNvGraphicFramePr/>
                <a:graphic xmlns:a="http://schemas.openxmlformats.org/drawingml/2006/main">
                  <a:graphicData uri="http://schemas.microsoft.com/office/word/2010/wordprocessingShape">
                    <wps:wsp>
                      <wps:cNvCnPr/>
                      <wps:spPr>
                        <a:xfrm>
                          <a:off x="0" y="0"/>
                          <a:ext cx="0" cy="342900"/>
                        </a:xfrm>
                        <a:prstGeom prst="line">
                          <a:avLst/>
                        </a:prstGeom>
                        <a:no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line w14:anchorId="179914EF" id="Forma10" o:spid="_x0000_s1026" style="position:absolute;z-index:2518630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91.95pt,5.8pt" to="91.95pt,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DR5jAEAAA4DAAAOAAAAZHJzL2Uyb0RvYy54bWysUstuGzEMvBfIPwi611o/EjQLr4MigXsp&#10;UgNNPkDWSl4BeoFUvPbfh5Jdx0hvRS8USVFDzlDLh4N3bK8BbQwdn04aznRQsbdh1/HXl/XXb5xh&#10;lqGXLgbd8aNG/rC6+bIcU6tncYiu18AIJGA7po4POadWCFSD9hInMelAlyaCl5lC2Ike5Ejo3olZ&#10;09yJMUKfICqNSNmn0yVfVXxjtMq/jEGdmes4zZarhWq3xYrVUrY7kGmw6jyG/IcpvLSBml6gnmSW&#10;7A3sX1DeKogYTZ6o6EU0xipdORCbafOJze9BJl25kDiYLjLh/4NVz/sNMNt3fDafcxakpyWti9zT&#10;Ks6YsKWax7ABkqpEmDZQmB4M+HISB3aogh4vgupDZuqUVJSdL2b3TYUTH+8SYP6ho2fF6bizoVCV&#10;rdz/xEy9qPRPSUmHuLbO1XW5UBIYne1Lrgaw2z46YHtJe54v7m6/L8pqCeOqjKLTU10/xrnNB6fi&#10;bWN/rFRFiUj0CnL+IGWr1zH519949Q4AAP//AwBQSwMEFAAGAAgAAAAhAAEpQtjcAAAACQEAAA8A&#10;AABkcnMvZG93bnJldi54bWxMj8FOwzAQRO9I/IO1SNyo0yJCm8apWqpKSPRC4QPceIkj4nVku034&#10;e7Zc6G1ndzT7plyNrhNnDLH1pGA6yUAg1d601Cj4/Ng9zEHEpMnozhMq+MEIq+r2ptSF8QO94/mQ&#10;GsEhFAutwKbUF1LG2qLTceJ7JL59+eB0YhkaaYIeONx1cpZluXS6Jf5gdY8vFuvvw8kp2NBmvdua&#10;rbYzHF7fsn0Y5f5Zqfu7cb0EkXBM/2a44DM6VMx09CcyUXSs548LtvIwzUFcDH+Lo4L8KQdZlfK6&#10;QfULAAD//wMAUEsBAi0AFAAGAAgAAAAhALaDOJL+AAAA4QEAABMAAAAAAAAAAAAAAAAAAAAAAFtD&#10;b250ZW50X1R5cGVzXS54bWxQSwECLQAUAAYACAAAACEAOP0h/9YAAACUAQAACwAAAAAAAAAAAAAA&#10;AAAvAQAAX3JlbHMvLnJlbHNQSwECLQAUAAYACAAAACEAXLA0eYwBAAAOAwAADgAAAAAAAAAAAAAA&#10;AAAuAgAAZHJzL2Uyb0RvYy54bWxQSwECLQAUAAYACAAAACEAASlC2NwAAAAJAQAADwAAAAAAAAAA&#10;AAAAAADmAwAAZHJzL2Rvd25yZXYueG1sUEsFBgAAAAAEAAQA8wAAAO8EAAAAAA==&#10;" strokecolor="#3465a4"/>
            </w:pict>
          </mc:Fallback>
        </mc:AlternateContent>
      </w:r>
    </w:p>
    <w:p w14:paraId="1F717515" w14:textId="6CEB2F7F" w:rsidR="0097167A" w:rsidRPr="00A07BE9" w:rsidRDefault="0097167A" w:rsidP="0097167A">
      <w:pPr>
        <w:spacing w:after="0" w:line="240" w:lineRule="auto"/>
        <w:jc w:val="center"/>
        <w:rPr>
          <w:rFonts w:ascii="Open Sans" w:eastAsia="NSimSun" w:hAnsi="Open Sans" w:cs="Arial"/>
          <w:kern w:val="2"/>
          <w:sz w:val="24"/>
          <w:szCs w:val="24"/>
          <w:lang w:eastAsia="zh-CN" w:bidi="hi-IN"/>
        </w:rPr>
      </w:pPr>
    </w:p>
    <w:p w14:paraId="5EA56258" w14:textId="653F357B" w:rsidR="0097167A" w:rsidRPr="00A07BE9" w:rsidRDefault="0097167A" w:rsidP="0097167A">
      <w:pPr>
        <w:spacing w:after="0" w:line="240" w:lineRule="auto"/>
        <w:jc w:val="center"/>
        <w:rPr>
          <w:rFonts w:ascii="Open Sans" w:eastAsia="NSimSun" w:hAnsi="Open Sans" w:cs="Arial"/>
          <w:kern w:val="2"/>
          <w:sz w:val="24"/>
          <w:szCs w:val="24"/>
          <w:lang w:eastAsia="zh-CN" w:bidi="hi-IN"/>
        </w:rPr>
      </w:pPr>
      <w:r w:rsidRPr="00A07BE9">
        <w:rPr>
          <w:rFonts w:ascii="Open Sans" w:eastAsia="NSimSun" w:hAnsi="Open Sans" w:cs="Arial"/>
          <w:noProof/>
          <w:kern w:val="2"/>
          <w:sz w:val="24"/>
          <w:szCs w:val="24"/>
          <w:lang w:eastAsia="es-ES"/>
        </w:rPr>
        <mc:AlternateContent>
          <mc:Choice Requires="wps">
            <w:drawing>
              <wp:anchor distT="0" distB="0" distL="0" distR="0" simplePos="0" relativeHeight="251860992" behindDoc="0" locked="0" layoutInCell="1" allowOverlap="1" wp14:anchorId="2D0715ED" wp14:editId="5302F0E5">
                <wp:simplePos x="0" y="0"/>
                <wp:positionH relativeFrom="column">
                  <wp:posOffset>520065</wp:posOffset>
                </wp:positionH>
                <wp:positionV relativeFrom="paragraph">
                  <wp:posOffset>8890</wp:posOffset>
                </wp:positionV>
                <wp:extent cx="1295400" cy="523875"/>
                <wp:effectExtent l="0" t="0" r="19050" b="28575"/>
                <wp:wrapNone/>
                <wp:docPr id="234" name="Forma1"/>
                <wp:cNvGraphicFramePr/>
                <a:graphic xmlns:a="http://schemas.openxmlformats.org/drawingml/2006/main">
                  <a:graphicData uri="http://schemas.microsoft.com/office/word/2010/wordprocessingShape">
                    <wps:wsp>
                      <wps:cNvSpPr/>
                      <wps:spPr>
                        <a:xfrm>
                          <a:off x="0" y="0"/>
                          <a:ext cx="1295400" cy="523875"/>
                        </a:xfrm>
                        <a:custGeom>
                          <a:avLst/>
                          <a:gdLst/>
                          <a:ahLst/>
                          <a:cxnLst/>
                          <a:rect l="0" t="0" r="r" b="b"/>
                          <a:pathLst>
                            <a:path w="3398" h="682">
                              <a:moveTo>
                                <a:pt x="113" y="0"/>
                              </a:moveTo>
                              <a:lnTo>
                                <a:pt x="114" y="0"/>
                              </a:lnTo>
                              <a:cubicBezTo>
                                <a:pt x="94" y="0"/>
                                <a:pt x="74" y="5"/>
                                <a:pt x="57" y="15"/>
                              </a:cubicBezTo>
                              <a:cubicBezTo>
                                <a:pt x="39" y="25"/>
                                <a:pt x="25" y="39"/>
                                <a:pt x="15" y="57"/>
                              </a:cubicBezTo>
                              <a:cubicBezTo>
                                <a:pt x="5" y="74"/>
                                <a:pt x="0" y="94"/>
                                <a:pt x="0" y="114"/>
                              </a:cubicBezTo>
                              <a:lnTo>
                                <a:pt x="0" y="567"/>
                              </a:lnTo>
                              <a:lnTo>
                                <a:pt x="0" y="568"/>
                              </a:lnTo>
                              <a:cubicBezTo>
                                <a:pt x="0" y="587"/>
                                <a:pt x="5" y="607"/>
                                <a:pt x="15" y="624"/>
                              </a:cubicBezTo>
                              <a:cubicBezTo>
                                <a:pt x="25" y="642"/>
                                <a:pt x="39" y="656"/>
                                <a:pt x="57" y="666"/>
                              </a:cubicBezTo>
                              <a:cubicBezTo>
                                <a:pt x="74" y="676"/>
                                <a:pt x="94" y="681"/>
                                <a:pt x="114" y="681"/>
                              </a:cubicBezTo>
                              <a:lnTo>
                                <a:pt x="3283" y="681"/>
                              </a:lnTo>
                              <a:lnTo>
                                <a:pt x="3284" y="681"/>
                              </a:lnTo>
                              <a:cubicBezTo>
                                <a:pt x="3303" y="681"/>
                                <a:pt x="3323" y="676"/>
                                <a:pt x="3340" y="666"/>
                              </a:cubicBezTo>
                              <a:cubicBezTo>
                                <a:pt x="3358" y="656"/>
                                <a:pt x="3372" y="642"/>
                                <a:pt x="3382" y="624"/>
                              </a:cubicBezTo>
                              <a:cubicBezTo>
                                <a:pt x="3392" y="607"/>
                                <a:pt x="3397" y="587"/>
                                <a:pt x="3397" y="568"/>
                              </a:cubicBezTo>
                              <a:lnTo>
                                <a:pt x="3397" y="113"/>
                              </a:lnTo>
                              <a:lnTo>
                                <a:pt x="3397" y="114"/>
                              </a:lnTo>
                              <a:lnTo>
                                <a:pt x="3397" y="114"/>
                              </a:lnTo>
                              <a:cubicBezTo>
                                <a:pt x="3397" y="94"/>
                                <a:pt x="3392" y="74"/>
                                <a:pt x="3382" y="57"/>
                              </a:cubicBezTo>
                              <a:cubicBezTo>
                                <a:pt x="3372" y="39"/>
                                <a:pt x="3358" y="25"/>
                                <a:pt x="3340" y="15"/>
                              </a:cubicBezTo>
                              <a:cubicBezTo>
                                <a:pt x="3323" y="5"/>
                                <a:pt x="3303" y="0"/>
                                <a:pt x="3284" y="0"/>
                              </a:cubicBezTo>
                              <a:lnTo>
                                <a:pt x="113" y="0"/>
                              </a:lnTo>
                            </a:path>
                          </a:pathLst>
                        </a:custGeom>
                        <a:solidFill>
                          <a:srgbClr val="F3DED7"/>
                        </a:solidFill>
                        <a:ln>
                          <a:solidFill>
                            <a:srgbClr val="3465A4"/>
                          </a:solidFill>
                        </a:ln>
                        <a:effectLst/>
                      </wps:spPr>
                      <wps:txbx>
                        <w:txbxContent>
                          <w:p w14:paraId="4372E98C" w14:textId="77777777" w:rsidR="000F0D13" w:rsidRPr="000A2FA4" w:rsidRDefault="000F0D13" w:rsidP="0097167A">
                            <w:pPr>
                              <w:spacing w:after="0"/>
                              <w:jc w:val="center"/>
                              <w:rPr>
                                <w:rFonts w:ascii="Open Sans" w:hAnsi="Open Sans" w:cs="Open Sans"/>
                              </w:rPr>
                            </w:pPr>
                            <w:r w:rsidRPr="000A2FA4">
                              <w:rPr>
                                <w:rFonts w:ascii="Open Sans" w:hAnsi="Open Sans" w:cs="Open Sans"/>
                                <w:b/>
                                <w:bCs/>
                                <w:color w:val="FFFFFF"/>
                                <w:sz w:val="16"/>
                                <w:szCs w:val="16"/>
                                <w:u w:val="single"/>
                              </w:rPr>
                              <w:t>Puestos Adscritos</w:t>
                            </w:r>
                          </w:p>
                          <w:p w14:paraId="234DE79B" w14:textId="77777777" w:rsidR="000F0D13" w:rsidRDefault="000F0D13" w:rsidP="0097167A">
                            <w:pPr>
                              <w:spacing w:after="0"/>
                              <w:jc w:val="center"/>
                              <w:rPr>
                                <w:rFonts w:ascii="Open Sans" w:hAnsi="Open Sans" w:cs="Open Sans"/>
                                <w:b/>
                                <w:bCs/>
                                <w:color w:val="FFFFFF"/>
                                <w:sz w:val="16"/>
                                <w:szCs w:val="16"/>
                              </w:rPr>
                            </w:pPr>
                            <w:r>
                              <w:rPr>
                                <w:rFonts w:ascii="Open Sans" w:hAnsi="Open Sans" w:cs="Open Sans"/>
                                <w:b/>
                                <w:bCs/>
                                <w:color w:val="FFFFFF"/>
                                <w:sz w:val="16"/>
                                <w:szCs w:val="16"/>
                              </w:rPr>
                              <w:t>Investigador</w:t>
                            </w:r>
                          </w:p>
                          <w:p w14:paraId="1C392FF2" w14:textId="53B008C9" w:rsidR="000F0D13" w:rsidRPr="000A2FA4" w:rsidRDefault="000F0D13" w:rsidP="0097167A">
                            <w:pPr>
                              <w:spacing w:after="0"/>
                              <w:jc w:val="center"/>
                              <w:rPr>
                                <w:rFonts w:ascii="Open Sans" w:hAnsi="Open Sans" w:cs="Open Sans"/>
                              </w:rPr>
                            </w:pPr>
                            <w:r w:rsidRPr="000A2FA4">
                              <w:rPr>
                                <w:rFonts w:ascii="Open Sans" w:hAnsi="Open Sans" w:cs="Open Sans"/>
                                <w:b/>
                                <w:bCs/>
                                <w:color w:val="FFFFFF"/>
                                <w:sz w:val="16"/>
                                <w:szCs w:val="16"/>
                              </w:rPr>
                              <w:t>Investigador II</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2D0715ED" id="_x0000_s1041" style="position:absolute;left:0;text-align:left;margin-left:40.95pt;margin-top:.7pt;width:102pt;height:41.25pt;z-index:25186099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3398,68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agsTwMAAP8JAAAOAAAAZHJzL2Uyb0RvYy54bWysVm1vmzAQ/j5p/wHxfSXgQEhUUnXLOk2a&#10;tkrtfoBjTIIEmNnOS/frd34jOMlUddoXsM93j++eO/t8e3dsm2BPuahZV4TxzSQMaEdYWXebIvz5&#10;/PAhDwMhcVfihnW0CF+oCO+W79/dHvoFTdiWNSXlAYB0YnHoi3ArZb+IIkG2tMXihvW0g8WK8RZL&#10;mPJNVHJ8APS2iZLJJIsOjJc9Z4QKAdKVWQyXGr+qKJE/qkpQGTRFCL5J/eX6u1bfaHmLFxuO+21N&#10;rBv4H7xocd3BpgPUCksc7Hh9AdXWhDPBKnlDWBuxqqoJ1TFANPHkLJqnLe6pjgXIEf1Ak/h/sOT7&#10;/ql/5EDDoRcLAUMVxbHirfqDf8FRk/UykEWPMiAgjJN5Op0ApwTW0gTls1SxGZ2syU7IL5RpJLz/&#10;JqQhu3QjvHUjcuzckEPKzpPFwwCStTbJ6rFUdso9NQwORYjQHMpsW4RZnugstGxPn5lWkSqAOEZh&#10;4EIAD0/rTefrTT09t0p265p8pL/HuvORKrii95kZmSbCydKZhowdOz6WPzMoaK4tEg8GZioCWNMs&#10;Gk0AVULYwjDvo/kzY2EMwM8RCuQQQCCeC1kcayEw5mM5XgymsU8z54VbdX9fK7e+ulUf2dPNNeJA&#10;pHYzm3hCy0CWXHf0GrhlMpsm44At6VmajaU2eVmmpRc8XIO3NZDNPCBbLVkej+EVv4p7K77AdxwZ&#10;VlCSmzI+qTsF9x8Uz3GdwjWPEZp4uI5whBIr92NBaGpS/hZaEErhjKpYfYYRmiVGfpYPBGdZ678h&#10;tXARWCO/SkBuTmHql9RJnrmy9AlytFleHYy6T8yJcwruf6Ho6tIpuP+rir4jZ+r+YR3C9s81chS+&#10;4X4Y0uFfNEP2/EtpqIS33G6uqrzrbahB25JtvEk+umVfOR7nl7xhGoxUm9CNaWgdGunUnARr6vKh&#10;bhrVMQTfrD81PNhjeDI8oNXnlbvXPLWm08p/tUTTLL13yR9ZwtbGlOrXiWl70an5qpE8ro9BXULf&#10;0hwp0ZqVL488OMBLpQjFrx3mNAyarx08BeAsSjfgbrB2A9yRLYMHD5Fct8aO3e8kq2rVjPW2BtlO&#10;4JWhmbIvIvWMGc+11undtvwDAAD//wMAUEsDBBQABgAIAAAAIQDZKm0P2gAAAAcBAAAPAAAAZHJz&#10;L2Rvd25yZXYueG1sTI7dSsNAEIXvBd9hmULv7KZ/IYnZFBGEgqBY8wDb7JiEZmfD7qaNb+94pZfn&#10;h3O+8jDbQVzRh96RgvUqAYHUONNTq6D+fHnIQISoyejBESr4xgCH6v6u1IVxN/rA6ym2gkcoFFpB&#10;F+NYSBmaDq0OKzcicfblvNWRpW+l8frG43aQmyRJpdU98UOnR3zusLmcJqsA9+n4+tZMNL2n9c4n&#10;+bFOt06p5WJ+egQRcY5/ZfjFZ3SomOnsJjJBDAqydc5N9ncgON5ke9Zn9rc5yKqU//mrHwAAAP//&#10;AwBQSwECLQAUAAYACAAAACEAtoM4kv4AAADhAQAAEwAAAAAAAAAAAAAAAAAAAAAAW0NvbnRlbnRf&#10;VHlwZXNdLnhtbFBLAQItABQABgAIAAAAIQA4/SH/1gAAAJQBAAALAAAAAAAAAAAAAAAAAC8BAABf&#10;cmVscy8ucmVsc1BLAQItABQABgAIAAAAIQDMZagsTwMAAP8JAAAOAAAAAAAAAAAAAAAAAC4CAABk&#10;cnMvZTJvRG9jLnhtbFBLAQItABQABgAIAAAAIQDZKm0P2gAAAAcBAAAPAAAAAAAAAAAAAAAAAKkF&#10;AABkcnMvZG93bnJldi54bWxQSwUGAAAAAAQABADzAAAAsAYAAAAA&#10;" adj="-11796480,,5400" path="m113,r1,c94,,74,5,57,15,39,25,25,39,15,57,5,74,,94,,114l,567r,1c,587,5,607,15,624v10,18,24,32,42,42c74,676,94,681,114,681r3169,l3284,681v19,,39,-5,56,-15c3358,656,3372,642,3382,624v10,-17,15,-37,15,-56l3397,113r,1l3397,114v,-20,-5,-40,-15,-57c3372,39,3358,25,3340,15,3323,5,3303,,3284,l113,e" fillcolor="#f3ded7" strokecolor="#3465a4">
                <v:stroke joinstyle="miter"/>
                <v:formulas/>
                <v:path arrowok="t" o:connecttype="custom" textboxrect="0,0,3398,682"/>
                <v:textbox inset="0,0,0,0">
                  <w:txbxContent>
                    <w:p w14:paraId="4372E98C" w14:textId="77777777" w:rsidR="000F0D13" w:rsidRPr="000A2FA4" w:rsidRDefault="000F0D13" w:rsidP="0097167A">
                      <w:pPr>
                        <w:spacing w:after="0"/>
                        <w:jc w:val="center"/>
                        <w:rPr>
                          <w:rFonts w:ascii="Open Sans" w:hAnsi="Open Sans" w:cs="Open Sans"/>
                        </w:rPr>
                      </w:pPr>
                      <w:r w:rsidRPr="000A2FA4">
                        <w:rPr>
                          <w:rFonts w:ascii="Open Sans" w:hAnsi="Open Sans" w:cs="Open Sans"/>
                          <w:b/>
                          <w:bCs/>
                          <w:color w:val="FFFFFF"/>
                          <w:sz w:val="16"/>
                          <w:szCs w:val="16"/>
                          <w:u w:val="single"/>
                        </w:rPr>
                        <w:t>Puestos Adscritos</w:t>
                      </w:r>
                    </w:p>
                    <w:p w14:paraId="234DE79B" w14:textId="77777777" w:rsidR="000F0D13" w:rsidRDefault="000F0D13" w:rsidP="0097167A">
                      <w:pPr>
                        <w:spacing w:after="0"/>
                        <w:jc w:val="center"/>
                        <w:rPr>
                          <w:rFonts w:ascii="Open Sans" w:hAnsi="Open Sans" w:cs="Open Sans"/>
                          <w:b/>
                          <w:bCs/>
                          <w:color w:val="FFFFFF"/>
                          <w:sz w:val="16"/>
                          <w:szCs w:val="16"/>
                        </w:rPr>
                      </w:pPr>
                      <w:r>
                        <w:rPr>
                          <w:rFonts w:ascii="Open Sans" w:hAnsi="Open Sans" w:cs="Open Sans"/>
                          <w:b/>
                          <w:bCs/>
                          <w:color w:val="FFFFFF"/>
                          <w:sz w:val="16"/>
                          <w:szCs w:val="16"/>
                        </w:rPr>
                        <w:t>Investigador</w:t>
                      </w:r>
                    </w:p>
                    <w:p w14:paraId="1C392FF2" w14:textId="53B008C9" w:rsidR="000F0D13" w:rsidRPr="000A2FA4" w:rsidRDefault="000F0D13" w:rsidP="0097167A">
                      <w:pPr>
                        <w:spacing w:after="0"/>
                        <w:jc w:val="center"/>
                        <w:rPr>
                          <w:rFonts w:ascii="Open Sans" w:hAnsi="Open Sans" w:cs="Open Sans"/>
                        </w:rPr>
                      </w:pPr>
                      <w:r w:rsidRPr="000A2FA4">
                        <w:rPr>
                          <w:rFonts w:ascii="Open Sans" w:hAnsi="Open Sans" w:cs="Open Sans"/>
                          <w:b/>
                          <w:bCs/>
                          <w:color w:val="FFFFFF"/>
                          <w:sz w:val="16"/>
                          <w:szCs w:val="16"/>
                        </w:rPr>
                        <w:t>Investigador II</w:t>
                      </w:r>
                    </w:p>
                  </w:txbxContent>
                </v:textbox>
              </v:shape>
            </w:pict>
          </mc:Fallback>
        </mc:AlternateContent>
      </w:r>
    </w:p>
    <w:p w14:paraId="09BAC142" w14:textId="15520960" w:rsidR="0097167A" w:rsidRPr="00A07BE9" w:rsidRDefault="0097167A" w:rsidP="0097167A">
      <w:pPr>
        <w:spacing w:after="0" w:line="240" w:lineRule="auto"/>
        <w:jc w:val="center"/>
        <w:rPr>
          <w:rFonts w:ascii="Open Sans" w:eastAsia="NSimSun" w:hAnsi="Open Sans" w:cs="Arial"/>
          <w:kern w:val="2"/>
          <w:sz w:val="24"/>
          <w:szCs w:val="24"/>
          <w:lang w:eastAsia="zh-CN" w:bidi="hi-IN"/>
        </w:rPr>
      </w:pPr>
    </w:p>
    <w:p w14:paraId="29233CB1" w14:textId="16CBF1EF" w:rsidR="004A5F93" w:rsidRPr="00884961" w:rsidRDefault="0097167A" w:rsidP="00884961">
      <w:pPr>
        <w:spacing w:after="0" w:line="240" w:lineRule="auto"/>
        <w:rPr>
          <w:rFonts w:ascii="Open Sans" w:eastAsia="NSimSun" w:hAnsi="Open Sans" w:cs="Arial"/>
          <w:kern w:val="2"/>
          <w:sz w:val="24"/>
          <w:szCs w:val="24"/>
          <w:lang w:eastAsia="zh-CN" w:bidi="hi-IN"/>
        </w:rPr>
      </w:pPr>
      <w:r w:rsidRPr="00A07BE9">
        <w:rPr>
          <w:rFonts w:ascii="Open Sans" w:eastAsia="NSimSun" w:hAnsi="Open Sans" w:cs="Arial"/>
          <w:noProof/>
          <w:kern w:val="2"/>
          <w:sz w:val="24"/>
          <w:szCs w:val="24"/>
          <w:lang w:eastAsia="es-ES"/>
        </w:rPr>
        <mc:AlternateContent>
          <mc:Choice Requires="wps">
            <w:drawing>
              <wp:anchor distT="0" distB="0" distL="0" distR="0" simplePos="0" relativeHeight="251862016" behindDoc="0" locked="0" layoutInCell="1" allowOverlap="1" wp14:anchorId="6670B396" wp14:editId="068588B9">
                <wp:simplePos x="0" y="0"/>
                <wp:positionH relativeFrom="column">
                  <wp:posOffset>1148715</wp:posOffset>
                </wp:positionH>
                <wp:positionV relativeFrom="paragraph">
                  <wp:posOffset>264795</wp:posOffset>
                </wp:positionV>
                <wp:extent cx="3210560" cy="266700"/>
                <wp:effectExtent l="0" t="0" r="27940" b="19050"/>
                <wp:wrapNone/>
                <wp:docPr id="235" name="Forma1"/>
                <wp:cNvGraphicFramePr/>
                <a:graphic xmlns:a="http://schemas.openxmlformats.org/drawingml/2006/main">
                  <a:graphicData uri="http://schemas.microsoft.com/office/word/2010/wordprocessingShape">
                    <wps:wsp>
                      <wps:cNvSpPr/>
                      <wps:spPr>
                        <a:xfrm>
                          <a:off x="0" y="0"/>
                          <a:ext cx="3210560" cy="266700"/>
                        </a:xfrm>
                        <a:custGeom>
                          <a:avLst/>
                          <a:gdLst/>
                          <a:ahLst/>
                          <a:cxnLst/>
                          <a:rect l="0" t="0" r="r" b="b"/>
                          <a:pathLst>
                            <a:path w="5057" h="579">
                              <a:moveTo>
                                <a:pt x="96" y="0"/>
                              </a:moveTo>
                              <a:lnTo>
                                <a:pt x="96" y="0"/>
                              </a:lnTo>
                              <a:cubicBezTo>
                                <a:pt x="79" y="0"/>
                                <a:pt x="63" y="4"/>
                                <a:pt x="48" y="13"/>
                              </a:cubicBezTo>
                              <a:cubicBezTo>
                                <a:pt x="34" y="21"/>
                                <a:pt x="21" y="34"/>
                                <a:pt x="13" y="48"/>
                              </a:cubicBezTo>
                              <a:cubicBezTo>
                                <a:pt x="4" y="63"/>
                                <a:pt x="0" y="79"/>
                                <a:pt x="0" y="96"/>
                              </a:cubicBezTo>
                              <a:lnTo>
                                <a:pt x="0" y="481"/>
                              </a:lnTo>
                              <a:lnTo>
                                <a:pt x="0" y="482"/>
                              </a:lnTo>
                              <a:cubicBezTo>
                                <a:pt x="0" y="499"/>
                                <a:pt x="4" y="515"/>
                                <a:pt x="13" y="530"/>
                              </a:cubicBezTo>
                              <a:cubicBezTo>
                                <a:pt x="21" y="544"/>
                                <a:pt x="34" y="557"/>
                                <a:pt x="48" y="565"/>
                              </a:cubicBezTo>
                              <a:cubicBezTo>
                                <a:pt x="63" y="574"/>
                                <a:pt x="79" y="578"/>
                                <a:pt x="96" y="578"/>
                              </a:cubicBezTo>
                              <a:lnTo>
                                <a:pt x="4959" y="578"/>
                              </a:lnTo>
                              <a:lnTo>
                                <a:pt x="4960" y="578"/>
                              </a:lnTo>
                              <a:cubicBezTo>
                                <a:pt x="4977" y="578"/>
                                <a:pt x="4993" y="574"/>
                                <a:pt x="5008" y="565"/>
                              </a:cubicBezTo>
                              <a:cubicBezTo>
                                <a:pt x="5022" y="557"/>
                                <a:pt x="5035" y="544"/>
                                <a:pt x="5043" y="530"/>
                              </a:cubicBezTo>
                              <a:cubicBezTo>
                                <a:pt x="5052" y="515"/>
                                <a:pt x="5056" y="499"/>
                                <a:pt x="5056" y="482"/>
                              </a:cubicBezTo>
                              <a:lnTo>
                                <a:pt x="5056" y="96"/>
                              </a:lnTo>
                              <a:lnTo>
                                <a:pt x="5056" y="96"/>
                              </a:lnTo>
                              <a:lnTo>
                                <a:pt x="5056" y="96"/>
                              </a:lnTo>
                              <a:cubicBezTo>
                                <a:pt x="5056" y="79"/>
                                <a:pt x="5052" y="63"/>
                                <a:pt x="5043" y="48"/>
                              </a:cubicBezTo>
                              <a:cubicBezTo>
                                <a:pt x="5035" y="34"/>
                                <a:pt x="5022" y="21"/>
                                <a:pt x="5008" y="13"/>
                              </a:cubicBezTo>
                              <a:cubicBezTo>
                                <a:pt x="4993" y="4"/>
                                <a:pt x="4977" y="0"/>
                                <a:pt x="4960" y="0"/>
                              </a:cubicBezTo>
                              <a:lnTo>
                                <a:pt x="96" y="0"/>
                              </a:lnTo>
                            </a:path>
                          </a:pathLst>
                        </a:custGeom>
                        <a:solidFill>
                          <a:srgbClr val="D83A23"/>
                        </a:solidFill>
                        <a:ln>
                          <a:solidFill>
                            <a:srgbClr val="3465A4"/>
                          </a:solidFill>
                        </a:ln>
                        <a:effectLst/>
                      </wps:spPr>
                      <wps:txbx>
                        <w:txbxContent>
                          <w:p w14:paraId="58F11C39" w14:textId="497A16DB" w:rsidR="000F0D13" w:rsidRPr="000A2FA4" w:rsidRDefault="000F0D13" w:rsidP="00DC3B3A">
                            <w:pPr>
                              <w:spacing w:after="0"/>
                              <w:jc w:val="center"/>
                              <w:rPr>
                                <w:rFonts w:ascii="Open Sans" w:hAnsi="Open Sans" w:cs="Open Sans"/>
                              </w:rPr>
                            </w:pPr>
                            <w:r>
                              <w:rPr>
                                <w:rFonts w:ascii="Open Sans" w:hAnsi="Open Sans" w:cs="Open Sans"/>
                                <w:b/>
                                <w:bCs/>
                                <w:color w:val="FFFFFF"/>
                                <w:sz w:val="16"/>
                                <w:szCs w:val="16"/>
                              </w:rPr>
                              <w:t>j</w:t>
                            </w:r>
                            <w:r w:rsidRPr="000A2FA4">
                              <w:rPr>
                                <w:rFonts w:ascii="Open Sans" w:hAnsi="Open Sans" w:cs="Open Sans"/>
                                <w:b/>
                                <w:bCs/>
                                <w:color w:val="FFFFFF"/>
                                <w:sz w:val="16"/>
                                <w:szCs w:val="16"/>
                              </w:rPr>
                              <w:t>efe</w:t>
                            </w:r>
                            <w:r>
                              <w:rPr>
                                <w:rFonts w:ascii="Open Sans" w:hAnsi="Open Sans" w:cs="Open Sans"/>
                                <w:b/>
                                <w:bCs/>
                                <w:color w:val="FFFFFF"/>
                                <w:sz w:val="16"/>
                                <w:szCs w:val="16"/>
                              </w:rPr>
                              <w:t>/a</w:t>
                            </w:r>
                            <w:r w:rsidRPr="000A2FA4">
                              <w:rPr>
                                <w:rFonts w:ascii="Open Sans" w:hAnsi="Open Sans" w:cs="Open Sans"/>
                                <w:b/>
                                <w:bCs/>
                                <w:color w:val="FFFFFF"/>
                                <w:sz w:val="16"/>
                                <w:szCs w:val="16"/>
                              </w:rPr>
                              <w:t xml:space="preserve"> de Equipo de Análisis e Investigación</w:t>
                            </w:r>
                          </w:p>
                        </w:txbxContent>
                      </wps:txbx>
                      <wps:bodyPr lIns="0" tIns="0" rIns="0" bIns="0" anchor="ctr">
                        <a:noAutofit/>
                      </wps:bodyPr>
                    </wps:wsp>
                  </a:graphicData>
                </a:graphic>
                <wp14:sizeRelV relativeFrom="margin">
                  <wp14:pctHeight>0</wp14:pctHeight>
                </wp14:sizeRelV>
              </wp:anchor>
            </w:drawing>
          </mc:Choice>
          <mc:Fallback>
            <w:pict>
              <v:shape w14:anchorId="6670B396" id="_x0000_s1042" style="position:absolute;margin-left:90.45pt;margin-top:20.85pt;width:252.8pt;height:21pt;z-index:251862016;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middle" coordsize="5057,57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s4JQAMAAOkJAAAOAAAAZHJzL2Uyb0RvYy54bWysVttu2zAMfR+wfzD8vtqxLeeCJkW3osOA&#10;YSvQ7gMUWY4N2JYhKZfu60fdHCvJhmbbiy1R1CF5SEq6vTu0TbCjXNSsW4aTmzgMaEdYUXebZfjj&#10;5fHDLAyExF2BG9bRZfhKRXi3ev/udt8vaMIq1hSUBwDSicW+X4aVlP0iigSpaIvFDetpB4sl4y2W&#10;MOWbqOB4D+htEyVxnEd7xoueM0KFAOmDWQxXGr8sKZHfy1JQGTTLEHyT+sv1d62+0eoWLzYc91VN&#10;rBv4L7xocd2B0QHqAUscbHl9BtXWhDPBSnlDWBuxsqwJ1TFANJP4JJrnCvdUxwLkiH6gSfw/WPJt&#10;99w/caBh34uFgKGK4lDyVv3Bv+CgyXodyKIHGRAQpskkRjlwSmAtyfNprNmMjrvJVsjPlGkkvPsq&#10;pCG7cCNcuRE5dG7IIWWnyeJhAMlam2T1WKp9yj01DPbLEMVoGgYVDKZznYWW7egL0ypSBTDPw8BF&#10;AA4el5vuD2pukWzXNflIf45VwdCACI5oK3mqZZn1U8syqH+wPEmVEEz7WP7MoKSZ3pFMxjAwUzCw&#10;pjk0mgCqhGDirdgGGvwcoUAGAQTiOZMBa5eAHS3GCbM9m2l3IUC36v6+VmIR3eolAizi3PPIeI4m&#10;aOymJQClrvJ8OH9mHLFEosxj0nKOoIxGLNjcoVwbfVPybAmgqQdviwVNdaZcudiitNIzeEeR8Tub&#10;I1NxR3Wn4P5OUfUkZPRc8RIf2XwKrXNUd85l87mprpNQUBybir6GFRQniTHiE4ziFBm5nw4UZ9b4&#10;FZmFQ8Aa8YsE5Kb7IaRxdo/ymatKnyCf10F96Aq37v6G/3/X8704QfX7FIyZmP2WHvi74mgYcuGf&#10;MUPq/PNoKIMrDrahpLzeGArQ3sUnVXy5s33KT053swj9pK4HfegOV4ZusuOlJFhTF49106ibQvDN&#10;+lPDgx2Gp8LDLL1P3JntqTWdVv7tzjTL0b2OEIyNdsLMbKX6VWKuu+h46aqRPKwPQV3AdaFPXiVa&#10;s+L1iQfNlw4ufWhs6QbcDdZugDtSMXjaEMn1Jdix+61kZa2uXW3IYNkJvCc0N/btox4s47nWOr7Q&#10;Vr8AAAD//wMAUEsDBBQABgAIAAAAIQDHeT6Q4AAAAAkBAAAPAAAAZHJzL2Rvd25yZXYueG1sTI/L&#10;TsMwEEX3SPyDNUjsqB0ISQhxqqoQIVUCifJYu/GQRMR2ZLtt+vcMK1hezdG9Z6rlbEZ2QB8GZyUk&#10;CwEMbev0YDsJ72/NVQEsRGW1Gp1FCScMsKzPzypVane0r3jYxo5RiQ2lktDHOJWch7ZHo8LCTWjp&#10;9uW8UZGi77j26kjlZuTXQmTcqMHSQq8mXPfYfm/3RkLWn54+0+Yxffb56uFlIz6mZp1IeXkxr+6B&#10;RZzjHwy/+qQONTnt3N7qwEbKhbgjVEKa5MAIyIrsFthOQnGTA68r/v+D+gcAAP//AwBQSwECLQAU&#10;AAYACAAAACEAtoM4kv4AAADhAQAAEwAAAAAAAAAAAAAAAAAAAAAAW0NvbnRlbnRfVHlwZXNdLnht&#10;bFBLAQItABQABgAIAAAAIQA4/SH/1gAAAJQBAAALAAAAAAAAAAAAAAAAAC8BAABfcmVscy8ucmVs&#10;c1BLAQItABQABgAIAAAAIQC9Zs4JQAMAAOkJAAAOAAAAAAAAAAAAAAAAAC4CAABkcnMvZTJvRG9j&#10;LnhtbFBLAQItABQABgAIAAAAIQDHeT6Q4AAAAAkBAAAPAAAAAAAAAAAAAAAAAJoFAABkcnMvZG93&#10;bnJldi54bWxQSwUGAAAAAAQABADzAAAApwYAAAAA&#10;" adj="-11796480,,5400" path="m96,r,c79,,63,4,48,13,34,21,21,34,13,48,4,63,,79,,96l,481r,1c,499,4,515,13,530v8,14,21,27,35,35c63,574,79,578,96,578r4863,l4960,578v17,,33,-4,48,-13c5022,557,5035,544,5043,530v9,-15,13,-31,13,-48l5056,96r,l5056,96v,-17,-4,-33,-13,-48c5035,34,5022,21,5008,13,4993,4,4977,,4960,l96,e" fillcolor="#d83a23" strokecolor="#3465a4">
                <v:stroke joinstyle="miter"/>
                <v:formulas/>
                <v:path arrowok="t" o:connecttype="custom" textboxrect="0,0,5057,579"/>
                <v:textbox inset="0,0,0,0">
                  <w:txbxContent>
                    <w:p w14:paraId="58F11C39" w14:textId="497A16DB" w:rsidR="000F0D13" w:rsidRPr="000A2FA4" w:rsidRDefault="000F0D13" w:rsidP="00DC3B3A">
                      <w:pPr>
                        <w:spacing w:after="0"/>
                        <w:jc w:val="center"/>
                        <w:rPr>
                          <w:rFonts w:ascii="Open Sans" w:hAnsi="Open Sans" w:cs="Open Sans"/>
                        </w:rPr>
                      </w:pPr>
                      <w:r>
                        <w:rPr>
                          <w:rFonts w:ascii="Open Sans" w:hAnsi="Open Sans" w:cs="Open Sans"/>
                          <w:b/>
                          <w:bCs/>
                          <w:color w:val="FFFFFF"/>
                          <w:sz w:val="16"/>
                          <w:szCs w:val="16"/>
                        </w:rPr>
                        <w:t>j</w:t>
                      </w:r>
                      <w:r w:rsidRPr="000A2FA4">
                        <w:rPr>
                          <w:rFonts w:ascii="Open Sans" w:hAnsi="Open Sans" w:cs="Open Sans"/>
                          <w:b/>
                          <w:bCs/>
                          <w:color w:val="FFFFFF"/>
                          <w:sz w:val="16"/>
                          <w:szCs w:val="16"/>
                        </w:rPr>
                        <w:t>efe</w:t>
                      </w:r>
                      <w:r>
                        <w:rPr>
                          <w:rFonts w:ascii="Open Sans" w:hAnsi="Open Sans" w:cs="Open Sans"/>
                          <w:b/>
                          <w:bCs/>
                          <w:color w:val="FFFFFF"/>
                          <w:sz w:val="16"/>
                          <w:szCs w:val="16"/>
                        </w:rPr>
                        <w:t>/a</w:t>
                      </w:r>
                      <w:r w:rsidRPr="000A2FA4">
                        <w:rPr>
                          <w:rFonts w:ascii="Open Sans" w:hAnsi="Open Sans" w:cs="Open Sans"/>
                          <w:b/>
                          <w:bCs/>
                          <w:color w:val="FFFFFF"/>
                          <w:sz w:val="16"/>
                          <w:szCs w:val="16"/>
                        </w:rPr>
                        <w:t xml:space="preserve"> de Equipo de Análisis e Investigación</w:t>
                      </w:r>
                    </w:p>
                  </w:txbxContent>
                </v:textbox>
              </v:shape>
            </w:pict>
          </mc:Fallback>
        </mc:AlternateContent>
      </w:r>
    </w:p>
    <w:p w14:paraId="2B4DB086" w14:textId="77777777" w:rsidR="00884961" w:rsidRDefault="00884961" w:rsidP="009568B0">
      <w:pPr>
        <w:spacing w:after="0" w:line="276" w:lineRule="auto"/>
        <w:jc w:val="both"/>
        <w:rPr>
          <w:rFonts w:ascii="Open Sans" w:eastAsia="NSimSun" w:hAnsi="Open Sans" w:cs="Arial"/>
          <w:kern w:val="2"/>
          <w:sz w:val="20"/>
          <w:szCs w:val="20"/>
          <w:lang w:eastAsia="zh-CN" w:bidi="hi-IN"/>
        </w:rPr>
      </w:pPr>
    </w:p>
    <w:p w14:paraId="7FD3FA1A" w14:textId="77777777" w:rsidR="00884961" w:rsidRDefault="00884961" w:rsidP="009568B0">
      <w:pPr>
        <w:spacing w:after="0" w:line="276" w:lineRule="auto"/>
        <w:jc w:val="both"/>
        <w:rPr>
          <w:rFonts w:ascii="Open Sans" w:eastAsia="NSimSun" w:hAnsi="Open Sans" w:cs="Arial"/>
          <w:kern w:val="2"/>
          <w:sz w:val="20"/>
          <w:szCs w:val="20"/>
          <w:lang w:eastAsia="zh-CN" w:bidi="hi-IN"/>
        </w:rPr>
      </w:pPr>
    </w:p>
    <w:p w14:paraId="3A90399F" w14:textId="77777777" w:rsidR="00884961" w:rsidRDefault="00884961" w:rsidP="009568B0">
      <w:pPr>
        <w:spacing w:after="0" w:line="276" w:lineRule="auto"/>
        <w:jc w:val="both"/>
        <w:rPr>
          <w:rFonts w:ascii="Open Sans" w:eastAsia="NSimSun" w:hAnsi="Open Sans" w:cs="Arial"/>
          <w:kern w:val="2"/>
          <w:sz w:val="20"/>
          <w:szCs w:val="20"/>
          <w:lang w:eastAsia="zh-CN" w:bidi="hi-IN"/>
        </w:rPr>
      </w:pPr>
    </w:p>
    <w:p w14:paraId="1EFB232C" w14:textId="664D3251"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lastRenderedPageBreak/>
        <w:t xml:space="preserve">La anterior modificación operada se ha basado en el estudio de profundidad de las tareas realizadas </w:t>
      </w:r>
      <w:r w:rsidRPr="00A07BE9">
        <w:rPr>
          <w:rFonts w:ascii="Open Sans" w:eastAsia="NSimSun" w:hAnsi="Open Sans" w:cs="Arial"/>
          <w:i/>
          <w:iCs/>
          <w:kern w:val="2"/>
          <w:sz w:val="20"/>
          <w:szCs w:val="20"/>
          <w:lang w:eastAsia="zh-CN" w:bidi="hi-IN"/>
        </w:rPr>
        <w:t>de facto</w:t>
      </w:r>
      <w:r w:rsidRPr="00A07BE9">
        <w:rPr>
          <w:rFonts w:ascii="Open Sans" w:eastAsia="NSimSun" w:hAnsi="Open Sans" w:cs="Arial"/>
          <w:kern w:val="2"/>
          <w:sz w:val="20"/>
          <w:szCs w:val="20"/>
          <w:lang w:eastAsia="zh-CN" w:bidi="hi-IN"/>
        </w:rPr>
        <w:t xml:space="preserve"> por el Área de Análisis e Investigación, que ha ido asumiendo durante la anualidad 2019 una importante carga de trabajo derivada de la asunción de los compromisos de colaboración y auxilio en materia técnico-pericial, especialmente con base en solicitudes de órganos jurisdiccionales, carga cuyo volumen de trabajo no resultó computada en las previsiones iniciales de la dotación de medios personales, y que ha tenido que ser tomada en consideración </w:t>
      </w:r>
      <w:r w:rsidRPr="00A07BE9">
        <w:rPr>
          <w:rFonts w:ascii="Open Sans" w:eastAsia="NSimSun" w:hAnsi="Open Sans" w:cs="Arial"/>
          <w:i/>
          <w:iCs/>
          <w:kern w:val="2"/>
          <w:sz w:val="20"/>
          <w:szCs w:val="20"/>
          <w:lang w:eastAsia="zh-CN" w:bidi="hi-IN"/>
        </w:rPr>
        <w:t>a posteriori</w:t>
      </w:r>
      <w:r w:rsidRPr="00A07BE9">
        <w:rPr>
          <w:rFonts w:ascii="Open Sans" w:eastAsia="NSimSun" w:hAnsi="Open Sans" w:cs="Arial"/>
          <w:kern w:val="2"/>
          <w:sz w:val="20"/>
          <w:szCs w:val="20"/>
          <w:lang w:eastAsia="zh-CN" w:bidi="hi-IN"/>
        </w:rPr>
        <w:t xml:space="preserve">. </w:t>
      </w:r>
    </w:p>
    <w:p w14:paraId="2381090E"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28452F29" w14:textId="132211A5"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 xml:space="preserve">En el mismo sentido, se ha considerado que no existía razón o argumento que fundamentase la separación interna de los servicios de investigación de entes locales y sector público local y administración de la Generalitat y su sector público autonómico. Esto es así dado que ambos sectores de riesgo comparten, en esencia, el mismo marco normativo básico común, pues ambos se rigen por la normativa básica estatal, o autonómica de desarrollo, reguladoras de la actividad administrativa, con algunas especificidades de importancia relativa que no justifican en ningún caso la necesidad de bifurcar la especialización del personal al servicio de la Agencia, sino todo lo contrario, aconsejan el </w:t>
      </w:r>
      <w:r w:rsidR="00C97DC9" w:rsidRPr="00A07BE9">
        <w:rPr>
          <w:rFonts w:ascii="Open Sans" w:eastAsia="NSimSun" w:hAnsi="Open Sans" w:cs="Arial"/>
          <w:kern w:val="2"/>
          <w:sz w:val="20"/>
          <w:szCs w:val="20"/>
          <w:lang w:eastAsia="zh-CN" w:bidi="hi-IN"/>
        </w:rPr>
        <w:t xml:space="preserve">unir </w:t>
      </w:r>
      <w:r w:rsidRPr="00A07BE9">
        <w:rPr>
          <w:rFonts w:ascii="Open Sans" w:eastAsia="NSimSun" w:hAnsi="Open Sans" w:cs="Arial"/>
          <w:kern w:val="2"/>
          <w:sz w:val="20"/>
          <w:szCs w:val="20"/>
          <w:lang w:eastAsia="zh-CN" w:bidi="hi-IN"/>
        </w:rPr>
        <w:t>esfuerzos de forma integrada en equipos multidisciplinares.</w:t>
      </w:r>
    </w:p>
    <w:p w14:paraId="012EFFE8"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031C09C1"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Así, basándose en criterios de eficiencia, coordinación y unidad de acción, se ha considerado oportuno establecer una estructura en la Dirección de Análisis e Investigación tomando como base el siguiente patrón:</w:t>
      </w:r>
    </w:p>
    <w:p w14:paraId="65AED381"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7EF4EF82" w14:textId="77777777" w:rsidR="009568B0" w:rsidRPr="00A07BE9" w:rsidRDefault="009568B0" w:rsidP="009568B0">
      <w:pPr>
        <w:spacing w:after="0" w:line="276" w:lineRule="auto"/>
        <w:contextualSpacing/>
        <w:jc w:val="both"/>
        <w:rPr>
          <w:rFonts w:ascii="Open Sans" w:eastAsia="Calibri" w:hAnsi="Open Sans" w:cs="Open Sans"/>
          <w:kern w:val="2"/>
          <w:sz w:val="20"/>
          <w:szCs w:val="20"/>
          <w:lang w:eastAsia="zh-CN" w:bidi="hi-IN"/>
        </w:rPr>
      </w:pPr>
      <w:r w:rsidRPr="00A07BE9">
        <w:rPr>
          <w:rFonts w:ascii="Open Sans" w:eastAsia="NSimSun" w:hAnsi="Open Sans" w:cs="Arial"/>
          <w:kern w:val="2"/>
          <w:sz w:val="20"/>
          <w:szCs w:val="20"/>
          <w:lang w:eastAsia="zh-CN" w:bidi="hi-IN"/>
        </w:rPr>
        <w:t>Un Equipo de Análisis e Investigación suficientemente dimensionado que permita la creación de dos subequipos con funcionamiento paralelo a modo de espejo. Esta subdivisión ha tenido como única finalidad la de permitir una mejor distribución de expedientes en función del trabajo existente en cada momento, facilitando, al mismo tiempo, la distribución de aquellos asuntos de mayor complejidad y/o sensibilidad así como de aquellos afectados por la posible concesión del estatuto de protección al denunciante, expedientes que serán objeto de una tramitación reforzada con mayor intensidad.</w:t>
      </w:r>
    </w:p>
    <w:p w14:paraId="1595588C"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1D72B253" w14:textId="34625CD9"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 xml:space="preserve">El Equipo de Análisis e Investigación está actualmente compuesto por un total de </w:t>
      </w:r>
      <w:r w:rsidR="00CE2D15" w:rsidRPr="00A07BE9">
        <w:rPr>
          <w:rFonts w:ascii="Open Sans" w:eastAsia="NSimSun" w:hAnsi="Open Sans" w:cs="Arial"/>
          <w:kern w:val="2"/>
          <w:sz w:val="20"/>
          <w:szCs w:val="20"/>
          <w:lang w:eastAsia="zh-CN" w:bidi="hi-IN"/>
        </w:rPr>
        <w:t>once efectivos entre los que se incluyen dos expertos en tecnologías de la información y comunicación</w:t>
      </w:r>
      <w:r w:rsidRPr="00A07BE9">
        <w:rPr>
          <w:rFonts w:ascii="Open Sans" w:eastAsia="NSimSun" w:hAnsi="Open Sans" w:cs="Arial"/>
          <w:kern w:val="2"/>
          <w:sz w:val="20"/>
          <w:szCs w:val="20"/>
          <w:lang w:eastAsia="zh-CN" w:bidi="hi-IN"/>
        </w:rPr>
        <w:t>. Este personal, cuya composición exacta se define en función de las nuevas incorporaciones producidas en la Dirección de Análisis e Investigación según sus capacidades específicas, se distribuye en dos subequipos, teniendo su razón de ser en criterios operativos, de logística interna y de redistribución de cargas de trabajo. De este modo, si bien cada subequipo puede actuar de manera independiente, en el caso de investigaciones complejas, las mismas pueden ser abordadas por todo el equipo desde un punto de vista integral, asegurándose la coordinación derivada de su integración en una sola unidad de investigación.</w:t>
      </w:r>
    </w:p>
    <w:p w14:paraId="542FEE39"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4DD2D2E7" w14:textId="450834B0"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 xml:space="preserve">La existencia de dos puestos de trabajo con el rango de </w:t>
      </w:r>
      <w:r w:rsidR="0064260A" w:rsidRPr="00A07BE9">
        <w:rPr>
          <w:rFonts w:ascii="Open Sans" w:eastAsia="NSimSun" w:hAnsi="Open Sans" w:cs="Arial"/>
          <w:kern w:val="2"/>
          <w:sz w:val="20"/>
          <w:szCs w:val="20"/>
          <w:lang w:eastAsia="zh-CN" w:bidi="hi-IN"/>
        </w:rPr>
        <w:t>jef</w:t>
      </w:r>
      <w:r w:rsidR="00626413" w:rsidRPr="00A07BE9">
        <w:rPr>
          <w:rFonts w:ascii="Open Sans" w:eastAsia="NSimSun" w:hAnsi="Open Sans" w:cs="Arial"/>
          <w:kern w:val="2"/>
          <w:sz w:val="20"/>
          <w:szCs w:val="20"/>
          <w:lang w:eastAsia="zh-CN" w:bidi="hi-IN"/>
        </w:rPr>
        <w:t>atura</w:t>
      </w:r>
      <w:r w:rsidRPr="00A07BE9">
        <w:rPr>
          <w:rFonts w:ascii="Open Sans" w:eastAsia="NSimSun" w:hAnsi="Open Sans" w:cs="Arial"/>
          <w:kern w:val="2"/>
          <w:sz w:val="20"/>
          <w:szCs w:val="20"/>
          <w:lang w:eastAsia="zh-CN" w:bidi="hi-IN"/>
        </w:rPr>
        <w:t xml:space="preserve"> de Servicio en el Equipo de Análisis e Investigación permiten asegurar la sucesión en el impulso del equipo, así como la toma de decisiones de forma conjunta y consensuada, un apoyo continuo en el desarrollo </w:t>
      </w:r>
      <w:r w:rsidRPr="00A07BE9">
        <w:rPr>
          <w:rFonts w:ascii="Open Sans" w:eastAsia="NSimSun" w:hAnsi="Open Sans" w:cs="Arial"/>
          <w:kern w:val="2"/>
          <w:sz w:val="20"/>
          <w:szCs w:val="20"/>
          <w:lang w:eastAsia="zh-CN" w:bidi="hi-IN"/>
        </w:rPr>
        <w:lastRenderedPageBreak/>
        <w:t>de las investigaciones y un control de calidad de los informes emitidos. Asimismo, de esta manera se garantiza la efectividad de la transmisión del conocimiento, minimizando las posibles pérdidas provocadas por contingencias imprevistas.</w:t>
      </w:r>
    </w:p>
    <w:p w14:paraId="2BF1CBB9"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76214FF2"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Ambos subequipos simultanean la recepción de denuncias y su posterior evaluación con la investigación de aquellos casos en los que se haya detectado la existencia de indicios de posibles irregularidades, considerándose apropiado, en aras a una mejor calidad de la investigación y a efectos de evitar las pérdidas de inteligencia que se producen en la transferencia de conocimientos, que las labores conclusivas sean desarrolladas por el mismo funcionario que evaluó originariamente la denuncia.</w:t>
      </w:r>
    </w:p>
    <w:p w14:paraId="7704EBA6"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12D13F83" w14:textId="15B14CA0"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 xml:space="preserve">Un Equipo de Apoyo y Pericia, cuya principal función es el apoyo a órganos jurisdiccionales, fiscales, policiales y cualquier otro que la </w:t>
      </w:r>
      <w:r w:rsidR="0001775B" w:rsidRPr="00A07BE9">
        <w:rPr>
          <w:rFonts w:ascii="Open Sans" w:eastAsia="NSimSun" w:hAnsi="Open Sans" w:cs="Arial"/>
          <w:kern w:val="2"/>
          <w:sz w:val="20"/>
          <w:szCs w:val="20"/>
          <w:lang w:eastAsia="zh-CN" w:bidi="hi-IN"/>
        </w:rPr>
        <w:t>Dirección de la Agencia</w:t>
      </w:r>
      <w:r w:rsidRPr="00A07BE9">
        <w:rPr>
          <w:rFonts w:ascii="Open Sans" w:eastAsia="NSimSun" w:hAnsi="Open Sans" w:cs="Arial"/>
          <w:kern w:val="2"/>
          <w:sz w:val="20"/>
          <w:szCs w:val="20"/>
          <w:lang w:eastAsia="zh-CN" w:bidi="hi-IN"/>
        </w:rPr>
        <w:t xml:space="preserve"> estime oportuno. El mismo se compone de personal con altas capacidades técnicas y experiencia funcionarial y, a ser posible, de diferentes orígenes, lo que permite dotar a tales apoyos de la calidad necesaria. Al mismo tiempo, ante determinadas causas que por sus características intrínsecas lo requieran o ante un volumen sobredimensionado en el Equipo de Análisis e Investigación, el Equipo de Apoyo y Pericia actuará como equipo de refuerzo del primero o realiza labores de apoyo a su favor.</w:t>
      </w:r>
    </w:p>
    <w:p w14:paraId="007E2FFA"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040343D2"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Este equipo está inicialmente compuesto de un total de 3 efectivos, contando entre ellos un funcionario con rango de Jefatura de Servicio. El resto de integrantes se han definido en función de las nuevas incorporaciones producidas en la Dirección de Análisis e Investigación según sus capacidades específicas. La misión del mismo es la elaboración de los informes que pueden ser solicitados por las autoridades judiciales, fiscales y/o cualquier otra que el o la titular de la Agencia estime oportuno, por lo que preferiblemente se compondrá por funcionarios con dilatada experiencia al servicio de las Administraciones Públicas y conocimientos técnicos en distintas disciplinas, de modo tal que posee capacidad para afrontar con solvencia la emisión de informes que sean requeridos.</w:t>
      </w:r>
    </w:p>
    <w:p w14:paraId="0C4D7309"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1242D189"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Simultáneamente, en el caso de investigaciones seguidas por el Equipo de Análisis e Investigación que revistan una especial complejidad o sensibilidad, el Equipo de Apoyo y Pericia puede realizar estudios concretos que sirvan de apoyo a las actividades realizadas por el primero de ellos o apoyarle en la consecución de las funciones asignadas.</w:t>
      </w:r>
    </w:p>
    <w:p w14:paraId="286D1DE3"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7D20646F" w14:textId="33822BAD"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 xml:space="preserve">En el desarrollo de sus actividades de pericia, cada uno de los miembros del Equipo de Apoyo y Pericia cuentan con la autonomía e independencia inherente a la labor desempeñada, desarrollando </w:t>
      </w:r>
      <w:r w:rsidR="0064260A" w:rsidRPr="00A07BE9">
        <w:rPr>
          <w:rFonts w:ascii="Open Sans" w:eastAsia="NSimSun" w:hAnsi="Open Sans" w:cs="Arial"/>
          <w:kern w:val="2"/>
          <w:sz w:val="20"/>
          <w:szCs w:val="20"/>
          <w:lang w:eastAsia="zh-CN" w:bidi="hi-IN"/>
        </w:rPr>
        <w:t>la jefatura</w:t>
      </w:r>
      <w:r w:rsidRPr="00A07BE9">
        <w:rPr>
          <w:rFonts w:ascii="Open Sans" w:eastAsia="NSimSun" w:hAnsi="Open Sans" w:cs="Arial"/>
          <w:kern w:val="2"/>
          <w:sz w:val="20"/>
          <w:szCs w:val="20"/>
          <w:lang w:eastAsia="zh-CN" w:bidi="hi-IN"/>
        </w:rPr>
        <w:t xml:space="preserve"> de Servicio de este equipo las labores necesarias de coordinación, control y supervisión, asumiendo de forma directa la instrucción de aquellos casos de mayor complejidad y/o sensibilidad, ponderándose para ello el volumen de trabajo existente en el momento concreto, apoyando al resto del equipo en aquello que sea necesario.</w:t>
      </w:r>
    </w:p>
    <w:p w14:paraId="5EB9F9F9"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1FB7A4D8" w14:textId="77681C5A"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Finalmente, la Dirección de Análisis e Investigación cuenta con un</w:t>
      </w:r>
      <w:r w:rsidR="0064260A" w:rsidRPr="00A07BE9">
        <w:rPr>
          <w:rFonts w:ascii="Open Sans" w:eastAsia="NSimSun" w:hAnsi="Open Sans" w:cs="Arial"/>
          <w:kern w:val="2"/>
          <w:sz w:val="20"/>
          <w:szCs w:val="20"/>
          <w:lang w:eastAsia="zh-CN" w:bidi="hi-IN"/>
        </w:rPr>
        <w:t>a jefatura</w:t>
      </w:r>
      <w:r w:rsidRPr="00A07BE9">
        <w:rPr>
          <w:rFonts w:ascii="Open Sans" w:eastAsia="NSimSun" w:hAnsi="Open Sans" w:cs="Arial"/>
          <w:kern w:val="2"/>
          <w:sz w:val="20"/>
          <w:szCs w:val="20"/>
          <w:lang w:eastAsia="zh-CN" w:bidi="hi-IN"/>
        </w:rPr>
        <w:t xml:space="preserve"> de Equipo que, bajo la dependencia directa del titular de la </w:t>
      </w:r>
      <w:r w:rsidR="001908A2" w:rsidRPr="00A07BE9">
        <w:rPr>
          <w:rFonts w:ascii="Open Sans" w:eastAsia="NSimSun" w:hAnsi="Open Sans" w:cs="Arial"/>
          <w:kern w:val="2"/>
          <w:sz w:val="20"/>
          <w:szCs w:val="20"/>
          <w:lang w:eastAsia="zh-CN" w:bidi="hi-IN"/>
        </w:rPr>
        <w:t>d</w:t>
      </w:r>
      <w:r w:rsidRPr="00A07BE9">
        <w:rPr>
          <w:rFonts w:ascii="Open Sans" w:eastAsia="NSimSun" w:hAnsi="Open Sans" w:cs="Arial"/>
          <w:kern w:val="2"/>
          <w:sz w:val="20"/>
          <w:szCs w:val="20"/>
          <w:lang w:eastAsia="zh-CN" w:bidi="hi-IN"/>
        </w:rPr>
        <w:t xml:space="preserve">irección se encarga de las labores de </w:t>
      </w:r>
      <w:r w:rsidRPr="00A07BE9">
        <w:rPr>
          <w:rFonts w:ascii="Open Sans" w:eastAsia="NSimSun" w:hAnsi="Open Sans" w:cs="Arial"/>
          <w:kern w:val="2"/>
          <w:sz w:val="20"/>
          <w:szCs w:val="20"/>
          <w:lang w:eastAsia="zh-CN" w:bidi="hi-IN"/>
        </w:rPr>
        <w:lastRenderedPageBreak/>
        <w:t>alimentación y control de las herramientas informáticas de uso del Área así como de las bases de datos para el seguimiento del estado de tramitación de los expedientes y la elaboración y confección de boletines estadísticos, prestando al mismo tiempo el apoyo administrativo requerido a los diferentes equipos en función de las necesidades de cada momento.</w:t>
      </w:r>
    </w:p>
    <w:p w14:paraId="633BAEB6" w14:textId="77777777" w:rsidR="009568B0" w:rsidRPr="00A07BE9" w:rsidRDefault="009568B0" w:rsidP="009568B0">
      <w:pPr>
        <w:spacing w:after="0" w:line="276" w:lineRule="auto"/>
        <w:jc w:val="both"/>
        <w:rPr>
          <w:rFonts w:ascii="Open Sans" w:eastAsia="NSimSun" w:hAnsi="Open Sans" w:cs="Open Sans"/>
          <w:b/>
          <w:bCs/>
          <w:kern w:val="2"/>
          <w:sz w:val="20"/>
          <w:szCs w:val="20"/>
          <w:lang w:eastAsia="zh-CN" w:bidi="hi-IN"/>
        </w:rPr>
      </w:pPr>
    </w:p>
    <w:p w14:paraId="03AA5775" w14:textId="77777777" w:rsidR="009568B0" w:rsidRPr="00A07BE9" w:rsidRDefault="009568B0" w:rsidP="009568B0">
      <w:pPr>
        <w:spacing w:after="0" w:line="276" w:lineRule="auto"/>
        <w:jc w:val="both"/>
        <w:rPr>
          <w:rFonts w:ascii="Open Sans" w:eastAsia="NSimSun" w:hAnsi="Open Sans" w:cs="Open Sans"/>
          <w:b/>
          <w:bCs/>
          <w:kern w:val="2"/>
          <w:sz w:val="20"/>
          <w:szCs w:val="20"/>
          <w:lang w:eastAsia="zh-CN" w:bidi="hi-IN"/>
        </w:rPr>
      </w:pPr>
    </w:p>
    <w:p w14:paraId="38E9E717" w14:textId="77777777" w:rsidR="009568B0" w:rsidRPr="00A07BE9" w:rsidRDefault="009568B0" w:rsidP="009568B0">
      <w:pPr>
        <w:spacing w:after="0" w:line="276" w:lineRule="auto"/>
        <w:jc w:val="both"/>
        <w:rPr>
          <w:rFonts w:ascii="Open Sans" w:eastAsia="NSimSun" w:hAnsi="Open Sans" w:cs="Arial"/>
          <w:b/>
          <w:bCs/>
          <w:color w:val="9D2235"/>
          <w:kern w:val="2"/>
          <w:sz w:val="32"/>
          <w:szCs w:val="32"/>
          <w:lang w:eastAsia="zh-CN" w:bidi="hi-IN"/>
        </w:rPr>
      </w:pPr>
      <w:r w:rsidRPr="00A07BE9">
        <w:rPr>
          <w:rFonts w:ascii="Open Sans" w:eastAsia="NSimSun" w:hAnsi="Open Sans" w:cs="Arial"/>
          <w:b/>
          <w:bCs/>
          <w:color w:val="9D2235"/>
          <w:kern w:val="2"/>
          <w:sz w:val="32"/>
          <w:szCs w:val="32"/>
          <w:lang w:eastAsia="zh-CN" w:bidi="hi-IN"/>
        </w:rPr>
        <w:t>3.3. DENUNCIAS</w:t>
      </w:r>
    </w:p>
    <w:p w14:paraId="0053310E" w14:textId="77777777" w:rsidR="009568B0" w:rsidRPr="00A07BE9" w:rsidRDefault="009568B0" w:rsidP="009568B0">
      <w:pPr>
        <w:spacing w:after="0" w:line="276" w:lineRule="auto"/>
        <w:jc w:val="both"/>
        <w:rPr>
          <w:rFonts w:ascii="Open Sans" w:eastAsia="NSimSun" w:hAnsi="Open Sans" w:cs="Open Sans"/>
          <w:b/>
          <w:bCs/>
          <w:color w:val="9D2235"/>
          <w:kern w:val="2"/>
          <w:sz w:val="20"/>
          <w:szCs w:val="20"/>
          <w:lang w:eastAsia="zh-CN" w:bidi="hi-IN"/>
        </w:rPr>
      </w:pPr>
    </w:p>
    <w:p w14:paraId="128D9572"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A continuación se exponen datos y detalles acerca de la recepción de denuncias por parte de la Dirección de Análisis e Investigación. </w:t>
      </w:r>
    </w:p>
    <w:p w14:paraId="5CAAE219"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22B0BD52" w14:textId="6BFC824A"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De acuerdo con lo dispuesto en el artículo 11 de la </w:t>
      </w:r>
      <w:hyperlink r:id="rId67" w:history="1">
        <w:r w:rsidR="004C14BF" w:rsidRPr="00A07BE9">
          <w:rPr>
            <w:rStyle w:val="Hipervnculo"/>
            <w:rFonts w:ascii="Open Sans" w:hAnsi="Open Sans" w:cs="Open Sans"/>
            <w:sz w:val="20"/>
            <w:szCs w:val="20"/>
          </w:rPr>
          <w:t>Ley 11/2016</w:t>
        </w:r>
        <w:r w:rsidR="004C14BF" w:rsidRPr="00A07BE9">
          <w:rPr>
            <w:rStyle w:val="Hipervnculo"/>
            <w:rFonts w:ascii="Open Sans" w:hAnsi="Open Sans" w:cs="Open Sans"/>
            <w:color w:val="auto"/>
            <w:sz w:val="20"/>
            <w:szCs w:val="20"/>
            <w:u w:val="none"/>
          </w:rPr>
          <w:t>, de 28 de noviembre, de la</w:t>
        </w:r>
        <w:r w:rsidR="004C14BF" w:rsidRPr="00A07BE9">
          <w:rPr>
            <w:rStyle w:val="Hipervnculo"/>
            <w:rFonts w:ascii="Open Sans" w:hAnsi="Open Sans" w:cs="Open Sans"/>
            <w:sz w:val="20"/>
            <w:szCs w:val="20"/>
          </w:rPr>
          <w:t xml:space="preserve"> </w:t>
        </w:r>
        <w:r w:rsidR="004C14BF" w:rsidRPr="00A07BE9">
          <w:rPr>
            <w:rStyle w:val="Hipervnculo"/>
            <w:rFonts w:ascii="Open Sans" w:hAnsi="Open Sans" w:cs="Open Sans"/>
            <w:color w:val="auto"/>
            <w:sz w:val="20"/>
            <w:szCs w:val="20"/>
            <w:u w:val="none"/>
          </w:rPr>
          <w:t>Generalitat</w:t>
        </w:r>
      </w:hyperlink>
      <w:r w:rsidR="00735102" w:rsidRPr="00A07BE9">
        <w:rPr>
          <w:rFonts w:ascii="Open Sans" w:eastAsia="NSimSun" w:hAnsi="Open Sans" w:cs="Open Sans"/>
          <w:kern w:val="2"/>
          <w:sz w:val="20"/>
          <w:szCs w:val="20"/>
          <w:lang w:eastAsia="zh-CN" w:bidi="hi-IN"/>
        </w:rPr>
        <w:t xml:space="preserve">, </w:t>
      </w:r>
      <w:r w:rsidRPr="00A07BE9">
        <w:rPr>
          <w:rFonts w:ascii="Open Sans" w:eastAsia="NSimSun" w:hAnsi="Open Sans" w:cs="Open Sans"/>
          <w:kern w:val="2"/>
          <w:sz w:val="20"/>
          <w:szCs w:val="20"/>
          <w:lang w:eastAsia="zh-CN" w:bidi="hi-IN"/>
        </w:rPr>
        <w:t xml:space="preserve">de la Agencia de Prevención y Lucha contra el Fraude y la Corrupción de la Comunitat Valenciana, las actuaciones de análisis e investigación de la Agencia se inician de oficio, por acuerdo del director o la </w:t>
      </w:r>
      <w:r w:rsidR="00E9433B" w:rsidRPr="00A07BE9">
        <w:rPr>
          <w:rFonts w:ascii="Open Sans" w:eastAsia="NSimSun" w:hAnsi="Open Sans" w:cs="Open Sans"/>
          <w:kern w:val="2"/>
          <w:sz w:val="20"/>
          <w:szCs w:val="20"/>
          <w:lang w:eastAsia="zh-CN" w:bidi="hi-IN"/>
        </w:rPr>
        <w:t>directora</w:t>
      </w:r>
      <w:r w:rsidRPr="00A07BE9">
        <w:rPr>
          <w:rFonts w:ascii="Open Sans" w:eastAsia="NSimSun" w:hAnsi="Open Sans" w:cs="Open Sans"/>
          <w:kern w:val="2"/>
          <w:sz w:val="20"/>
          <w:szCs w:val="20"/>
          <w:lang w:eastAsia="zh-CN" w:bidi="hi-IN"/>
        </w:rPr>
        <w:t>, previa determinación de la verosimilitud, cuando sea sabedora de hechos o conductas que requieran ser investigados, inspeccionados o que aconsejen realizar un seguimiento y también cuando, después de realizar un análisis de riesgo, los indicadores de riesgo aconsejen la inspección o el seguimiento de determinados hechos o actividades.</w:t>
      </w:r>
    </w:p>
    <w:p w14:paraId="715BAF7A"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6567E077" w14:textId="29FC2F4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El inicio de las actuaciones de oficio se producirá bien por iniciativa propia, como consecuencia de una solicitud de </w:t>
      </w:r>
      <w:r w:rsidR="00901BA1" w:rsidRPr="00A07BE9">
        <w:rPr>
          <w:rFonts w:ascii="Open Sans" w:eastAsia="NSimSun" w:hAnsi="Open Sans" w:cs="Open Sans"/>
          <w:kern w:val="2"/>
          <w:sz w:val="20"/>
          <w:szCs w:val="20"/>
          <w:lang w:eastAsia="zh-CN" w:bidi="hi-IN"/>
        </w:rPr>
        <w:t>l</w:t>
      </w:r>
      <w:r w:rsidRPr="00A07BE9">
        <w:rPr>
          <w:rFonts w:ascii="Open Sans" w:eastAsia="NSimSun" w:hAnsi="Open Sans" w:cs="Open Sans"/>
          <w:kern w:val="2"/>
          <w:sz w:val="20"/>
          <w:szCs w:val="20"/>
          <w:lang w:eastAsia="zh-CN" w:bidi="hi-IN"/>
        </w:rPr>
        <w:t>es Corts o de otros órganos o instituciones públicas, o por denuncia.</w:t>
      </w:r>
    </w:p>
    <w:p w14:paraId="5D1B2CE4"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769603BC" w14:textId="5E686E41"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Cualquier persona puede dirigirse a la </w:t>
      </w:r>
      <w:r w:rsidR="00901BA1" w:rsidRPr="00A07BE9">
        <w:rPr>
          <w:rFonts w:ascii="Open Sans" w:eastAsia="NSimSun" w:hAnsi="Open Sans" w:cs="Open Sans"/>
          <w:kern w:val="2"/>
          <w:sz w:val="20"/>
          <w:szCs w:val="20"/>
          <w:lang w:eastAsia="zh-CN" w:bidi="hi-IN"/>
        </w:rPr>
        <w:t>A</w:t>
      </w:r>
      <w:r w:rsidRPr="00A07BE9">
        <w:rPr>
          <w:rFonts w:ascii="Open Sans" w:eastAsia="NSimSun" w:hAnsi="Open Sans" w:cs="Open Sans"/>
          <w:kern w:val="2"/>
          <w:sz w:val="20"/>
          <w:szCs w:val="20"/>
          <w:lang w:eastAsia="zh-CN" w:bidi="hi-IN"/>
        </w:rPr>
        <w:t xml:space="preserve">gencia para comunicar conductas que puedan ser susceptibles de ser investigadas o inspeccionadas por esta. </w:t>
      </w:r>
    </w:p>
    <w:p w14:paraId="741A4C7D"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2FF547BB" w14:textId="1D342E75"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Las autoridades, los empleados públicos y todos los que cumplan funciones públicas o desarrollen el trabajo en entidades y organismos públicos deben comunicar inmediatamente a la </w:t>
      </w:r>
      <w:r w:rsidR="006E0FAD" w:rsidRPr="00A07BE9">
        <w:rPr>
          <w:rFonts w:ascii="Open Sans" w:eastAsia="NSimSun" w:hAnsi="Open Sans" w:cs="Open Sans"/>
          <w:kern w:val="2"/>
          <w:sz w:val="20"/>
          <w:szCs w:val="20"/>
          <w:lang w:eastAsia="zh-CN" w:bidi="hi-IN"/>
        </w:rPr>
        <w:t>A</w:t>
      </w:r>
      <w:r w:rsidRPr="00A07BE9">
        <w:rPr>
          <w:rFonts w:ascii="Open Sans" w:eastAsia="NSimSun" w:hAnsi="Open Sans" w:cs="Open Sans"/>
          <w:kern w:val="2"/>
          <w:sz w:val="20"/>
          <w:szCs w:val="20"/>
          <w:lang w:eastAsia="zh-CN" w:bidi="hi-IN"/>
        </w:rPr>
        <w:t xml:space="preserve">gencia, desde el momento en que los conozcan, los hechos que puedan ser susceptibles de ser objeto de investigación o inspección por parte de la </w:t>
      </w:r>
      <w:r w:rsidR="006E0FAD" w:rsidRPr="00A07BE9">
        <w:rPr>
          <w:rFonts w:ascii="Open Sans" w:eastAsia="NSimSun" w:hAnsi="Open Sans" w:cs="Open Sans"/>
          <w:kern w:val="2"/>
          <w:sz w:val="20"/>
          <w:szCs w:val="20"/>
          <w:lang w:eastAsia="zh-CN" w:bidi="hi-IN"/>
        </w:rPr>
        <w:t>A</w:t>
      </w:r>
      <w:r w:rsidRPr="00A07BE9">
        <w:rPr>
          <w:rFonts w:ascii="Open Sans" w:eastAsia="NSimSun" w:hAnsi="Open Sans" w:cs="Open Sans"/>
          <w:kern w:val="2"/>
          <w:sz w:val="20"/>
          <w:szCs w:val="20"/>
          <w:lang w:eastAsia="zh-CN" w:bidi="hi-IN"/>
        </w:rPr>
        <w:t>gencia.</w:t>
      </w:r>
    </w:p>
    <w:p w14:paraId="6FCD8F32"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3BFB6F32" w14:textId="2C810BBF"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En todo caso, la persona informadora puede solicitar que se garantice la confidencialidad sobre su identidad.</w:t>
      </w:r>
    </w:p>
    <w:p w14:paraId="6DAC5F92" w14:textId="77777777" w:rsidR="00796025" w:rsidRPr="00A07BE9" w:rsidRDefault="00796025" w:rsidP="009568B0">
      <w:pPr>
        <w:spacing w:after="0" w:line="276" w:lineRule="auto"/>
        <w:jc w:val="both"/>
        <w:rPr>
          <w:rFonts w:ascii="Open Sans" w:eastAsia="NSimSun" w:hAnsi="Open Sans" w:cs="Open Sans"/>
          <w:kern w:val="2"/>
          <w:sz w:val="20"/>
          <w:szCs w:val="20"/>
          <w:lang w:eastAsia="zh-CN" w:bidi="hi-IN"/>
        </w:rPr>
      </w:pPr>
    </w:p>
    <w:p w14:paraId="7E20B696" w14:textId="0C7FE214"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A </w:t>
      </w:r>
      <w:r w:rsidR="00747869" w:rsidRPr="00A07BE9">
        <w:rPr>
          <w:rFonts w:ascii="Open Sans" w:eastAsia="NSimSun" w:hAnsi="Open Sans" w:cs="Open Sans"/>
          <w:kern w:val="2"/>
          <w:sz w:val="20"/>
          <w:szCs w:val="20"/>
          <w:lang w:eastAsia="zh-CN" w:bidi="hi-IN"/>
        </w:rPr>
        <w:t>continuación,</w:t>
      </w:r>
      <w:r w:rsidRPr="00A07BE9">
        <w:rPr>
          <w:rFonts w:ascii="Open Sans" w:eastAsia="NSimSun" w:hAnsi="Open Sans" w:cs="Open Sans"/>
          <w:kern w:val="2"/>
          <w:sz w:val="20"/>
          <w:szCs w:val="20"/>
          <w:lang w:eastAsia="zh-CN" w:bidi="hi-IN"/>
        </w:rPr>
        <w:t xml:space="preserve"> se expone un resumen de las denuncias recibidas desde la creación de la Agencia en la anualidad 2017 hasta la fecha de cierre de datos en 2019, ofreciéndose una visión global de la evolución de cada uno de los aspectos que a continuación se establecen, mediante la inserción de las tablas de datos correspondientes y series gráficas comentadas.</w:t>
      </w:r>
    </w:p>
    <w:p w14:paraId="3458E938" w14:textId="10EC3702"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50E3629C" w14:textId="63B9ABB9" w:rsidR="006C4A99" w:rsidRDefault="006C4A99" w:rsidP="009568B0">
      <w:pPr>
        <w:spacing w:after="0" w:line="276" w:lineRule="auto"/>
        <w:jc w:val="both"/>
        <w:rPr>
          <w:rFonts w:ascii="Open Sans" w:eastAsia="NSimSun" w:hAnsi="Open Sans" w:cs="Open Sans"/>
          <w:kern w:val="2"/>
          <w:sz w:val="20"/>
          <w:szCs w:val="20"/>
          <w:lang w:eastAsia="zh-CN" w:bidi="hi-IN"/>
        </w:rPr>
      </w:pPr>
    </w:p>
    <w:p w14:paraId="64FDBEEF" w14:textId="77777777" w:rsidR="00E232A8" w:rsidRPr="00A07BE9" w:rsidRDefault="00E232A8" w:rsidP="009568B0">
      <w:pPr>
        <w:spacing w:after="0" w:line="276" w:lineRule="auto"/>
        <w:jc w:val="both"/>
        <w:rPr>
          <w:rFonts w:ascii="Open Sans" w:eastAsia="NSimSun" w:hAnsi="Open Sans" w:cs="Open Sans"/>
          <w:kern w:val="2"/>
          <w:sz w:val="20"/>
          <w:szCs w:val="20"/>
          <w:lang w:eastAsia="zh-CN" w:bidi="hi-IN"/>
        </w:rPr>
      </w:pPr>
    </w:p>
    <w:p w14:paraId="51F7EB59" w14:textId="5C02605C"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8"/>
          <w:szCs w:val="28"/>
          <w:lang w:eastAsia="es-ES" w:bidi="hi-IN"/>
        </w:rPr>
      </w:pPr>
      <w:r w:rsidRPr="00A07BE9">
        <w:rPr>
          <w:rFonts w:ascii="Open Sans" w:eastAsia="Times New Roman" w:hAnsi="Open Sans" w:cs="Open Sans"/>
          <w:b/>
          <w:bCs/>
          <w:smallCaps/>
          <w:color w:val="9D2235"/>
          <w:kern w:val="2"/>
          <w:sz w:val="28"/>
          <w:szCs w:val="28"/>
          <w:lang w:eastAsia="es-ES" w:bidi="hi-IN"/>
        </w:rPr>
        <w:lastRenderedPageBreak/>
        <w:t>3.3.1. Denuncias Presentadas por Ámbito Subjetivo</w:t>
      </w:r>
    </w:p>
    <w:p w14:paraId="2F0CA5A7" w14:textId="77777777"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0"/>
          <w:szCs w:val="20"/>
          <w:lang w:eastAsia="es-ES" w:bidi="hi-IN"/>
        </w:rPr>
      </w:pPr>
    </w:p>
    <w:p w14:paraId="133BB5DD"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Contempla la clasificación de las denuncias presentadas en base al ámbito o sector de la institución, administración, entidad o persona al que se refiere la comunicación de hechos o denuncia recibida. </w:t>
      </w:r>
    </w:p>
    <w:p w14:paraId="74BC899E"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7FF86449" w14:textId="38B04AAB"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Se han agrupado los expedientes en los sectores incluidos en el ámbito de aplicación de actuación de la Agencia y recogidos en el artículo 3 de </w:t>
      </w:r>
      <w:hyperlink r:id="rId68" w:history="1">
        <w:r w:rsidR="004C14BF" w:rsidRPr="00A07BE9">
          <w:rPr>
            <w:rStyle w:val="Hipervnculo"/>
            <w:rFonts w:ascii="Open Sans" w:hAnsi="Open Sans" w:cs="Open Sans"/>
            <w:sz w:val="20"/>
            <w:szCs w:val="20"/>
          </w:rPr>
          <w:t>Ley 11/2016</w:t>
        </w:r>
        <w:r w:rsidR="004C14BF" w:rsidRPr="00A07BE9">
          <w:rPr>
            <w:rStyle w:val="Hipervnculo"/>
            <w:rFonts w:ascii="Open Sans" w:hAnsi="Open Sans" w:cs="Open Sans"/>
            <w:color w:val="auto"/>
            <w:sz w:val="20"/>
            <w:szCs w:val="20"/>
            <w:u w:val="none"/>
          </w:rPr>
          <w:t>, de 28 de noviembre, de</w:t>
        </w:r>
        <w:r w:rsidR="004C14BF" w:rsidRPr="00A07BE9">
          <w:rPr>
            <w:rStyle w:val="Hipervnculo"/>
            <w:rFonts w:ascii="Open Sans" w:hAnsi="Open Sans" w:cs="Open Sans"/>
            <w:sz w:val="20"/>
            <w:szCs w:val="20"/>
          </w:rPr>
          <w:t xml:space="preserve"> </w:t>
        </w:r>
        <w:r w:rsidR="004C14BF" w:rsidRPr="00A07BE9">
          <w:rPr>
            <w:rStyle w:val="Hipervnculo"/>
            <w:rFonts w:ascii="Open Sans" w:hAnsi="Open Sans" w:cs="Open Sans"/>
            <w:color w:val="auto"/>
            <w:sz w:val="20"/>
            <w:szCs w:val="20"/>
            <w:u w:val="none"/>
          </w:rPr>
          <w:t>la Generalitat</w:t>
        </w:r>
      </w:hyperlink>
      <w:r w:rsidRPr="00A07BE9">
        <w:rPr>
          <w:rFonts w:ascii="Open Sans" w:eastAsia="NSimSun" w:hAnsi="Open Sans" w:cs="Open Sans"/>
          <w:kern w:val="2"/>
          <w:sz w:val="20"/>
          <w:szCs w:val="20"/>
          <w:lang w:eastAsia="zh-CN" w:bidi="hi-IN"/>
        </w:rPr>
        <w:t>:</w:t>
      </w:r>
    </w:p>
    <w:p w14:paraId="62365CAA"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78DF38BE" w14:textId="33562DD3" w:rsidR="009568B0" w:rsidRPr="00A07BE9" w:rsidRDefault="009568B0" w:rsidP="009568B0">
      <w:pPr>
        <w:spacing w:after="0" w:line="276" w:lineRule="auto"/>
        <w:rPr>
          <w:rFonts w:ascii="Open Sans" w:eastAsia="NSimSun" w:hAnsi="Open Sans" w:cs="Open Sans"/>
          <w:b/>
          <w:kern w:val="2"/>
          <w:sz w:val="20"/>
          <w:szCs w:val="20"/>
          <w:lang w:eastAsia="zh-CN" w:bidi="hi-IN"/>
        </w:rPr>
      </w:pPr>
      <w:r w:rsidRPr="00A07BE9">
        <w:rPr>
          <w:rFonts w:ascii="Open Sans" w:eastAsia="NSimSun" w:hAnsi="Open Sans" w:cs="Open Sans"/>
          <w:b/>
          <w:color w:val="9D2235"/>
          <w:kern w:val="2"/>
          <w:sz w:val="20"/>
          <w:szCs w:val="20"/>
          <w:lang w:eastAsia="zh-CN" w:bidi="hi-IN"/>
        </w:rPr>
        <w:t xml:space="preserve">Tabla </w:t>
      </w:r>
      <w:r w:rsidR="000607A6" w:rsidRPr="00A07BE9">
        <w:rPr>
          <w:rFonts w:ascii="Open Sans" w:eastAsia="NSimSun" w:hAnsi="Open Sans" w:cs="Open Sans"/>
          <w:b/>
          <w:color w:val="9D2235"/>
          <w:kern w:val="2"/>
          <w:sz w:val="20"/>
          <w:szCs w:val="20"/>
          <w:lang w:eastAsia="zh-CN" w:bidi="hi-IN"/>
        </w:rPr>
        <w:t>5</w:t>
      </w:r>
      <w:r w:rsidRPr="00A07BE9">
        <w:rPr>
          <w:rFonts w:ascii="Open Sans" w:eastAsia="NSimSun" w:hAnsi="Open Sans" w:cs="Open Sans"/>
          <w:b/>
          <w:color w:val="9D2235"/>
          <w:kern w:val="2"/>
          <w:sz w:val="20"/>
          <w:szCs w:val="20"/>
          <w:lang w:eastAsia="zh-CN" w:bidi="hi-IN"/>
        </w:rPr>
        <w:t xml:space="preserve">. </w:t>
      </w:r>
      <w:r w:rsidRPr="00A07BE9">
        <w:rPr>
          <w:rFonts w:ascii="Open Sans" w:eastAsia="NSimSun" w:hAnsi="Open Sans" w:cs="Open Sans"/>
          <w:b/>
          <w:kern w:val="2"/>
          <w:sz w:val="20"/>
          <w:szCs w:val="20"/>
          <w:lang w:eastAsia="zh-CN" w:bidi="hi-IN"/>
        </w:rPr>
        <w:t>Denuncias presentadas por ámbito subjetivo.</w:t>
      </w:r>
    </w:p>
    <w:tbl>
      <w:tblPr>
        <w:tblW w:w="5000" w:type="pct"/>
        <w:tblCellMar>
          <w:left w:w="70" w:type="dxa"/>
          <w:right w:w="70" w:type="dxa"/>
        </w:tblCellMar>
        <w:tblLook w:val="04A0" w:firstRow="1" w:lastRow="0" w:firstColumn="1" w:lastColumn="0" w:noHBand="0" w:noVBand="1"/>
      </w:tblPr>
      <w:tblGrid>
        <w:gridCol w:w="2851"/>
        <w:gridCol w:w="941"/>
        <w:gridCol w:w="941"/>
        <w:gridCol w:w="941"/>
        <w:gridCol w:w="941"/>
        <w:gridCol w:w="941"/>
        <w:gridCol w:w="938"/>
      </w:tblGrid>
      <w:tr w:rsidR="009568B0" w:rsidRPr="00A07BE9" w14:paraId="6EF464B3" w14:textId="77777777" w:rsidTr="00884961">
        <w:trPr>
          <w:trHeight w:val="312"/>
        </w:trPr>
        <w:tc>
          <w:tcPr>
            <w:tcW w:w="1678" w:type="pct"/>
            <w:tcBorders>
              <w:top w:val="single" w:sz="4" w:space="0" w:color="auto"/>
              <w:left w:val="single" w:sz="4" w:space="0" w:color="auto"/>
              <w:bottom w:val="single" w:sz="4" w:space="0" w:color="auto"/>
              <w:right w:val="single" w:sz="4" w:space="0" w:color="auto"/>
            </w:tcBorders>
            <w:shd w:val="clear" w:color="auto" w:fill="C6C6C6"/>
            <w:noWrap/>
            <w:vAlign w:val="center"/>
            <w:hideMark/>
          </w:tcPr>
          <w:p w14:paraId="2690D1D4" w14:textId="77777777" w:rsidR="009568B0" w:rsidRPr="00A07BE9" w:rsidRDefault="009568B0" w:rsidP="009568B0">
            <w:pPr>
              <w:spacing w:after="0" w:line="240" w:lineRule="auto"/>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ENTES DENUNCIADOS</w:t>
            </w:r>
          </w:p>
        </w:tc>
        <w:tc>
          <w:tcPr>
            <w:tcW w:w="554" w:type="pct"/>
            <w:tcBorders>
              <w:top w:val="single" w:sz="4" w:space="0" w:color="auto"/>
              <w:left w:val="nil"/>
              <w:bottom w:val="single" w:sz="4" w:space="0" w:color="auto"/>
              <w:right w:val="single" w:sz="4" w:space="0" w:color="auto"/>
            </w:tcBorders>
            <w:shd w:val="clear" w:color="auto" w:fill="C6C6C6"/>
            <w:noWrap/>
            <w:vAlign w:val="center"/>
            <w:hideMark/>
          </w:tcPr>
          <w:p w14:paraId="1CCE6EC9"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2017</w:t>
            </w:r>
          </w:p>
        </w:tc>
        <w:tc>
          <w:tcPr>
            <w:tcW w:w="554" w:type="pct"/>
            <w:tcBorders>
              <w:top w:val="single" w:sz="4" w:space="0" w:color="auto"/>
              <w:left w:val="nil"/>
              <w:bottom w:val="single" w:sz="4" w:space="0" w:color="auto"/>
              <w:right w:val="single" w:sz="4" w:space="0" w:color="auto"/>
            </w:tcBorders>
            <w:shd w:val="clear" w:color="auto" w:fill="C6C6C6"/>
            <w:noWrap/>
            <w:vAlign w:val="center"/>
            <w:hideMark/>
          </w:tcPr>
          <w:p w14:paraId="367CD469"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 xml:space="preserve"> 2017 %</w:t>
            </w:r>
          </w:p>
        </w:tc>
        <w:tc>
          <w:tcPr>
            <w:tcW w:w="554" w:type="pct"/>
            <w:tcBorders>
              <w:top w:val="single" w:sz="4" w:space="0" w:color="auto"/>
              <w:left w:val="nil"/>
              <w:bottom w:val="single" w:sz="4" w:space="0" w:color="auto"/>
              <w:right w:val="single" w:sz="4" w:space="0" w:color="auto"/>
            </w:tcBorders>
            <w:shd w:val="clear" w:color="auto" w:fill="C6C6C6"/>
            <w:noWrap/>
            <w:vAlign w:val="center"/>
            <w:hideMark/>
          </w:tcPr>
          <w:p w14:paraId="6DED8D3E"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2018</w:t>
            </w:r>
          </w:p>
        </w:tc>
        <w:tc>
          <w:tcPr>
            <w:tcW w:w="554" w:type="pct"/>
            <w:tcBorders>
              <w:top w:val="single" w:sz="4" w:space="0" w:color="auto"/>
              <w:left w:val="nil"/>
              <w:bottom w:val="single" w:sz="4" w:space="0" w:color="auto"/>
              <w:right w:val="single" w:sz="4" w:space="0" w:color="auto"/>
            </w:tcBorders>
            <w:shd w:val="clear" w:color="auto" w:fill="C6C6C6"/>
            <w:noWrap/>
            <w:vAlign w:val="center"/>
            <w:hideMark/>
          </w:tcPr>
          <w:p w14:paraId="4D508034"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 xml:space="preserve"> 2018 %</w:t>
            </w:r>
          </w:p>
        </w:tc>
        <w:tc>
          <w:tcPr>
            <w:tcW w:w="554" w:type="pct"/>
            <w:tcBorders>
              <w:top w:val="single" w:sz="4" w:space="0" w:color="auto"/>
              <w:left w:val="nil"/>
              <w:bottom w:val="single" w:sz="4" w:space="0" w:color="auto"/>
              <w:right w:val="single" w:sz="4" w:space="0" w:color="auto"/>
            </w:tcBorders>
            <w:shd w:val="clear" w:color="auto" w:fill="C6C6C6"/>
            <w:noWrap/>
            <w:vAlign w:val="center"/>
            <w:hideMark/>
          </w:tcPr>
          <w:p w14:paraId="24532E53"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2019</w:t>
            </w:r>
          </w:p>
        </w:tc>
        <w:tc>
          <w:tcPr>
            <w:tcW w:w="552" w:type="pct"/>
            <w:tcBorders>
              <w:top w:val="single" w:sz="4" w:space="0" w:color="auto"/>
              <w:left w:val="nil"/>
              <w:bottom w:val="single" w:sz="4" w:space="0" w:color="auto"/>
              <w:right w:val="single" w:sz="4" w:space="0" w:color="auto"/>
            </w:tcBorders>
            <w:shd w:val="clear" w:color="auto" w:fill="C6C6C6"/>
            <w:noWrap/>
            <w:vAlign w:val="center"/>
            <w:hideMark/>
          </w:tcPr>
          <w:p w14:paraId="2624DB0E"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 xml:space="preserve"> 2019 %</w:t>
            </w:r>
          </w:p>
        </w:tc>
      </w:tr>
      <w:tr w:rsidR="009568B0" w:rsidRPr="00A07BE9" w14:paraId="444F5D52" w14:textId="77777777" w:rsidTr="00884961">
        <w:trPr>
          <w:trHeight w:val="312"/>
        </w:trPr>
        <w:tc>
          <w:tcPr>
            <w:tcW w:w="1678" w:type="pct"/>
            <w:tcBorders>
              <w:top w:val="nil"/>
              <w:left w:val="single" w:sz="4" w:space="0" w:color="auto"/>
              <w:bottom w:val="single" w:sz="4" w:space="0" w:color="auto"/>
              <w:right w:val="single" w:sz="4" w:space="0" w:color="auto"/>
            </w:tcBorders>
            <w:shd w:val="clear" w:color="auto" w:fill="auto"/>
            <w:noWrap/>
            <w:vAlign w:val="center"/>
            <w:hideMark/>
          </w:tcPr>
          <w:p w14:paraId="30C82535"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Instituciones estatutarias</w:t>
            </w:r>
          </w:p>
        </w:tc>
        <w:tc>
          <w:tcPr>
            <w:tcW w:w="554" w:type="pct"/>
            <w:tcBorders>
              <w:top w:val="nil"/>
              <w:left w:val="nil"/>
              <w:bottom w:val="single" w:sz="4" w:space="0" w:color="auto"/>
              <w:right w:val="single" w:sz="4" w:space="0" w:color="auto"/>
            </w:tcBorders>
            <w:shd w:val="clear" w:color="auto" w:fill="auto"/>
            <w:noWrap/>
            <w:vAlign w:val="center"/>
            <w:hideMark/>
          </w:tcPr>
          <w:p w14:paraId="0948379A"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w:t>
            </w:r>
          </w:p>
        </w:tc>
        <w:tc>
          <w:tcPr>
            <w:tcW w:w="554" w:type="pct"/>
            <w:tcBorders>
              <w:top w:val="nil"/>
              <w:left w:val="nil"/>
              <w:bottom w:val="single" w:sz="4" w:space="0" w:color="auto"/>
              <w:right w:val="single" w:sz="4" w:space="0" w:color="auto"/>
            </w:tcBorders>
            <w:shd w:val="clear" w:color="auto" w:fill="auto"/>
            <w:noWrap/>
            <w:vAlign w:val="center"/>
            <w:hideMark/>
          </w:tcPr>
          <w:p w14:paraId="3289BE27"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3 %</w:t>
            </w:r>
          </w:p>
        </w:tc>
        <w:tc>
          <w:tcPr>
            <w:tcW w:w="554" w:type="pct"/>
            <w:tcBorders>
              <w:top w:val="nil"/>
              <w:left w:val="nil"/>
              <w:bottom w:val="single" w:sz="4" w:space="0" w:color="auto"/>
              <w:right w:val="single" w:sz="4" w:space="0" w:color="auto"/>
            </w:tcBorders>
            <w:shd w:val="clear" w:color="auto" w:fill="auto"/>
            <w:noWrap/>
            <w:vAlign w:val="center"/>
            <w:hideMark/>
          </w:tcPr>
          <w:p w14:paraId="6950A247"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3</w:t>
            </w:r>
          </w:p>
        </w:tc>
        <w:tc>
          <w:tcPr>
            <w:tcW w:w="554" w:type="pct"/>
            <w:tcBorders>
              <w:top w:val="nil"/>
              <w:left w:val="nil"/>
              <w:bottom w:val="single" w:sz="4" w:space="0" w:color="auto"/>
              <w:right w:val="single" w:sz="4" w:space="0" w:color="auto"/>
            </w:tcBorders>
            <w:shd w:val="clear" w:color="auto" w:fill="auto"/>
            <w:noWrap/>
            <w:vAlign w:val="center"/>
            <w:hideMark/>
          </w:tcPr>
          <w:p w14:paraId="556E5BE7"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2 %</w:t>
            </w:r>
          </w:p>
        </w:tc>
        <w:tc>
          <w:tcPr>
            <w:tcW w:w="554" w:type="pct"/>
            <w:tcBorders>
              <w:top w:val="nil"/>
              <w:left w:val="nil"/>
              <w:bottom w:val="single" w:sz="4" w:space="0" w:color="auto"/>
              <w:right w:val="single" w:sz="4" w:space="0" w:color="auto"/>
            </w:tcBorders>
            <w:shd w:val="clear" w:color="auto" w:fill="auto"/>
            <w:noWrap/>
            <w:vAlign w:val="center"/>
            <w:hideMark/>
          </w:tcPr>
          <w:p w14:paraId="05C88C28"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w:t>
            </w:r>
          </w:p>
        </w:tc>
        <w:tc>
          <w:tcPr>
            <w:tcW w:w="552" w:type="pct"/>
            <w:tcBorders>
              <w:top w:val="nil"/>
              <w:left w:val="nil"/>
              <w:bottom w:val="single" w:sz="4" w:space="0" w:color="auto"/>
              <w:right w:val="single" w:sz="4" w:space="0" w:color="auto"/>
            </w:tcBorders>
            <w:shd w:val="clear" w:color="auto" w:fill="auto"/>
            <w:noWrap/>
            <w:vAlign w:val="center"/>
            <w:hideMark/>
          </w:tcPr>
          <w:p w14:paraId="79B588D5"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1 %</w:t>
            </w:r>
          </w:p>
        </w:tc>
      </w:tr>
      <w:tr w:rsidR="009568B0" w:rsidRPr="00A07BE9" w14:paraId="167D6BC6" w14:textId="77777777" w:rsidTr="00884961">
        <w:trPr>
          <w:trHeight w:val="312"/>
        </w:trPr>
        <w:tc>
          <w:tcPr>
            <w:tcW w:w="1678" w:type="pct"/>
            <w:tcBorders>
              <w:top w:val="nil"/>
              <w:left w:val="single" w:sz="4" w:space="0" w:color="auto"/>
              <w:bottom w:val="single" w:sz="4" w:space="0" w:color="auto"/>
              <w:right w:val="single" w:sz="4" w:space="0" w:color="auto"/>
            </w:tcBorders>
            <w:shd w:val="clear" w:color="auto" w:fill="auto"/>
            <w:noWrap/>
            <w:vAlign w:val="center"/>
            <w:hideMark/>
          </w:tcPr>
          <w:p w14:paraId="33BBFC10"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Generalitat Valenciana</w:t>
            </w:r>
          </w:p>
        </w:tc>
        <w:tc>
          <w:tcPr>
            <w:tcW w:w="554" w:type="pct"/>
            <w:tcBorders>
              <w:top w:val="nil"/>
              <w:left w:val="nil"/>
              <w:bottom w:val="single" w:sz="4" w:space="0" w:color="auto"/>
              <w:right w:val="single" w:sz="4" w:space="0" w:color="auto"/>
            </w:tcBorders>
            <w:shd w:val="clear" w:color="auto" w:fill="auto"/>
            <w:noWrap/>
            <w:vAlign w:val="center"/>
            <w:hideMark/>
          </w:tcPr>
          <w:p w14:paraId="4DC1D385"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8</w:t>
            </w:r>
          </w:p>
        </w:tc>
        <w:tc>
          <w:tcPr>
            <w:tcW w:w="554" w:type="pct"/>
            <w:tcBorders>
              <w:top w:val="nil"/>
              <w:left w:val="nil"/>
              <w:bottom w:val="single" w:sz="4" w:space="0" w:color="auto"/>
              <w:right w:val="single" w:sz="4" w:space="0" w:color="auto"/>
            </w:tcBorders>
            <w:shd w:val="clear" w:color="auto" w:fill="auto"/>
            <w:noWrap/>
            <w:vAlign w:val="center"/>
            <w:hideMark/>
          </w:tcPr>
          <w:p w14:paraId="1FDC69C3"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23 %</w:t>
            </w:r>
          </w:p>
        </w:tc>
        <w:tc>
          <w:tcPr>
            <w:tcW w:w="554" w:type="pct"/>
            <w:tcBorders>
              <w:top w:val="nil"/>
              <w:left w:val="nil"/>
              <w:bottom w:val="single" w:sz="4" w:space="0" w:color="auto"/>
              <w:right w:val="single" w:sz="4" w:space="0" w:color="auto"/>
            </w:tcBorders>
            <w:shd w:val="clear" w:color="auto" w:fill="auto"/>
            <w:noWrap/>
            <w:vAlign w:val="center"/>
            <w:hideMark/>
          </w:tcPr>
          <w:p w14:paraId="65D22C83"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52</w:t>
            </w:r>
          </w:p>
        </w:tc>
        <w:tc>
          <w:tcPr>
            <w:tcW w:w="554" w:type="pct"/>
            <w:tcBorders>
              <w:top w:val="nil"/>
              <w:left w:val="nil"/>
              <w:bottom w:val="single" w:sz="4" w:space="0" w:color="auto"/>
              <w:right w:val="single" w:sz="4" w:space="0" w:color="auto"/>
            </w:tcBorders>
            <w:shd w:val="clear" w:color="auto" w:fill="auto"/>
            <w:noWrap/>
            <w:vAlign w:val="center"/>
            <w:hideMark/>
          </w:tcPr>
          <w:p w14:paraId="4B029327"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29 %</w:t>
            </w:r>
          </w:p>
        </w:tc>
        <w:tc>
          <w:tcPr>
            <w:tcW w:w="554" w:type="pct"/>
            <w:tcBorders>
              <w:top w:val="nil"/>
              <w:left w:val="nil"/>
              <w:bottom w:val="single" w:sz="4" w:space="0" w:color="auto"/>
              <w:right w:val="single" w:sz="4" w:space="0" w:color="auto"/>
            </w:tcBorders>
            <w:shd w:val="clear" w:color="auto" w:fill="auto"/>
            <w:noWrap/>
            <w:vAlign w:val="center"/>
            <w:hideMark/>
          </w:tcPr>
          <w:p w14:paraId="3CD418C8"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23</w:t>
            </w:r>
          </w:p>
        </w:tc>
        <w:tc>
          <w:tcPr>
            <w:tcW w:w="552" w:type="pct"/>
            <w:tcBorders>
              <w:top w:val="nil"/>
              <w:left w:val="nil"/>
              <w:bottom w:val="single" w:sz="4" w:space="0" w:color="auto"/>
              <w:right w:val="single" w:sz="4" w:space="0" w:color="auto"/>
            </w:tcBorders>
            <w:shd w:val="clear" w:color="auto" w:fill="auto"/>
            <w:noWrap/>
            <w:vAlign w:val="center"/>
            <w:hideMark/>
          </w:tcPr>
          <w:p w14:paraId="2FC793CA"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14 %</w:t>
            </w:r>
          </w:p>
        </w:tc>
      </w:tr>
      <w:tr w:rsidR="009568B0" w:rsidRPr="00A07BE9" w14:paraId="74F467A3" w14:textId="77777777" w:rsidTr="00884961">
        <w:trPr>
          <w:trHeight w:val="312"/>
        </w:trPr>
        <w:tc>
          <w:tcPr>
            <w:tcW w:w="1678" w:type="pct"/>
            <w:tcBorders>
              <w:top w:val="nil"/>
              <w:left w:val="single" w:sz="4" w:space="0" w:color="auto"/>
              <w:bottom w:val="single" w:sz="4" w:space="0" w:color="auto"/>
              <w:right w:val="single" w:sz="4" w:space="0" w:color="auto"/>
            </w:tcBorders>
            <w:shd w:val="clear" w:color="auto" w:fill="auto"/>
            <w:noWrap/>
            <w:vAlign w:val="center"/>
            <w:hideMark/>
          </w:tcPr>
          <w:p w14:paraId="649C5807"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Administración Municipal</w:t>
            </w:r>
          </w:p>
        </w:tc>
        <w:tc>
          <w:tcPr>
            <w:tcW w:w="554" w:type="pct"/>
            <w:tcBorders>
              <w:top w:val="nil"/>
              <w:left w:val="nil"/>
              <w:bottom w:val="single" w:sz="4" w:space="0" w:color="auto"/>
              <w:right w:val="single" w:sz="4" w:space="0" w:color="auto"/>
            </w:tcBorders>
            <w:shd w:val="clear" w:color="auto" w:fill="auto"/>
            <w:noWrap/>
            <w:vAlign w:val="center"/>
            <w:hideMark/>
          </w:tcPr>
          <w:p w14:paraId="5CEA0139"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21</w:t>
            </w:r>
          </w:p>
        </w:tc>
        <w:tc>
          <w:tcPr>
            <w:tcW w:w="554" w:type="pct"/>
            <w:tcBorders>
              <w:top w:val="nil"/>
              <w:left w:val="nil"/>
              <w:bottom w:val="single" w:sz="4" w:space="0" w:color="auto"/>
              <w:right w:val="single" w:sz="4" w:space="0" w:color="auto"/>
            </w:tcBorders>
            <w:shd w:val="clear" w:color="auto" w:fill="auto"/>
            <w:noWrap/>
            <w:vAlign w:val="center"/>
            <w:hideMark/>
          </w:tcPr>
          <w:p w14:paraId="183DCB24"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60 %</w:t>
            </w:r>
          </w:p>
        </w:tc>
        <w:tc>
          <w:tcPr>
            <w:tcW w:w="554" w:type="pct"/>
            <w:tcBorders>
              <w:top w:val="nil"/>
              <w:left w:val="nil"/>
              <w:bottom w:val="single" w:sz="4" w:space="0" w:color="auto"/>
              <w:right w:val="single" w:sz="4" w:space="0" w:color="auto"/>
            </w:tcBorders>
            <w:shd w:val="clear" w:color="auto" w:fill="auto"/>
            <w:noWrap/>
            <w:vAlign w:val="center"/>
            <w:hideMark/>
          </w:tcPr>
          <w:p w14:paraId="15A6D8FB"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81</w:t>
            </w:r>
          </w:p>
        </w:tc>
        <w:tc>
          <w:tcPr>
            <w:tcW w:w="554" w:type="pct"/>
            <w:tcBorders>
              <w:top w:val="nil"/>
              <w:left w:val="nil"/>
              <w:bottom w:val="single" w:sz="4" w:space="0" w:color="auto"/>
              <w:right w:val="single" w:sz="4" w:space="0" w:color="auto"/>
            </w:tcBorders>
            <w:shd w:val="clear" w:color="auto" w:fill="auto"/>
            <w:noWrap/>
            <w:vAlign w:val="center"/>
            <w:hideMark/>
          </w:tcPr>
          <w:p w14:paraId="3CDED1CD"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45 %</w:t>
            </w:r>
          </w:p>
        </w:tc>
        <w:tc>
          <w:tcPr>
            <w:tcW w:w="554" w:type="pct"/>
            <w:tcBorders>
              <w:top w:val="nil"/>
              <w:left w:val="nil"/>
              <w:bottom w:val="single" w:sz="4" w:space="0" w:color="auto"/>
              <w:right w:val="single" w:sz="4" w:space="0" w:color="auto"/>
            </w:tcBorders>
            <w:shd w:val="clear" w:color="auto" w:fill="auto"/>
            <w:noWrap/>
            <w:vAlign w:val="center"/>
            <w:hideMark/>
          </w:tcPr>
          <w:p w14:paraId="4B237D4A"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87</w:t>
            </w:r>
          </w:p>
        </w:tc>
        <w:tc>
          <w:tcPr>
            <w:tcW w:w="552" w:type="pct"/>
            <w:tcBorders>
              <w:top w:val="nil"/>
              <w:left w:val="nil"/>
              <w:bottom w:val="single" w:sz="4" w:space="0" w:color="auto"/>
              <w:right w:val="single" w:sz="4" w:space="0" w:color="auto"/>
            </w:tcBorders>
            <w:shd w:val="clear" w:color="auto" w:fill="auto"/>
            <w:noWrap/>
            <w:vAlign w:val="center"/>
            <w:hideMark/>
          </w:tcPr>
          <w:p w14:paraId="2B8A553A"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52 %</w:t>
            </w:r>
          </w:p>
        </w:tc>
      </w:tr>
      <w:tr w:rsidR="009568B0" w:rsidRPr="00A07BE9" w14:paraId="0035CFA4" w14:textId="77777777" w:rsidTr="00884961">
        <w:trPr>
          <w:trHeight w:val="312"/>
        </w:trPr>
        <w:tc>
          <w:tcPr>
            <w:tcW w:w="1678" w:type="pct"/>
            <w:tcBorders>
              <w:top w:val="nil"/>
              <w:left w:val="single" w:sz="4" w:space="0" w:color="auto"/>
              <w:bottom w:val="single" w:sz="4" w:space="0" w:color="auto"/>
              <w:right w:val="single" w:sz="4" w:space="0" w:color="auto"/>
            </w:tcBorders>
            <w:shd w:val="clear" w:color="auto" w:fill="auto"/>
            <w:noWrap/>
            <w:vAlign w:val="center"/>
            <w:hideMark/>
          </w:tcPr>
          <w:p w14:paraId="5F38C2B0"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Diputaciones Provinciales</w:t>
            </w:r>
          </w:p>
        </w:tc>
        <w:tc>
          <w:tcPr>
            <w:tcW w:w="554" w:type="pct"/>
            <w:tcBorders>
              <w:top w:val="nil"/>
              <w:left w:val="nil"/>
              <w:bottom w:val="single" w:sz="4" w:space="0" w:color="auto"/>
              <w:right w:val="single" w:sz="4" w:space="0" w:color="auto"/>
            </w:tcBorders>
            <w:shd w:val="clear" w:color="auto" w:fill="auto"/>
            <w:noWrap/>
            <w:vAlign w:val="center"/>
            <w:hideMark/>
          </w:tcPr>
          <w:p w14:paraId="1F91B820"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w:t>
            </w:r>
          </w:p>
        </w:tc>
        <w:tc>
          <w:tcPr>
            <w:tcW w:w="554" w:type="pct"/>
            <w:tcBorders>
              <w:top w:val="nil"/>
              <w:left w:val="nil"/>
              <w:bottom w:val="single" w:sz="4" w:space="0" w:color="auto"/>
              <w:right w:val="single" w:sz="4" w:space="0" w:color="auto"/>
            </w:tcBorders>
            <w:shd w:val="clear" w:color="auto" w:fill="auto"/>
            <w:noWrap/>
            <w:vAlign w:val="center"/>
            <w:hideMark/>
          </w:tcPr>
          <w:p w14:paraId="34516377"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3 %</w:t>
            </w:r>
          </w:p>
        </w:tc>
        <w:tc>
          <w:tcPr>
            <w:tcW w:w="554" w:type="pct"/>
            <w:tcBorders>
              <w:top w:val="nil"/>
              <w:left w:val="nil"/>
              <w:bottom w:val="single" w:sz="4" w:space="0" w:color="auto"/>
              <w:right w:val="single" w:sz="4" w:space="0" w:color="auto"/>
            </w:tcBorders>
            <w:shd w:val="clear" w:color="auto" w:fill="auto"/>
            <w:noWrap/>
            <w:vAlign w:val="center"/>
            <w:hideMark/>
          </w:tcPr>
          <w:p w14:paraId="31619CC8"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16</w:t>
            </w:r>
          </w:p>
        </w:tc>
        <w:tc>
          <w:tcPr>
            <w:tcW w:w="554" w:type="pct"/>
            <w:tcBorders>
              <w:top w:val="nil"/>
              <w:left w:val="nil"/>
              <w:bottom w:val="single" w:sz="4" w:space="0" w:color="auto"/>
              <w:right w:val="single" w:sz="4" w:space="0" w:color="auto"/>
            </w:tcBorders>
            <w:shd w:val="clear" w:color="auto" w:fill="auto"/>
            <w:noWrap/>
            <w:vAlign w:val="center"/>
            <w:hideMark/>
          </w:tcPr>
          <w:p w14:paraId="08C86240"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9 %</w:t>
            </w:r>
          </w:p>
        </w:tc>
        <w:tc>
          <w:tcPr>
            <w:tcW w:w="554" w:type="pct"/>
            <w:tcBorders>
              <w:top w:val="nil"/>
              <w:left w:val="nil"/>
              <w:bottom w:val="single" w:sz="4" w:space="0" w:color="auto"/>
              <w:right w:val="single" w:sz="4" w:space="0" w:color="auto"/>
            </w:tcBorders>
            <w:shd w:val="clear" w:color="auto" w:fill="auto"/>
            <w:noWrap/>
            <w:vAlign w:val="center"/>
            <w:hideMark/>
          </w:tcPr>
          <w:p w14:paraId="0A6DF091"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8</w:t>
            </w:r>
          </w:p>
        </w:tc>
        <w:tc>
          <w:tcPr>
            <w:tcW w:w="552" w:type="pct"/>
            <w:tcBorders>
              <w:top w:val="nil"/>
              <w:left w:val="nil"/>
              <w:bottom w:val="single" w:sz="4" w:space="0" w:color="auto"/>
              <w:right w:val="single" w:sz="4" w:space="0" w:color="auto"/>
            </w:tcBorders>
            <w:shd w:val="clear" w:color="auto" w:fill="auto"/>
            <w:noWrap/>
            <w:vAlign w:val="center"/>
            <w:hideMark/>
          </w:tcPr>
          <w:p w14:paraId="36B2B0CF"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5 %</w:t>
            </w:r>
          </w:p>
        </w:tc>
      </w:tr>
      <w:tr w:rsidR="009568B0" w:rsidRPr="00A07BE9" w14:paraId="133299EB" w14:textId="77777777" w:rsidTr="00884961">
        <w:trPr>
          <w:trHeight w:val="312"/>
        </w:trPr>
        <w:tc>
          <w:tcPr>
            <w:tcW w:w="1678" w:type="pct"/>
            <w:tcBorders>
              <w:top w:val="nil"/>
              <w:left w:val="single" w:sz="4" w:space="0" w:color="auto"/>
              <w:bottom w:val="single" w:sz="4" w:space="0" w:color="auto"/>
              <w:right w:val="single" w:sz="4" w:space="0" w:color="auto"/>
            </w:tcBorders>
            <w:shd w:val="clear" w:color="auto" w:fill="auto"/>
            <w:noWrap/>
            <w:vAlign w:val="center"/>
            <w:hideMark/>
          </w:tcPr>
          <w:p w14:paraId="2B6B8346"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Sector Público Generalitat</w:t>
            </w:r>
          </w:p>
        </w:tc>
        <w:tc>
          <w:tcPr>
            <w:tcW w:w="554" w:type="pct"/>
            <w:tcBorders>
              <w:top w:val="nil"/>
              <w:left w:val="nil"/>
              <w:bottom w:val="single" w:sz="4" w:space="0" w:color="auto"/>
              <w:right w:val="single" w:sz="4" w:space="0" w:color="auto"/>
            </w:tcBorders>
            <w:shd w:val="clear" w:color="auto" w:fill="auto"/>
            <w:noWrap/>
            <w:vAlign w:val="center"/>
            <w:hideMark/>
          </w:tcPr>
          <w:p w14:paraId="5697CCDA"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w:t>
            </w:r>
          </w:p>
        </w:tc>
        <w:tc>
          <w:tcPr>
            <w:tcW w:w="554" w:type="pct"/>
            <w:tcBorders>
              <w:top w:val="nil"/>
              <w:left w:val="nil"/>
              <w:bottom w:val="single" w:sz="4" w:space="0" w:color="auto"/>
              <w:right w:val="single" w:sz="4" w:space="0" w:color="auto"/>
            </w:tcBorders>
            <w:shd w:val="clear" w:color="auto" w:fill="auto"/>
            <w:noWrap/>
            <w:vAlign w:val="center"/>
            <w:hideMark/>
          </w:tcPr>
          <w:p w14:paraId="189AA6CE"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0 %</w:t>
            </w:r>
          </w:p>
        </w:tc>
        <w:tc>
          <w:tcPr>
            <w:tcW w:w="554" w:type="pct"/>
            <w:tcBorders>
              <w:top w:val="nil"/>
              <w:left w:val="nil"/>
              <w:bottom w:val="single" w:sz="4" w:space="0" w:color="auto"/>
              <w:right w:val="single" w:sz="4" w:space="0" w:color="auto"/>
            </w:tcBorders>
            <w:shd w:val="clear" w:color="auto" w:fill="auto"/>
            <w:noWrap/>
            <w:vAlign w:val="center"/>
            <w:hideMark/>
          </w:tcPr>
          <w:p w14:paraId="7FFDFDFB"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9</w:t>
            </w:r>
          </w:p>
        </w:tc>
        <w:tc>
          <w:tcPr>
            <w:tcW w:w="554" w:type="pct"/>
            <w:tcBorders>
              <w:top w:val="nil"/>
              <w:left w:val="nil"/>
              <w:bottom w:val="single" w:sz="4" w:space="0" w:color="auto"/>
              <w:right w:val="single" w:sz="4" w:space="0" w:color="auto"/>
            </w:tcBorders>
            <w:shd w:val="clear" w:color="auto" w:fill="auto"/>
            <w:noWrap/>
            <w:vAlign w:val="center"/>
            <w:hideMark/>
          </w:tcPr>
          <w:p w14:paraId="4E057B85"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5 %</w:t>
            </w:r>
          </w:p>
        </w:tc>
        <w:tc>
          <w:tcPr>
            <w:tcW w:w="554" w:type="pct"/>
            <w:tcBorders>
              <w:top w:val="nil"/>
              <w:left w:val="nil"/>
              <w:bottom w:val="single" w:sz="4" w:space="0" w:color="auto"/>
              <w:right w:val="single" w:sz="4" w:space="0" w:color="auto"/>
            </w:tcBorders>
            <w:shd w:val="clear" w:color="auto" w:fill="auto"/>
            <w:noWrap/>
            <w:vAlign w:val="center"/>
            <w:hideMark/>
          </w:tcPr>
          <w:p w14:paraId="4360888A"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9</w:t>
            </w:r>
          </w:p>
        </w:tc>
        <w:tc>
          <w:tcPr>
            <w:tcW w:w="552" w:type="pct"/>
            <w:tcBorders>
              <w:top w:val="nil"/>
              <w:left w:val="nil"/>
              <w:bottom w:val="single" w:sz="4" w:space="0" w:color="auto"/>
              <w:right w:val="single" w:sz="4" w:space="0" w:color="auto"/>
            </w:tcBorders>
            <w:shd w:val="clear" w:color="auto" w:fill="auto"/>
            <w:noWrap/>
            <w:vAlign w:val="center"/>
            <w:hideMark/>
          </w:tcPr>
          <w:p w14:paraId="6962ED33"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5 %</w:t>
            </w:r>
          </w:p>
        </w:tc>
      </w:tr>
      <w:tr w:rsidR="009568B0" w:rsidRPr="00A07BE9" w14:paraId="6E97CBAA" w14:textId="77777777" w:rsidTr="00884961">
        <w:trPr>
          <w:trHeight w:val="312"/>
        </w:trPr>
        <w:tc>
          <w:tcPr>
            <w:tcW w:w="1678" w:type="pct"/>
            <w:tcBorders>
              <w:top w:val="nil"/>
              <w:left w:val="single" w:sz="4" w:space="0" w:color="auto"/>
              <w:bottom w:val="single" w:sz="4" w:space="0" w:color="auto"/>
              <w:right w:val="single" w:sz="4" w:space="0" w:color="auto"/>
            </w:tcBorders>
            <w:shd w:val="clear" w:color="auto" w:fill="auto"/>
            <w:noWrap/>
            <w:vAlign w:val="center"/>
            <w:hideMark/>
          </w:tcPr>
          <w:p w14:paraId="17477E6D"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Sector Público Provincial</w:t>
            </w:r>
          </w:p>
        </w:tc>
        <w:tc>
          <w:tcPr>
            <w:tcW w:w="554" w:type="pct"/>
            <w:tcBorders>
              <w:top w:val="nil"/>
              <w:left w:val="nil"/>
              <w:bottom w:val="single" w:sz="4" w:space="0" w:color="auto"/>
              <w:right w:val="single" w:sz="4" w:space="0" w:color="auto"/>
            </w:tcBorders>
            <w:shd w:val="clear" w:color="auto" w:fill="auto"/>
            <w:noWrap/>
            <w:vAlign w:val="center"/>
            <w:hideMark/>
          </w:tcPr>
          <w:p w14:paraId="2CC9DBF6"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w:t>
            </w:r>
          </w:p>
        </w:tc>
        <w:tc>
          <w:tcPr>
            <w:tcW w:w="554" w:type="pct"/>
            <w:tcBorders>
              <w:top w:val="nil"/>
              <w:left w:val="nil"/>
              <w:bottom w:val="single" w:sz="4" w:space="0" w:color="auto"/>
              <w:right w:val="single" w:sz="4" w:space="0" w:color="auto"/>
            </w:tcBorders>
            <w:shd w:val="clear" w:color="auto" w:fill="auto"/>
            <w:noWrap/>
            <w:vAlign w:val="center"/>
            <w:hideMark/>
          </w:tcPr>
          <w:p w14:paraId="57084754"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0 %</w:t>
            </w:r>
          </w:p>
        </w:tc>
        <w:tc>
          <w:tcPr>
            <w:tcW w:w="554" w:type="pct"/>
            <w:tcBorders>
              <w:top w:val="nil"/>
              <w:left w:val="nil"/>
              <w:bottom w:val="single" w:sz="4" w:space="0" w:color="auto"/>
              <w:right w:val="single" w:sz="4" w:space="0" w:color="auto"/>
            </w:tcBorders>
            <w:shd w:val="clear" w:color="auto" w:fill="auto"/>
            <w:noWrap/>
            <w:vAlign w:val="center"/>
            <w:hideMark/>
          </w:tcPr>
          <w:p w14:paraId="73A54EFC"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5</w:t>
            </w:r>
          </w:p>
        </w:tc>
        <w:tc>
          <w:tcPr>
            <w:tcW w:w="554" w:type="pct"/>
            <w:tcBorders>
              <w:top w:val="nil"/>
              <w:left w:val="nil"/>
              <w:bottom w:val="single" w:sz="4" w:space="0" w:color="auto"/>
              <w:right w:val="single" w:sz="4" w:space="0" w:color="auto"/>
            </w:tcBorders>
            <w:shd w:val="clear" w:color="auto" w:fill="auto"/>
            <w:noWrap/>
            <w:vAlign w:val="center"/>
            <w:hideMark/>
          </w:tcPr>
          <w:p w14:paraId="27D401D9"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3 %</w:t>
            </w:r>
          </w:p>
        </w:tc>
        <w:tc>
          <w:tcPr>
            <w:tcW w:w="554" w:type="pct"/>
            <w:tcBorders>
              <w:top w:val="nil"/>
              <w:left w:val="nil"/>
              <w:bottom w:val="single" w:sz="4" w:space="0" w:color="auto"/>
              <w:right w:val="single" w:sz="4" w:space="0" w:color="auto"/>
            </w:tcBorders>
            <w:shd w:val="clear" w:color="auto" w:fill="auto"/>
            <w:noWrap/>
            <w:vAlign w:val="center"/>
            <w:hideMark/>
          </w:tcPr>
          <w:p w14:paraId="0B57B5AE"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w:t>
            </w:r>
          </w:p>
        </w:tc>
        <w:tc>
          <w:tcPr>
            <w:tcW w:w="552" w:type="pct"/>
            <w:tcBorders>
              <w:top w:val="nil"/>
              <w:left w:val="nil"/>
              <w:bottom w:val="single" w:sz="4" w:space="0" w:color="auto"/>
              <w:right w:val="single" w:sz="4" w:space="0" w:color="auto"/>
            </w:tcBorders>
            <w:shd w:val="clear" w:color="auto" w:fill="auto"/>
            <w:noWrap/>
            <w:vAlign w:val="center"/>
            <w:hideMark/>
          </w:tcPr>
          <w:p w14:paraId="3EE19181"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1 %</w:t>
            </w:r>
          </w:p>
        </w:tc>
      </w:tr>
      <w:tr w:rsidR="009568B0" w:rsidRPr="00A07BE9" w14:paraId="6CD7B7E4" w14:textId="77777777" w:rsidTr="00884961">
        <w:trPr>
          <w:trHeight w:val="312"/>
        </w:trPr>
        <w:tc>
          <w:tcPr>
            <w:tcW w:w="1678" w:type="pct"/>
            <w:tcBorders>
              <w:top w:val="nil"/>
              <w:left w:val="single" w:sz="4" w:space="0" w:color="auto"/>
              <w:bottom w:val="single" w:sz="4" w:space="0" w:color="auto"/>
              <w:right w:val="single" w:sz="4" w:space="0" w:color="auto"/>
            </w:tcBorders>
            <w:shd w:val="clear" w:color="auto" w:fill="auto"/>
            <w:noWrap/>
            <w:vAlign w:val="center"/>
            <w:hideMark/>
          </w:tcPr>
          <w:p w14:paraId="506D35BD"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Sector Público Municipal</w:t>
            </w:r>
          </w:p>
        </w:tc>
        <w:tc>
          <w:tcPr>
            <w:tcW w:w="554" w:type="pct"/>
            <w:tcBorders>
              <w:top w:val="nil"/>
              <w:left w:val="nil"/>
              <w:bottom w:val="single" w:sz="4" w:space="0" w:color="auto"/>
              <w:right w:val="single" w:sz="4" w:space="0" w:color="auto"/>
            </w:tcBorders>
            <w:shd w:val="clear" w:color="auto" w:fill="auto"/>
            <w:noWrap/>
            <w:vAlign w:val="center"/>
            <w:hideMark/>
          </w:tcPr>
          <w:p w14:paraId="08B36C9B"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3</w:t>
            </w:r>
          </w:p>
        </w:tc>
        <w:tc>
          <w:tcPr>
            <w:tcW w:w="554" w:type="pct"/>
            <w:tcBorders>
              <w:top w:val="nil"/>
              <w:left w:val="nil"/>
              <w:bottom w:val="single" w:sz="4" w:space="0" w:color="auto"/>
              <w:right w:val="single" w:sz="4" w:space="0" w:color="auto"/>
            </w:tcBorders>
            <w:shd w:val="clear" w:color="auto" w:fill="auto"/>
            <w:noWrap/>
            <w:vAlign w:val="center"/>
            <w:hideMark/>
          </w:tcPr>
          <w:p w14:paraId="665A1AB9"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9 %</w:t>
            </w:r>
          </w:p>
        </w:tc>
        <w:tc>
          <w:tcPr>
            <w:tcW w:w="554" w:type="pct"/>
            <w:tcBorders>
              <w:top w:val="nil"/>
              <w:left w:val="nil"/>
              <w:bottom w:val="single" w:sz="4" w:space="0" w:color="auto"/>
              <w:right w:val="single" w:sz="4" w:space="0" w:color="auto"/>
            </w:tcBorders>
            <w:shd w:val="clear" w:color="auto" w:fill="auto"/>
            <w:noWrap/>
            <w:vAlign w:val="center"/>
            <w:hideMark/>
          </w:tcPr>
          <w:p w14:paraId="29C00FB0"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3</w:t>
            </w:r>
          </w:p>
        </w:tc>
        <w:tc>
          <w:tcPr>
            <w:tcW w:w="554" w:type="pct"/>
            <w:tcBorders>
              <w:top w:val="nil"/>
              <w:left w:val="nil"/>
              <w:bottom w:val="single" w:sz="4" w:space="0" w:color="auto"/>
              <w:right w:val="single" w:sz="4" w:space="0" w:color="auto"/>
            </w:tcBorders>
            <w:shd w:val="clear" w:color="auto" w:fill="auto"/>
            <w:noWrap/>
            <w:vAlign w:val="center"/>
            <w:hideMark/>
          </w:tcPr>
          <w:p w14:paraId="48269CAB"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2 %</w:t>
            </w:r>
          </w:p>
        </w:tc>
        <w:tc>
          <w:tcPr>
            <w:tcW w:w="554" w:type="pct"/>
            <w:tcBorders>
              <w:top w:val="nil"/>
              <w:left w:val="nil"/>
              <w:bottom w:val="single" w:sz="4" w:space="0" w:color="auto"/>
              <w:right w:val="single" w:sz="4" w:space="0" w:color="auto"/>
            </w:tcBorders>
            <w:shd w:val="clear" w:color="auto" w:fill="auto"/>
            <w:noWrap/>
            <w:vAlign w:val="center"/>
            <w:hideMark/>
          </w:tcPr>
          <w:p w14:paraId="0C551BC6"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15</w:t>
            </w:r>
          </w:p>
        </w:tc>
        <w:tc>
          <w:tcPr>
            <w:tcW w:w="552" w:type="pct"/>
            <w:tcBorders>
              <w:top w:val="nil"/>
              <w:left w:val="nil"/>
              <w:bottom w:val="single" w:sz="4" w:space="0" w:color="auto"/>
              <w:right w:val="single" w:sz="4" w:space="0" w:color="auto"/>
            </w:tcBorders>
            <w:shd w:val="clear" w:color="auto" w:fill="auto"/>
            <w:noWrap/>
            <w:vAlign w:val="center"/>
            <w:hideMark/>
          </w:tcPr>
          <w:p w14:paraId="381731A1"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9 %</w:t>
            </w:r>
          </w:p>
        </w:tc>
      </w:tr>
      <w:tr w:rsidR="009568B0" w:rsidRPr="00A07BE9" w14:paraId="4F6115E6" w14:textId="77777777" w:rsidTr="00884961">
        <w:trPr>
          <w:trHeight w:val="312"/>
        </w:trPr>
        <w:tc>
          <w:tcPr>
            <w:tcW w:w="1678" w:type="pct"/>
            <w:tcBorders>
              <w:top w:val="nil"/>
              <w:left w:val="single" w:sz="4" w:space="0" w:color="auto"/>
              <w:bottom w:val="single" w:sz="4" w:space="0" w:color="auto"/>
              <w:right w:val="single" w:sz="4" w:space="0" w:color="auto"/>
            </w:tcBorders>
            <w:shd w:val="clear" w:color="auto" w:fill="auto"/>
            <w:noWrap/>
            <w:vAlign w:val="center"/>
            <w:hideMark/>
          </w:tcPr>
          <w:p w14:paraId="2AB68DD5"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Universidades</w:t>
            </w:r>
          </w:p>
        </w:tc>
        <w:tc>
          <w:tcPr>
            <w:tcW w:w="554" w:type="pct"/>
            <w:tcBorders>
              <w:top w:val="nil"/>
              <w:left w:val="nil"/>
              <w:bottom w:val="single" w:sz="4" w:space="0" w:color="auto"/>
              <w:right w:val="single" w:sz="4" w:space="0" w:color="auto"/>
            </w:tcBorders>
            <w:shd w:val="clear" w:color="auto" w:fill="auto"/>
            <w:noWrap/>
            <w:vAlign w:val="center"/>
            <w:hideMark/>
          </w:tcPr>
          <w:p w14:paraId="386BDC5A"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w:t>
            </w:r>
          </w:p>
        </w:tc>
        <w:tc>
          <w:tcPr>
            <w:tcW w:w="554" w:type="pct"/>
            <w:tcBorders>
              <w:top w:val="nil"/>
              <w:left w:val="nil"/>
              <w:bottom w:val="single" w:sz="4" w:space="0" w:color="auto"/>
              <w:right w:val="single" w:sz="4" w:space="0" w:color="auto"/>
            </w:tcBorders>
            <w:shd w:val="clear" w:color="auto" w:fill="auto"/>
            <w:noWrap/>
            <w:vAlign w:val="center"/>
            <w:hideMark/>
          </w:tcPr>
          <w:p w14:paraId="1CF13679"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0 %</w:t>
            </w:r>
          </w:p>
        </w:tc>
        <w:tc>
          <w:tcPr>
            <w:tcW w:w="554" w:type="pct"/>
            <w:tcBorders>
              <w:top w:val="nil"/>
              <w:left w:val="nil"/>
              <w:bottom w:val="single" w:sz="4" w:space="0" w:color="auto"/>
              <w:right w:val="single" w:sz="4" w:space="0" w:color="auto"/>
            </w:tcBorders>
            <w:shd w:val="clear" w:color="auto" w:fill="auto"/>
            <w:noWrap/>
            <w:vAlign w:val="center"/>
            <w:hideMark/>
          </w:tcPr>
          <w:p w14:paraId="6CC38843"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7</w:t>
            </w:r>
          </w:p>
        </w:tc>
        <w:tc>
          <w:tcPr>
            <w:tcW w:w="554" w:type="pct"/>
            <w:tcBorders>
              <w:top w:val="nil"/>
              <w:left w:val="nil"/>
              <w:bottom w:val="single" w:sz="4" w:space="0" w:color="auto"/>
              <w:right w:val="single" w:sz="4" w:space="0" w:color="auto"/>
            </w:tcBorders>
            <w:shd w:val="clear" w:color="auto" w:fill="auto"/>
            <w:noWrap/>
            <w:vAlign w:val="center"/>
            <w:hideMark/>
          </w:tcPr>
          <w:p w14:paraId="244F570C"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4 %</w:t>
            </w:r>
          </w:p>
        </w:tc>
        <w:tc>
          <w:tcPr>
            <w:tcW w:w="554" w:type="pct"/>
            <w:tcBorders>
              <w:top w:val="nil"/>
              <w:left w:val="nil"/>
              <w:bottom w:val="single" w:sz="4" w:space="0" w:color="auto"/>
              <w:right w:val="single" w:sz="4" w:space="0" w:color="auto"/>
            </w:tcBorders>
            <w:shd w:val="clear" w:color="auto" w:fill="auto"/>
            <w:noWrap/>
            <w:vAlign w:val="center"/>
            <w:hideMark/>
          </w:tcPr>
          <w:p w14:paraId="12CB1FA2"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3</w:t>
            </w:r>
          </w:p>
        </w:tc>
        <w:tc>
          <w:tcPr>
            <w:tcW w:w="552" w:type="pct"/>
            <w:tcBorders>
              <w:top w:val="nil"/>
              <w:left w:val="nil"/>
              <w:bottom w:val="single" w:sz="4" w:space="0" w:color="auto"/>
              <w:right w:val="single" w:sz="4" w:space="0" w:color="auto"/>
            </w:tcBorders>
            <w:shd w:val="clear" w:color="auto" w:fill="auto"/>
            <w:noWrap/>
            <w:vAlign w:val="center"/>
            <w:hideMark/>
          </w:tcPr>
          <w:p w14:paraId="15894D24"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2 %</w:t>
            </w:r>
          </w:p>
        </w:tc>
      </w:tr>
      <w:tr w:rsidR="009568B0" w:rsidRPr="00A07BE9" w14:paraId="1250AF28" w14:textId="77777777" w:rsidTr="00884961">
        <w:trPr>
          <w:trHeight w:val="312"/>
        </w:trPr>
        <w:tc>
          <w:tcPr>
            <w:tcW w:w="1678" w:type="pct"/>
            <w:tcBorders>
              <w:top w:val="nil"/>
              <w:left w:val="single" w:sz="4" w:space="0" w:color="auto"/>
              <w:bottom w:val="single" w:sz="4" w:space="0" w:color="auto"/>
              <w:right w:val="single" w:sz="4" w:space="0" w:color="auto"/>
            </w:tcBorders>
            <w:shd w:val="clear" w:color="auto" w:fill="auto"/>
            <w:noWrap/>
            <w:vAlign w:val="center"/>
            <w:hideMark/>
          </w:tcPr>
          <w:p w14:paraId="5A91FEC1"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Corporaciones Públicas</w:t>
            </w:r>
          </w:p>
        </w:tc>
        <w:tc>
          <w:tcPr>
            <w:tcW w:w="554" w:type="pct"/>
            <w:tcBorders>
              <w:top w:val="nil"/>
              <w:left w:val="nil"/>
              <w:bottom w:val="single" w:sz="4" w:space="0" w:color="auto"/>
              <w:right w:val="single" w:sz="4" w:space="0" w:color="auto"/>
            </w:tcBorders>
            <w:shd w:val="clear" w:color="auto" w:fill="auto"/>
            <w:noWrap/>
            <w:vAlign w:val="center"/>
            <w:hideMark/>
          </w:tcPr>
          <w:p w14:paraId="2DE72907"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w:t>
            </w:r>
          </w:p>
        </w:tc>
        <w:tc>
          <w:tcPr>
            <w:tcW w:w="554" w:type="pct"/>
            <w:tcBorders>
              <w:top w:val="nil"/>
              <w:left w:val="nil"/>
              <w:bottom w:val="single" w:sz="4" w:space="0" w:color="auto"/>
              <w:right w:val="single" w:sz="4" w:space="0" w:color="auto"/>
            </w:tcBorders>
            <w:shd w:val="clear" w:color="auto" w:fill="auto"/>
            <w:noWrap/>
            <w:vAlign w:val="center"/>
            <w:hideMark/>
          </w:tcPr>
          <w:p w14:paraId="181DAF23"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0 %</w:t>
            </w:r>
          </w:p>
        </w:tc>
        <w:tc>
          <w:tcPr>
            <w:tcW w:w="554" w:type="pct"/>
            <w:tcBorders>
              <w:top w:val="nil"/>
              <w:left w:val="nil"/>
              <w:bottom w:val="single" w:sz="4" w:space="0" w:color="auto"/>
              <w:right w:val="single" w:sz="4" w:space="0" w:color="auto"/>
            </w:tcBorders>
            <w:shd w:val="clear" w:color="auto" w:fill="auto"/>
            <w:noWrap/>
            <w:vAlign w:val="center"/>
            <w:hideMark/>
          </w:tcPr>
          <w:p w14:paraId="45D49107"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w:t>
            </w:r>
          </w:p>
        </w:tc>
        <w:tc>
          <w:tcPr>
            <w:tcW w:w="554" w:type="pct"/>
            <w:tcBorders>
              <w:top w:val="nil"/>
              <w:left w:val="nil"/>
              <w:bottom w:val="single" w:sz="4" w:space="0" w:color="auto"/>
              <w:right w:val="single" w:sz="4" w:space="0" w:color="auto"/>
            </w:tcBorders>
            <w:shd w:val="clear" w:color="auto" w:fill="auto"/>
            <w:noWrap/>
            <w:vAlign w:val="center"/>
            <w:hideMark/>
          </w:tcPr>
          <w:p w14:paraId="06CCA60B"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0 %</w:t>
            </w:r>
          </w:p>
        </w:tc>
        <w:tc>
          <w:tcPr>
            <w:tcW w:w="554" w:type="pct"/>
            <w:tcBorders>
              <w:top w:val="nil"/>
              <w:left w:val="nil"/>
              <w:bottom w:val="single" w:sz="4" w:space="0" w:color="auto"/>
              <w:right w:val="single" w:sz="4" w:space="0" w:color="auto"/>
            </w:tcBorders>
            <w:shd w:val="clear" w:color="auto" w:fill="auto"/>
            <w:noWrap/>
            <w:vAlign w:val="center"/>
            <w:hideMark/>
          </w:tcPr>
          <w:p w14:paraId="740AA812"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4</w:t>
            </w:r>
          </w:p>
        </w:tc>
        <w:tc>
          <w:tcPr>
            <w:tcW w:w="552" w:type="pct"/>
            <w:tcBorders>
              <w:top w:val="nil"/>
              <w:left w:val="nil"/>
              <w:bottom w:val="single" w:sz="4" w:space="0" w:color="auto"/>
              <w:right w:val="single" w:sz="4" w:space="0" w:color="auto"/>
            </w:tcBorders>
            <w:shd w:val="clear" w:color="auto" w:fill="auto"/>
            <w:noWrap/>
            <w:vAlign w:val="center"/>
            <w:hideMark/>
          </w:tcPr>
          <w:p w14:paraId="57DE9D98"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2 %</w:t>
            </w:r>
          </w:p>
        </w:tc>
      </w:tr>
      <w:tr w:rsidR="009568B0" w:rsidRPr="00A07BE9" w14:paraId="5CB9245A" w14:textId="77777777" w:rsidTr="00884961">
        <w:trPr>
          <w:trHeight w:val="312"/>
        </w:trPr>
        <w:tc>
          <w:tcPr>
            <w:tcW w:w="1678" w:type="pct"/>
            <w:tcBorders>
              <w:top w:val="nil"/>
              <w:left w:val="single" w:sz="4" w:space="0" w:color="auto"/>
              <w:bottom w:val="single" w:sz="4" w:space="0" w:color="auto"/>
              <w:right w:val="single" w:sz="4" w:space="0" w:color="auto"/>
            </w:tcBorders>
            <w:shd w:val="clear" w:color="auto" w:fill="auto"/>
            <w:noWrap/>
            <w:vAlign w:val="center"/>
            <w:hideMark/>
          </w:tcPr>
          <w:p w14:paraId="3C5C4A54"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Sector Privado</w:t>
            </w:r>
          </w:p>
        </w:tc>
        <w:tc>
          <w:tcPr>
            <w:tcW w:w="554" w:type="pct"/>
            <w:tcBorders>
              <w:top w:val="nil"/>
              <w:left w:val="nil"/>
              <w:bottom w:val="single" w:sz="4" w:space="0" w:color="auto"/>
              <w:right w:val="single" w:sz="4" w:space="0" w:color="auto"/>
            </w:tcBorders>
            <w:shd w:val="clear" w:color="auto" w:fill="auto"/>
            <w:noWrap/>
            <w:vAlign w:val="center"/>
            <w:hideMark/>
          </w:tcPr>
          <w:p w14:paraId="3B9C4638"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w:t>
            </w:r>
          </w:p>
        </w:tc>
        <w:tc>
          <w:tcPr>
            <w:tcW w:w="554" w:type="pct"/>
            <w:tcBorders>
              <w:top w:val="nil"/>
              <w:left w:val="nil"/>
              <w:bottom w:val="single" w:sz="4" w:space="0" w:color="auto"/>
              <w:right w:val="single" w:sz="4" w:space="0" w:color="auto"/>
            </w:tcBorders>
            <w:shd w:val="clear" w:color="auto" w:fill="auto"/>
            <w:noWrap/>
            <w:vAlign w:val="center"/>
            <w:hideMark/>
          </w:tcPr>
          <w:p w14:paraId="753E93AE"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0 %</w:t>
            </w:r>
          </w:p>
        </w:tc>
        <w:tc>
          <w:tcPr>
            <w:tcW w:w="554" w:type="pct"/>
            <w:tcBorders>
              <w:top w:val="nil"/>
              <w:left w:val="nil"/>
              <w:bottom w:val="single" w:sz="4" w:space="0" w:color="auto"/>
              <w:right w:val="single" w:sz="4" w:space="0" w:color="auto"/>
            </w:tcBorders>
            <w:shd w:val="clear" w:color="auto" w:fill="auto"/>
            <w:noWrap/>
            <w:vAlign w:val="center"/>
            <w:hideMark/>
          </w:tcPr>
          <w:p w14:paraId="7CB46308"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5</w:t>
            </w:r>
          </w:p>
        </w:tc>
        <w:tc>
          <w:tcPr>
            <w:tcW w:w="554" w:type="pct"/>
            <w:tcBorders>
              <w:top w:val="nil"/>
              <w:left w:val="nil"/>
              <w:bottom w:val="single" w:sz="4" w:space="0" w:color="auto"/>
              <w:right w:val="single" w:sz="4" w:space="0" w:color="auto"/>
            </w:tcBorders>
            <w:shd w:val="clear" w:color="auto" w:fill="auto"/>
            <w:noWrap/>
            <w:vAlign w:val="center"/>
            <w:hideMark/>
          </w:tcPr>
          <w:p w14:paraId="2F482E9B"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3 %</w:t>
            </w:r>
          </w:p>
        </w:tc>
        <w:tc>
          <w:tcPr>
            <w:tcW w:w="554" w:type="pct"/>
            <w:tcBorders>
              <w:top w:val="nil"/>
              <w:left w:val="nil"/>
              <w:bottom w:val="single" w:sz="4" w:space="0" w:color="auto"/>
              <w:right w:val="single" w:sz="4" w:space="0" w:color="auto"/>
            </w:tcBorders>
            <w:shd w:val="clear" w:color="auto" w:fill="auto"/>
            <w:noWrap/>
            <w:vAlign w:val="center"/>
            <w:hideMark/>
          </w:tcPr>
          <w:p w14:paraId="7F30BE28"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13</w:t>
            </w:r>
          </w:p>
        </w:tc>
        <w:tc>
          <w:tcPr>
            <w:tcW w:w="552" w:type="pct"/>
            <w:tcBorders>
              <w:top w:val="nil"/>
              <w:left w:val="nil"/>
              <w:bottom w:val="single" w:sz="4" w:space="0" w:color="auto"/>
              <w:right w:val="single" w:sz="4" w:space="0" w:color="auto"/>
            </w:tcBorders>
            <w:shd w:val="clear" w:color="auto" w:fill="auto"/>
            <w:noWrap/>
            <w:vAlign w:val="center"/>
            <w:hideMark/>
          </w:tcPr>
          <w:p w14:paraId="0BFBFA2C"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8 %</w:t>
            </w:r>
          </w:p>
        </w:tc>
      </w:tr>
      <w:tr w:rsidR="009568B0" w:rsidRPr="00A07BE9" w14:paraId="38BA7109" w14:textId="77777777" w:rsidTr="00884961">
        <w:trPr>
          <w:trHeight w:val="312"/>
        </w:trPr>
        <w:tc>
          <w:tcPr>
            <w:tcW w:w="1678" w:type="pct"/>
            <w:tcBorders>
              <w:top w:val="nil"/>
              <w:left w:val="single" w:sz="4" w:space="0" w:color="auto"/>
              <w:bottom w:val="single" w:sz="4" w:space="0" w:color="auto"/>
              <w:right w:val="single" w:sz="4" w:space="0" w:color="auto"/>
            </w:tcBorders>
            <w:shd w:val="clear" w:color="auto" w:fill="auto"/>
            <w:noWrap/>
            <w:vAlign w:val="center"/>
            <w:hideMark/>
          </w:tcPr>
          <w:p w14:paraId="45B47DA4"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Partidos Políticos, Sindicatos</w:t>
            </w:r>
          </w:p>
        </w:tc>
        <w:tc>
          <w:tcPr>
            <w:tcW w:w="554" w:type="pct"/>
            <w:tcBorders>
              <w:top w:val="nil"/>
              <w:left w:val="nil"/>
              <w:bottom w:val="single" w:sz="4" w:space="0" w:color="auto"/>
              <w:right w:val="single" w:sz="4" w:space="0" w:color="auto"/>
            </w:tcBorders>
            <w:shd w:val="clear" w:color="auto" w:fill="auto"/>
            <w:noWrap/>
            <w:vAlign w:val="center"/>
            <w:hideMark/>
          </w:tcPr>
          <w:p w14:paraId="3844DA77"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w:t>
            </w:r>
          </w:p>
        </w:tc>
        <w:tc>
          <w:tcPr>
            <w:tcW w:w="554" w:type="pct"/>
            <w:tcBorders>
              <w:top w:val="nil"/>
              <w:left w:val="nil"/>
              <w:bottom w:val="single" w:sz="4" w:space="0" w:color="auto"/>
              <w:right w:val="single" w:sz="4" w:space="0" w:color="auto"/>
            </w:tcBorders>
            <w:shd w:val="clear" w:color="auto" w:fill="auto"/>
            <w:noWrap/>
            <w:vAlign w:val="center"/>
            <w:hideMark/>
          </w:tcPr>
          <w:p w14:paraId="447DD18F"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0 %</w:t>
            </w:r>
          </w:p>
        </w:tc>
        <w:tc>
          <w:tcPr>
            <w:tcW w:w="554" w:type="pct"/>
            <w:tcBorders>
              <w:top w:val="nil"/>
              <w:left w:val="nil"/>
              <w:bottom w:val="single" w:sz="4" w:space="0" w:color="auto"/>
              <w:right w:val="single" w:sz="4" w:space="0" w:color="auto"/>
            </w:tcBorders>
            <w:shd w:val="clear" w:color="auto" w:fill="auto"/>
            <w:noWrap/>
            <w:vAlign w:val="center"/>
            <w:hideMark/>
          </w:tcPr>
          <w:p w14:paraId="29DD3BFC"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w:t>
            </w:r>
          </w:p>
        </w:tc>
        <w:tc>
          <w:tcPr>
            <w:tcW w:w="554" w:type="pct"/>
            <w:tcBorders>
              <w:top w:val="nil"/>
              <w:left w:val="nil"/>
              <w:bottom w:val="single" w:sz="4" w:space="0" w:color="auto"/>
              <w:right w:val="single" w:sz="4" w:space="0" w:color="auto"/>
            </w:tcBorders>
            <w:shd w:val="clear" w:color="auto" w:fill="auto"/>
            <w:noWrap/>
            <w:vAlign w:val="center"/>
            <w:hideMark/>
          </w:tcPr>
          <w:p w14:paraId="2752EEA4"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0 %</w:t>
            </w:r>
          </w:p>
        </w:tc>
        <w:tc>
          <w:tcPr>
            <w:tcW w:w="554" w:type="pct"/>
            <w:tcBorders>
              <w:top w:val="nil"/>
              <w:left w:val="nil"/>
              <w:bottom w:val="single" w:sz="4" w:space="0" w:color="auto"/>
              <w:right w:val="single" w:sz="4" w:space="0" w:color="auto"/>
            </w:tcBorders>
            <w:shd w:val="clear" w:color="auto" w:fill="auto"/>
            <w:noWrap/>
            <w:vAlign w:val="center"/>
            <w:hideMark/>
          </w:tcPr>
          <w:p w14:paraId="3399D6FB"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w:t>
            </w:r>
          </w:p>
        </w:tc>
        <w:tc>
          <w:tcPr>
            <w:tcW w:w="552" w:type="pct"/>
            <w:tcBorders>
              <w:top w:val="nil"/>
              <w:left w:val="nil"/>
              <w:bottom w:val="single" w:sz="4" w:space="0" w:color="auto"/>
              <w:right w:val="single" w:sz="4" w:space="0" w:color="auto"/>
            </w:tcBorders>
            <w:shd w:val="clear" w:color="auto" w:fill="auto"/>
            <w:noWrap/>
            <w:vAlign w:val="center"/>
            <w:hideMark/>
          </w:tcPr>
          <w:p w14:paraId="2FD92703"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0 %</w:t>
            </w:r>
          </w:p>
        </w:tc>
      </w:tr>
      <w:tr w:rsidR="009568B0" w:rsidRPr="00A07BE9" w14:paraId="3628BBFB" w14:textId="77777777" w:rsidTr="00884961">
        <w:trPr>
          <w:trHeight w:val="312"/>
        </w:trPr>
        <w:tc>
          <w:tcPr>
            <w:tcW w:w="1678" w:type="pct"/>
            <w:tcBorders>
              <w:top w:val="nil"/>
              <w:left w:val="single" w:sz="4" w:space="0" w:color="auto"/>
              <w:bottom w:val="single" w:sz="4" w:space="0" w:color="auto"/>
              <w:right w:val="single" w:sz="4" w:space="0" w:color="auto"/>
            </w:tcBorders>
            <w:shd w:val="clear" w:color="auto" w:fill="auto"/>
            <w:noWrap/>
            <w:vAlign w:val="center"/>
            <w:hideMark/>
          </w:tcPr>
          <w:p w14:paraId="638F4307"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Otros</w:t>
            </w:r>
          </w:p>
        </w:tc>
        <w:tc>
          <w:tcPr>
            <w:tcW w:w="554" w:type="pct"/>
            <w:tcBorders>
              <w:top w:val="nil"/>
              <w:left w:val="nil"/>
              <w:bottom w:val="single" w:sz="4" w:space="0" w:color="auto"/>
              <w:right w:val="single" w:sz="4" w:space="0" w:color="auto"/>
            </w:tcBorders>
            <w:shd w:val="clear" w:color="auto" w:fill="auto"/>
            <w:noWrap/>
            <w:vAlign w:val="center"/>
            <w:hideMark/>
          </w:tcPr>
          <w:p w14:paraId="0A0B5ECE"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w:t>
            </w:r>
          </w:p>
        </w:tc>
        <w:tc>
          <w:tcPr>
            <w:tcW w:w="554" w:type="pct"/>
            <w:tcBorders>
              <w:top w:val="nil"/>
              <w:left w:val="nil"/>
              <w:bottom w:val="single" w:sz="4" w:space="0" w:color="auto"/>
              <w:right w:val="single" w:sz="4" w:space="0" w:color="auto"/>
            </w:tcBorders>
            <w:shd w:val="clear" w:color="auto" w:fill="auto"/>
            <w:noWrap/>
            <w:vAlign w:val="center"/>
            <w:hideMark/>
          </w:tcPr>
          <w:p w14:paraId="7140B097"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3 %</w:t>
            </w:r>
          </w:p>
        </w:tc>
        <w:tc>
          <w:tcPr>
            <w:tcW w:w="554" w:type="pct"/>
            <w:tcBorders>
              <w:top w:val="nil"/>
              <w:left w:val="nil"/>
              <w:bottom w:val="single" w:sz="4" w:space="0" w:color="auto"/>
              <w:right w:val="single" w:sz="4" w:space="0" w:color="auto"/>
            </w:tcBorders>
            <w:shd w:val="clear" w:color="auto" w:fill="auto"/>
            <w:noWrap/>
            <w:vAlign w:val="center"/>
            <w:hideMark/>
          </w:tcPr>
          <w:p w14:paraId="59C3940E"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w:t>
            </w:r>
          </w:p>
        </w:tc>
        <w:tc>
          <w:tcPr>
            <w:tcW w:w="554" w:type="pct"/>
            <w:tcBorders>
              <w:top w:val="nil"/>
              <w:left w:val="nil"/>
              <w:bottom w:val="single" w:sz="4" w:space="0" w:color="auto"/>
              <w:right w:val="single" w:sz="4" w:space="0" w:color="auto"/>
            </w:tcBorders>
            <w:shd w:val="clear" w:color="auto" w:fill="auto"/>
            <w:noWrap/>
            <w:vAlign w:val="center"/>
            <w:hideMark/>
          </w:tcPr>
          <w:p w14:paraId="3F13B906"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0 %</w:t>
            </w:r>
          </w:p>
        </w:tc>
        <w:tc>
          <w:tcPr>
            <w:tcW w:w="554" w:type="pct"/>
            <w:tcBorders>
              <w:top w:val="nil"/>
              <w:left w:val="nil"/>
              <w:bottom w:val="single" w:sz="4" w:space="0" w:color="auto"/>
              <w:right w:val="single" w:sz="4" w:space="0" w:color="auto"/>
            </w:tcBorders>
            <w:shd w:val="clear" w:color="auto" w:fill="auto"/>
            <w:noWrap/>
            <w:vAlign w:val="center"/>
            <w:hideMark/>
          </w:tcPr>
          <w:p w14:paraId="72ADF025"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3</w:t>
            </w:r>
          </w:p>
        </w:tc>
        <w:tc>
          <w:tcPr>
            <w:tcW w:w="552" w:type="pct"/>
            <w:tcBorders>
              <w:top w:val="nil"/>
              <w:left w:val="nil"/>
              <w:bottom w:val="single" w:sz="4" w:space="0" w:color="auto"/>
              <w:right w:val="single" w:sz="4" w:space="0" w:color="auto"/>
            </w:tcBorders>
            <w:shd w:val="clear" w:color="auto" w:fill="auto"/>
            <w:noWrap/>
            <w:vAlign w:val="center"/>
            <w:hideMark/>
          </w:tcPr>
          <w:p w14:paraId="15E2BAE6"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2 %</w:t>
            </w:r>
          </w:p>
        </w:tc>
      </w:tr>
      <w:tr w:rsidR="009568B0" w:rsidRPr="00A07BE9" w14:paraId="3F5A25A9" w14:textId="77777777" w:rsidTr="00884961">
        <w:trPr>
          <w:trHeight w:val="312"/>
        </w:trPr>
        <w:tc>
          <w:tcPr>
            <w:tcW w:w="16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D89CD0" w14:textId="77777777" w:rsidR="009568B0" w:rsidRPr="00A07BE9" w:rsidRDefault="009568B0" w:rsidP="009568B0">
            <w:pPr>
              <w:spacing w:after="0" w:line="240" w:lineRule="auto"/>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TOTAL</w:t>
            </w:r>
          </w:p>
        </w:tc>
        <w:tc>
          <w:tcPr>
            <w:tcW w:w="5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04DD3D"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35</w:t>
            </w:r>
          </w:p>
        </w:tc>
        <w:tc>
          <w:tcPr>
            <w:tcW w:w="5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A8226F"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100 %</w:t>
            </w:r>
          </w:p>
        </w:tc>
        <w:tc>
          <w:tcPr>
            <w:tcW w:w="5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3DDBC8"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181</w:t>
            </w:r>
          </w:p>
        </w:tc>
        <w:tc>
          <w:tcPr>
            <w:tcW w:w="5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25713A"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100 %</w:t>
            </w:r>
          </w:p>
        </w:tc>
        <w:tc>
          <w:tcPr>
            <w:tcW w:w="5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75BBA6"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168</w:t>
            </w:r>
          </w:p>
        </w:tc>
        <w:tc>
          <w:tcPr>
            <w:tcW w:w="55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ACB9A1"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100 %</w:t>
            </w:r>
          </w:p>
        </w:tc>
      </w:tr>
    </w:tbl>
    <w:p w14:paraId="0350B683" w14:textId="5A719BAB" w:rsidR="00D944CA" w:rsidRPr="00A07BE9" w:rsidRDefault="00D944CA" w:rsidP="009568B0">
      <w:pPr>
        <w:spacing w:after="0" w:line="276" w:lineRule="auto"/>
        <w:jc w:val="both"/>
        <w:rPr>
          <w:rFonts w:ascii="Open Sans" w:eastAsia="NSimSun" w:hAnsi="Open Sans" w:cs="Open Sans"/>
          <w:kern w:val="2"/>
          <w:sz w:val="20"/>
          <w:szCs w:val="20"/>
          <w:lang w:eastAsia="zh-CN" w:bidi="hi-IN"/>
        </w:rPr>
      </w:pPr>
    </w:p>
    <w:p w14:paraId="0AC55DEF" w14:textId="77777777" w:rsidR="009568B0" w:rsidRPr="00A07BE9" w:rsidRDefault="009568B0" w:rsidP="009568B0">
      <w:pPr>
        <w:spacing w:after="0" w:line="276" w:lineRule="auto"/>
        <w:rPr>
          <w:rFonts w:ascii="Open Sans" w:eastAsia="NSimSun" w:hAnsi="Open Sans" w:cs="Open Sans"/>
          <w:b/>
          <w:kern w:val="2"/>
          <w:sz w:val="20"/>
          <w:szCs w:val="20"/>
          <w:lang w:eastAsia="zh-CN" w:bidi="hi-IN"/>
        </w:rPr>
      </w:pPr>
      <w:r w:rsidRPr="00A07BE9">
        <w:rPr>
          <w:rFonts w:ascii="Open Sans" w:eastAsia="NSimSun" w:hAnsi="Open Sans" w:cs="Open Sans"/>
          <w:b/>
          <w:color w:val="9D2235"/>
          <w:kern w:val="2"/>
          <w:sz w:val="20"/>
          <w:szCs w:val="20"/>
          <w:lang w:eastAsia="zh-CN" w:bidi="hi-IN"/>
        </w:rPr>
        <w:t>Gráfico 2</w:t>
      </w:r>
      <w:r w:rsidRPr="00A07BE9">
        <w:rPr>
          <w:rFonts w:ascii="Open Sans" w:eastAsia="NSimSun" w:hAnsi="Open Sans" w:cs="Open Sans"/>
          <w:b/>
          <w:kern w:val="2"/>
          <w:sz w:val="20"/>
          <w:szCs w:val="20"/>
          <w:lang w:eastAsia="zh-CN" w:bidi="hi-IN"/>
        </w:rPr>
        <w:t>. Denuncias presentadas por ámbito subjetivo.</w:t>
      </w:r>
    </w:p>
    <w:p w14:paraId="50B15E16" w14:textId="77777777" w:rsidR="009568B0" w:rsidRPr="00A07BE9" w:rsidRDefault="009568B0" w:rsidP="009568B0">
      <w:pPr>
        <w:spacing w:after="0" w:line="276" w:lineRule="auto"/>
        <w:jc w:val="both"/>
        <w:rPr>
          <w:rFonts w:ascii="Open Sans" w:eastAsia="NSimSun" w:hAnsi="Open Sans" w:cs="Open Sans"/>
          <w:kern w:val="2"/>
          <w:sz w:val="21"/>
          <w:szCs w:val="21"/>
          <w:lang w:eastAsia="zh-CN" w:bidi="hi-IN"/>
        </w:rPr>
      </w:pPr>
      <w:r w:rsidRPr="00A07BE9">
        <w:rPr>
          <w:rFonts w:ascii="Open Sans" w:eastAsia="NSimSun" w:hAnsi="Open Sans" w:cs="Arial"/>
          <w:noProof/>
          <w:kern w:val="2"/>
          <w:sz w:val="24"/>
          <w:szCs w:val="24"/>
          <w:lang w:eastAsia="es-ES"/>
        </w:rPr>
        <w:drawing>
          <wp:inline distT="0" distB="0" distL="0" distR="0" wp14:anchorId="756DD1C5" wp14:editId="64F5EC67">
            <wp:extent cx="5381625" cy="3143250"/>
            <wp:effectExtent l="0" t="0" r="9525" b="0"/>
            <wp:docPr id="54" name="Gráfico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445349FF" w14:textId="536FC18B"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lastRenderedPageBreak/>
        <w:t xml:space="preserve">La distribución de los datos en la anterior tabla indica que se ha mantenido la línea predominante en la entrada de denuncias en la Agencia desde su creación y puesta en funcionamiento en la anualidad 2017, siendo las administraciones de carácter municipal, incluyendo las entidades correspondientes a su sector público, las que reciben un mayor número de denuncias, aglutinando una media superior al 60% del volumen de entrada total de denuncias. En segundo lugar, la administración de la Generalitat Valenciana, incluido el sector público autonómico, conforman un grupo de entidades que aglutina casi un 20% del volumen de entrada total de denuncias en la Agencia. La quinta parte restante corresponde a una multitud diversa de entidades, tal y como se ha reflejado en la tabla precedente. La categoría de “otros” engloba en 2019 tres supuestos de denuncias presentadas contra entidades públicas que no se encuentran incluidas dentro del ámbito de actuación de la Agencia de Prevención y Lucha contra el Fraude y la Corrupción en la Comunitat Valenciana, acotado por el </w:t>
      </w:r>
      <w:r w:rsidR="003408CE" w:rsidRPr="00A07BE9">
        <w:rPr>
          <w:rFonts w:ascii="Open Sans" w:eastAsia="NSimSun" w:hAnsi="Open Sans" w:cs="Open Sans"/>
          <w:kern w:val="2"/>
          <w:sz w:val="20"/>
          <w:szCs w:val="20"/>
          <w:lang w:eastAsia="zh-CN" w:bidi="hi-IN"/>
        </w:rPr>
        <w:t>artículo</w:t>
      </w:r>
      <w:r w:rsidRPr="00A07BE9">
        <w:rPr>
          <w:rFonts w:ascii="Open Sans" w:eastAsia="NSimSun" w:hAnsi="Open Sans" w:cs="Open Sans"/>
          <w:kern w:val="2"/>
          <w:sz w:val="20"/>
          <w:szCs w:val="20"/>
          <w:lang w:eastAsia="zh-CN" w:bidi="hi-IN"/>
        </w:rPr>
        <w:t xml:space="preserve"> 3 de la </w:t>
      </w:r>
      <w:hyperlink r:id="rId70" w:history="1">
        <w:r w:rsidR="004C14BF" w:rsidRPr="00A07BE9">
          <w:rPr>
            <w:rStyle w:val="Hipervnculo"/>
            <w:rFonts w:ascii="Open Sans" w:hAnsi="Open Sans" w:cs="Open Sans"/>
            <w:sz w:val="20"/>
            <w:szCs w:val="20"/>
          </w:rPr>
          <w:t>Ley 11/2016</w:t>
        </w:r>
        <w:r w:rsidR="004C14BF" w:rsidRPr="00A07BE9">
          <w:rPr>
            <w:rStyle w:val="Hipervnculo"/>
            <w:rFonts w:ascii="Open Sans" w:hAnsi="Open Sans" w:cs="Open Sans"/>
            <w:color w:val="auto"/>
            <w:sz w:val="20"/>
            <w:szCs w:val="20"/>
            <w:u w:val="none"/>
          </w:rPr>
          <w:t>, de 28 de noviembre, de la Generalitat</w:t>
        </w:r>
      </w:hyperlink>
      <w:r w:rsidRPr="00A07BE9">
        <w:rPr>
          <w:rFonts w:ascii="Open Sans" w:eastAsia="NSimSun" w:hAnsi="Open Sans" w:cs="Open Sans"/>
          <w:kern w:val="2"/>
          <w:sz w:val="20"/>
          <w:szCs w:val="20"/>
          <w:lang w:eastAsia="zh-CN" w:bidi="hi-IN"/>
        </w:rPr>
        <w:t>.</w:t>
      </w:r>
    </w:p>
    <w:p w14:paraId="2B830D6A" w14:textId="12BA98C2"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1B82FBDB" w14:textId="77777777" w:rsidR="004A3C1B" w:rsidRPr="00A07BE9" w:rsidRDefault="004A3C1B" w:rsidP="009568B0">
      <w:pPr>
        <w:spacing w:after="0" w:line="276" w:lineRule="auto"/>
        <w:jc w:val="both"/>
        <w:rPr>
          <w:rFonts w:ascii="Open Sans" w:eastAsia="NSimSun" w:hAnsi="Open Sans" w:cs="Open Sans"/>
          <w:kern w:val="2"/>
          <w:sz w:val="20"/>
          <w:szCs w:val="20"/>
          <w:lang w:eastAsia="zh-CN" w:bidi="hi-IN"/>
        </w:rPr>
      </w:pPr>
    </w:p>
    <w:p w14:paraId="5DA66A2E" w14:textId="0349009B"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8"/>
          <w:szCs w:val="28"/>
          <w:lang w:eastAsia="es-ES" w:bidi="hi-IN"/>
        </w:rPr>
      </w:pPr>
      <w:r w:rsidRPr="00A07BE9">
        <w:rPr>
          <w:rFonts w:ascii="Open Sans" w:eastAsia="Times New Roman" w:hAnsi="Open Sans" w:cs="Open Sans"/>
          <w:b/>
          <w:bCs/>
          <w:smallCaps/>
          <w:color w:val="9D2235"/>
          <w:kern w:val="2"/>
          <w:sz w:val="28"/>
          <w:szCs w:val="28"/>
          <w:lang w:eastAsia="es-ES" w:bidi="hi-IN"/>
        </w:rPr>
        <w:t>3.3.</w:t>
      </w:r>
      <w:r w:rsidR="00F24615" w:rsidRPr="00A07BE9">
        <w:rPr>
          <w:rFonts w:ascii="Open Sans" w:eastAsia="Times New Roman" w:hAnsi="Open Sans" w:cs="Open Sans"/>
          <w:b/>
          <w:bCs/>
          <w:smallCaps/>
          <w:color w:val="9D2235"/>
          <w:kern w:val="2"/>
          <w:sz w:val="28"/>
          <w:szCs w:val="28"/>
          <w:lang w:eastAsia="es-ES" w:bidi="hi-IN"/>
        </w:rPr>
        <w:t>2.</w:t>
      </w:r>
      <w:r w:rsidRPr="00A07BE9">
        <w:rPr>
          <w:rFonts w:ascii="Open Sans" w:eastAsia="Times New Roman" w:hAnsi="Open Sans" w:cs="Open Sans"/>
          <w:b/>
          <w:bCs/>
          <w:smallCaps/>
          <w:color w:val="9D2235"/>
          <w:kern w:val="2"/>
          <w:sz w:val="28"/>
          <w:szCs w:val="28"/>
          <w:lang w:eastAsia="es-ES" w:bidi="hi-IN"/>
        </w:rPr>
        <w:t xml:space="preserve"> Denuncias Presentadas según el Canal de Comunicación</w:t>
      </w:r>
    </w:p>
    <w:p w14:paraId="54445C46" w14:textId="77777777"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0"/>
          <w:szCs w:val="20"/>
          <w:lang w:eastAsia="es-ES" w:bidi="hi-IN"/>
        </w:rPr>
      </w:pPr>
    </w:p>
    <w:p w14:paraId="5D94C30B"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Contempla la clasificación de las denuncias presentadas en base al canal de comunicación empleado para poner los hechos en conocimiento de la Agencia de Prevención y Lucha contra el Fraude y la Corrupción de la Comunitat Valenciana. </w:t>
      </w:r>
    </w:p>
    <w:p w14:paraId="2F0B6021"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62739160" w14:textId="10A14605"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Debe resaltarse que la </w:t>
      </w:r>
      <w:r w:rsidR="00EC46CF" w:rsidRPr="00A07BE9">
        <w:rPr>
          <w:rFonts w:ascii="Open Sans" w:eastAsia="NSimSun" w:hAnsi="Open Sans" w:cs="Open Sans"/>
          <w:kern w:val="2"/>
          <w:sz w:val="20"/>
          <w:szCs w:val="20"/>
          <w:lang w:eastAsia="zh-CN" w:bidi="hi-IN"/>
        </w:rPr>
        <w:t>A</w:t>
      </w:r>
      <w:r w:rsidRPr="00A07BE9">
        <w:rPr>
          <w:rFonts w:ascii="Open Sans" w:eastAsia="NSimSun" w:hAnsi="Open Sans" w:cs="Open Sans"/>
          <w:kern w:val="2"/>
          <w:sz w:val="20"/>
          <w:szCs w:val="20"/>
          <w:lang w:eastAsia="zh-CN" w:bidi="hi-IN"/>
        </w:rPr>
        <w:t>gencia deberá establecer procedimientos y canales confidenciales para la formulación de denuncias que garanticen la estricta confidencialidad, especialmente cuando el denunciante invoque la aplicación del estatuto de protección. Estos procedimientos y canales podrán ser también utilizados por los que ya hayan actuado como denunciantes para comunicar represalias u otras actuaciones lesivas derivadas de la presentación de la denuncia.</w:t>
      </w:r>
    </w:p>
    <w:p w14:paraId="069D0358"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5095F6EC" w14:textId="7BEA1E99"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Cualquier persona puede dirigirse a la </w:t>
      </w:r>
      <w:r w:rsidR="00EC46CF" w:rsidRPr="00A07BE9">
        <w:rPr>
          <w:rFonts w:ascii="Open Sans" w:eastAsia="NSimSun" w:hAnsi="Open Sans" w:cs="Open Sans"/>
          <w:kern w:val="2"/>
          <w:sz w:val="20"/>
          <w:szCs w:val="20"/>
          <w:lang w:eastAsia="zh-CN" w:bidi="hi-IN"/>
        </w:rPr>
        <w:t>A</w:t>
      </w:r>
      <w:r w:rsidRPr="00A07BE9">
        <w:rPr>
          <w:rFonts w:ascii="Open Sans" w:eastAsia="NSimSun" w:hAnsi="Open Sans" w:cs="Open Sans"/>
          <w:kern w:val="2"/>
          <w:sz w:val="20"/>
          <w:szCs w:val="20"/>
          <w:lang w:eastAsia="zh-CN" w:bidi="hi-IN"/>
        </w:rPr>
        <w:t xml:space="preserve">gencia para comunicar conductas que puedan ser susceptibles de ser investigadas o inspeccionadas por esta, y la Agencia acusará recepción del escrito recibido. La persona informadora puede solicitar que se garantice la confidencialidad sobre su identidad, y el personal de la </w:t>
      </w:r>
      <w:r w:rsidR="00EC46CF" w:rsidRPr="00A07BE9">
        <w:rPr>
          <w:rFonts w:ascii="Open Sans" w:eastAsia="NSimSun" w:hAnsi="Open Sans" w:cs="Open Sans"/>
          <w:kern w:val="2"/>
          <w:sz w:val="20"/>
          <w:szCs w:val="20"/>
          <w:lang w:eastAsia="zh-CN" w:bidi="hi-IN"/>
        </w:rPr>
        <w:t>A</w:t>
      </w:r>
      <w:r w:rsidRPr="00A07BE9">
        <w:rPr>
          <w:rFonts w:ascii="Open Sans" w:eastAsia="NSimSun" w:hAnsi="Open Sans" w:cs="Open Sans"/>
          <w:kern w:val="2"/>
          <w:sz w:val="20"/>
          <w:szCs w:val="20"/>
          <w:lang w:eastAsia="zh-CN" w:bidi="hi-IN"/>
        </w:rPr>
        <w:t>gencia está obligado a mantenerla, excepto en el caso en que se reciba un requerimiento judicial.</w:t>
      </w:r>
    </w:p>
    <w:p w14:paraId="242E9F2B"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3AAD0695" w14:textId="7A0C5A33" w:rsidR="001908A2"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La reglamentación relativa a la configuración de los canales de entrada de denuncias y comunicaciones se completa con lo establecido en la Resolución de 27 de junio de 2019, del director de la Agencia de Prevención y Lucha contra el Fraude y la Corrupción de la Comunitat Valenciana, por la que se aprueba </w:t>
      </w:r>
      <w:hyperlink r:id="rId71" w:history="1">
        <w:r w:rsidRPr="00A07BE9">
          <w:rPr>
            <w:rStyle w:val="Hipervnculo"/>
            <w:rFonts w:ascii="Open Sans" w:eastAsia="NSimSun" w:hAnsi="Open Sans" w:cs="Open Sans"/>
            <w:kern w:val="2"/>
            <w:sz w:val="20"/>
            <w:szCs w:val="20"/>
            <w:lang w:eastAsia="zh-CN" w:bidi="hi-IN"/>
          </w:rPr>
          <w:t>Reglamento de funcionamiento y régimen interior</w:t>
        </w:r>
      </w:hyperlink>
      <w:r w:rsidRPr="00A07BE9">
        <w:rPr>
          <w:rFonts w:ascii="Open Sans" w:eastAsia="NSimSun" w:hAnsi="Open Sans" w:cs="Open Sans"/>
          <w:kern w:val="2"/>
          <w:sz w:val="20"/>
          <w:szCs w:val="20"/>
          <w:lang w:eastAsia="zh-CN" w:bidi="hi-IN"/>
        </w:rPr>
        <w:t xml:space="preserve"> de esta, en desarrollo de </w:t>
      </w:r>
      <w:hyperlink r:id="rId72" w:history="1">
        <w:r w:rsidR="004C14BF" w:rsidRPr="00A07BE9">
          <w:rPr>
            <w:rStyle w:val="Hipervnculo"/>
            <w:rFonts w:ascii="Open Sans" w:hAnsi="Open Sans" w:cs="Open Sans"/>
            <w:sz w:val="20"/>
            <w:szCs w:val="20"/>
          </w:rPr>
          <w:t>Ley 11/2016</w:t>
        </w:r>
        <w:r w:rsidR="004C14BF" w:rsidRPr="00A07BE9">
          <w:rPr>
            <w:rStyle w:val="Hipervnculo"/>
            <w:rFonts w:ascii="Open Sans" w:hAnsi="Open Sans" w:cs="Open Sans"/>
            <w:color w:val="auto"/>
            <w:sz w:val="20"/>
            <w:szCs w:val="20"/>
            <w:u w:val="none"/>
          </w:rPr>
          <w:t>, de 28 de noviembre, de la Generalitat</w:t>
        </w:r>
      </w:hyperlink>
      <w:r w:rsidRPr="00A07BE9">
        <w:rPr>
          <w:rFonts w:ascii="Open Sans" w:eastAsia="NSimSun" w:hAnsi="Open Sans" w:cs="Open Sans"/>
          <w:kern w:val="2"/>
          <w:sz w:val="20"/>
          <w:szCs w:val="20"/>
          <w:lang w:eastAsia="zh-CN" w:bidi="hi-IN"/>
        </w:rPr>
        <w:t xml:space="preserve">, indicándose que se admiten las denuncias y comunicaciones, tanto nominales como anónimas, pudiendo realizarse con plenas garantías de anonimato mediante el </w:t>
      </w:r>
      <w:hyperlink r:id="rId73" w:history="1">
        <w:r w:rsidR="008447AD" w:rsidRPr="00A07BE9">
          <w:rPr>
            <w:rStyle w:val="Hipervnculo"/>
            <w:rFonts w:ascii="Open Sans" w:eastAsia="NSimSun" w:hAnsi="Open Sans" w:cs="Open Sans"/>
            <w:kern w:val="2"/>
            <w:sz w:val="20"/>
            <w:szCs w:val="20"/>
            <w:lang w:eastAsia="zh-CN" w:bidi="hi-IN"/>
          </w:rPr>
          <w:t>B</w:t>
        </w:r>
        <w:r w:rsidRPr="00A07BE9">
          <w:rPr>
            <w:rStyle w:val="Hipervnculo"/>
            <w:rFonts w:ascii="Open Sans" w:eastAsia="NSimSun" w:hAnsi="Open Sans" w:cs="Open Sans"/>
            <w:kern w:val="2"/>
            <w:sz w:val="20"/>
            <w:szCs w:val="20"/>
            <w:lang w:eastAsia="zh-CN" w:bidi="hi-IN"/>
          </w:rPr>
          <w:t xml:space="preserve">uzón de </w:t>
        </w:r>
        <w:r w:rsidR="008447AD" w:rsidRPr="00A07BE9">
          <w:rPr>
            <w:rStyle w:val="Hipervnculo"/>
            <w:rFonts w:ascii="Open Sans" w:eastAsia="NSimSun" w:hAnsi="Open Sans" w:cs="Open Sans"/>
            <w:kern w:val="2"/>
            <w:sz w:val="20"/>
            <w:szCs w:val="20"/>
            <w:lang w:eastAsia="zh-CN" w:bidi="hi-IN"/>
          </w:rPr>
          <w:t>D</w:t>
        </w:r>
        <w:r w:rsidRPr="00A07BE9">
          <w:rPr>
            <w:rStyle w:val="Hipervnculo"/>
            <w:rFonts w:ascii="Open Sans" w:eastAsia="NSimSun" w:hAnsi="Open Sans" w:cs="Open Sans"/>
            <w:kern w:val="2"/>
            <w:sz w:val="20"/>
            <w:szCs w:val="20"/>
            <w:lang w:eastAsia="zh-CN" w:bidi="hi-IN"/>
          </w:rPr>
          <w:t>enuncias</w:t>
        </w:r>
      </w:hyperlink>
      <w:r w:rsidRPr="00A07BE9">
        <w:rPr>
          <w:rFonts w:ascii="Open Sans" w:eastAsia="NSimSun" w:hAnsi="Open Sans" w:cs="Open Sans"/>
          <w:kern w:val="2"/>
          <w:sz w:val="20"/>
          <w:szCs w:val="20"/>
          <w:lang w:eastAsia="zh-CN" w:bidi="hi-IN"/>
        </w:rPr>
        <w:t xml:space="preserve"> electrónico disponible en la página web de la Agencia. Dicho canal de denuncias opera asimismo como </w:t>
      </w:r>
      <w:r w:rsidRPr="00A07BE9">
        <w:rPr>
          <w:rFonts w:ascii="Open Sans" w:eastAsia="NSimSun" w:hAnsi="Open Sans" w:cs="Open Sans"/>
          <w:kern w:val="2"/>
          <w:sz w:val="20"/>
          <w:szCs w:val="20"/>
          <w:lang w:eastAsia="zh-CN" w:bidi="hi-IN"/>
        </w:rPr>
        <w:lastRenderedPageBreak/>
        <w:t>oficina virtual del personal empleado público que pone en conocimiento de la Agencia las irregularidades que conozca o a las que haya tenido acceso.</w:t>
      </w:r>
    </w:p>
    <w:p w14:paraId="46ED4353" w14:textId="77777777" w:rsidR="00BF5A7F" w:rsidRPr="00A07BE9" w:rsidRDefault="00BF5A7F" w:rsidP="009568B0">
      <w:pPr>
        <w:spacing w:after="0" w:line="276" w:lineRule="auto"/>
        <w:jc w:val="both"/>
        <w:rPr>
          <w:rFonts w:ascii="Open Sans" w:eastAsia="NSimSun" w:hAnsi="Open Sans" w:cs="Open Sans"/>
          <w:kern w:val="2"/>
          <w:sz w:val="20"/>
          <w:szCs w:val="20"/>
          <w:lang w:eastAsia="zh-CN" w:bidi="hi-IN"/>
        </w:rPr>
      </w:pPr>
    </w:p>
    <w:p w14:paraId="4242196D" w14:textId="4920800F"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El </w:t>
      </w:r>
      <w:hyperlink r:id="rId74" w:history="1">
        <w:r w:rsidR="008447AD" w:rsidRPr="00A07BE9">
          <w:rPr>
            <w:rStyle w:val="Hipervnculo"/>
            <w:rFonts w:ascii="Open Sans" w:eastAsia="NSimSun" w:hAnsi="Open Sans" w:cs="Open Sans"/>
            <w:kern w:val="2"/>
            <w:sz w:val="20"/>
            <w:szCs w:val="20"/>
            <w:lang w:eastAsia="zh-CN" w:bidi="hi-IN"/>
          </w:rPr>
          <w:t>B</w:t>
        </w:r>
        <w:r w:rsidRPr="00A07BE9">
          <w:rPr>
            <w:rStyle w:val="Hipervnculo"/>
            <w:rFonts w:ascii="Open Sans" w:eastAsia="NSimSun" w:hAnsi="Open Sans" w:cs="Open Sans"/>
            <w:kern w:val="2"/>
            <w:sz w:val="20"/>
            <w:szCs w:val="20"/>
            <w:lang w:eastAsia="zh-CN" w:bidi="hi-IN"/>
          </w:rPr>
          <w:t xml:space="preserve">uzón de </w:t>
        </w:r>
        <w:r w:rsidR="008447AD" w:rsidRPr="00A07BE9">
          <w:rPr>
            <w:rStyle w:val="Hipervnculo"/>
            <w:rFonts w:ascii="Open Sans" w:eastAsia="NSimSun" w:hAnsi="Open Sans" w:cs="Open Sans"/>
            <w:kern w:val="2"/>
            <w:sz w:val="20"/>
            <w:szCs w:val="20"/>
            <w:lang w:eastAsia="zh-CN" w:bidi="hi-IN"/>
          </w:rPr>
          <w:t>D</w:t>
        </w:r>
        <w:r w:rsidRPr="00A07BE9">
          <w:rPr>
            <w:rStyle w:val="Hipervnculo"/>
            <w:rFonts w:ascii="Open Sans" w:eastAsia="NSimSun" w:hAnsi="Open Sans" w:cs="Open Sans"/>
            <w:kern w:val="2"/>
            <w:sz w:val="20"/>
            <w:szCs w:val="20"/>
            <w:lang w:eastAsia="zh-CN" w:bidi="hi-IN"/>
          </w:rPr>
          <w:t>enuncias</w:t>
        </w:r>
      </w:hyperlink>
      <w:r w:rsidRPr="00A07BE9">
        <w:rPr>
          <w:rFonts w:ascii="Open Sans" w:eastAsia="NSimSun" w:hAnsi="Open Sans" w:cs="Open Sans"/>
          <w:kern w:val="2"/>
          <w:sz w:val="20"/>
          <w:szCs w:val="20"/>
          <w:lang w:eastAsia="zh-CN" w:bidi="hi-IN"/>
        </w:rPr>
        <w:t xml:space="preserve"> es un canal telemático seguro para la presentación de denuncias, informaciones o comunicaciones dirigidas a la Agencia, que permite la intercomunicación, incluso cuando la información que se recibe es anónima. Mediante </w:t>
      </w:r>
      <w:hyperlink r:id="rId75" w:history="1">
        <w:r w:rsidR="001B1422" w:rsidRPr="00A07BE9">
          <w:rPr>
            <w:rStyle w:val="Hipervnculo"/>
            <w:rFonts w:ascii="Open Sans" w:eastAsia="NSimSun" w:hAnsi="Open Sans" w:cs="Open Sans"/>
            <w:kern w:val="2"/>
            <w:sz w:val="20"/>
            <w:szCs w:val="20"/>
            <w:lang w:eastAsia="zh-CN" w:bidi="hi-IN"/>
          </w:rPr>
          <w:t>R</w:t>
        </w:r>
        <w:r w:rsidRPr="00A07BE9">
          <w:rPr>
            <w:rStyle w:val="Hipervnculo"/>
            <w:rFonts w:ascii="Open Sans" w:eastAsia="NSimSun" w:hAnsi="Open Sans" w:cs="Open Sans"/>
            <w:kern w:val="2"/>
            <w:sz w:val="20"/>
            <w:szCs w:val="20"/>
            <w:lang w:eastAsia="zh-CN" w:bidi="hi-IN"/>
          </w:rPr>
          <w:t>esolución de 25 de abril de 2018</w:t>
        </w:r>
      </w:hyperlink>
      <w:r w:rsidRPr="00A07BE9">
        <w:rPr>
          <w:rFonts w:ascii="Open Sans" w:eastAsia="NSimSun" w:hAnsi="Open Sans" w:cs="Open Sans"/>
          <w:kern w:val="2"/>
          <w:sz w:val="20"/>
          <w:szCs w:val="20"/>
          <w:lang w:eastAsia="zh-CN" w:bidi="hi-IN"/>
        </w:rPr>
        <w:t xml:space="preserve">, publicada en el </w:t>
      </w:r>
      <w:r w:rsidRPr="00A07BE9">
        <w:rPr>
          <w:rFonts w:ascii="Open Sans" w:eastAsia="NSimSun" w:hAnsi="Open Sans" w:cs="Open Sans"/>
          <w:i/>
          <w:kern w:val="2"/>
          <w:sz w:val="20"/>
          <w:szCs w:val="20"/>
          <w:lang w:eastAsia="zh-CN" w:bidi="hi-IN"/>
        </w:rPr>
        <w:t>Diari Oficial de la Generalitat Valenciana</w:t>
      </w:r>
      <w:r w:rsidRPr="00A07BE9">
        <w:rPr>
          <w:rFonts w:ascii="Open Sans" w:eastAsia="NSimSun" w:hAnsi="Open Sans" w:cs="Open Sans"/>
          <w:kern w:val="2"/>
          <w:sz w:val="20"/>
          <w:szCs w:val="20"/>
          <w:lang w:eastAsia="zh-CN" w:bidi="hi-IN"/>
        </w:rPr>
        <w:t xml:space="preserve">, se crea y regula el funcionamiento del </w:t>
      </w:r>
      <w:r w:rsidR="008447AD" w:rsidRPr="00A07BE9">
        <w:rPr>
          <w:rFonts w:ascii="Open Sans" w:eastAsia="NSimSun" w:hAnsi="Open Sans" w:cs="Open Sans"/>
          <w:kern w:val="2"/>
          <w:sz w:val="20"/>
          <w:szCs w:val="20"/>
          <w:lang w:eastAsia="zh-CN" w:bidi="hi-IN"/>
        </w:rPr>
        <w:t>B</w:t>
      </w:r>
      <w:r w:rsidRPr="00A07BE9">
        <w:rPr>
          <w:rFonts w:ascii="Open Sans" w:eastAsia="NSimSun" w:hAnsi="Open Sans" w:cs="Open Sans"/>
          <w:kern w:val="2"/>
          <w:sz w:val="20"/>
          <w:szCs w:val="20"/>
          <w:lang w:eastAsia="zh-CN" w:bidi="hi-IN"/>
        </w:rPr>
        <w:t xml:space="preserve">uzón de </w:t>
      </w:r>
      <w:r w:rsidR="008447AD" w:rsidRPr="00A07BE9">
        <w:rPr>
          <w:rFonts w:ascii="Open Sans" w:eastAsia="NSimSun" w:hAnsi="Open Sans" w:cs="Open Sans"/>
          <w:kern w:val="2"/>
          <w:sz w:val="20"/>
          <w:szCs w:val="20"/>
          <w:lang w:eastAsia="zh-CN" w:bidi="hi-IN"/>
        </w:rPr>
        <w:t>D</w:t>
      </w:r>
      <w:r w:rsidRPr="00A07BE9">
        <w:rPr>
          <w:rFonts w:ascii="Open Sans" w:eastAsia="NSimSun" w:hAnsi="Open Sans" w:cs="Open Sans"/>
          <w:kern w:val="2"/>
          <w:sz w:val="20"/>
          <w:szCs w:val="20"/>
          <w:lang w:eastAsia="zh-CN" w:bidi="hi-IN"/>
        </w:rPr>
        <w:t xml:space="preserve">enuncias de la Agencia disponible en la web de la Agencia </w:t>
      </w:r>
      <w:r w:rsidRPr="00A07BE9">
        <w:rPr>
          <w:rFonts w:ascii="Open Sans" w:eastAsia="NSimSun" w:hAnsi="Open Sans" w:cs="Open Sans"/>
          <w:i/>
          <w:iCs/>
          <w:kern w:val="2"/>
          <w:sz w:val="20"/>
          <w:szCs w:val="20"/>
          <w:lang w:eastAsia="zh-CN" w:bidi="hi-IN"/>
        </w:rPr>
        <w:t>(</w:t>
      </w:r>
      <w:hyperlink r:id="rId76">
        <w:r w:rsidRPr="00A07BE9">
          <w:rPr>
            <w:rFonts w:ascii="Open Sans" w:eastAsia="NSimSun" w:hAnsi="Open Sans" w:cs="Open Sans"/>
            <w:i/>
            <w:iCs/>
            <w:color w:val="000080"/>
            <w:kern w:val="2"/>
            <w:sz w:val="20"/>
            <w:szCs w:val="20"/>
            <w:lang w:eastAsia="zh-CN" w:bidi="hi-IN"/>
          </w:rPr>
          <w:t>https://www.antifraucv.es</w:t>
        </w:r>
      </w:hyperlink>
      <w:r w:rsidRPr="00A07BE9">
        <w:rPr>
          <w:rFonts w:ascii="Open Sans" w:eastAsia="NSimSun" w:hAnsi="Open Sans" w:cs="Open Sans"/>
          <w:i/>
          <w:iCs/>
          <w:kern w:val="2"/>
          <w:sz w:val="20"/>
          <w:szCs w:val="20"/>
          <w:lang w:eastAsia="zh-CN" w:bidi="hi-IN"/>
        </w:rPr>
        <w:t>)</w:t>
      </w:r>
      <w:r w:rsidRPr="00A07BE9">
        <w:rPr>
          <w:rFonts w:ascii="Open Sans" w:eastAsia="NSimSun" w:hAnsi="Open Sans" w:cs="Open Sans"/>
          <w:i/>
          <w:kern w:val="2"/>
          <w:sz w:val="20"/>
          <w:szCs w:val="20"/>
          <w:lang w:eastAsia="zh-CN" w:bidi="hi-IN"/>
        </w:rPr>
        <w:t>.</w:t>
      </w:r>
    </w:p>
    <w:p w14:paraId="7CD63FF0"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425FD61E"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Además de la aplicación informática del Buzón, se mantiene la posibilidad de presentación de denuncias identificadas de forma presencial, accediendo de este modo al Registro de Entrada general, así como por cualquiera de los medios permitidos por la legislación sobre procedimiento administrativo común.</w:t>
      </w:r>
    </w:p>
    <w:p w14:paraId="71A62785"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0E47055E" w14:textId="098F075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Se han agrupado los expedientes según la naturaleza de las comunicaciones recibidas por la Agencia, distinguiendo entre denuncias recibidas por vía del </w:t>
      </w:r>
      <w:hyperlink r:id="rId77" w:history="1">
        <w:r w:rsidRPr="00A07BE9">
          <w:rPr>
            <w:rStyle w:val="Hipervnculo"/>
            <w:rFonts w:ascii="Open Sans" w:eastAsia="NSimSun" w:hAnsi="Open Sans" w:cs="Open Sans"/>
            <w:kern w:val="2"/>
            <w:sz w:val="20"/>
            <w:szCs w:val="20"/>
            <w:lang w:eastAsia="zh-CN" w:bidi="hi-IN"/>
          </w:rPr>
          <w:t>Buzón de Denuncias</w:t>
        </w:r>
      </w:hyperlink>
      <w:r w:rsidRPr="00A07BE9">
        <w:rPr>
          <w:rFonts w:ascii="Open Sans" w:eastAsia="NSimSun" w:hAnsi="Open Sans" w:cs="Open Sans"/>
          <w:kern w:val="2"/>
          <w:sz w:val="20"/>
          <w:szCs w:val="20"/>
          <w:lang w:eastAsia="zh-CN" w:bidi="hi-IN"/>
        </w:rPr>
        <w:t>, por correo (electrónico u ordinario), y por registro general, incluyéndose en este último apartado los correspondientes a los canales de entrada permitidos por la legislación general sobre procedimiento administrativo común (registros de otras administraciones públicas, registros presentados en oficinas de correos de forma certificada, etc</w:t>
      </w:r>
      <w:r w:rsidR="00A51C35" w:rsidRPr="00A07BE9">
        <w:rPr>
          <w:rFonts w:ascii="Open Sans" w:eastAsia="NSimSun" w:hAnsi="Open Sans" w:cs="Open Sans"/>
          <w:kern w:val="2"/>
          <w:sz w:val="20"/>
          <w:szCs w:val="20"/>
          <w:lang w:eastAsia="zh-CN" w:bidi="hi-IN"/>
        </w:rPr>
        <w:t>.</w:t>
      </w:r>
      <w:r w:rsidRPr="00A07BE9">
        <w:rPr>
          <w:rFonts w:ascii="Open Sans" w:eastAsia="NSimSun" w:hAnsi="Open Sans" w:cs="Open Sans"/>
          <w:kern w:val="2"/>
          <w:sz w:val="20"/>
          <w:szCs w:val="20"/>
          <w:lang w:eastAsia="zh-CN" w:bidi="hi-IN"/>
        </w:rPr>
        <w:t>)</w:t>
      </w:r>
      <w:r w:rsidR="00DB322D" w:rsidRPr="00A07BE9">
        <w:rPr>
          <w:rFonts w:ascii="Open Sans" w:eastAsia="NSimSun" w:hAnsi="Open Sans" w:cs="Open Sans"/>
          <w:kern w:val="2"/>
          <w:sz w:val="20"/>
          <w:szCs w:val="20"/>
          <w:lang w:eastAsia="zh-CN" w:bidi="hi-IN"/>
        </w:rPr>
        <w:t>.</w:t>
      </w:r>
    </w:p>
    <w:p w14:paraId="55A597ED"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4CC24274" w14:textId="1D070ADC" w:rsidR="009568B0" w:rsidRPr="00A07BE9" w:rsidRDefault="009568B0" w:rsidP="009568B0">
      <w:pPr>
        <w:spacing w:after="0" w:line="276" w:lineRule="auto"/>
        <w:rPr>
          <w:rFonts w:ascii="Open Sans" w:eastAsia="NSimSun" w:hAnsi="Open Sans" w:cs="Open Sans"/>
          <w:b/>
          <w:kern w:val="2"/>
          <w:sz w:val="20"/>
          <w:szCs w:val="20"/>
          <w:lang w:eastAsia="zh-CN" w:bidi="hi-IN"/>
        </w:rPr>
      </w:pPr>
      <w:r w:rsidRPr="00A07BE9">
        <w:rPr>
          <w:rFonts w:ascii="Open Sans" w:eastAsia="NSimSun" w:hAnsi="Open Sans" w:cs="Open Sans"/>
          <w:b/>
          <w:color w:val="9D2235"/>
          <w:kern w:val="2"/>
          <w:sz w:val="20"/>
          <w:szCs w:val="20"/>
          <w:lang w:eastAsia="zh-CN" w:bidi="hi-IN"/>
        </w:rPr>
        <w:t xml:space="preserve">Tabla </w:t>
      </w:r>
      <w:r w:rsidR="001900B6" w:rsidRPr="00A07BE9">
        <w:rPr>
          <w:rFonts w:ascii="Open Sans" w:eastAsia="NSimSun" w:hAnsi="Open Sans" w:cs="Open Sans"/>
          <w:b/>
          <w:color w:val="9D2235"/>
          <w:kern w:val="2"/>
          <w:sz w:val="20"/>
          <w:szCs w:val="20"/>
          <w:lang w:eastAsia="zh-CN" w:bidi="hi-IN"/>
        </w:rPr>
        <w:t>6</w:t>
      </w:r>
      <w:r w:rsidRPr="00A07BE9">
        <w:rPr>
          <w:rFonts w:ascii="Open Sans" w:eastAsia="NSimSun" w:hAnsi="Open Sans" w:cs="Open Sans"/>
          <w:b/>
          <w:color w:val="9D2235"/>
          <w:kern w:val="2"/>
          <w:sz w:val="20"/>
          <w:szCs w:val="20"/>
          <w:lang w:eastAsia="zh-CN" w:bidi="hi-IN"/>
        </w:rPr>
        <w:t xml:space="preserve">. </w:t>
      </w:r>
      <w:r w:rsidRPr="00A07BE9">
        <w:rPr>
          <w:rFonts w:ascii="Open Sans" w:eastAsia="NSimSun" w:hAnsi="Open Sans" w:cs="Open Sans"/>
          <w:b/>
          <w:kern w:val="2"/>
          <w:sz w:val="20"/>
          <w:szCs w:val="20"/>
          <w:lang w:eastAsia="zh-CN" w:bidi="hi-IN"/>
        </w:rPr>
        <w:t>Denuncias presentadas según el canal de comunicación</w:t>
      </w:r>
    </w:p>
    <w:p w14:paraId="2A3C47CB" w14:textId="77777777" w:rsidR="00F73F0B" w:rsidRPr="00A07BE9" w:rsidRDefault="00F73F0B" w:rsidP="009568B0">
      <w:pPr>
        <w:spacing w:after="0" w:line="276" w:lineRule="auto"/>
        <w:rPr>
          <w:rFonts w:ascii="Open Sans" w:eastAsia="NSimSun" w:hAnsi="Open Sans" w:cs="Open Sans"/>
          <w:b/>
          <w:kern w:val="2"/>
          <w:sz w:val="20"/>
          <w:szCs w:val="20"/>
          <w:lang w:eastAsia="zh-CN" w:bidi="hi-IN"/>
        </w:rPr>
      </w:pPr>
    </w:p>
    <w:tbl>
      <w:tblPr>
        <w:tblW w:w="5000" w:type="pct"/>
        <w:tblCellMar>
          <w:left w:w="70" w:type="dxa"/>
          <w:right w:w="70" w:type="dxa"/>
        </w:tblCellMar>
        <w:tblLook w:val="04A0" w:firstRow="1" w:lastRow="0" w:firstColumn="1" w:lastColumn="0" w:noHBand="0" w:noVBand="1"/>
      </w:tblPr>
      <w:tblGrid>
        <w:gridCol w:w="2510"/>
        <w:gridCol w:w="998"/>
        <w:gridCol w:w="998"/>
        <w:gridCol w:w="997"/>
        <w:gridCol w:w="997"/>
        <w:gridCol w:w="997"/>
        <w:gridCol w:w="997"/>
      </w:tblGrid>
      <w:tr w:rsidR="009568B0" w:rsidRPr="00A07BE9" w14:paraId="05C113B1" w14:textId="77777777" w:rsidTr="005E047E">
        <w:trPr>
          <w:trHeight w:val="312"/>
        </w:trPr>
        <w:tc>
          <w:tcPr>
            <w:tcW w:w="1476" w:type="pct"/>
            <w:tcBorders>
              <w:top w:val="single" w:sz="4" w:space="0" w:color="auto"/>
              <w:left w:val="single" w:sz="4" w:space="0" w:color="auto"/>
              <w:bottom w:val="single" w:sz="4" w:space="0" w:color="auto"/>
              <w:right w:val="single" w:sz="4" w:space="0" w:color="auto"/>
            </w:tcBorders>
            <w:shd w:val="clear" w:color="auto" w:fill="C6C6C6"/>
            <w:noWrap/>
            <w:vAlign w:val="center"/>
            <w:hideMark/>
          </w:tcPr>
          <w:p w14:paraId="537C306F" w14:textId="77777777" w:rsidR="009568B0" w:rsidRPr="00A07BE9" w:rsidRDefault="009568B0" w:rsidP="009568B0">
            <w:pPr>
              <w:spacing w:after="0" w:line="240" w:lineRule="auto"/>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CANAL COMUNICACION</w:t>
            </w:r>
          </w:p>
        </w:tc>
        <w:tc>
          <w:tcPr>
            <w:tcW w:w="587" w:type="pct"/>
            <w:tcBorders>
              <w:top w:val="single" w:sz="4" w:space="0" w:color="auto"/>
              <w:left w:val="nil"/>
              <w:bottom w:val="single" w:sz="4" w:space="0" w:color="auto"/>
              <w:right w:val="single" w:sz="4" w:space="0" w:color="auto"/>
            </w:tcBorders>
            <w:shd w:val="clear" w:color="auto" w:fill="C6C6C6"/>
            <w:noWrap/>
            <w:vAlign w:val="center"/>
            <w:hideMark/>
          </w:tcPr>
          <w:p w14:paraId="5E5AF96D"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2017</w:t>
            </w:r>
          </w:p>
        </w:tc>
        <w:tc>
          <w:tcPr>
            <w:tcW w:w="587" w:type="pct"/>
            <w:tcBorders>
              <w:top w:val="single" w:sz="4" w:space="0" w:color="auto"/>
              <w:left w:val="nil"/>
              <w:bottom w:val="single" w:sz="4" w:space="0" w:color="auto"/>
              <w:right w:val="single" w:sz="4" w:space="0" w:color="auto"/>
            </w:tcBorders>
            <w:shd w:val="clear" w:color="auto" w:fill="C6C6C6"/>
            <w:noWrap/>
            <w:vAlign w:val="center"/>
            <w:hideMark/>
          </w:tcPr>
          <w:p w14:paraId="631FA20A"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2017 %</w:t>
            </w:r>
          </w:p>
        </w:tc>
        <w:tc>
          <w:tcPr>
            <w:tcW w:w="587" w:type="pct"/>
            <w:tcBorders>
              <w:top w:val="single" w:sz="4" w:space="0" w:color="auto"/>
              <w:left w:val="nil"/>
              <w:bottom w:val="single" w:sz="4" w:space="0" w:color="auto"/>
              <w:right w:val="single" w:sz="4" w:space="0" w:color="auto"/>
            </w:tcBorders>
            <w:shd w:val="clear" w:color="auto" w:fill="C6C6C6"/>
            <w:noWrap/>
            <w:vAlign w:val="center"/>
            <w:hideMark/>
          </w:tcPr>
          <w:p w14:paraId="4F98327F"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2018</w:t>
            </w:r>
          </w:p>
        </w:tc>
        <w:tc>
          <w:tcPr>
            <w:tcW w:w="587" w:type="pct"/>
            <w:tcBorders>
              <w:top w:val="single" w:sz="4" w:space="0" w:color="auto"/>
              <w:left w:val="nil"/>
              <w:bottom w:val="single" w:sz="4" w:space="0" w:color="auto"/>
              <w:right w:val="single" w:sz="4" w:space="0" w:color="auto"/>
            </w:tcBorders>
            <w:shd w:val="clear" w:color="auto" w:fill="C6C6C6"/>
            <w:noWrap/>
            <w:vAlign w:val="center"/>
            <w:hideMark/>
          </w:tcPr>
          <w:p w14:paraId="1CD61C50"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2018 %</w:t>
            </w:r>
          </w:p>
        </w:tc>
        <w:tc>
          <w:tcPr>
            <w:tcW w:w="587" w:type="pct"/>
            <w:tcBorders>
              <w:top w:val="single" w:sz="4" w:space="0" w:color="auto"/>
              <w:left w:val="nil"/>
              <w:bottom w:val="single" w:sz="4" w:space="0" w:color="auto"/>
              <w:right w:val="single" w:sz="4" w:space="0" w:color="auto"/>
            </w:tcBorders>
            <w:shd w:val="clear" w:color="auto" w:fill="C6C6C6"/>
            <w:noWrap/>
            <w:vAlign w:val="center"/>
            <w:hideMark/>
          </w:tcPr>
          <w:p w14:paraId="5D08EB4C"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2019</w:t>
            </w:r>
          </w:p>
        </w:tc>
        <w:tc>
          <w:tcPr>
            <w:tcW w:w="587" w:type="pct"/>
            <w:tcBorders>
              <w:top w:val="single" w:sz="4" w:space="0" w:color="auto"/>
              <w:left w:val="nil"/>
              <w:bottom w:val="single" w:sz="4" w:space="0" w:color="auto"/>
              <w:right w:val="single" w:sz="4" w:space="0" w:color="auto"/>
            </w:tcBorders>
            <w:shd w:val="clear" w:color="auto" w:fill="C6C6C6"/>
            <w:noWrap/>
            <w:vAlign w:val="center"/>
            <w:hideMark/>
          </w:tcPr>
          <w:p w14:paraId="3A37B254"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2019 %</w:t>
            </w:r>
          </w:p>
        </w:tc>
      </w:tr>
      <w:tr w:rsidR="009568B0" w:rsidRPr="00A07BE9" w14:paraId="31103BA6" w14:textId="77777777" w:rsidTr="005E047E">
        <w:trPr>
          <w:trHeight w:val="312"/>
        </w:trPr>
        <w:tc>
          <w:tcPr>
            <w:tcW w:w="1476" w:type="pct"/>
            <w:tcBorders>
              <w:top w:val="nil"/>
              <w:left w:val="single" w:sz="4" w:space="0" w:color="auto"/>
              <w:bottom w:val="single" w:sz="4" w:space="0" w:color="auto"/>
              <w:right w:val="single" w:sz="4" w:space="0" w:color="auto"/>
            </w:tcBorders>
            <w:shd w:val="clear" w:color="auto" w:fill="auto"/>
            <w:noWrap/>
            <w:vAlign w:val="center"/>
            <w:hideMark/>
          </w:tcPr>
          <w:p w14:paraId="5B1D123D"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Buzón de Denuncias</w:t>
            </w:r>
          </w:p>
        </w:tc>
        <w:tc>
          <w:tcPr>
            <w:tcW w:w="587" w:type="pct"/>
            <w:tcBorders>
              <w:top w:val="nil"/>
              <w:left w:val="nil"/>
              <w:bottom w:val="single" w:sz="4" w:space="0" w:color="auto"/>
              <w:right w:val="single" w:sz="4" w:space="0" w:color="auto"/>
            </w:tcBorders>
            <w:shd w:val="clear" w:color="auto" w:fill="auto"/>
            <w:noWrap/>
            <w:vAlign w:val="center"/>
            <w:hideMark/>
          </w:tcPr>
          <w:p w14:paraId="05519D0F"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w:t>
            </w:r>
          </w:p>
        </w:tc>
        <w:tc>
          <w:tcPr>
            <w:tcW w:w="587" w:type="pct"/>
            <w:tcBorders>
              <w:top w:val="nil"/>
              <w:left w:val="nil"/>
              <w:bottom w:val="single" w:sz="4" w:space="0" w:color="auto"/>
              <w:right w:val="single" w:sz="4" w:space="0" w:color="auto"/>
            </w:tcBorders>
            <w:shd w:val="clear" w:color="auto" w:fill="auto"/>
            <w:noWrap/>
            <w:vAlign w:val="center"/>
            <w:hideMark/>
          </w:tcPr>
          <w:p w14:paraId="2702F555"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0 %</w:t>
            </w:r>
          </w:p>
        </w:tc>
        <w:tc>
          <w:tcPr>
            <w:tcW w:w="587" w:type="pct"/>
            <w:tcBorders>
              <w:top w:val="nil"/>
              <w:left w:val="nil"/>
              <w:bottom w:val="single" w:sz="4" w:space="0" w:color="auto"/>
              <w:right w:val="single" w:sz="4" w:space="0" w:color="auto"/>
            </w:tcBorders>
            <w:shd w:val="clear" w:color="auto" w:fill="auto"/>
            <w:noWrap/>
            <w:vAlign w:val="center"/>
            <w:hideMark/>
          </w:tcPr>
          <w:p w14:paraId="378A9027"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97</w:t>
            </w:r>
          </w:p>
        </w:tc>
        <w:tc>
          <w:tcPr>
            <w:tcW w:w="587" w:type="pct"/>
            <w:tcBorders>
              <w:top w:val="nil"/>
              <w:left w:val="nil"/>
              <w:bottom w:val="single" w:sz="4" w:space="0" w:color="auto"/>
              <w:right w:val="single" w:sz="4" w:space="0" w:color="auto"/>
            </w:tcBorders>
            <w:shd w:val="clear" w:color="auto" w:fill="auto"/>
            <w:noWrap/>
            <w:vAlign w:val="center"/>
            <w:hideMark/>
          </w:tcPr>
          <w:p w14:paraId="59C8EC94"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54 %</w:t>
            </w:r>
          </w:p>
        </w:tc>
        <w:tc>
          <w:tcPr>
            <w:tcW w:w="587" w:type="pct"/>
            <w:tcBorders>
              <w:top w:val="nil"/>
              <w:left w:val="nil"/>
              <w:bottom w:val="single" w:sz="4" w:space="0" w:color="auto"/>
              <w:right w:val="single" w:sz="4" w:space="0" w:color="auto"/>
            </w:tcBorders>
            <w:shd w:val="clear" w:color="auto" w:fill="auto"/>
            <w:noWrap/>
            <w:vAlign w:val="center"/>
            <w:hideMark/>
          </w:tcPr>
          <w:p w14:paraId="0C28BD64"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127</w:t>
            </w:r>
          </w:p>
        </w:tc>
        <w:tc>
          <w:tcPr>
            <w:tcW w:w="587" w:type="pct"/>
            <w:tcBorders>
              <w:top w:val="nil"/>
              <w:left w:val="nil"/>
              <w:bottom w:val="single" w:sz="4" w:space="0" w:color="auto"/>
              <w:right w:val="single" w:sz="4" w:space="0" w:color="auto"/>
            </w:tcBorders>
            <w:shd w:val="clear" w:color="auto" w:fill="auto"/>
            <w:noWrap/>
            <w:vAlign w:val="center"/>
            <w:hideMark/>
          </w:tcPr>
          <w:p w14:paraId="11F64DB8"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76 %</w:t>
            </w:r>
          </w:p>
        </w:tc>
      </w:tr>
      <w:tr w:rsidR="009568B0" w:rsidRPr="00A07BE9" w14:paraId="4669CAE7" w14:textId="77777777" w:rsidTr="005E047E">
        <w:trPr>
          <w:trHeight w:val="312"/>
        </w:trPr>
        <w:tc>
          <w:tcPr>
            <w:tcW w:w="1476" w:type="pct"/>
            <w:tcBorders>
              <w:top w:val="nil"/>
              <w:left w:val="single" w:sz="4" w:space="0" w:color="auto"/>
              <w:bottom w:val="single" w:sz="4" w:space="0" w:color="auto"/>
              <w:right w:val="single" w:sz="4" w:space="0" w:color="auto"/>
            </w:tcBorders>
            <w:shd w:val="clear" w:color="auto" w:fill="auto"/>
            <w:noWrap/>
            <w:vAlign w:val="center"/>
            <w:hideMark/>
          </w:tcPr>
          <w:p w14:paraId="56CD24CC"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Correo Electrónico</w:t>
            </w:r>
          </w:p>
        </w:tc>
        <w:tc>
          <w:tcPr>
            <w:tcW w:w="587" w:type="pct"/>
            <w:tcBorders>
              <w:top w:val="nil"/>
              <w:left w:val="nil"/>
              <w:bottom w:val="single" w:sz="4" w:space="0" w:color="auto"/>
              <w:right w:val="single" w:sz="4" w:space="0" w:color="auto"/>
            </w:tcBorders>
            <w:shd w:val="clear" w:color="auto" w:fill="auto"/>
            <w:noWrap/>
            <w:vAlign w:val="center"/>
            <w:hideMark/>
          </w:tcPr>
          <w:p w14:paraId="1709899E"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25</w:t>
            </w:r>
          </w:p>
        </w:tc>
        <w:tc>
          <w:tcPr>
            <w:tcW w:w="587" w:type="pct"/>
            <w:tcBorders>
              <w:top w:val="nil"/>
              <w:left w:val="nil"/>
              <w:bottom w:val="single" w:sz="4" w:space="0" w:color="auto"/>
              <w:right w:val="single" w:sz="4" w:space="0" w:color="auto"/>
            </w:tcBorders>
            <w:shd w:val="clear" w:color="auto" w:fill="auto"/>
            <w:noWrap/>
            <w:vAlign w:val="center"/>
            <w:hideMark/>
          </w:tcPr>
          <w:p w14:paraId="63F12E44"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71 %</w:t>
            </w:r>
          </w:p>
        </w:tc>
        <w:tc>
          <w:tcPr>
            <w:tcW w:w="587" w:type="pct"/>
            <w:tcBorders>
              <w:top w:val="nil"/>
              <w:left w:val="nil"/>
              <w:bottom w:val="single" w:sz="4" w:space="0" w:color="auto"/>
              <w:right w:val="single" w:sz="4" w:space="0" w:color="auto"/>
            </w:tcBorders>
            <w:shd w:val="clear" w:color="auto" w:fill="auto"/>
            <w:noWrap/>
            <w:vAlign w:val="center"/>
            <w:hideMark/>
          </w:tcPr>
          <w:p w14:paraId="3688C590"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34</w:t>
            </w:r>
          </w:p>
        </w:tc>
        <w:tc>
          <w:tcPr>
            <w:tcW w:w="587" w:type="pct"/>
            <w:tcBorders>
              <w:top w:val="nil"/>
              <w:left w:val="nil"/>
              <w:bottom w:val="single" w:sz="4" w:space="0" w:color="auto"/>
              <w:right w:val="single" w:sz="4" w:space="0" w:color="auto"/>
            </w:tcBorders>
            <w:shd w:val="clear" w:color="auto" w:fill="auto"/>
            <w:noWrap/>
            <w:vAlign w:val="center"/>
            <w:hideMark/>
          </w:tcPr>
          <w:p w14:paraId="380FFD81"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19 %</w:t>
            </w:r>
          </w:p>
        </w:tc>
        <w:tc>
          <w:tcPr>
            <w:tcW w:w="587" w:type="pct"/>
            <w:tcBorders>
              <w:top w:val="nil"/>
              <w:left w:val="nil"/>
              <w:bottom w:val="single" w:sz="4" w:space="0" w:color="auto"/>
              <w:right w:val="single" w:sz="4" w:space="0" w:color="auto"/>
            </w:tcBorders>
            <w:shd w:val="clear" w:color="auto" w:fill="auto"/>
            <w:noWrap/>
            <w:vAlign w:val="center"/>
            <w:hideMark/>
          </w:tcPr>
          <w:p w14:paraId="587D0FAF"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16</w:t>
            </w:r>
          </w:p>
        </w:tc>
        <w:tc>
          <w:tcPr>
            <w:tcW w:w="587" w:type="pct"/>
            <w:tcBorders>
              <w:top w:val="nil"/>
              <w:left w:val="nil"/>
              <w:bottom w:val="single" w:sz="4" w:space="0" w:color="auto"/>
              <w:right w:val="single" w:sz="4" w:space="0" w:color="auto"/>
            </w:tcBorders>
            <w:shd w:val="clear" w:color="auto" w:fill="auto"/>
            <w:noWrap/>
            <w:vAlign w:val="center"/>
            <w:hideMark/>
          </w:tcPr>
          <w:p w14:paraId="50CF93E6"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10 %</w:t>
            </w:r>
          </w:p>
        </w:tc>
      </w:tr>
      <w:tr w:rsidR="009568B0" w:rsidRPr="00A07BE9" w14:paraId="41DBAC15" w14:textId="77777777" w:rsidTr="005E047E">
        <w:trPr>
          <w:trHeight w:val="312"/>
        </w:trPr>
        <w:tc>
          <w:tcPr>
            <w:tcW w:w="1476" w:type="pct"/>
            <w:tcBorders>
              <w:top w:val="nil"/>
              <w:left w:val="single" w:sz="4" w:space="0" w:color="auto"/>
              <w:bottom w:val="single" w:sz="4" w:space="0" w:color="auto"/>
              <w:right w:val="single" w:sz="4" w:space="0" w:color="auto"/>
            </w:tcBorders>
            <w:shd w:val="clear" w:color="auto" w:fill="auto"/>
            <w:noWrap/>
            <w:vAlign w:val="center"/>
            <w:hideMark/>
          </w:tcPr>
          <w:p w14:paraId="6399CC6B"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Registro General</w:t>
            </w:r>
          </w:p>
        </w:tc>
        <w:tc>
          <w:tcPr>
            <w:tcW w:w="587" w:type="pct"/>
            <w:tcBorders>
              <w:top w:val="nil"/>
              <w:left w:val="nil"/>
              <w:bottom w:val="single" w:sz="4" w:space="0" w:color="auto"/>
              <w:right w:val="single" w:sz="4" w:space="0" w:color="auto"/>
            </w:tcBorders>
            <w:shd w:val="clear" w:color="auto" w:fill="auto"/>
            <w:noWrap/>
            <w:vAlign w:val="center"/>
            <w:hideMark/>
          </w:tcPr>
          <w:p w14:paraId="1E44102C"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10</w:t>
            </w:r>
          </w:p>
        </w:tc>
        <w:tc>
          <w:tcPr>
            <w:tcW w:w="587" w:type="pct"/>
            <w:tcBorders>
              <w:top w:val="nil"/>
              <w:left w:val="nil"/>
              <w:bottom w:val="single" w:sz="4" w:space="0" w:color="auto"/>
              <w:right w:val="single" w:sz="4" w:space="0" w:color="auto"/>
            </w:tcBorders>
            <w:shd w:val="clear" w:color="auto" w:fill="auto"/>
            <w:noWrap/>
            <w:vAlign w:val="center"/>
            <w:hideMark/>
          </w:tcPr>
          <w:p w14:paraId="342D1FA8"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29 %</w:t>
            </w:r>
          </w:p>
        </w:tc>
        <w:tc>
          <w:tcPr>
            <w:tcW w:w="587" w:type="pct"/>
            <w:tcBorders>
              <w:top w:val="nil"/>
              <w:left w:val="nil"/>
              <w:bottom w:val="single" w:sz="4" w:space="0" w:color="auto"/>
              <w:right w:val="single" w:sz="4" w:space="0" w:color="auto"/>
            </w:tcBorders>
            <w:shd w:val="clear" w:color="auto" w:fill="auto"/>
            <w:noWrap/>
            <w:vAlign w:val="center"/>
            <w:hideMark/>
          </w:tcPr>
          <w:p w14:paraId="4224484C"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50</w:t>
            </w:r>
          </w:p>
        </w:tc>
        <w:tc>
          <w:tcPr>
            <w:tcW w:w="587" w:type="pct"/>
            <w:tcBorders>
              <w:top w:val="nil"/>
              <w:left w:val="nil"/>
              <w:bottom w:val="single" w:sz="4" w:space="0" w:color="auto"/>
              <w:right w:val="single" w:sz="4" w:space="0" w:color="auto"/>
            </w:tcBorders>
            <w:shd w:val="clear" w:color="auto" w:fill="auto"/>
            <w:noWrap/>
            <w:vAlign w:val="center"/>
            <w:hideMark/>
          </w:tcPr>
          <w:p w14:paraId="04F66467"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28 %</w:t>
            </w:r>
          </w:p>
        </w:tc>
        <w:tc>
          <w:tcPr>
            <w:tcW w:w="587" w:type="pct"/>
            <w:tcBorders>
              <w:top w:val="nil"/>
              <w:left w:val="nil"/>
              <w:bottom w:val="single" w:sz="4" w:space="0" w:color="auto"/>
              <w:right w:val="single" w:sz="4" w:space="0" w:color="auto"/>
            </w:tcBorders>
            <w:shd w:val="clear" w:color="auto" w:fill="auto"/>
            <w:noWrap/>
            <w:vAlign w:val="center"/>
            <w:hideMark/>
          </w:tcPr>
          <w:p w14:paraId="7B768042"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25</w:t>
            </w:r>
          </w:p>
        </w:tc>
        <w:tc>
          <w:tcPr>
            <w:tcW w:w="587" w:type="pct"/>
            <w:tcBorders>
              <w:top w:val="nil"/>
              <w:left w:val="nil"/>
              <w:bottom w:val="single" w:sz="4" w:space="0" w:color="auto"/>
              <w:right w:val="single" w:sz="4" w:space="0" w:color="auto"/>
            </w:tcBorders>
            <w:shd w:val="clear" w:color="auto" w:fill="auto"/>
            <w:noWrap/>
            <w:vAlign w:val="center"/>
            <w:hideMark/>
          </w:tcPr>
          <w:p w14:paraId="0C2350B3"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15 %</w:t>
            </w:r>
          </w:p>
        </w:tc>
      </w:tr>
      <w:tr w:rsidR="009568B0" w:rsidRPr="00A07BE9" w14:paraId="7C3B5BD4" w14:textId="77777777" w:rsidTr="005E047E">
        <w:trPr>
          <w:trHeight w:val="312"/>
        </w:trPr>
        <w:tc>
          <w:tcPr>
            <w:tcW w:w="14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E829D3" w14:textId="77777777" w:rsidR="009568B0" w:rsidRPr="00A07BE9" w:rsidRDefault="009568B0" w:rsidP="009568B0">
            <w:pPr>
              <w:spacing w:after="0" w:line="240" w:lineRule="auto"/>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TOTAL</w:t>
            </w:r>
          </w:p>
        </w:tc>
        <w:tc>
          <w:tcPr>
            <w:tcW w:w="5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994750"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35</w:t>
            </w:r>
          </w:p>
        </w:tc>
        <w:tc>
          <w:tcPr>
            <w:tcW w:w="5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51A2BA"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100 %</w:t>
            </w:r>
          </w:p>
        </w:tc>
        <w:tc>
          <w:tcPr>
            <w:tcW w:w="5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DC8B2B"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181</w:t>
            </w:r>
          </w:p>
        </w:tc>
        <w:tc>
          <w:tcPr>
            <w:tcW w:w="5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D3C30B"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100 %</w:t>
            </w:r>
          </w:p>
        </w:tc>
        <w:tc>
          <w:tcPr>
            <w:tcW w:w="5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EE4F59"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168</w:t>
            </w:r>
          </w:p>
        </w:tc>
        <w:tc>
          <w:tcPr>
            <w:tcW w:w="5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66AE59"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100 %</w:t>
            </w:r>
          </w:p>
        </w:tc>
      </w:tr>
    </w:tbl>
    <w:p w14:paraId="0C3EC982" w14:textId="659AF742" w:rsidR="009568B0" w:rsidRPr="00A07BE9" w:rsidRDefault="009568B0" w:rsidP="009568B0">
      <w:pPr>
        <w:spacing w:after="0" w:line="276" w:lineRule="auto"/>
        <w:jc w:val="both"/>
        <w:rPr>
          <w:rFonts w:ascii="Open Sans" w:eastAsia="NSimSun" w:hAnsi="Open Sans" w:cs="Open Sans"/>
          <w:b/>
          <w:kern w:val="2"/>
          <w:sz w:val="20"/>
          <w:szCs w:val="20"/>
          <w:lang w:eastAsia="zh-CN" w:bidi="hi-IN"/>
        </w:rPr>
      </w:pPr>
    </w:p>
    <w:p w14:paraId="050C87E1" w14:textId="77777777" w:rsidR="00F73F0B" w:rsidRPr="00A07BE9" w:rsidRDefault="00F73F0B" w:rsidP="009568B0">
      <w:pPr>
        <w:spacing w:after="0" w:line="276" w:lineRule="auto"/>
        <w:jc w:val="both"/>
        <w:rPr>
          <w:rFonts w:ascii="Open Sans" w:eastAsia="NSimSun" w:hAnsi="Open Sans" w:cs="Open Sans"/>
          <w:b/>
          <w:kern w:val="2"/>
          <w:sz w:val="20"/>
          <w:szCs w:val="20"/>
          <w:lang w:eastAsia="zh-CN" w:bidi="hi-IN"/>
        </w:rPr>
      </w:pPr>
    </w:p>
    <w:p w14:paraId="5FC52C82" w14:textId="77777777" w:rsidR="009568B0" w:rsidRPr="00A07BE9" w:rsidRDefault="009568B0" w:rsidP="009568B0">
      <w:pPr>
        <w:spacing w:after="0" w:line="276" w:lineRule="auto"/>
        <w:rPr>
          <w:rFonts w:ascii="Open Sans" w:eastAsia="NSimSun" w:hAnsi="Open Sans" w:cs="Open Sans"/>
          <w:b/>
          <w:kern w:val="2"/>
          <w:sz w:val="20"/>
          <w:szCs w:val="20"/>
          <w:lang w:eastAsia="zh-CN" w:bidi="hi-IN"/>
        </w:rPr>
      </w:pPr>
      <w:r w:rsidRPr="00A07BE9">
        <w:rPr>
          <w:rFonts w:ascii="Open Sans" w:eastAsia="NSimSun" w:hAnsi="Open Sans" w:cs="Open Sans"/>
          <w:b/>
          <w:color w:val="9D2235"/>
          <w:kern w:val="2"/>
          <w:sz w:val="20"/>
          <w:szCs w:val="20"/>
          <w:lang w:eastAsia="zh-CN" w:bidi="hi-IN"/>
        </w:rPr>
        <w:t xml:space="preserve">Gráfico 3. </w:t>
      </w:r>
      <w:r w:rsidRPr="00A07BE9">
        <w:rPr>
          <w:rFonts w:ascii="Open Sans" w:eastAsia="NSimSun" w:hAnsi="Open Sans" w:cs="Open Sans"/>
          <w:b/>
          <w:kern w:val="2"/>
          <w:sz w:val="20"/>
          <w:szCs w:val="20"/>
          <w:lang w:eastAsia="zh-CN" w:bidi="hi-IN"/>
        </w:rPr>
        <w:t>Denuncias presentadas según el canal de comunicación</w:t>
      </w:r>
    </w:p>
    <w:p w14:paraId="2A495E7B" w14:textId="69274954" w:rsidR="009568B0" w:rsidRPr="00A07BE9" w:rsidRDefault="009568B0" w:rsidP="009568B0">
      <w:pPr>
        <w:spacing w:after="0" w:line="276" w:lineRule="auto"/>
        <w:jc w:val="both"/>
        <w:rPr>
          <w:rFonts w:ascii="Open Sans" w:eastAsia="NSimSun" w:hAnsi="Open Sans" w:cs="Open Sans"/>
          <w:b/>
          <w:kern w:val="2"/>
          <w:sz w:val="20"/>
          <w:szCs w:val="20"/>
          <w:lang w:eastAsia="zh-CN" w:bidi="hi-IN"/>
        </w:rPr>
      </w:pPr>
    </w:p>
    <w:p w14:paraId="6FD1111F" w14:textId="23351367" w:rsidR="00D944CA" w:rsidRPr="00A07BE9" w:rsidRDefault="00D944CA" w:rsidP="009568B0">
      <w:pPr>
        <w:spacing w:after="0" w:line="276" w:lineRule="auto"/>
        <w:jc w:val="both"/>
        <w:rPr>
          <w:rFonts w:ascii="Open Sans" w:eastAsia="NSimSun" w:hAnsi="Open Sans" w:cs="Open Sans"/>
          <w:b/>
          <w:kern w:val="2"/>
          <w:sz w:val="21"/>
          <w:szCs w:val="21"/>
          <w:lang w:eastAsia="zh-CN" w:bidi="hi-IN"/>
        </w:rPr>
      </w:pPr>
      <w:r w:rsidRPr="00A07BE9">
        <w:rPr>
          <w:rFonts w:ascii="Open Sans" w:eastAsia="NSimSun" w:hAnsi="Open Sans" w:cs="Open Sans"/>
          <w:noProof/>
          <w:kern w:val="2"/>
          <w:sz w:val="24"/>
          <w:szCs w:val="24"/>
          <w:lang w:eastAsia="es-ES"/>
        </w:rPr>
        <w:drawing>
          <wp:anchor distT="0" distB="0" distL="114300" distR="114300" simplePos="0" relativeHeight="251884544" behindDoc="1" locked="0" layoutInCell="1" allowOverlap="1" wp14:anchorId="7E56C784" wp14:editId="463621DF">
            <wp:simplePos x="0" y="0"/>
            <wp:positionH relativeFrom="margin">
              <wp:align>left</wp:align>
            </wp:positionH>
            <wp:positionV relativeFrom="paragraph">
              <wp:posOffset>8255</wp:posOffset>
            </wp:positionV>
            <wp:extent cx="4724400" cy="1962150"/>
            <wp:effectExtent l="0" t="0" r="0" b="0"/>
            <wp:wrapTight wrapText="bothSides">
              <wp:wrapPolygon edited="0">
                <wp:start x="0" y="0"/>
                <wp:lineTo x="0" y="21390"/>
                <wp:lineTo x="21513" y="21390"/>
                <wp:lineTo x="21513" y="0"/>
                <wp:lineTo x="0" y="0"/>
              </wp:wrapPolygon>
            </wp:wrapTight>
            <wp:docPr id="55" name="Gráfico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anchor>
        </w:drawing>
      </w:r>
    </w:p>
    <w:p w14:paraId="07359ACE" w14:textId="2E8080CB" w:rsidR="00D944CA" w:rsidRPr="00A07BE9" w:rsidRDefault="00D944CA" w:rsidP="009568B0">
      <w:pPr>
        <w:spacing w:after="0" w:line="276" w:lineRule="auto"/>
        <w:jc w:val="both"/>
        <w:rPr>
          <w:rFonts w:ascii="Open Sans" w:eastAsia="NSimSun" w:hAnsi="Open Sans" w:cs="Open Sans"/>
          <w:b/>
          <w:kern w:val="2"/>
          <w:sz w:val="21"/>
          <w:szCs w:val="21"/>
          <w:lang w:eastAsia="zh-CN" w:bidi="hi-IN"/>
        </w:rPr>
      </w:pPr>
    </w:p>
    <w:p w14:paraId="12D9A8D1" w14:textId="06A1ACCD" w:rsidR="00D944CA" w:rsidRPr="00A07BE9" w:rsidRDefault="00D944CA" w:rsidP="009568B0">
      <w:pPr>
        <w:spacing w:after="0" w:line="276" w:lineRule="auto"/>
        <w:jc w:val="both"/>
        <w:rPr>
          <w:rFonts w:ascii="Open Sans" w:eastAsia="NSimSun" w:hAnsi="Open Sans" w:cs="Open Sans"/>
          <w:b/>
          <w:kern w:val="2"/>
          <w:sz w:val="21"/>
          <w:szCs w:val="21"/>
          <w:lang w:eastAsia="zh-CN" w:bidi="hi-IN"/>
        </w:rPr>
      </w:pPr>
    </w:p>
    <w:p w14:paraId="036EF896" w14:textId="53434A3D" w:rsidR="00D944CA" w:rsidRPr="00A07BE9" w:rsidRDefault="00D944CA" w:rsidP="009568B0">
      <w:pPr>
        <w:spacing w:after="0" w:line="276" w:lineRule="auto"/>
        <w:jc w:val="both"/>
        <w:rPr>
          <w:rFonts w:ascii="Open Sans" w:eastAsia="NSimSun" w:hAnsi="Open Sans" w:cs="Open Sans"/>
          <w:b/>
          <w:kern w:val="2"/>
          <w:sz w:val="21"/>
          <w:szCs w:val="21"/>
          <w:lang w:eastAsia="zh-CN" w:bidi="hi-IN"/>
        </w:rPr>
      </w:pPr>
    </w:p>
    <w:p w14:paraId="5783E565" w14:textId="7A04285B" w:rsidR="00D944CA" w:rsidRPr="00A07BE9" w:rsidRDefault="00D944CA" w:rsidP="009568B0">
      <w:pPr>
        <w:spacing w:after="0" w:line="276" w:lineRule="auto"/>
        <w:jc w:val="both"/>
        <w:rPr>
          <w:rFonts w:ascii="Open Sans" w:eastAsia="NSimSun" w:hAnsi="Open Sans" w:cs="Open Sans"/>
          <w:b/>
          <w:kern w:val="2"/>
          <w:sz w:val="21"/>
          <w:szCs w:val="21"/>
          <w:lang w:eastAsia="zh-CN" w:bidi="hi-IN"/>
        </w:rPr>
      </w:pPr>
    </w:p>
    <w:p w14:paraId="0C8D3501" w14:textId="20372A47" w:rsidR="00D944CA" w:rsidRPr="00A07BE9" w:rsidRDefault="00D944CA" w:rsidP="009568B0">
      <w:pPr>
        <w:spacing w:after="0" w:line="276" w:lineRule="auto"/>
        <w:jc w:val="both"/>
        <w:rPr>
          <w:rFonts w:ascii="Open Sans" w:eastAsia="NSimSun" w:hAnsi="Open Sans" w:cs="Open Sans"/>
          <w:b/>
          <w:kern w:val="2"/>
          <w:sz w:val="21"/>
          <w:szCs w:val="21"/>
          <w:lang w:eastAsia="zh-CN" w:bidi="hi-IN"/>
        </w:rPr>
      </w:pPr>
    </w:p>
    <w:p w14:paraId="7F5DA122" w14:textId="45FB9029" w:rsidR="00D944CA" w:rsidRPr="00A07BE9" w:rsidRDefault="00D944CA" w:rsidP="009568B0">
      <w:pPr>
        <w:spacing w:after="0" w:line="276" w:lineRule="auto"/>
        <w:jc w:val="both"/>
        <w:rPr>
          <w:rFonts w:ascii="Open Sans" w:eastAsia="NSimSun" w:hAnsi="Open Sans" w:cs="Open Sans"/>
          <w:b/>
          <w:kern w:val="2"/>
          <w:sz w:val="21"/>
          <w:szCs w:val="21"/>
          <w:lang w:eastAsia="zh-CN" w:bidi="hi-IN"/>
        </w:rPr>
      </w:pPr>
    </w:p>
    <w:p w14:paraId="5ED643A5" w14:textId="5CEDE71C" w:rsidR="00D944CA" w:rsidRPr="00A07BE9" w:rsidRDefault="00D944CA" w:rsidP="009568B0">
      <w:pPr>
        <w:spacing w:after="0" w:line="276" w:lineRule="auto"/>
        <w:jc w:val="both"/>
        <w:rPr>
          <w:rFonts w:ascii="Open Sans" w:eastAsia="NSimSun" w:hAnsi="Open Sans" w:cs="Open Sans"/>
          <w:b/>
          <w:kern w:val="2"/>
          <w:sz w:val="21"/>
          <w:szCs w:val="21"/>
          <w:lang w:eastAsia="zh-CN" w:bidi="hi-IN"/>
        </w:rPr>
      </w:pPr>
    </w:p>
    <w:p w14:paraId="2DC7F2AB" w14:textId="6AB54743" w:rsidR="00D944CA" w:rsidRPr="00A07BE9" w:rsidRDefault="00D944CA" w:rsidP="009568B0">
      <w:pPr>
        <w:spacing w:after="0" w:line="276" w:lineRule="auto"/>
        <w:jc w:val="both"/>
        <w:rPr>
          <w:rFonts w:ascii="Open Sans" w:eastAsia="NSimSun" w:hAnsi="Open Sans" w:cs="Open Sans"/>
          <w:b/>
          <w:kern w:val="2"/>
          <w:sz w:val="21"/>
          <w:szCs w:val="21"/>
          <w:lang w:eastAsia="zh-CN" w:bidi="hi-IN"/>
        </w:rPr>
      </w:pPr>
    </w:p>
    <w:p w14:paraId="477BB792" w14:textId="77777777" w:rsidR="00D944CA" w:rsidRPr="00A07BE9" w:rsidRDefault="00D944CA" w:rsidP="009568B0">
      <w:pPr>
        <w:spacing w:after="0" w:line="276" w:lineRule="auto"/>
        <w:jc w:val="both"/>
        <w:rPr>
          <w:rFonts w:ascii="Open Sans" w:eastAsia="NSimSun" w:hAnsi="Open Sans" w:cs="Open Sans"/>
          <w:b/>
          <w:kern w:val="2"/>
          <w:sz w:val="21"/>
          <w:szCs w:val="21"/>
          <w:lang w:eastAsia="zh-CN" w:bidi="hi-IN"/>
        </w:rPr>
      </w:pPr>
    </w:p>
    <w:p w14:paraId="2DE3247D" w14:textId="77777777" w:rsidR="0060478B"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lastRenderedPageBreak/>
        <w:t xml:space="preserve">El examen de los anteriores datos muestra una evolución claramente favorable al empleo de la aplicación informática del </w:t>
      </w:r>
      <w:hyperlink r:id="rId79" w:history="1">
        <w:r w:rsidRPr="00A07BE9">
          <w:rPr>
            <w:rStyle w:val="Hipervnculo"/>
            <w:rFonts w:ascii="Open Sans" w:eastAsia="NSimSun" w:hAnsi="Open Sans" w:cs="Open Sans"/>
            <w:kern w:val="2"/>
            <w:sz w:val="20"/>
            <w:szCs w:val="20"/>
            <w:lang w:eastAsia="zh-CN" w:bidi="hi-IN"/>
          </w:rPr>
          <w:t>Buzón de Denuncias</w:t>
        </w:r>
      </w:hyperlink>
      <w:r w:rsidRPr="00A07BE9">
        <w:rPr>
          <w:rFonts w:ascii="Open Sans" w:eastAsia="NSimSun" w:hAnsi="Open Sans" w:cs="Open Sans"/>
          <w:kern w:val="2"/>
          <w:sz w:val="20"/>
          <w:szCs w:val="20"/>
          <w:lang w:eastAsia="zh-CN" w:bidi="hi-IN"/>
        </w:rPr>
        <w:t xml:space="preserve"> de la Agencia para la formulación de comunicaciones y presentación de denuncias. Ya en el momento de su creación y puesta en funcionamiento en abril-mayo de 2018 y hasta final de esa misma anualidad asumió más de la mitad de las denuncias que se presentaron en 2018 (54%), llegando en 2019 a asumir la entrada de tres cuartas partes del volumen total de entrada de denuncias en la Agencia (76%).</w:t>
      </w:r>
    </w:p>
    <w:p w14:paraId="56777AA5" w14:textId="77777777" w:rsidR="0060478B" w:rsidRPr="00A07BE9" w:rsidRDefault="0060478B" w:rsidP="009568B0">
      <w:pPr>
        <w:spacing w:after="0" w:line="276" w:lineRule="auto"/>
        <w:jc w:val="both"/>
        <w:rPr>
          <w:rFonts w:ascii="Open Sans" w:eastAsia="NSimSun" w:hAnsi="Open Sans" w:cs="Open Sans"/>
          <w:kern w:val="2"/>
          <w:sz w:val="20"/>
          <w:szCs w:val="20"/>
          <w:lang w:eastAsia="zh-CN" w:bidi="hi-IN"/>
        </w:rPr>
      </w:pPr>
    </w:p>
    <w:p w14:paraId="5BBA53B2" w14:textId="3848A890"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La conclusión más evidente que se deriva de lo anterior es la buena acogida entre el público objetivo que ha tenido la implementación de la herramienta telemática. Las facilidades de uso y los estándares de seguridad y confidencialidad que la misma proporciona no pueden ser alcanzados por las otras vías contempladas para la presentación de denuncias y comunicaciones, por lo que se estima que dichos factores son los que inclinan la balanza en favor del </w:t>
      </w:r>
      <w:hyperlink r:id="rId80" w:history="1">
        <w:r w:rsidRPr="00A07BE9">
          <w:rPr>
            <w:rStyle w:val="Hipervnculo"/>
            <w:rFonts w:ascii="Open Sans" w:eastAsia="NSimSun" w:hAnsi="Open Sans" w:cs="Open Sans"/>
            <w:kern w:val="2"/>
            <w:sz w:val="20"/>
            <w:szCs w:val="20"/>
            <w:lang w:eastAsia="zh-CN" w:bidi="hi-IN"/>
          </w:rPr>
          <w:t>Buzón de Denuncias</w:t>
        </w:r>
      </w:hyperlink>
      <w:r w:rsidRPr="00A07BE9">
        <w:rPr>
          <w:rFonts w:ascii="Open Sans" w:eastAsia="NSimSun" w:hAnsi="Open Sans" w:cs="Open Sans"/>
          <w:kern w:val="2"/>
          <w:sz w:val="20"/>
          <w:szCs w:val="20"/>
          <w:lang w:eastAsia="zh-CN" w:bidi="hi-IN"/>
        </w:rPr>
        <w:t>, aumentándose exponencialmente su uso desde su puesta en marcha.</w:t>
      </w:r>
    </w:p>
    <w:p w14:paraId="0DEA6A5F" w14:textId="1159C0CB" w:rsidR="00D944CA" w:rsidRPr="00A07BE9" w:rsidRDefault="00D944CA" w:rsidP="009568B0">
      <w:pPr>
        <w:spacing w:after="0" w:line="276" w:lineRule="auto"/>
        <w:jc w:val="both"/>
        <w:rPr>
          <w:rFonts w:ascii="Open Sans" w:eastAsia="NSimSun" w:hAnsi="Open Sans" w:cs="Open Sans"/>
          <w:kern w:val="2"/>
          <w:sz w:val="20"/>
          <w:szCs w:val="20"/>
          <w:lang w:eastAsia="zh-CN" w:bidi="hi-IN"/>
        </w:rPr>
      </w:pPr>
    </w:p>
    <w:p w14:paraId="3B45DDB9" w14:textId="77777777" w:rsidR="0027764E" w:rsidRPr="00A07BE9" w:rsidRDefault="0027764E" w:rsidP="009568B0">
      <w:pPr>
        <w:spacing w:after="0" w:line="276" w:lineRule="auto"/>
        <w:jc w:val="both"/>
        <w:rPr>
          <w:rFonts w:ascii="Open Sans" w:eastAsia="NSimSun" w:hAnsi="Open Sans" w:cs="Open Sans"/>
          <w:kern w:val="2"/>
          <w:sz w:val="20"/>
          <w:szCs w:val="20"/>
          <w:lang w:eastAsia="zh-CN" w:bidi="hi-IN"/>
        </w:rPr>
      </w:pPr>
    </w:p>
    <w:p w14:paraId="0AE3EBA1" w14:textId="2DF8BF15"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8"/>
          <w:szCs w:val="28"/>
          <w:lang w:eastAsia="es-ES" w:bidi="hi-IN"/>
        </w:rPr>
      </w:pPr>
      <w:r w:rsidRPr="00A07BE9">
        <w:rPr>
          <w:rFonts w:ascii="Open Sans" w:eastAsia="Times New Roman" w:hAnsi="Open Sans" w:cs="Open Sans"/>
          <w:b/>
          <w:bCs/>
          <w:smallCaps/>
          <w:color w:val="9D2235"/>
          <w:kern w:val="2"/>
          <w:sz w:val="28"/>
          <w:szCs w:val="28"/>
          <w:lang w:eastAsia="es-ES" w:bidi="hi-IN"/>
        </w:rPr>
        <w:t>3.3.</w:t>
      </w:r>
      <w:r w:rsidR="005877CF" w:rsidRPr="00A07BE9">
        <w:rPr>
          <w:rFonts w:ascii="Open Sans" w:eastAsia="Times New Roman" w:hAnsi="Open Sans" w:cs="Open Sans"/>
          <w:b/>
          <w:bCs/>
          <w:smallCaps/>
          <w:color w:val="9D2235"/>
          <w:kern w:val="2"/>
          <w:sz w:val="28"/>
          <w:szCs w:val="28"/>
          <w:lang w:eastAsia="es-ES" w:bidi="hi-IN"/>
        </w:rPr>
        <w:t>3.</w:t>
      </w:r>
      <w:r w:rsidRPr="00A07BE9">
        <w:rPr>
          <w:rFonts w:ascii="Open Sans" w:eastAsia="Times New Roman" w:hAnsi="Open Sans" w:cs="Open Sans"/>
          <w:b/>
          <w:bCs/>
          <w:smallCaps/>
          <w:color w:val="9D2235"/>
          <w:kern w:val="2"/>
          <w:sz w:val="28"/>
          <w:szCs w:val="28"/>
          <w:lang w:eastAsia="es-ES" w:bidi="hi-IN"/>
        </w:rPr>
        <w:t xml:space="preserve"> Denuncias Presentadas según </w:t>
      </w:r>
      <w:r w:rsidR="00EC46CF" w:rsidRPr="00A07BE9">
        <w:rPr>
          <w:rFonts w:ascii="Open Sans" w:eastAsia="Times New Roman" w:hAnsi="Open Sans" w:cs="Open Sans"/>
          <w:b/>
          <w:bCs/>
          <w:smallCaps/>
          <w:color w:val="9D2235"/>
          <w:kern w:val="2"/>
          <w:sz w:val="28"/>
          <w:szCs w:val="28"/>
          <w:lang w:eastAsia="es-ES" w:bidi="hi-IN"/>
        </w:rPr>
        <w:t>el Territorio</w:t>
      </w:r>
    </w:p>
    <w:p w14:paraId="64D345FE" w14:textId="77777777"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0"/>
          <w:szCs w:val="20"/>
          <w:lang w:eastAsia="es-ES" w:bidi="hi-IN"/>
        </w:rPr>
      </w:pPr>
    </w:p>
    <w:p w14:paraId="18311E8E"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Contempla la clasificación de las denuncias presentadas según el territorio donde se ubica la administración concretamente denunciada, realizando la clasificación por provincias o, en caso de afectar a varias provincias, haciendo referencia a la totalidad de la Comunitat Valenciana.</w:t>
      </w:r>
    </w:p>
    <w:p w14:paraId="2F6DFC0A" w14:textId="77777777" w:rsidR="009568B0" w:rsidRPr="00A07BE9" w:rsidRDefault="009568B0" w:rsidP="009568B0">
      <w:pPr>
        <w:spacing w:after="0" w:line="276" w:lineRule="auto"/>
        <w:jc w:val="both"/>
        <w:rPr>
          <w:rFonts w:ascii="Open Sans" w:eastAsia="NSimSun" w:hAnsi="Open Sans" w:cs="Open Sans"/>
          <w:b/>
          <w:color w:val="9D2235"/>
          <w:kern w:val="2"/>
          <w:sz w:val="20"/>
          <w:szCs w:val="20"/>
          <w:lang w:eastAsia="zh-CN" w:bidi="hi-IN"/>
        </w:rPr>
      </w:pPr>
    </w:p>
    <w:p w14:paraId="296AC5EE" w14:textId="4245B235" w:rsidR="009568B0" w:rsidRPr="00A07BE9" w:rsidRDefault="009568B0" w:rsidP="009568B0">
      <w:pPr>
        <w:spacing w:after="0" w:line="276" w:lineRule="auto"/>
        <w:jc w:val="both"/>
        <w:rPr>
          <w:rFonts w:ascii="Open Sans" w:eastAsia="NSimSun" w:hAnsi="Open Sans" w:cs="Open Sans"/>
          <w:b/>
          <w:kern w:val="2"/>
          <w:sz w:val="20"/>
          <w:szCs w:val="20"/>
          <w:lang w:eastAsia="zh-CN" w:bidi="hi-IN"/>
        </w:rPr>
      </w:pPr>
      <w:r w:rsidRPr="00A07BE9">
        <w:rPr>
          <w:rFonts w:ascii="Open Sans" w:eastAsia="NSimSun" w:hAnsi="Open Sans" w:cs="Open Sans"/>
          <w:b/>
          <w:color w:val="9D2235"/>
          <w:kern w:val="2"/>
          <w:sz w:val="20"/>
          <w:szCs w:val="20"/>
          <w:lang w:eastAsia="zh-CN" w:bidi="hi-IN"/>
        </w:rPr>
        <w:t xml:space="preserve">Tabla </w:t>
      </w:r>
      <w:r w:rsidR="001900B6" w:rsidRPr="00A07BE9">
        <w:rPr>
          <w:rFonts w:ascii="Open Sans" w:eastAsia="NSimSun" w:hAnsi="Open Sans" w:cs="Open Sans"/>
          <w:b/>
          <w:color w:val="9D2235"/>
          <w:kern w:val="2"/>
          <w:sz w:val="20"/>
          <w:szCs w:val="20"/>
          <w:lang w:eastAsia="zh-CN" w:bidi="hi-IN"/>
        </w:rPr>
        <w:t>7</w:t>
      </w:r>
      <w:r w:rsidRPr="00A07BE9">
        <w:rPr>
          <w:rFonts w:ascii="Open Sans" w:eastAsia="NSimSun" w:hAnsi="Open Sans" w:cs="Open Sans"/>
          <w:b/>
          <w:kern w:val="2"/>
          <w:sz w:val="20"/>
          <w:szCs w:val="20"/>
          <w:lang w:eastAsia="zh-CN" w:bidi="hi-IN"/>
        </w:rPr>
        <w:t xml:space="preserve">. Denuncias presentadas según </w:t>
      </w:r>
      <w:r w:rsidR="00EC46CF" w:rsidRPr="00A07BE9">
        <w:rPr>
          <w:rFonts w:ascii="Open Sans" w:eastAsia="NSimSun" w:hAnsi="Open Sans" w:cs="Open Sans"/>
          <w:b/>
          <w:kern w:val="2"/>
          <w:sz w:val="20"/>
          <w:szCs w:val="20"/>
          <w:lang w:eastAsia="zh-CN" w:bidi="hi-IN"/>
        </w:rPr>
        <w:t>el territorio</w:t>
      </w:r>
    </w:p>
    <w:tbl>
      <w:tblPr>
        <w:tblW w:w="5000" w:type="pct"/>
        <w:tblCellMar>
          <w:left w:w="70" w:type="dxa"/>
          <w:right w:w="70" w:type="dxa"/>
        </w:tblCellMar>
        <w:tblLook w:val="04A0" w:firstRow="1" w:lastRow="0" w:firstColumn="1" w:lastColumn="0" w:noHBand="0" w:noVBand="1"/>
      </w:tblPr>
      <w:tblGrid>
        <w:gridCol w:w="2279"/>
        <w:gridCol w:w="1036"/>
        <w:gridCol w:w="1036"/>
        <w:gridCol w:w="1036"/>
        <w:gridCol w:w="1036"/>
        <w:gridCol w:w="1036"/>
        <w:gridCol w:w="1035"/>
      </w:tblGrid>
      <w:tr w:rsidR="009568B0" w:rsidRPr="00A07BE9" w14:paraId="0870A2DB" w14:textId="77777777" w:rsidTr="004A3C1B">
        <w:trPr>
          <w:trHeight w:val="312"/>
        </w:trPr>
        <w:tc>
          <w:tcPr>
            <w:tcW w:w="1341" w:type="pct"/>
            <w:tcBorders>
              <w:top w:val="single" w:sz="4" w:space="0" w:color="auto"/>
              <w:left w:val="single" w:sz="4" w:space="0" w:color="auto"/>
              <w:bottom w:val="single" w:sz="4" w:space="0" w:color="auto"/>
              <w:right w:val="single" w:sz="4" w:space="0" w:color="auto"/>
            </w:tcBorders>
            <w:shd w:val="clear" w:color="auto" w:fill="C6C6C6"/>
            <w:noWrap/>
            <w:vAlign w:val="center"/>
            <w:hideMark/>
          </w:tcPr>
          <w:p w14:paraId="0037FB14" w14:textId="77777777" w:rsidR="009568B0" w:rsidRPr="00A07BE9" w:rsidRDefault="009568B0" w:rsidP="009568B0">
            <w:pPr>
              <w:spacing w:after="0" w:line="240" w:lineRule="auto"/>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AMBITO TERRITORIAL</w:t>
            </w:r>
          </w:p>
        </w:tc>
        <w:tc>
          <w:tcPr>
            <w:tcW w:w="610" w:type="pct"/>
            <w:tcBorders>
              <w:top w:val="single" w:sz="4" w:space="0" w:color="auto"/>
              <w:left w:val="nil"/>
              <w:bottom w:val="single" w:sz="4" w:space="0" w:color="auto"/>
              <w:right w:val="single" w:sz="4" w:space="0" w:color="auto"/>
            </w:tcBorders>
            <w:shd w:val="clear" w:color="auto" w:fill="C6C6C6"/>
            <w:noWrap/>
            <w:vAlign w:val="center"/>
            <w:hideMark/>
          </w:tcPr>
          <w:p w14:paraId="7EA7E9E8"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2017</w:t>
            </w:r>
          </w:p>
        </w:tc>
        <w:tc>
          <w:tcPr>
            <w:tcW w:w="610" w:type="pct"/>
            <w:tcBorders>
              <w:top w:val="single" w:sz="4" w:space="0" w:color="auto"/>
              <w:left w:val="nil"/>
              <w:bottom w:val="single" w:sz="4" w:space="0" w:color="auto"/>
              <w:right w:val="single" w:sz="4" w:space="0" w:color="auto"/>
            </w:tcBorders>
            <w:shd w:val="clear" w:color="auto" w:fill="C6C6C6"/>
            <w:noWrap/>
            <w:vAlign w:val="center"/>
            <w:hideMark/>
          </w:tcPr>
          <w:p w14:paraId="0AC5599B"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2017 %</w:t>
            </w:r>
          </w:p>
        </w:tc>
        <w:tc>
          <w:tcPr>
            <w:tcW w:w="610" w:type="pct"/>
            <w:tcBorders>
              <w:top w:val="single" w:sz="4" w:space="0" w:color="auto"/>
              <w:left w:val="nil"/>
              <w:bottom w:val="single" w:sz="4" w:space="0" w:color="auto"/>
              <w:right w:val="single" w:sz="4" w:space="0" w:color="auto"/>
            </w:tcBorders>
            <w:shd w:val="clear" w:color="auto" w:fill="C6C6C6"/>
            <w:noWrap/>
            <w:vAlign w:val="center"/>
            <w:hideMark/>
          </w:tcPr>
          <w:p w14:paraId="500B3599"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2018</w:t>
            </w:r>
          </w:p>
        </w:tc>
        <w:tc>
          <w:tcPr>
            <w:tcW w:w="610" w:type="pct"/>
            <w:tcBorders>
              <w:top w:val="single" w:sz="4" w:space="0" w:color="auto"/>
              <w:left w:val="nil"/>
              <w:bottom w:val="single" w:sz="4" w:space="0" w:color="auto"/>
              <w:right w:val="single" w:sz="4" w:space="0" w:color="auto"/>
            </w:tcBorders>
            <w:shd w:val="clear" w:color="auto" w:fill="C6C6C6"/>
            <w:noWrap/>
            <w:vAlign w:val="center"/>
            <w:hideMark/>
          </w:tcPr>
          <w:p w14:paraId="59140174"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2018 %</w:t>
            </w:r>
          </w:p>
        </w:tc>
        <w:tc>
          <w:tcPr>
            <w:tcW w:w="610" w:type="pct"/>
            <w:tcBorders>
              <w:top w:val="single" w:sz="4" w:space="0" w:color="auto"/>
              <w:left w:val="nil"/>
              <w:bottom w:val="single" w:sz="4" w:space="0" w:color="auto"/>
              <w:right w:val="single" w:sz="4" w:space="0" w:color="auto"/>
            </w:tcBorders>
            <w:shd w:val="clear" w:color="auto" w:fill="C6C6C6"/>
            <w:noWrap/>
            <w:vAlign w:val="center"/>
            <w:hideMark/>
          </w:tcPr>
          <w:p w14:paraId="6F8894EE"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2019</w:t>
            </w:r>
          </w:p>
        </w:tc>
        <w:tc>
          <w:tcPr>
            <w:tcW w:w="610" w:type="pct"/>
            <w:tcBorders>
              <w:top w:val="single" w:sz="4" w:space="0" w:color="auto"/>
              <w:left w:val="nil"/>
              <w:bottom w:val="single" w:sz="4" w:space="0" w:color="auto"/>
              <w:right w:val="single" w:sz="4" w:space="0" w:color="auto"/>
            </w:tcBorders>
            <w:shd w:val="clear" w:color="auto" w:fill="C6C6C6"/>
            <w:noWrap/>
            <w:vAlign w:val="center"/>
            <w:hideMark/>
          </w:tcPr>
          <w:p w14:paraId="65C66DD6"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2019 %</w:t>
            </w:r>
          </w:p>
        </w:tc>
      </w:tr>
      <w:tr w:rsidR="009568B0" w:rsidRPr="00A07BE9" w14:paraId="42139B75" w14:textId="77777777" w:rsidTr="004A3C1B">
        <w:trPr>
          <w:trHeight w:val="312"/>
        </w:trPr>
        <w:tc>
          <w:tcPr>
            <w:tcW w:w="1341" w:type="pct"/>
            <w:tcBorders>
              <w:top w:val="nil"/>
              <w:left w:val="single" w:sz="4" w:space="0" w:color="auto"/>
              <w:bottom w:val="single" w:sz="4" w:space="0" w:color="auto"/>
              <w:right w:val="single" w:sz="4" w:space="0" w:color="auto"/>
            </w:tcBorders>
            <w:shd w:val="clear" w:color="auto" w:fill="auto"/>
            <w:noWrap/>
            <w:vAlign w:val="center"/>
            <w:hideMark/>
          </w:tcPr>
          <w:p w14:paraId="6424658D"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Alicante</w:t>
            </w:r>
          </w:p>
        </w:tc>
        <w:tc>
          <w:tcPr>
            <w:tcW w:w="610" w:type="pct"/>
            <w:tcBorders>
              <w:top w:val="nil"/>
              <w:left w:val="nil"/>
              <w:bottom w:val="single" w:sz="4" w:space="0" w:color="auto"/>
              <w:right w:val="single" w:sz="4" w:space="0" w:color="auto"/>
            </w:tcBorders>
            <w:shd w:val="clear" w:color="auto" w:fill="auto"/>
            <w:noWrap/>
            <w:vAlign w:val="center"/>
            <w:hideMark/>
          </w:tcPr>
          <w:p w14:paraId="6358C2B0"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7</w:t>
            </w:r>
          </w:p>
        </w:tc>
        <w:tc>
          <w:tcPr>
            <w:tcW w:w="610" w:type="pct"/>
            <w:tcBorders>
              <w:top w:val="nil"/>
              <w:left w:val="nil"/>
              <w:bottom w:val="single" w:sz="4" w:space="0" w:color="auto"/>
              <w:right w:val="single" w:sz="4" w:space="0" w:color="auto"/>
            </w:tcBorders>
            <w:shd w:val="clear" w:color="auto" w:fill="auto"/>
            <w:noWrap/>
            <w:vAlign w:val="center"/>
            <w:hideMark/>
          </w:tcPr>
          <w:p w14:paraId="5F31CC6D"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20 %</w:t>
            </w:r>
          </w:p>
        </w:tc>
        <w:tc>
          <w:tcPr>
            <w:tcW w:w="610" w:type="pct"/>
            <w:tcBorders>
              <w:top w:val="nil"/>
              <w:left w:val="nil"/>
              <w:bottom w:val="single" w:sz="4" w:space="0" w:color="auto"/>
              <w:right w:val="single" w:sz="4" w:space="0" w:color="auto"/>
            </w:tcBorders>
            <w:shd w:val="clear" w:color="auto" w:fill="auto"/>
            <w:noWrap/>
            <w:vAlign w:val="center"/>
            <w:hideMark/>
          </w:tcPr>
          <w:p w14:paraId="147C606B"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34</w:t>
            </w:r>
          </w:p>
        </w:tc>
        <w:tc>
          <w:tcPr>
            <w:tcW w:w="610" w:type="pct"/>
            <w:tcBorders>
              <w:top w:val="nil"/>
              <w:left w:val="nil"/>
              <w:bottom w:val="single" w:sz="4" w:space="0" w:color="auto"/>
              <w:right w:val="single" w:sz="4" w:space="0" w:color="auto"/>
            </w:tcBorders>
            <w:shd w:val="clear" w:color="auto" w:fill="auto"/>
            <w:noWrap/>
            <w:vAlign w:val="center"/>
            <w:hideMark/>
          </w:tcPr>
          <w:p w14:paraId="028BB527"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19 %</w:t>
            </w:r>
          </w:p>
        </w:tc>
        <w:tc>
          <w:tcPr>
            <w:tcW w:w="610" w:type="pct"/>
            <w:tcBorders>
              <w:top w:val="nil"/>
              <w:left w:val="nil"/>
              <w:bottom w:val="single" w:sz="4" w:space="0" w:color="auto"/>
              <w:right w:val="single" w:sz="4" w:space="0" w:color="auto"/>
            </w:tcBorders>
            <w:shd w:val="clear" w:color="auto" w:fill="auto"/>
            <w:noWrap/>
            <w:vAlign w:val="center"/>
            <w:hideMark/>
          </w:tcPr>
          <w:p w14:paraId="44B14932"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40</w:t>
            </w:r>
          </w:p>
        </w:tc>
        <w:tc>
          <w:tcPr>
            <w:tcW w:w="610" w:type="pct"/>
            <w:tcBorders>
              <w:top w:val="nil"/>
              <w:left w:val="nil"/>
              <w:bottom w:val="single" w:sz="4" w:space="0" w:color="auto"/>
              <w:right w:val="single" w:sz="4" w:space="0" w:color="auto"/>
            </w:tcBorders>
            <w:shd w:val="clear" w:color="auto" w:fill="auto"/>
            <w:noWrap/>
            <w:vAlign w:val="center"/>
            <w:hideMark/>
          </w:tcPr>
          <w:p w14:paraId="6051ED90"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24 %</w:t>
            </w:r>
          </w:p>
        </w:tc>
      </w:tr>
      <w:tr w:rsidR="009568B0" w:rsidRPr="00A07BE9" w14:paraId="7CE2C688" w14:textId="77777777" w:rsidTr="004A3C1B">
        <w:trPr>
          <w:trHeight w:val="312"/>
        </w:trPr>
        <w:tc>
          <w:tcPr>
            <w:tcW w:w="1341" w:type="pct"/>
            <w:tcBorders>
              <w:top w:val="nil"/>
              <w:left w:val="single" w:sz="4" w:space="0" w:color="auto"/>
              <w:bottom w:val="single" w:sz="4" w:space="0" w:color="auto"/>
              <w:right w:val="single" w:sz="4" w:space="0" w:color="auto"/>
            </w:tcBorders>
            <w:shd w:val="clear" w:color="auto" w:fill="auto"/>
            <w:noWrap/>
            <w:vAlign w:val="center"/>
            <w:hideMark/>
          </w:tcPr>
          <w:p w14:paraId="053FB1CC"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Castellón</w:t>
            </w:r>
          </w:p>
        </w:tc>
        <w:tc>
          <w:tcPr>
            <w:tcW w:w="610" w:type="pct"/>
            <w:tcBorders>
              <w:top w:val="nil"/>
              <w:left w:val="nil"/>
              <w:bottom w:val="single" w:sz="4" w:space="0" w:color="auto"/>
              <w:right w:val="single" w:sz="4" w:space="0" w:color="auto"/>
            </w:tcBorders>
            <w:shd w:val="clear" w:color="auto" w:fill="auto"/>
            <w:noWrap/>
            <w:vAlign w:val="center"/>
            <w:hideMark/>
          </w:tcPr>
          <w:p w14:paraId="77948DDD"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w:t>
            </w:r>
          </w:p>
        </w:tc>
        <w:tc>
          <w:tcPr>
            <w:tcW w:w="610" w:type="pct"/>
            <w:tcBorders>
              <w:top w:val="nil"/>
              <w:left w:val="nil"/>
              <w:bottom w:val="single" w:sz="4" w:space="0" w:color="auto"/>
              <w:right w:val="single" w:sz="4" w:space="0" w:color="auto"/>
            </w:tcBorders>
            <w:shd w:val="clear" w:color="auto" w:fill="auto"/>
            <w:noWrap/>
            <w:vAlign w:val="center"/>
            <w:hideMark/>
          </w:tcPr>
          <w:p w14:paraId="19133E50"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0 %</w:t>
            </w:r>
          </w:p>
        </w:tc>
        <w:tc>
          <w:tcPr>
            <w:tcW w:w="610" w:type="pct"/>
            <w:tcBorders>
              <w:top w:val="nil"/>
              <w:left w:val="nil"/>
              <w:bottom w:val="single" w:sz="4" w:space="0" w:color="auto"/>
              <w:right w:val="single" w:sz="4" w:space="0" w:color="auto"/>
            </w:tcBorders>
            <w:shd w:val="clear" w:color="auto" w:fill="auto"/>
            <w:noWrap/>
            <w:vAlign w:val="center"/>
            <w:hideMark/>
          </w:tcPr>
          <w:p w14:paraId="124A539D"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21</w:t>
            </w:r>
          </w:p>
        </w:tc>
        <w:tc>
          <w:tcPr>
            <w:tcW w:w="610" w:type="pct"/>
            <w:tcBorders>
              <w:top w:val="nil"/>
              <w:left w:val="nil"/>
              <w:bottom w:val="single" w:sz="4" w:space="0" w:color="auto"/>
              <w:right w:val="single" w:sz="4" w:space="0" w:color="auto"/>
            </w:tcBorders>
            <w:shd w:val="clear" w:color="auto" w:fill="auto"/>
            <w:noWrap/>
            <w:vAlign w:val="center"/>
            <w:hideMark/>
          </w:tcPr>
          <w:p w14:paraId="48766BA0"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12 %</w:t>
            </w:r>
          </w:p>
        </w:tc>
        <w:tc>
          <w:tcPr>
            <w:tcW w:w="610" w:type="pct"/>
            <w:tcBorders>
              <w:top w:val="nil"/>
              <w:left w:val="nil"/>
              <w:bottom w:val="single" w:sz="4" w:space="0" w:color="auto"/>
              <w:right w:val="single" w:sz="4" w:space="0" w:color="auto"/>
            </w:tcBorders>
            <w:shd w:val="clear" w:color="auto" w:fill="auto"/>
            <w:noWrap/>
            <w:vAlign w:val="center"/>
            <w:hideMark/>
          </w:tcPr>
          <w:p w14:paraId="020BBECF"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17</w:t>
            </w:r>
          </w:p>
        </w:tc>
        <w:tc>
          <w:tcPr>
            <w:tcW w:w="610" w:type="pct"/>
            <w:tcBorders>
              <w:top w:val="nil"/>
              <w:left w:val="nil"/>
              <w:bottom w:val="single" w:sz="4" w:space="0" w:color="auto"/>
              <w:right w:val="single" w:sz="4" w:space="0" w:color="auto"/>
            </w:tcBorders>
            <w:shd w:val="clear" w:color="auto" w:fill="auto"/>
            <w:noWrap/>
            <w:vAlign w:val="center"/>
            <w:hideMark/>
          </w:tcPr>
          <w:p w14:paraId="17A3AAF9"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10 %</w:t>
            </w:r>
          </w:p>
        </w:tc>
      </w:tr>
      <w:tr w:rsidR="009568B0" w:rsidRPr="00A07BE9" w14:paraId="528D1588" w14:textId="77777777" w:rsidTr="004A3C1B">
        <w:trPr>
          <w:trHeight w:val="312"/>
        </w:trPr>
        <w:tc>
          <w:tcPr>
            <w:tcW w:w="1341" w:type="pct"/>
            <w:tcBorders>
              <w:top w:val="nil"/>
              <w:left w:val="single" w:sz="4" w:space="0" w:color="auto"/>
              <w:bottom w:val="single" w:sz="4" w:space="0" w:color="auto"/>
              <w:right w:val="single" w:sz="4" w:space="0" w:color="auto"/>
            </w:tcBorders>
            <w:shd w:val="clear" w:color="auto" w:fill="auto"/>
            <w:noWrap/>
            <w:vAlign w:val="center"/>
            <w:hideMark/>
          </w:tcPr>
          <w:p w14:paraId="22E74977"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Valencia</w:t>
            </w:r>
          </w:p>
        </w:tc>
        <w:tc>
          <w:tcPr>
            <w:tcW w:w="610" w:type="pct"/>
            <w:tcBorders>
              <w:top w:val="nil"/>
              <w:left w:val="nil"/>
              <w:bottom w:val="single" w:sz="4" w:space="0" w:color="auto"/>
              <w:right w:val="single" w:sz="4" w:space="0" w:color="auto"/>
            </w:tcBorders>
            <w:shd w:val="clear" w:color="auto" w:fill="auto"/>
            <w:noWrap/>
            <w:vAlign w:val="center"/>
            <w:hideMark/>
          </w:tcPr>
          <w:p w14:paraId="1DFA3007"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20</w:t>
            </w:r>
          </w:p>
        </w:tc>
        <w:tc>
          <w:tcPr>
            <w:tcW w:w="610" w:type="pct"/>
            <w:tcBorders>
              <w:top w:val="nil"/>
              <w:left w:val="nil"/>
              <w:bottom w:val="single" w:sz="4" w:space="0" w:color="auto"/>
              <w:right w:val="single" w:sz="4" w:space="0" w:color="auto"/>
            </w:tcBorders>
            <w:shd w:val="clear" w:color="auto" w:fill="auto"/>
            <w:noWrap/>
            <w:vAlign w:val="center"/>
            <w:hideMark/>
          </w:tcPr>
          <w:p w14:paraId="22112F32"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57 %</w:t>
            </w:r>
          </w:p>
        </w:tc>
        <w:tc>
          <w:tcPr>
            <w:tcW w:w="610" w:type="pct"/>
            <w:tcBorders>
              <w:top w:val="nil"/>
              <w:left w:val="nil"/>
              <w:bottom w:val="single" w:sz="4" w:space="0" w:color="auto"/>
              <w:right w:val="single" w:sz="4" w:space="0" w:color="auto"/>
            </w:tcBorders>
            <w:shd w:val="clear" w:color="auto" w:fill="auto"/>
            <w:noWrap/>
            <w:vAlign w:val="center"/>
            <w:hideMark/>
          </w:tcPr>
          <w:p w14:paraId="084C62EA"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96</w:t>
            </w:r>
          </w:p>
        </w:tc>
        <w:tc>
          <w:tcPr>
            <w:tcW w:w="610" w:type="pct"/>
            <w:tcBorders>
              <w:top w:val="nil"/>
              <w:left w:val="nil"/>
              <w:bottom w:val="single" w:sz="4" w:space="0" w:color="auto"/>
              <w:right w:val="single" w:sz="4" w:space="0" w:color="auto"/>
            </w:tcBorders>
            <w:shd w:val="clear" w:color="auto" w:fill="auto"/>
            <w:noWrap/>
            <w:vAlign w:val="center"/>
            <w:hideMark/>
          </w:tcPr>
          <w:p w14:paraId="757B6500"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53 %</w:t>
            </w:r>
          </w:p>
        </w:tc>
        <w:tc>
          <w:tcPr>
            <w:tcW w:w="610" w:type="pct"/>
            <w:tcBorders>
              <w:top w:val="nil"/>
              <w:left w:val="nil"/>
              <w:bottom w:val="single" w:sz="4" w:space="0" w:color="auto"/>
              <w:right w:val="single" w:sz="4" w:space="0" w:color="auto"/>
            </w:tcBorders>
            <w:shd w:val="clear" w:color="auto" w:fill="auto"/>
            <w:noWrap/>
            <w:vAlign w:val="center"/>
            <w:hideMark/>
          </w:tcPr>
          <w:p w14:paraId="19DEA178"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82</w:t>
            </w:r>
          </w:p>
        </w:tc>
        <w:tc>
          <w:tcPr>
            <w:tcW w:w="610" w:type="pct"/>
            <w:tcBorders>
              <w:top w:val="nil"/>
              <w:left w:val="nil"/>
              <w:bottom w:val="single" w:sz="4" w:space="0" w:color="auto"/>
              <w:right w:val="single" w:sz="4" w:space="0" w:color="auto"/>
            </w:tcBorders>
            <w:shd w:val="clear" w:color="auto" w:fill="auto"/>
            <w:noWrap/>
            <w:vAlign w:val="center"/>
            <w:hideMark/>
          </w:tcPr>
          <w:p w14:paraId="0CE544CD"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49 %</w:t>
            </w:r>
          </w:p>
        </w:tc>
      </w:tr>
      <w:tr w:rsidR="009568B0" w:rsidRPr="00A07BE9" w14:paraId="2811883E" w14:textId="77777777" w:rsidTr="004A3C1B">
        <w:trPr>
          <w:trHeight w:val="312"/>
        </w:trPr>
        <w:tc>
          <w:tcPr>
            <w:tcW w:w="1341" w:type="pct"/>
            <w:tcBorders>
              <w:top w:val="nil"/>
              <w:left w:val="single" w:sz="4" w:space="0" w:color="auto"/>
              <w:bottom w:val="single" w:sz="4" w:space="0" w:color="auto"/>
              <w:right w:val="single" w:sz="4" w:space="0" w:color="auto"/>
            </w:tcBorders>
            <w:shd w:val="clear" w:color="auto" w:fill="auto"/>
            <w:noWrap/>
            <w:vAlign w:val="center"/>
            <w:hideMark/>
          </w:tcPr>
          <w:p w14:paraId="097FF0EE"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Comunitat Valenciana</w:t>
            </w:r>
          </w:p>
        </w:tc>
        <w:tc>
          <w:tcPr>
            <w:tcW w:w="610" w:type="pct"/>
            <w:tcBorders>
              <w:top w:val="nil"/>
              <w:left w:val="nil"/>
              <w:bottom w:val="single" w:sz="4" w:space="0" w:color="auto"/>
              <w:right w:val="single" w:sz="4" w:space="0" w:color="auto"/>
            </w:tcBorders>
            <w:shd w:val="clear" w:color="auto" w:fill="auto"/>
            <w:noWrap/>
            <w:vAlign w:val="center"/>
            <w:hideMark/>
          </w:tcPr>
          <w:p w14:paraId="0C4A8ADE"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8</w:t>
            </w:r>
          </w:p>
        </w:tc>
        <w:tc>
          <w:tcPr>
            <w:tcW w:w="610" w:type="pct"/>
            <w:tcBorders>
              <w:top w:val="nil"/>
              <w:left w:val="nil"/>
              <w:bottom w:val="single" w:sz="4" w:space="0" w:color="auto"/>
              <w:right w:val="single" w:sz="4" w:space="0" w:color="auto"/>
            </w:tcBorders>
            <w:shd w:val="clear" w:color="auto" w:fill="auto"/>
            <w:noWrap/>
            <w:vAlign w:val="center"/>
            <w:hideMark/>
          </w:tcPr>
          <w:p w14:paraId="22BE272A"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23 %</w:t>
            </w:r>
          </w:p>
        </w:tc>
        <w:tc>
          <w:tcPr>
            <w:tcW w:w="610" w:type="pct"/>
            <w:tcBorders>
              <w:top w:val="nil"/>
              <w:left w:val="nil"/>
              <w:bottom w:val="single" w:sz="4" w:space="0" w:color="auto"/>
              <w:right w:val="single" w:sz="4" w:space="0" w:color="auto"/>
            </w:tcBorders>
            <w:shd w:val="clear" w:color="auto" w:fill="auto"/>
            <w:noWrap/>
            <w:vAlign w:val="center"/>
            <w:hideMark/>
          </w:tcPr>
          <w:p w14:paraId="73F138CB"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30</w:t>
            </w:r>
          </w:p>
        </w:tc>
        <w:tc>
          <w:tcPr>
            <w:tcW w:w="610" w:type="pct"/>
            <w:tcBorders>
              <w:top w:val="nil"/>
              <w:left w:val="nil"/>
              <w:bottom w:val="single" w:sz="4" w:space="0" w:color="auto"/>
              <w:right w:val="single" w:sz="4" w:space="0" w:color="auto"/>
            </w:tcBorders>
            <w:shd w:val="clear" w:color="auto" w:fill="auto"/>
            <w:noWrap/>
            <w:vAlign w:val="center"/>
            <w:hideMark/>
          </w:tcPr>
          <w:p w14:paraId="081CA8FA"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17 %</w:t>
            </w:r>
          </w:p>
        </w:tc>
        <w:tc>
          <w:tcPr>
            <w:tcW w:w="610" w:type="pct"/>
            <w:tcBorders>
              <w:top w:val="nil"/>
              <w:left w:val="nil"/>
              <w:bottom w:val="single" w:sz="4" w:space="0" w:color="auto"/>
              <w:right w:val="single" w:sz="4" w:space="0" w:color="auto"/>
            </w:tcBorders>
            <w:shd w:val="clear" w:color="auto" w:fill="auto"/>
            <w:noWrap/>
            <w:vAlign w:val="center"/>
            <w:hideMark/>
          </w:tcPr>
          <w:p w14:paraId="4E8B4195"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29</w:t>
            </w:r>
          </w:p>
        </w:tc>
        <w:tc>
          <w:tcPr>
            <w:tcW w:w="610" w:type="pct"/>
            <w:tcBorders>
              <w:top w:val="nil"/>
              <w:left w:val="nil"/>
              <w:bottom w:val="single" w:sz="4" w:space="0" w:color="auto"/>
              <w:right w:val="single" w:sz="4" w:space="0" w:color="auto"/>
            </w:tcBorders>
            <w:shd w:val="clear" w:color="auto" w:fill="auto"/>
            <w:noWrap/>
            <w:vAlign w:val="center"/>
            <w:hideMark/>
          </w:tcPr>
          <w:p w14:paraId="4F5FC4E6"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17 %</w:t>
            </w:r>
          </w:p>
        </w:tc>
      </w:tr>
      <w:tr w:rsidR="009568B0" w:rsidRPr="00A07BE9" w14:paraId="78F7AFCF" w14:textId="77777777" w:rsidTr="004A3C1B">
        <w:trPr>
          <w:trHeight w:val="312"/>
        </w:trPr>
        <w:tc>
          <w:tcPr>
            <w:tcW w:w="13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38A094" w14:textId="77777777" w:rsidR="009568B0" w:rsidRPr="00A07BE9" w:rsidRDefault="009568B0" w:rsidP="009568B0">
            <w:pPr>
              <w:spacing w:after="0" w:line="240" w:lineRule="auto"/>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TOTAL</w:t>
            </w:r>
          </w:p>
        </w:tc>
        <w:tc>
          <w:tcPr>
            <w:tcW w:w="6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751924"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35</w:t>
            </w:r>
          </w:p>
        </w:tc>
        <w:tc>
          <w:tcPr>
            <w:tcW w:w="6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526FF1"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100%</w:t>
            </w:r>
          </w:p>
        </w:tc>
        <w:tc>
          <w:tcPr>
            <w:tcW w:w="6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9D3FBF"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181</w:t>
            </w:r>
          </w:p>
        </w:tc>
        <w:tc>
          <w:tcPr>
            <w:tcW w:w="6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A3825D"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100%</w:t>
            </w:r>
          </w:p>
        </w:tc>
        <w:tc>
          <w:tcPr>
            <w:tcW w:w="6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CD0CEB"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168</w:t>
            </w:r>
          </w:p>
        </w:tc>
        <w:tc>
          <w:tcPr>
            <w:tcW w:w="6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7552D5"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100%</w:t>
            </w:r>
          </w:p>
        </w:tc>
      </w:tr>
    </w:tbl>
    <w:p w14:paraId="642BDFE8" w14:textId="6F280EC3" w:rsidR="00F24615" w:rsidRPr="00A07BE9" w:rsidRDefault="00F24615" w:rsidP="009568B0">
      <w:pPr>
        <w:spacing w:after="0" w:line="276" w:lineRule="auto"/>
        <w:rPr>
          <w:rFonts w:ascii="Open Sans" w:eastAsia="NSimSun" w:hAnsi="Open Sans" w:cs="Open Sans"/>
          <w:b/>
          <w:color w:val="9D2235"/>
          <w:kern w:val="2"/>
          <w:sz w:val="20"/>
          <w:szCs w:val="20"/>
          <w:lang w:eastAsia="zh-CN" w:bidi="hi-IN"/>
        </w:rPr>
      </w:pPr>
    </w:p>
    <w:p w14:paraId="6ECB42FA" w14:textId="77777777" w:rsidR="006C4A99" w:rsidRPr="00A07BE9" w:rsidRDefault="006C4A99" w:rsidP="009568B0">
      <w:pPr>
        <w:spacing w:after="0" w:line="276" w:lineRule="auto"/>
        <w:rPr>
          <w:rFonts w:ascii="Open Sans" w:eastAsia="NSimSun" w:hAnsi="Open Sans" w:cs="Open Sans"/>
          <w:b/>
          <w:color w:val="9D2235"/>
          <w:kern w:val="2"/>
          <w:sz w:val="20"/>
          <w:szCs w:val="20"/>
          <w:lang w:eastAsia="zh-CN" w:bidi="hi-IN"/>
        </w:rPr>
      </w:pPr>
    </w:p>
    <w:p w14:paraId="695E465B" w14:textId="1E08CE5A" w:rsidR="009568B0" w:rsidRPr="00A07BE9" w:rsidRDefault="009568B0" w:rsidP="009568B0">
      <w:pPr>
        <w:spacing w:after="0" w:line="276" w:lineRule="auto"/>
        <w:rPr>
          <w:rFonts w:ascii="Open Sans" w:eastAsia="NSimSun" w:hAnsi="Open Sans" w:cs="Open Sans"/>
          <w:b/>
          <w:kern w:val="2"/>
          <w:sz w:val="20"/>
          <w:szCs w:val="20"/>
          <w:lang w:eastAsia="zh-CN" w:bidi="hi-IN"/>
        </w:rPr>
      </w:pPr>
      <w:r w:rsidRPr="00A07BE9">
        <w:rPr>
          <w:rFonts w:ascii="Open Sans" w:eastAsia="NSimSun" w:hAnsi="Open Sans" w:cs="Open Sans"/>
          <w:b/>
          <w:color w:val="9D2235"/>
          <w:kern w:val="2"/>
          <w:sz w:val="20"/>
          <w:szCs w:val="20"/>
          <w:lang w:eastAsia="zh-CN" w:bidi="hi-IN"/>
        </w:rPr>
        <w:t xml:space="preserve">Gráfico 4. </w:t>
      </w:r>
      <w:r w:rsidRPr="00A07BE9">
        <w:rPr>
          <w:rFonts w:ascii="Open Sans" w:eastAsia="NSimSun" w:hAnsi="Open Sans" w:cs="Open Sans"/>
          <w:b/>
          <w:kern w:val="2"/>
          <w:sz w:val="20"/>
          <w:szCs w:val="20"/>
          <w:lang w:eastAsia="zh-CN" w:bidi="hi-IN"/>
        </w:rPr>
        <w:t xml:space="preserve">Denuncias presentadas según </w:t>
      </w:r>
      <w:r w:rsidR="00EC46CF" w:rsidRPr="00A07BE9">
        <w:rPr>
          <w:rFonts w:ascii="Open Sans" w:eastAsia="NSimSun" w:hAnsi="Open Sans" w:cs="Open Sans"/>
          <w:b/>
          <w:kern w:val="2"/>
          <w:sz w:val="20"/>
          <w:szCs w:val="20"/>
          <w:lang w:eastAsia="zh-CN" w:bidi="hi-IN"/>
        </w:rPr>
        <w:t>el territorio</w:t>
      </w:r>
    </w:p>
    <w:p w14:paraId="7D171010" w14:textId="77777777" w:rsidR="004A5F93" w:rsidRPr="00A07BE9" w:rsidRDefault="004A5F93" w:rsidP="009568B0">
      <w:pPr>
        <w:spacing w:after="0" w:line="276" w:lineRule="auto"/>
        <w:rPr>
          <w:rFonts w:ascii="Open Sans" w:eastAsia="NSimSun" w:hAnsi="Open Sans" w:cs="Open Sans"/>
          <w:b/>
          <w:kern w:val="2"/>
          <w:sz w:val="20"/>
          <w:szCs w:val="20"/>
          <w:lang w:eastAsia="zh-CN" w:bidi="hi-IN"/>
        </w:rPr>
      </w:pPr>
    </w:p>
    <w:p w14:paraId="23AFFD4C" w14:textId="118FDA89" w:rsidR="00E232A8" w:rsidRPr="00D9626F" w:rsidRDefault="009568B0" w:rsidP="00D9626F">
      <w:pPr>
        <w:spacing w:after="0" w:line="276" w:lineRule="auto"/>
        <w:jc w:val="center"/>
        <w:rPr>
          <w:rFonts w:ascii="Open Sans" w:eastAsia="NSimSun" w:hAnsi="Open Sans" w:cs="Open Sans"/>
          <w:b/>
          <w:kern w:val="2"/>
          <w:sz w:val="21"/>
          <w:szCs w:val="21"/>
          <w:lang w:eastAsia="zh-CN" w:bidi="hi-IN"/>
        </w:rPr>
      </w:pPr>
      <w:r w:rsidRPr="00A07BE9">
        <w:rPr>
          <w:rFonts w:ascii="Open Sans" w:eastAsia="NSimSun" w:hAnsi="Open Sans" w:cs="Arial"/>
          <w:noProof/>
          <w:kern w:val="2"/>
          <w:sz w:val="24"/>
          <w:szCs w:val="24"/>
          <w:lang w:eastAsia="es-ES"/>
        </w:rPr>
        <w:drawing>
          <wp:inline distT="0" distB="0" distL="0" distR="0" wp14:anchorId="1198C1C2" wp14:editId="7CA10880">
            <wp:extent cx="3724275" cy="1819275"/>
            <wp:effectExtent l="38100" t="0" r="9525" b="9525"/>
            <wp:docPr id="250" name="Gráfico 250"/>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40D8AC5A" w14:textId="497B14D8"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lastRenderedPageBreak/>
        <w:t xml:space="preserve">De la información contenida en la tabla anterior se puede observar que se han mantenido las proporciones en la entrada de denuncias desde la creación de la Agencia, exceptuando el hecho de que en 2017 no se hubiera recibido ninguna denuncia relativa a actuaciones realizadas en el territorio de la provincia de Castellón, extremo que no puede considerarse indicativo al tratarse del año de puesta en funcionamiento de la Agencia. </w:t>
      </w:r>
    </w:p>
    <w:p w14:paraId="5358DF6C"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13800D33"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La evolución de las anualidades 2018 y 2019 muestra el establecimiento de unas bases que se confirman con el paso del tiempo, respondiendo a la configuración propia de la organización administrativa de base territorial. </w:t>
      </w:r>
    </w:p>
    <w:p w14:paraId="328724A3"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05954328" w14:textId="4CFAB39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En efecto, las denuncias o comunicaciones que afectan al ámbito territorial de la provincia de Valencia acumulan alrededor de la mitad de la totalidad de denuncias recibidas (57% en 2017, 53% en 2018 y 49% en 2019), datos que se justifican por la mayor incidencia y volumen de actividad administrativa en esta provincia (sede de los servicios centrales de la administración del Consell, un mayor número de administraciones municipales, y un sector público autonómico y local con mayor presencia en esta </w:t>
      </w:r>
      <w:r w:rsidR="00B37E1D" w:rsidRPr="00A07BE9">
        <w:rPr>
          <w:rFonts w:ascii="Open Sans" w:eastAsia="NSimSun" w:hAnsi="Open Sans" w:cs="Open Sans"/>
          <w:kern w:val="2"/>
          <w:sz w:val="20"/>
          <w:szCs w:val="20"/>
          <w:lang w:eastAsia="zh-CN" w:bidi="hi-IN"/>
        </w:rPr>
        <w:t>p</w:t>
      </w:r>
      <w:r w:rsidRPr="00A07BE9">
        <w:rPr>
          <w:rFonts w:ascii="Open Sans" w:eastAsia="NSimSun" w:hAnsi="Open Sans" w:cs="Open Sans"/>
          <w:kern w:val="2"/>
          <w:sz w:val="20"/>
          <w:szCs w:val="20"/>
          <w:lang w:eastAsia="zh-CN" w:bidi="hi-IN"/>
        </w:rPr>
        <w:t xml:space="preserve">rovincia). </w:t>
      </w:r>
    </w:p>
    <w:p w14:paraId="4A3E0303"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48066DBF"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En segunda posición se encuentra la provincia de Alicante, que aglutina una media que oscila entre el 20% y el 25% del volumen total de denuncias en las anualidades 2017 a 2019, siendo la provincia de Castellón la provincia a la que menos denuncias se refieren, constando datos únicamente en relación con las anualidades 2018 (12%) y 2019 (10%).</w:t>
      </w:r>
    </w:p>
    <w:p w14:paraId="3D39E86B" w14:textId="0B04CEF0"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52838083" w14:textId="77777777" w:rsidR="004A3C1B" w:rsidRPr="00A07BE9" w:rsidRDefault="004A3C1B" w:rsidP="009568B0">
      <w:pPr>
        <w:spacing w:after="0" w:line="276" w:lineRule="auto"/>
        <w:jc w:val="both"/>
        <w:rPr>
          <w:rFonts w:ascii="Open Sans" w:eastAsia="NSimSun" w:hAnsi="Open Sans" w:cs="Open Sans"/>
          <w:kern w:val="2"/>
          <w:sz w:val="20"/>
          <w:szCs w:val="20"/>
          <w:lang w:eastAsia="zh-CN" w:bidi="hi-IN"/>
        </w:rPr>
      </w:pPr>
    </w:p>
    <w:p w14:paraId="719629CF" w14:textId="31D1A449"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8"/>
          <w:szCs w:val="28"/>
          <w:lang w:eastAsia="es-ES" w:bidi="hi-IN"/>
        </w:rPr>
      </w:pPr>
      <w:r w:rsidRPr="00A07BE9">
        <w:rPr>
          <w:rFonts w:ascii="Open Sans" w:eastAsia="Times New Roman" w:hAnsi="Open Sans" w:cs="Open Sans"/>
          <w:b/>
          <w:bCs/>
          <w:smallCaps/>
          <w:color w:val="9D2235"/>
          <w:kern w:val="2"/>
          <w:sz w:val="28"/>
          <w:szCs w:val="28"/>
          <w:lang w:eastAsia="es-ES" w:bidi="hi-IN"/>
        </w:rPr>
        <w:t>3.3.</w:t>
      </w:r>
      <w:r w:rsidR="005877CF" w:rsidRPr="00A07BE9">
        <w:rPr>
          <w:rFonts w:ascii="Open Sans" w:eastAsia="Times New Roman" w:hAnsi="Open Sans" w:cs="Open Sans"/>
          <w:b/>
          <w:bCs/>
          <w:smallCaps/>
          <w:color w:val="9D2235"/>
          <w:kern w:val="2"/>
          <w:sz w:val="28"/>
          <w:szCs w:val="28"/>
          <w:lang w:eastAsia="es-ES" w:bidi="hi-IN"/>
        </w:rPr>
        <w:t>4.</w:t>
      </w:r>
      <w:r w:rsidRPr="00A07BE9">
        <w:rPr>
          <w:rFonts w:ascii="Open Sans" w:eastAsia="Times New Roman" w:hAnsi="Open Sans" w:cs="Open Sans"/>
          <w:b/>
          <w:bCs/>
          <w:smallCaps/>
          <w:color w:val="9D2235"/>
          <w:kern w:val="2"/>
          <w:sz w:val="28"/>
          <w:szCs w:val="28"/>
          <w:lang w:eastAsia="es-ES" w:bidi="hi-IN"/>
        </w:rPr>
        <w:t xml:space="preserve"> Denuncias Presentadas según el Ámbito Material</w:t>
      </w:r>
    </w:p>
    <w:p w14:paraId="28CEDB58" w14:textId="77777777" w:rsidR="009568B0" w:rsidRPr="00A07BE9" w:rsidRDefault="009568B0" w:rsidP="009568B0">
      <w:pPr>
        <w:spacing w:after="0" w:line="276" w:lineRule="auto"/>
        <w:jc w:val="both"/>
        <w:rPr>
          <w:rFonts w:ascii="Open Sans" w:eastAsia="NSimSun" w:hAnsi="Open Sans" w:cs="Open Sans"/>
          <w:kern w:val="2"/>
          <w:sz w:val="20"/>
          <w:szCs w:val="20"/>
          <w:u w:val="single"/>
          <w:lang w:eastAsia="zh-CN" w:bidi="hi-IN"/>
        </w:rPr>
      </w:pPr>
    </w:p>
    <w:p w14:paraId="22C17D3C" w14:textId="791DC9DC"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A continuación</w:t>
      </w:r>
      <w:r w:rsidR="005877CF" w:rsidRPr="00A07BE9">
        <w:rPr>
          <w:rFonts w:ascii="Open Sans" w:eastAsia="NSimSun" w:hAnsi="Open Sans" w:cs="Open Sans"/>
          <w:kern w:val="2"/>
          <w:sz w:val="20"/>
          <w:szCs w:val="20"/>
          <w:lang w:eastAsia="zh-CN" w:bidi="hi-IN"/>
        </w:rPr>
        <w:t>,</w:t>
      </w:r>
      <w:r w:rsidRPr="00A07BE9">
        <w:rPr>
          <w:rFonts w:ascii="Open Sans" w:eastAsia="NSimSun" w:hAnsi="Open Sans" w:cs="Open Sans"/>
          <w:kern w:val="2"/>
          <w:sz w:val="20"/>
          <w:szCs w:val="20"/>
          <w:lang w:eastAsia="zh-CN" w:bidi="hi-IN"/>
        </w:rPr>
        <w:t xml:space="preserve"> se resume la clasificación de las denuncias presentadas según el ámbito material de la actuación administrativa.</w:t>
      </w:r>
    </w:p>
    <w:p w14:paraId="73EE3E76"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15DF22A4"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La clasificación por criterio de la materia se ha realizado mediante la clasificación en atención a las grandes áreas de actuación tradicionales en el seno de la actividad administrativa de carácter general. </w:t>
      </w:r>
    </w:p>
    <w:p w14:paraId="2C40A51A"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7CD69453" w14:textId="1F8E739A" w:rsidR="004A5F93" w:rsidRPr="00A07BE9" w:rsidRDefault="009568B0" w:rsidP="006C4A99">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Asimismo, en la medida de lo posible, se ha realizado un desglose en sub-materias, con el fin de acotar en mayor medida los datos que se extraen del análisis de la tipología de las denuncias presentadas.</w:t>
      </w:r>
    </w:p>
    <w:p w14:paraId="14044C43" w14:textId="07FFB574" w:rsidR="004A5F93" w:rsidRPr="00A07BE9" w:rsidRDefault="004A5F93" w:rsidP="00AC7531">
      <w:pPr>
        <w:spacing w:after="0" w:line="276" w:lineRule="auto"/>
        <w:rPr>
          <w:rFonts w:ascii="Open Sans" w:eastAsia="NSimSun" w:hAnsi="Open Sans" w:cs="Open Sans"/>
          <w:kern w:val="2"/>
          <w:sz w:val="20"/>
          <w:szCs w:val="20"/>
          <w:lang w:eastAsia="zh-CN" w:bidi="hi-IN"/>
        </w:rPr>
      </w:pPr>
    </w:p>
    <w:p w14:paraId="77E0CD19" w14:textId="06292D80" w:rsidR="006C4A99" w:rsidRPr="00A07BE9" w:rsidRDefault="006C4A99" w:rsidP="00AC7531">
      <w:pPr>
        <w:spacing w:after="0" w:line="276" w:lineRule="auto"/>
        <w:rPr>
          <w:rFonts w:ascii="Open Sans" w:eastAsia="NSimSun" w:hAnsi="Open Sans" w:cs="Open Sans"/>
          <w:b/>
          <w:color w:val="9D2235"/>
          <w:kern w:val="2"/>
          <w:sz w:val="20"/>
          <w:szCs w:val="20"/>
          <w:lang w:eastAsia="zh-CN" w:bidi="hi-IN"/>
        </w:rPr>
      </w:pPr>
    </w:p>
    <w:p w14:paraId="74C32CE3" w14:textId="7E9DF2CD" w:rsidR="006C4A99" w:rsidRPr="00A07BE9" w:rsidRDefault="006C4A99" w:rsidP="00AC7531">
      <w:pPr>
        <w:spacing w:after="0" w:line="276" w:lineRule="auto"/>
        <w:rPr>
          <w:rFonts w:ascii="Open Sans" w:eastAsia="NSimSun" w:hAnsi="Open Sans" w:cs="Open Sans"/>
          <w:b/>
          <w:color w:val="9D2235"/>
          <w:kern w:val="2"/>
          <w:sz w:val="20"/>
          <w:szCs w:val="20"/>
          <w:lang w:eastAsia="zh-CN" w:bidi="hi-IN"/>
        </w:rPr>
      </w:pPr>
    </w:p>
    <w:p w14:paraId="0C78A9DF" w14:textId="0C198C2F" w:rsidR="006C4A99" w:rsidRPr="00A07BE9" w:rsidRDefault="006C4A99" w:rsidP="00AC7531">
      <w:pPr>
        <w:spacing w:after="0" w:line="276" w:lineRule="auto"/>
        <w:rPr>
          <w:rFonts w:ascii="Open Sans" w:eastAsia="NSimSun" w:hAnsi="Open Sans" w:cs="Open Sans"/>
          <w:b/>
          <w:color w:val="9D2235"/>
          <w:kern w:val="2"/>
          <w:sz w:val="20"/>
          <w:szCs w:val="20"/>
          <w:lang w:eastAsia="zh-CN" w:bidi="hi-IN"/>
        </w:rPr>
      </w:pPr>
    </w:p>
    <w:p w14:paraId="4B239514" w14:textId="2F1B0E56" w:rsidR="006C4A99" w:rsidRPr="00A07BE9" w:rsidRDefault="006C4A99" w:rsidP="00AC7531">
      <w:pPr>
        <w:spacing w:after="0" w:line="276" w:lineRule="auto"/>
        <w:rPr>
          <w:rFonts w:ascii="Open Sans" w:eastAsia="NSimSun" w:hAnsi="Open Sans" w:cs="Open Sans"/>
          <w:b/>
          <w:color w:val="9D2235"/>
          <w:kern w:val="2"/>
          <w:sz w:val="20"/>
          <w:szCs w:val="20"/>
          <w:lang w:eastAsia="zh-CN" w:bidi="hi-IN"/>
        </w:rPr>
      </w:pPr>
    </w:p>
    <w:p w14:paraId="3C01CC90" w14:textId="2C11898E" w:rsidR="006C4A99" w:rsidRPr="00A07BE9" w:rsidRDefault="006C4A99" w:rsidP="00AC7531">
      <w:pPr>
        <w:spacing w:after="0" w:line="276" w:lineRule="auto"/>
        <w:rPr>
          <w:rFonts w:ascii="Open Sans" w:eastAsia="NSimSun" w:hAnsi="Open Sans" w:cs="Open Sans"/>
          <w:b/>
          <w:color w:val="9D2235"/>
          <w:kern w:val="2"/>
          <w:sz w:val="20"/>
          <w:szCs w:val="20"/>
          <w:lang w:eastAsia="zh-CN" w:bidi="hi-IN"/>
        </w:rPr>
      </w:pPr>
    </w:p>
    <w:p w14:paraId="37D6CCE0" w14:textId="467E815F" w:rsidR="006C4A99" w:rsidRPr="00A07BE9" w:rsidRDefault="006C4A99" w:rsidP="00AC7531">
      <w:pPr>
        <w:spacing w:after="0" w:line="276" w:lineRule="auto"/>
        <w:rPr>
          <w:rFonts w:ascii="Open Sans" w:eastAsia="NSimSun" w:hAnsi="Open Sans" w:cs="Open Sans"/>
          <w:b/>
          <w:color w:val="9D2235"/>
          <w:kern w:val="2"/>
          <w:sz w:val="20"/>
          <w:szCs w:val="20"/>
          <w:lang w:eastAsia="zh-CN" w:bidi="hi-IN"/>
        </w:rPr>
      </w:pPr>
    </w:p>
    <w:p w14:paraId="73C70779" w14:textId="77777777" w:rsidR="00E232A8" w:rsidRPr="00A07BE9" w:rsidRDefault="00E232A8" w:rsidP="00AC7531">
      <w:pPr>
        <w:spacing w:after="0" w:line="276" w:lineRule="auto"/>
        <w:rPr>
          <w:rFonts w:ascii="Open Sans" w:eastAsia="NSimSun" w:hAnsi="Open Sans" w:cs="Open Sans"/>
          <w:b/>
          <w:color w:val="9D2235"/>
          <w:kern w:val="2"/>
          <w:sz w:val="20"/>
          <w:szCs w:val="20"/>
          <w:lang w:eastAsia="zh-CN" w:bidi="hi-IN"/>
        </w:rPr>
      </w:pPr>
    </w:p>
    <w:p w14:paraId="2091DB35" w14:textId="4F05290A" w:rsidR="009568B0" w:rsidRPr="00A07BE9" w:rsidRDefault="009568B0" w:rsidP="00AC7531">
      <w:pPr>
        <w:spacing w:after="0" w:line="276" w:lineRule="auto"/>
        <w:rPr>
          <w:rFonts w:ascii="Open Sans" w:eastAsia="NSimSun" w:hAnsi="Open Sans" w:cs="Open Sans"/>
          <w:b/>
          <w:kern w:val="2"/>
          <w:sz w:val="20"/>
          <w:szCs w:val="20"/>
          <w:lang w:eastAsia="zh-CN" w:bidi="hi-IN"/>
        </w:rPr>
      </w:pPr>
      <w:r w:rsidRPr="00A07BE9">
        <w:rPr>
          <w:rFonts w:ascii="Open Sans" w:eastAsia="NSimSun" w:hAnsi="Open Sans" w:cs="Open Sans"/>
          <w:b/>
          <w:color w:val="9D2235"/>
          <w:kern w:val="2"/>
          <w:sz w:val="20"/>
          <w:szCs w:val="20"/>
          <w:lang w:eastAsia="zh-CN" w:bidi="hi-IN"/>
        </w:rPr>
        <w:lastRenderedPageBreak/>
        <w:t xml:space="preserve">Tabla </w:t>
      </w:r>
      <w:r w:rsidR="001900B6" w:rsidRPr="00A07BE9">
        <w:rPr>
          <w:rFonts w:ascii="Open Sans" w:eastAsia="NSimSun" w:hAnsi="Open Sans" w:cs="Open Sans"/>
          <w:b/>
          <w:color w:val="9D2235"/>
          <w:kern w:val="2"/>
          <w:sz w:val="20"/>
          <w:szCs w:val="20"/>
          <w:lang w:eastAsia="zh-CN" w:bidi="hi-IN"/>
        </w:rPr>
        <w:t>8</w:t>
      </w:r>
      <w:r w:rsidRPr="00A07BE9">
        <w:rPr>
          <w:rFonts w:ascii="Open Sans" w:eastAsia="NSimSun" w:hAnsi="Open Sans" w:cs="Open Sans"/>
          <w:b/>
          <w:kern w:val="2"/>
          <w:sz w:val="20"/>
          <w:szCs w:val="20"/>
          <w:lang w:eastAsia="zh-CN" w:bidi="hi-IN"/>
        </w:rPr>
        <w:t>. Denuncias presentadas según el ámbito material.</w:t>
      </w:r>
    </w:p>
    <w:tbl>
      <w:tblPr>
        <w:tblW w:w="5000" w:type="pct"/>
        <w:tblCellMar>
          <w:left w:w="70" w:type="dxa"/>
          <w:right w:w="70" w:type="dxa"/>
        </w:tblCellMar>
        <w:tblLook w:val="04A0" w:firstRow="1" w:lastRow="0" w:firstColumn="1" w:lastColumn="0" w:noHBand="0" w:noVBand="1"/>
      </w:tblPr>
      <w:tblGrid>
        <w:gridCol w:w="3486"/>
        <w:gridCol w:w="834"/>
        <w:gridCol w:w="834"/>
        <w:gridCol w:w="836"/>
        <w:gridCol w:w="836"/>
        <w:gridCol w:w="836"/>
        <w:gridCol w:w="832"/>
      </w:tblGrid>
      <w:tr w:rsidR="009568B0" w:rsidRPr="00A07BE9" w14:paraId="266A73D3" w14:textId="77777777" w:rsidTr="005E047E">
        <w:trPr>
          <w:trHeight w:val="227"/>
        </w:trPr>
        <w:tc>
          <w:tcPr>
            <w:tcW w:w="2052" w:type="pct"/>
            <w:tcBorders>
              <w:top w:val="single" w:sz="4" w:space="0" w:color="auto"/>
              <w:left w:val="single" w:sz="4" w:space="0" w:color="auto"/>
              <w:bottom w:val="single" w:sz="4" w:space="0" w:color="auto"/>
              <w:right w:val="single" w:sz="4" w:space="0" w:color="auto"/>
            </w:tcBorders>
            <w:shd w:val="clear" w:color="auto" w:fill="C6C6C6"/>
            <w:noWrap/>
            <w:vAlign w:val="center"/>
            <w:hideMark/>
          </w:tcPr>
          <w:p w14:paraId="169333A8" w14:textId="77777777" w:rsidR="009568B0" w:rsidRPr="00A07BE9" w:rsidRDefault="009568B0" w:rsidP="009568B0">
            <w:pPr>
              <w:spacing w:after="0" w:line="240" w:lineRule="auto"/>
              <w:rPr>
                <w:rFonts w:ascii="Open Sans" w:eastAsia="Times New Roman" w:hAnsi="Open Sans" w:cs="Open Sans"/>
                <w:b/>
                <w:bCs/>
                <w:color w:val="000000"/>
                <w:sz w:val="18"/>
                <w:szCs w:val="18"/>
                <w:lang w:eastAsia="es-ES"/>
              </w:rPr>
            </w:pPr>
            <w:r w:rsidRPr="00A07BE9">
              <w:rPr>
                <w:rFonts w:ascii="Open Sans" w:eastAsia="Times New Roman" w:hAnsi="Open Sans" w:cs="Open Sans"/>
                <w:b/>
                <w:bCs/>
                <w:color w:val="000000"/>
                <w:sz w:val="18"/>
                <w:szCs w:val="18"/>
                <w:lang w:eastAsia="es-ES"/>
              </w:rPr>
              <w:t>MATERIAS</w:t>
            </w:r>
          </w:p>
        </w:tc>
        <w:tc>
          <w:tcPr>
            <w:tcW w:w="491" w:type="pct"/>
            <w:tcBorders>
              <w:top w:val="single" w:sz="4" w:space="0" w:color="auto"/>
              <w:left w:val="nil"/>
              <w:bottom w:val="single" w:sz="4" w:space="0" w:color="auto"/>
              <w:right w:val="single" w:sz="4" w:space="0" w:color="auto"/>
            </w:tcBorders>
            <w:shd w:val="clear" w:color="auto" w:fill="C6C6C6"/>
            <w:noWrap/>
            <w:vAlign w:val="center"/>
            <w:hideMark/>
          </w:tcPr>
          <w:p w14:paraId="28317EBD" w14:textId="77777777" w:rsidR="009568B0" w:rsidRPr="00A07BE9" w:rsidRDefault="009568B0" w:rsidP="009568B0">
            <w:pPr>
              <w:spacing w:after="0" w:line="240" w:lineRule="auto"/>
              <w:jc w:val="center"/>
              <w:rPr>
                <w:rFonts w:ascii="Open Sans" w:eastAsia="Times New Roman" w:hAnsi="Open Sans" w:cs="Open Sans"/>
                <w:b/>
                <w:bCs/>
                <w:color w:val="000000"/>
                <w:sz w:val="18"/>
                <w:szCs w:val="18"/>
                <w:lang w:eastAsia="es-ES"/>
              </w:rPr>
            </w:pPr>
            <w:r w:rsidRPr="00A07BE9">
              <w:rPr>
                <w:rFonts w:ascii="Open Sans" w:eastAsia="Times New Roman" w:hAnsi="Open Sans" w:cs="Open Sans"/>
                <w:b/>
                <w:bCs/>
                <w:color w:val="000000"/>
                <w:sz w:val="18"/>
                <w:szCs w:val="18"/>
                <w:lang w:eastAsia="es-ES"/>
              </w:rPr>
              <w:t>2017</w:t>
            </w:r>
          </w:p>
        </w:tc>
        <w:tc>
          <w:tcPr>
            <w:tcW w:w="491" w:type="pct"/>
            <w:tcBorders>
              <w:top w:val="single" w:sz="4" w:space="0" w:color="auto"/>
              <w:left w:val="nil"/>
              <w:bottom w:val="single" w:sz="4" w:space="0" w:color="auto"/>
              <w:right w:val="single" w:sz="4" w:space="0" w:color="auto"/>
            </w:tcBorders>
            <w:shd w:val="clear" w:color="auto" w:fill="C6C6C6"/>
            <w:noWrap/>
            <w:vAlign w:val="center"/>
            <w:hideMark/>
          </w:tcPr>
          <w:p w14:paraId="0DD7CFD0" w14:textId="77777777" w:rsidR="009568B0" w:rsidRPr="00A07BE9" w:rsidRDefault="009568B0" w:rsidP="009568B0">
            <w:pPr>
              <w:spacing w:after="0" w:line="240" w:lineRule="auto"/>
              <w:jc w:val="center"/>
              <w:rPr>
                <w:rFonts w:ascii="Open Sans" w:eastAsia="Times New Roman" w:hAnsi="Open Sans" w:cs="Open Sans"/>
                <w:b/>
                <w:bCs/>
                <w:color w:val="000000"/>
                <w:sz w:val="18"/>
                <w:szCs w:val="18"/>
                <w:lang w:eastAsia="es-ES"/>
              </w:rPr>
            </w:pPr>
            <w:r w:rsidRPr="00A07BE9">
              <w:rPr>
                <w:rFonts w:ascii="Open Sans" w:eastAsia="Times New Roman" w:hAnsi="Open Sans" w:cs="Open Sans"/>
                <w:b/>
                <w:bCs/>
                <w:color w:val="000000"/>
                <w:sz w:val="18"/>
                <w:szCs w:val="18"/>
                <w:lang w:eastAsia="es-ES"/>
              </w:rPr>
              <w:t>2017 %</w:t>
            </w:r>
          </w:p>
        </w:tc>
        <w:tc>
          <w:tcPr>
            <w:tcW w:w="492" w:type="pct"/>
            <w:tcBorders>
              <w:top w:val="single" w:sz="4" w:space="0" w:color="auto"/>
              <w:left w:val="nil"/>
              <w:bottom w:val="single" w:sz="4" w:space="0" w:color="auto"/>
              <w:right w:val="single" w:sz="4" w:space="0" w:color="auto"/>
            </w:tcBorders>
            <w:shd w:val="clear" w:color="auto" w:fill="C6C6C6"/>
            <w:noWrap/>
            <w:vAlign w:val="center"/>
            <w:hideMark/>
          </w:tcPr>
          <w:p w14:paraId="2B4C060D" w14:textId="77777777" w:rsidR="009568B0" w:rsidRPr="00A07BE9" w:rsidRDefault="009568B0" w:rsidP="009568B0">
            <w:pPr>
              <w:spacing w:after="0" w:line="240" w:lineRule="auto"/>
              <w:jc w:val="center"/>
              <w:rPr>
                <w:rFonts w:ascii="Open Sans" w:eastAsia="Times New Roman" w:hAnsi="Open Sans" w:cs="Open Sans"/>
                <w:b/>
                <w:bCs/>
                <w:color w:val="000000"/>
                <w:sz w:val="18"/>
                <w:szCs w:val="18"/>
                <w:lang w:eastAsia="es-ES"/>
              </w:rPr>
            </w:pPr>
            <w:r w:rsidRPr="00A07BE9">
              <w:rPr>
                <w:rFonts w:ascii="Open Sans" w:eastAsia="Times New Roman" w:hAnsi="Open Sans" w:cs="Open Sans"/>
                <w:b/>
                <w:bCs/>
                <w:color w:val="000000"/>
                <w:sz w:val="18"/>
                <w:szCs w:val="18"/>
                <w:lang w:eastAsia="es-ES"/>
              </w:rPr>
              <w:t>2018</w:t>
            </w:r>
          </w:p>
        </w:tc>
        <w:tc>
          <w:tcPr>
            <w:tcW w:w="492" w:type="pct"/>
            <w:tcBorders>
              <w:top w:val="single" w:sz="4" w:space="0" w:color="auto"/>
              <w:left w:val="nil"/>
              <w:bottom w:val="single" w:sz="4" w:space="0" w:color="auto"/>
              <w:right w:val="single" w:sz="4" w:space="0" w:color="auto"/>
            </w:tcBorders>
            <w:shd w:val="clear" w:color="auto" w:fill="C6C6C6"/>
            <w:noWrap/>
            <w:vAlign w:val="center"/>
            <w:hideMark/>
          </w:tcPr>
          <w:p w14:paraId="1E90F000" w14:textId="77777777" w:rsidR="009568B0" w:rsidRPr="00A07BE9" w:rsidRDefault="009568B0" w:rsidP="009568B0">
            <w:pPr>
              <w:spacing w:after="0" w:line="240" w:lineRule="auto"/>
              <w:jc w:val="center"/>
              <w:rPr>
                <w:rFonts w:ascii="Open Sans" w:eastAsia="Times New Roman" w:hAnsi="Open Sans" w:cs="Open Sans"/>
                <w:b/>
                <w:bCs/>
                <w:color w:val="000000"/>
                <w:sz w:val="18"/>
                <w:szCs w:val="18"/>
                <w:lang w:eastAsia="es-ES"/>
              </w:rPr>
            </w:pPr>
            <w:r w:rsidRPr="00A07BE9">
              <w:rPr>
                <w:rFonts w:ascii="Open Sans" w:eastAsia="Times New Roman" w:hAnsi="Open Sans" w:cs="Open Sans"/>
                <w:b/>
                <w:bCs/>
                <w:color w:val="000000"/>
                <w:sz w:val="18"/>
                <w:szCs w:val="18"/>
                <w:lang w:eastAsia="es-ES"/>
              </w:rPr>
              <w:t>2018 %</w:t>
            </w:r>
          </w:p>
        </w:tc>
        <w:tc>
          <w:tcPr>
            <w:tcW w:w="492" w:type="pct"/>
            <w:tcBorders>
              <w:top w:val="single" w:sz="4" w:space="0" w:color="auto"/>
              <w:left w:val="nil"/>
              <w:bottom w:val="single" w:sz="4" w:space="0" w:color="auto"/>
              <w:right w:val="single" w:sz="4" w:space="0" w:color="auto"/>
            </w:tcBorders>
            <w:shd w:val="clear" w:color="auto" w:fill="C6C6C6"/>
            <w:noWrap/>
            <w:vAlign w:val="center"/>
            <w:hideMark/>
          </w:tcPr>
          <w:p w14:paraId="3953EA38" w14:textId="77777777" w:rsidR="009568B0" w:rsidRPr="00A07BE9" w:rsidRDefault="009568B0" w:rsidP="009568B0">
            <w:pPr>
              <w:spacing w:after="0" w:line="240" w:lineRule="auto"/>
              <w:jc w:val="center"/>
              <w:rPr>
                <w:rFonts w:ascii="Open Sans" w:eastAsia="Times New Roman" w:hAnsi="Open Sans" w:cs="Open Sans"/>
                <w:b/>
                <w:bCs/>
                <w:color w:val="000000"/>
                <w:sz w:val="18"/>
                <w:szCs w:val="18"/>
                <w:lang w:eastAsia="es-ES"/>
              </w:rPr>
            </w:pPr>
            <w:r w:rsidRPr="00A07BE9">
              <w:rPr>
                <w:rFonts w:ascii="Open Sans" w:eastAsia="Times New Roman" w:hAnsi="Open Sans" w:cs="Open Sans"/>
                <w:b/>
                <w:bCs/>
                <w:color w:val="000000"/>
                <w:sz w:val="18"/>
                <w:szCs w:val="18"/>
                <w:lang w:eastAsia="es-ES"/>
              </w:rPr>
              <w:t>2019</w:t>
            </w:r>
          </w:p>
        </w:tc>
        <w:tc>
          <w:tcPr>
            <w:tcW w:w="492" w:type="pct"/>
            <w:tcBorders>
              <w:top w:val="single" w:sz="4" w:space="0" w:color="auto"/>
              <w:left w:val="nil"/>
              <w:bottom w:val="single" w:sz="4" w:space="0" w:color="auto"/>
              <w:right w:val="single" w:sz="4" w:space="0" w:color="auto"/>
            </w:tcBorders>
            <w:shd w:val="clear" w:color="auto" w:fill="C6C6C6"/>
            <w:noWrap/>
            <w:vAlign w:val="center"/>
            <w:hideMark/>
          </w:tcPr>
          <w:p w14:paraId="634D455A" w14:textId="77777777" w:rsidR="009568B0" w:rsidRPr="00A07BE9" w:rsidRDefault="009568B0" w:rsidP="009568B0">
            <w:pPr>
              <w:spacing w:after="0" w:line="240" w:lineRule="auto"/>
              <w:jc w:val="center"/>
              <w:rPr>
                <w:rFonts w:ascii="Open Sans" w:eastAsia="Times New Roman" w:hAnsi="Open Sans" w:cs="Open Sans"/>
                <w:b/>
                <w:bCs/>
                <w:color w:val="000000"/>
                <w:sz w:val="18"/>
                <w:szCs w:val="18"/>
                <w:lang w:eastAsia="es-ES"/>
              </w:rPr>
            </w:pPr>
            <w:r w:rsidRPr="00A07BE9">
              <w:rPr>
                <w:rFonts w:ascii="Open Sans" w:eastAsia="Times New Roman" w:hAnsi="Open Sans" w:cs="Open Sans"/>
                <w:b/>
                <w:bCs/>
                <w:color w:val="000000"/>
                <w:sz w:val="18"/>
                <w:szCs w:val="18"/>
                <w:lang w:eastAsia="es-ES"/>
              </w:rPr>
              <w:t>2019 %</w:t>
            </w:r>
          </w:p>
        </w:tc>
      </w:tr>
      <w:tr w:rsidR="009568B0" w:rsidRPr="00A07BE9" w14:paraId="0F75B06E" w14:textId="77777777" w:rsidTr="005E047E">
        <w:trPr>
          <w:trHeight w:val="227"/>
        </w:trPr>
        <w:tc>
          <w:tcPr>
            <w:tcW w:w="2052" w:type="pct"/>
            <w:tcBorders>
              <w:top w:val="nil"/>
              <w:left w:val="single" w:sz="4" w:space="0" w:color="auto"/>
              <w:bottom w:val="single" w:sz="4" w:space="0" w:color="auto"/>
              <w:right w:val="single" w:sz="4" w:space="0" w:color="auto"/>
            </w:tcBorders>
            <w:shd w:val="clear" w:color="auto" w:fill="auto"/>
            <w:noWrap/>
            <w:vAlign w:val="center"/>
            <w:hideMark/>
          </w:tcPr>
          <w:p w14:paraId="5CEA2F3B" w14:textId="77777777" w:rsidR="009568B0" w:rsidRPr="00A07BE9" w:rsidRDefault="009568B0" w:rsidP="009568B0">
            <w:pPr>
              <w:spacing w:after="0" w:line="240" w:lineRule="auto"/>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Contratación Pública</w:t>
            </w:r>
          </w:p>
        </w:tc>
        <w:tc>
          <w:tcPr>
            <w:tcW w:w="491" w:type="pct"/>
            <w:tcBorders>
              <w:top w:val="nil"/>
              <w:left w:val="nil"/>
              <w:bottom w:val="single" w:sz="4" w:space="0" w:color="auto"/>
              <w:right w:val="single" w:sz="4" w:space="0" w:color="auto"/>
            </w:tcBorders>
            <w:shd w:val="clear" w:color="auto" w:fill="auto"/>
            <w:noWrap/>
            <w:vAlign w:val="center"/>
            <w:hideMark/>
          </w:tcPr>
          <w:p w14:paraId="1F22D283"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12</w:t>
            </w:r>
          </w:p>
        </w:tc>
        <w:tc>
          <w:tcPr>
            <w:tcW w:w="491" w:type="pct"/>
            <w:tcBorders>
              <w:top w:val="nil"/>
              <w:left w:val="nil"/>
              <w:bottom w:val="single" w:sz="4" w:space="0" w:color="auto"/>
              <w:right w:val="single" w:sz="4" w:space="0" w:color="auto"/>
            </w:tcBorders>
            <w:shd w:val="clear" w:color="auto" w:fill="auto"/>
            <w:noWrap/>
            <w:vAlign w:val="center"/>
            <w:hideMark/>
          </w:tcPr>
          <w:p w14:paraId="15F2AA88"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34 %</w:t>
            </w:r>
          </w:p>
        </w:tc>
        <w:tc>
          <w:tcPr>
            <w:tcW w:w="492" w:type="pct"/>
            <w:tcBorders>
              <w:top w:val="nil"/>
              <w:left w:val="nil"/>
              <w:bottom w:val="single" w:sz="4" w:space="0" w:color="auto"/>
              <w:right w:val="single" w:sz="4" w:space="0" w:color="auto"/>
            </w:tcBorders>
            <w:shd w:val="clear" w:color="auto" w:fill="auto"/>
            <w:noWrap/>
            <w:vAlign w:val="center"/>
            <w:hideMark/>
          </w:tcPr>
          <w:p w14:paraId="1984ED10"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57</w:t>
            </w:r>
          </w:p>
        </w:tc>
        <w:tc>
          <w:tcPr>
            <w:tcW w:w="492" w:type="pct"/>
            <w:tcBorders>
              <w:top w:val="nil"/>
              <w:left w:val="nil"/>
              <w:bottom w:val="single" w:sz="4" w:space="0" w:color="auto"/>
              <w:right w:val="single" w:sz="4" w:space="0" w:color="auto"/>
            </w:tcBorders>
            <w:shd w:val="clear" w:color="auto" w:fill="auto"/>
            <w:noWrap/>
            <w:vAlign w:val="center"/>
            <w:hideMark/>
          </w:tcPr>
          <w:p w14:paraId="1B87477F"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31 %</w:t>
            </w:r>
          </w:p>
        </w:tc>
        <w:tc>
          <w:tcPr>
            <w:tcW w:w="492" w:type="pct"/>
            <w:tcBorders>
              <w:top w:val="nil"/>
              <w:left w:val="nil"/>
              <w:bottom w:val="single" w:sz="4" w:space="0" w:color="auto"/>
              <w:right w:val="single" w:sz="4" w:space="0" w:color="auto"/>
            </w:tcBorders>
            <w:shd w:val="clear" w:color="auto" w:fill="auto"/>
            <w:noWrap/>
            <w:vAlign w:val="center"/>
            <w:hideMark/>
          </w:tcPr>
          <w:p w14:paraId="2FCE8DF5"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42</w:t>
            </w:r>
          </w:p>
        </w:tc>
        <w:tc>
          <w:tcPr>
            <w:tcW w:w="492" w:type="pct"/>
            <w:tcBorders>
              <w:top w:val="nil"/>
              <w:left w:val="nil"/>
              <w:bottom w:val="single" w:sz="4" w:space="0" w:color="auto"/>
              <w:right w:val="single" w:sz="4" w:space="0" w:color="auto"/>
            </w:tcBorders>
            <w:shd w:val="clear" w:color="auto" w:fill="auto"/>
            <w:noWrap/>
            <w:vAlign w:val="center"/>
            <w:hideMark/>
          </w:tcPr>
          <w:p w14:paraId="2228BA09"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25 %</w:t>
            </w:r>
          </w:p>
        </w:tc>
      </w:tr>
      <w:tr w:rsidR="009568B0" w:rsidRPr="00A07BE9" w14:paraId="2BFF9AD6" w14:textId="77777777" w:rsidTr="005E047E">
        <w:trPr>
          <w:trHeight w:val="227"/>
        </w:trPr>
        <w:tc>
          <w:tcPr>
            <w:tcW w:w="2052" w:type="pct"/>
            <w:tcBorders>
              <w:top w:val="nil"/>
              <w:left w:val="single" w:sz="4" w:space="0" w:color="auto"/>
              <w:bottom w:val="single" w:sz="4" w:space="0" w:color="auto"/>
              <w:right w:val="single" w:sz="4" w:space="0" w:color="auto"/>
            </w:tcBorders>
            <w:shd w:val="clear" w:color="auto" w:fill="F3DED7"/>
            <w:noWrap/>
            <w:vAlign w:val="center"/>
            <w:hideMark/>
          </w:tcPr>
          <w:p w14:paraId="30FE388A" w14:textId="77777777" w:rsidR="009568B0" w:rsidRPr="00A07BE9" w:rsidRDefault="009568B0" w:rsidP="009568B0">
            <w:pPr>
              <w:spacing w:after="0" w:line="240" w:lineRule="auto"/>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--Concesiones</w:t>
            </w:r>
          </w:p>
        </w:tc>
        <w:tc>
          <w:tcPr>
            <w:tcW w:w="491" w:type="pct"/>
            <w:tcBorders>
              <w:top w:val="nil"/>
              <w:left w:val="nil"/>
              <w:bottom w:val="single" w:sz="4" w:space="0" w:color="auto"/>
              <w:right w:val="single" w:sz="4" w:space="0" w:color="auto"/>
            </w:tcBorders>
            <w:shd w:val="clear" w:color="auto" w:fill="F3DED7"/>
            <w:noWrap/>
            <w:vAlign w:val="center"/>
            <w:hideMark/>
          </w:tcPr>
          <w:p w14:paraId="23CBD20A"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3</w:t>
            </w:r>
          </w:p>
        </w:tc>
        <w:tc>
          <w:tcPr>
            <w:tcW w:w="491" w:type="pct"/>
            <w:tcBorders>
              <w:top w:val="nil"/>
              <w:left w:val="nil"/>
              <w:bottom w:val="single" w:sz="4" w:space="0" w:color="auto"/>
              <w:right w:val="single" w:sz="4" w:space="0" w:color="auto"/>
            </w:tcBorders>
            <w:shd w:val="clear" w:color="auto" w:fill="F3DED7"/>
            <w:noWrap/>
            <w:vAlign w:val="center"/>
            <w:hideMark/>
          </w:tcPr>
          <w:p w14:paraId="5D457D2F"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9 %</w:t>
            </w:r>
          </w:p>
        </w:tc>
        <w:tc>
          <w:tcPr>
            <w:tcW w:w="492" w:type="pct"/>
            <w:tcBorders>
              <w:top w:val="nil"/>
              <w:left w:val="nil"/>
              <w:bottom w:val="single" w:sz="4" w:space="0" w:color="auto"/>
              <w:right w:val="single" w:sz="4" w:space="0" w:color="auto"/>
            </w:tcBorders>
            <w:shd w:val="clear" w:color="auto" w:fill="F3DED7"/>
            <w:noWrap/>
            <w:vAlign w:val="center"/>
            <w:hideMark/>
          </w:tcPr>
          <w:p w14:paraId="4DE04CB7"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6</w:t>
            </w:r>
          </w:p>
        </w:tc>
        <w:tc>
          <w:tcPr>
            <w:tcW w:w="492" w:type="pct"/>
            <w:tcBorders>
              <w:top w:val="nil"/>
              <w:left w:val="nil"/>
              <w:bottom w:val="single" w:sz="4" w:space="0" w:color="auto"/>
              <w:right w:val="single" w:sz="4" w:space="0" w:color="auto"/>
            </w:tcBorders>
            <w:shd w:val="clear" w:color="auto" w:fill="F3DED7"/>
            <w:noWrap/>
            <w:vAlign w:val="center"/>
            <w:hideMark/>
          </w:tcPr>
          <w:p w14:paraId="30EBDDC0"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3 %</w:t>
            </w:r>
          </w:p>
        </w:tc>
        <w:tc>
          <w:tcPr>
            <w:tcW w:w="492" w:type="pct"/>
            <w:tcBorders>
              <w:top w:val="nil"/>
              <w:left w:val="nil"/>
              <w:bottom w:val="single" w:sz="4" w:space="0" w:color="auto"/>
              <w:right w:val="single" w:sz="4" w:space="0" w:color="auto"/>
            </w:tcBorders>
            <w:shd w:val="clear" w:color="auto" w:fill="F3DED7"/>
            <w:noWrap/>
            <w:vAlign w:val="center"/>
            <w:hideMark/>
          </w:tcPr>
          <w:p w14:paraId="63A6DD59"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8</w:t>
            </w:r>
          </w:p>
        </w:tc>
        <w:tc>
          <w:tcPr>
            <w:tcW w:w="492" w:type="pct"/>
            <w:tcBorders>
              <w:top w:val="nil"/>
              <w:left w:val="nil"/>
              <w:bottom w:val="single" w:sz="4" w:space="0" w:color="auto"/>
              <w:right w:val="single" w:sz="4" w:space="0" w:color="auto"/>
            </w:tcBorders>
            <w:shd w:val="clear" w:color="auto" w:fill="F3DED7"/>
            <w:noWrap/>
            <w:vAlign w:val="center"/>
            <w:hideMark/>
          </w:tcPr>
          <w:p w14:paraId="13868DEE"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5 %</w:t>
            </w:r>
          </w:p>
        </w:tc>
      </w:tr>
      <w:tr w:rsidR="009568B0" w:rsidRPr="00A07BE9" w14:paraId="3D71DED9" w14:textId="77777777" w:rsidTr="005E047E">
        <w:trPr>
          <w:trHeight w:val="227"/>
        </w:trPr>
        <w:tc>
          <w:tcPr>
            <w:tcW w:w="2052" w:type="pct"/>
            <w:tcBorders>
              <w:top w:val="nil"/>
              <w:left w:val="single" w:sz="4" w:space="0" w:color="auto"/>
              <w:bottom w:val="single" w:sz="4" w:space="0" w:color="auto"/>
              <w:right w:val="single" w:sz="4" w:space="0" w:color="auto"/>
            </w:tcBorders>
            <w:shd w:val="clear" w:color="auto" w:fill="F3DED7"/>
            <w:noWrap/>
            <w:vAlign w:val="center"/>
            <w:hideMark/>
          </w:tcPr>
          <w:p w14:paraId="07E3C023" w14:textId="77777777" w:rsidR="009568B0" w:rsidRPr="00A07BE9" w:rsidRDefault="009568B0" w:rsidP="009568B0">
            <w:pPr>
              <w:spacing w:after="0" w:line="240" w:lineRule="auto"/>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--Obras</w:t>
            </w:r>
          </w:p>
        </w:tc>
        <w:tc>
          <w:tcPr>
            <w:tcW w:w="491" w:type="pct"/>
            <w:tcBorders>
              <w:top w:val="nil"/>
              <w:left w:val="nil"/>
              <w:bottom w:val="single" w:sz="4" w:space="0" w:color="auto"/>
              <w:right w:val="single" w:sz="4" w:space="0" w:color="auto"/>
            </w:tcBorders>
            <w:shd w:val="clear" w:color="auto" w:fill="F3DED7"/>
            <w:noWrap/>
            <w:vAlign w:val="center"/>
            <w:hideMark/>
          </w:tcPr>
          <w:p w14:paraId="474EC1A0"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2</w:t>
            </w:r>
          </w:p>
        </w:tc>
        <w:tc>
          <w:tcPr>
            <w:tcW w:w="491" w:type="pct"/>
            <w:tcBorders>
              <w:top w:val="nil"/>
              <w:left w:val="nil"/>
              <w:bottom w:val="single" w:sz="4" w:space="0" w:color="auto"/>
              <w:right w:val="single" w:sz="4" w:space="0" w:color="auto"/>
            </w:tcBorders>
            <w:shd w:val="clear" w:color="auto" w:fill="F3DED7"/>
            <w:noWrap/>
            <w:vAlign w:val="center"/>
            <w:hideMark/>
          </w:tcPr>
          <w:p w14:paraId="3366F8D5"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6 %</w:t>
            </w:r>
          </w:p>
        </w:tc>
        <w:tc>
          <w:tcPr>
            <w:tcW w:w="492" w:type="pct"/>
            <w:tcBorders>
              <w:top w:val="nil"/>
              <w:left w:val="nil"/>
              <w:bottom w:val="single" w:sz="4" w:space="0" w:color="auto"/>
              <w:right w:val="single" w:sz="4" w:space="0" w:color="auto"/>
            </w:tcBorders>
            <w:shd w:val="clear" w:color="auto" w:fill="F3DED7"/>
            <w:noWrap/>
            <w:vAlign w:val="center"/>
            <w:hideMark/>
          </w:tcPr>
          <w:p w14:paraId="1064D7D4"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17</w:t>
            </w:r>
          </w:p>
        </w:tc>
        <w:tc>
          <w:tcPr>
            <w:tcW w:w="492" w:type="pct"/>
            <w:tcBorders>
              <w:top w:val="nil"/>
              <w:left w:val="nil"/>
              <w:bottom w:val="single" w:sz="4" w:space="0" w:color="auto"/>
              <w:right w:val="single" w:sz="4" w:space="0" w:color="auto"/>
            </w:tcBorders>
            <w:shd w:val="clear" w:color="auto" w:fill="F3DED7"/>
            <w:noWrap/>
            <w:vAlign w:val="center"/>
            <w:hideMark/>
          </w:tcPr>
          <w:p w14:paraId="07B88855"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9 %</w:t>
            </w:r>
          </w:p>
        </w:tc>
        <w:tc>
          <w:tcPr>
            <w:tcW w:w="492" w:type="pct"/>
            <w:tcBorders>
              <w:top w:val="nil"/>
              <w:left w:val="nil"/>
              <w:bottom w:val="single" w:sz="4" w:space="0" w:color="auto"/>
              <w:right w:val="single" w:sz="4" w:space="0" w:color="auto"/>
            </w:tcBorders>
            <w:shd w:val="clear" w:color="auto" w:fill="F3DED7"/>
            <w:noWrap/>
            <w:vAlign w:val="center"/>
            <w:hideMark/>
          </w:tcPr>
          <w:p w14:paraId="4D52CDB7"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6</w:t>
            </w:r>
          </w:p>
        </w:tc>
        <w:tc>
          <w:tcPr>
            <w:tcW w:w="492" w:type="pct"/>
            <w:tcBorders>
              <w:top w:val="nil"/>
              <w:left w:val="nil"/>
              <w:bottom w:val="single" w:sz="4" w:space="0" w:color="auto"/>
              <w:right w:val="single" w:sz="4" w:space="0" w:color="auto"/>
            </w:tcBorders>
            <w:shd w:val="clear" w:color="auto" w:fill="F3DED7"/>
            <w:noWrap/>
            <w:vAlign w:val="center"/>
            <w:hideMark/>
          </w:tcPr>
          <w:p w14:paraId="7CAABF17"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4 %</w:t>
            </w:r>
          </w:p>
        </w:tc>
      </w:tr>
      <w:tr w:rsidR="009568B0" w:rsidRPr="00A07BE9" w14:paraId="4698B749" w14:textId="77777777" w:rsidTr="005E047E">
        <w:trPr>
          <w:trHeight w:val="227"/>
        </w:trPr>
        <w:tc>
          <w:tcPr>
            <w:tcW w:w="2052" w:type="pct"/>
            <w:tcBorders>
              <w:top w:val="nil"/>
              <w:left w:val="single" w:sz="4" w:space="0" w:color="auto"/>
              <w:bottom w:val="single" w:sz="4" w:space="0" w:color="auto"/>
              <w:right w:val="single" w:sz="4" w:space="0" w:color="auto"/>
            </w:tcBorders>
            <w:shd w:val="clear" w:color="auto" w:fill="F3DED7"/>
            <w:noWrap/>
            <w:vAlign w:val="center"/>
            <w:hideMark/>
          </w:tcPr>
          <w:p w14:paraId="547F10A9" w14:textId="77777777" w:rsidR="009568B0" w:rsidRPr="00A07BE9" w:rsidRDefault="009568B0" w:rsidP="009568B0">
            <w:pPr>
              <w:spacing w:after="0" w:line="240" w:lineRule="auto"/>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--Suministros</w:t>
            </w:r>
          </w:p>
        </w:tc>
        <w:tc>
          <w:tcPr>
            <w:tcW w:w="491" w:type="pct"/>
            <w:tcBorders>
              <w:top w:val="nil"/>
              <w:left w:val="nil"/>
              <w:bottom w:val="single" w:sz="4" w:space="0" w:color="auto"/>
              <w:right w:val="single" w:sz="4" w:space="0" w:color="auto"/>
            </w:tcBorders>
            <w:shd w:val="clear" w:color="auto" w:fill="F3DED7"/>
            <w:noWrap/>
            <w:vAlign w:val="center"/>
            <w:hideMark/>
          </w:tcPr>
          <w:p w14:paraId="29AEF777"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0</w:t>
            </w:r>
          </w:p>
        </w:tc>
        <w:tc>
          <w:tcPr>
            <w:tcW w:w="491" w:type="pct"/>
            <w:tcBorders>
              <w:top w:val="nil"/>
              <w:left w:val="nil"/>
              <w:bottom w:val="single" w:sz="4" w:space="0" w:color="auto"/>
              <w:right w:val="single" w:sz="4" w:space="0" w:color="auto"/>
            </w:tcBorders>
            <w:shd w:val="clear" w:color="auto" w:fill="F3DED7"/>
            <w:noWrap/>
            <w:vAlign w:val="center"/>
            <w:hideMark/>
          </w:tcPr>
          <w:p w14:paraId="3858626D"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0 %</w:t>
            </w:r>
          </w:p>
        </w:tc>
        <w:tc>
          <w:tcPr>
            <w:tcW w:w="492" w:type="pct"/>
            <w:tcBorders>
              <w:top w:val="nil"/>
              <w:left w:val="nil"/>
              <w:bottom w:val="single" w:sz="4" w:space="0" w:color="auto"/>
              <w:right w:val="single" w:sz="4" w:space="0" w:color="auto"/>
            </w:tcBorders>
            <w:shd w:val="clear" w:color="auto" w:fill="F3DED7"/>
            <w:noWrap/>
            <w:vAlign w:val="center"/>
            <w:hideMark/>
          </w:tcPr>
          <w:p w14:paraId="31C4D367"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6</w:t>
            </w:r>
          </w:p>
        </w:tc>
        <w:tc>
          <w:tcPr>
            <w:tcW w:w="492" w:type="pct"/>
            <w:tcBorders>
              <w:top w:val="nil"/>
              <w:left w:val="nil"/>
              <w:bottom w:val="single" w:sz="4" w:space="0" w:color="auto"/>
              <w:right w:val="single" w:sz="4" w:space="0" w:color="auto"/>
            </w:tcBorders>
            <w:shd w:val="clear" w:color="auto" w:fill="F3DED7"/>
            <w:noWrap/>
            <w:vAlign w:val="center"/>
            <w:hideMark/>
          </w:tcPr>
          <w:p w14:paraId="66EEEE28"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3 %</w:t>
            </w:r>
          </w:p>
        </w:tc>
        <w:tc>
          <w:tcPr>
            <w:tcW w:w="492" w:type="pct"/>
            <w:tcBorders>
              <w:top w:val="nil"/>
              <w:left w:val="nil"/>
              <w:bottom w:val="single" w:sz="4" w:space="0" w:color="auto"/>
              <w:right w:val="single" w:sz="4" w:space="0" w:color="auto"/>
            </w:tcBorders>
            <w:shd w:val="clear" w:color="auto" w:fill="F3DED7"/>
            <w:noWrap/>
            <w:vAlign w:val="center"/>
            <w:hideMark/>
          </w:tcPr>
          <w:p w14:paraId="77336944"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1</w:t>
            </w:r>
          </w:p>
        </w:tc>
        <w:tc>
          <w:tcPr>
            <w:tcW w:w="492" w:type="pct"/>
            <w:tcBorders>
              <w:top w:val="nil"/>
              <w:left w:val="nil"/>
              <w:bottom w:val="single" w:sz="4" w:space="0" w:color="auto"/>
              <w:right w:val="single" w:sz="4" w:space="0" w:color="auto"/>
            </w:tcBorders>
            <w:shd w:val="clear" w:color="auto" w:fill="F3DED7"/>
            <w:noWrap/>
            <w:vAlign w:val="center"/>
            <w:hideMark/>
          </w:tcPr>
          <w:p w14:paraId="0A5A55C2"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1 %</w:t>
            </w:r>
          </w:p>
        </w:tc>
      </w:tr>
      <w:tr w:rsidR="009568B0" w:rsidRPr="00A07BE9" w14:paraId="3F3F96B6" w14:textId="77777777" w:rsidTr="005E047E">
        <w:trPr>
          <w:trHeight w:val="227"/>
        </w:trPr>
        <w:tc>
          <w:tcPr>
            <w:tcW w:w="2052" w:type="pct"/>
            <w:tcBorders>
              <w:top w:val="nil"/>
              <w:left w:val="single" w:sz="4" w:space="0" w:color="auto"/>
              <w:bottom w:val="single" w:sz="4" w:space="0" w:color="auto"/>
              <w:right w:val="single" w:sz="4" w:space="0" w:color="auto"/>
            </w:tcBorders>
            <w:shd w:val="clear" w:color="auto" w:fill="F3DED7"/>
            <w:noWrap/>
            <w:vAlign w:val="center"/>
            <w:hideMark/>
          </w:tcPr>
          <w:p w14:paraId="6BBC541E" w14:textId="77777777" w:rsidR="009568B0" w:rsidRPr="00A07BE9" w:rsidRDefault="009568B0" w:rsidP="009568B0">
            <w:pPr>
              <w:spacing w:after="0" w:line="240" w:lineRule="auto"/>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--Servicios</w:t>
            </w:r>
          </w:p>
        </w:tc>
        <w:tc>
          <w:tcPr>
            <w:tcW w:w="491" w:type="pct"/>
            <w:tcBorders>
              <w:top w:val="nil"/>
              <w:left w:val="nil"/>
              <w:bottom w:val="single" w:sz="4" w:space="0" w:color="auto"/>
              <w:right w:val="single" w:sz="4" w:space="0" w:color="auto"/>
            </w:tcBorders>
            <w:shd w:val="clear" w:color="auto" w:fill="F3DED7"/>
            <w:noWrap/>
            <w:vAlign w:val="center"/>
            <w:hideMark/>
          </w:tcPr>
          <w:p w14:paraId="32F3F29E"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7</w:t>
            </w:r>
          </w:p>
        </w:tc>
        <w:tc>
          <w:tcPr>
            <w:tcW w:w="491" w:type="pct"/>
            <w:tcBorders>
              <w:top w:val="nil"/>
              <w:left w:val="nil"/>
              <w:bottom w:val="single" w:sz="4" w:space="0" w:color="auto"/>
              <w:right w:val="single" w:sz="4" w:space="0" w:color="auto"/>
            </w:tcBorders>
            <w:shd w:val="clear" w:color="auto" w:fill="F3DED7"/>
            <w:noWrap/>
            <w:vAlign w:val="center"/>
            <w:hideMark/>
          </w:tcPr>
          <w:p w14:paraId="53AF6AA5"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20 %</w:t>
            </w:r>
          </w:p>
        </w:tc>
        <w:tc>
          <w:tcPr>
            <w:tcW w:w="492" w:type="pct"/>
            <w:tcBorders>
              <w:top w:val="nil"/>
              <w:left w:val="nil"/>
              <w:bottom w:val="single" w:sz="4" w:space="0" w:color="auto"/>
              <w:right w:val="single" w:sz="4" w:space="0" w:color="auto"/>
            </w:tcBorders>
            <w:shd w:val="clear" w:color="auto" w:fill="F3DED7"/>
            <w:noWrap/>
            <w:vAlign w:val="center"/>
            <w:hideMark/>
          </w:tcPr>
          <w:p w14:paraId="0B9B0E37"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28</w:t>
            </w:r>
          </w:p>
        </w:tc>
        <w:tc>
          <w:tcPr>
            <w:tcW w:w="492" w:type="pct"/>
            <w:tcBorders>
              <w:top w:val="nil"/>
              <w:left w:val="nil"/>
              <w:bottom w:val="single" w:sz="4" w:space="0" w:color="auto"/>
              <w:right w:val="single" w:sz="4" w:space="0" w:color="auto"/>
            </w:tcBorders>
            <w:shd w:val="clear" w:color="auto" w:fill="F3DED7"/>
            <w:noWrap/>
            <w:vAlign w:val="center"/>
            <w:hideMark/>
          </w:tcPr>
          <w:p w14:paraId="567D1864"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15 %</w:t>
            </w:r>
          </w:p>
        </w:tc>
        <w:tc>
          <w:tcPr>
            <w:tcW w:w="492" w:type="pct"/>
            <w:tcBorders>
              <w:top w:val="nil"/>
              <w:left w:val="nil"/>
              <w:bottom w:val="single" w:sz="4" w:space="0" w:color="auto"/>
              <w:right w:val="single" w:sz="4" w:space="0" w:color="auto"/>
            </w:tcBorders>
            <w:shd w:val="clear" w:color="auto" w:fill="F3DED7"/>
            <w:noWrap/>
            <w:vAlign w:val="center"/>
            <w:hideMark/>
          </w:tcPr>
          <w:p w14:paraId="181D87F3"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27</w:t>
            </w:r>
          </w:p>
        </w:tc>
        <w:tc>
          <w:tcPr>
            <w:tcW w:w="492" w:type="pct"/>
            <w:tcBorders>
              <w:top w:val="nil"/>
              <w:left w:val="nil"/>
              <w:bottom w:val="single" w:sz="4" w:space="0" w:color="auto"/>
              <w:right w:val="single" w:sz="4" w:space="0" w:color="auto"/>
            </w:tcBorders>
            <w:shd w:val="clear" w:color="auto" w:fill="F3DED7"/>
            <w:noWrap/>
            <w:vAlign w:val="center"/>
            <w:hideMark/>
          </w:tcPr>
          <w:p w14:paraId="3FF54407"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16 %</w:t>
            </w:r>
          </w:p>
        </w:tc>
      </w:tr>
      <w:tr w:rsidR="009568B0" w:rsidRPr="00A07BE9" w14:paraId="4984B789" w14:textId="77777777" w:rsidTr="005E047E">
        <w:trPr>
          <w:trHeight w:val="227"/>
        </w:trPr>
        <w:tc>
          <w:tcPr>
            <w:tcW w:w="2052" w:type="pct"/>
            <w:tcBorders>
              <w:top w:val="nil"/>
              <w:left w:val="single" w:sz="4" w:space="0" w:color="auto"/>
              <w:bottom w:val="single" w:sz="4" w:space="0" w:color="auto"/>
              <w:right w:val="single" w:sz="4" w:space="0" w:color="auto"/>
            </w:tcBorders>
            <w:shd w:val="clear" w:color="auto" w:fill="F3DED7"/>
            <w:noWrap/>
            <w:vAlign w:val="center"/>
            <w:hideMark/>
          </w:tcPr>
          <w:p w14:paraId="0585999D" w14:textId="77777777" w:rsidR="009568B0" w:rsidRPr="00A07BE9" w:rsidRDefault="009568B0" w:rsidP="009568B0">
            <w:pPr>
              <w:spacing w:after="0" w:line="240" w:lineRule="auto"/>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--Otros</w:t>
            </w:r>
          </w:p>
        </w:tc>
        <w:tc>
          <w:tcPr>
            <w:tcW w:w="491" w:type="pct"/>
            <w:tcBorders>
              <w:top w:val="nil"/>
              <w:left w:val="nil"/>
              <w:bottom w:val="single" w:sz="4" w:space="0" w:color="auto"/>
              <w:right w:val="single" w:sz="4" w:space="0" w:color="auto"/>
            </w:tcBorders>
            <w:shd w:val="clear" w:color="auto" w:fill="F3DED7"/>
            <w:noWrap/>
            <w:vAlign w:val="center"/>
            <w:hideMark/>
          </w:tcPr>
          <w:p w14:paraId="7162D92D"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0</w:t>
            </w:r>
          </w:p>
        </w:tc>
        <w:tc>
          <w:tcPr>
            <w:tcW w:w="491" w:type="pct"/>
            <w:tcBorders>
              <w:top w:val="nil"/>
              <w:left w:val="nil"/>
              <w:bottom w:val="single" w:sz="4" w:space="0" w:color="auto"/>
              <w:right w:val="single" w:sz="4" w:space="0" w:color="auto"/>
            </w:tcBorders>
            <w:shd w:val="clear" w:color="auto" w:fill="F3DED7"/>
            <w:noWrap/>
            <w:vAlign w:val="center"/>
            <w:hideMark/>
          </w:tcPr>
          <w:p w14:paraId="78327593"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0 %</w:t>
            </w:r>
          </w:p>
        </w:tc>
        <w:tc>
          <w:tcPr>
            <w:tcW w:w="492" w:type="pct"/>
            <w:tcBorders>
              <w:top w:val="nil"/>
              <w:left w:val="nil"/>
              <w:bottom w:val="single" w:sz="4" w:space="0" w:color="auto"/>
              <w:right w:val="single" w:sz="4" w:space="0" w:color="auto"/>
            </w:tcBorders>
            <w:shd w:val="clear" w:color="auto" w:fill="F3DED7"/>
            <w:noWrap/>
            <w:vAlign w:val="center"/>
            <w:hideMark/>
          </w:tcPr>
          <w:p w14:paraId="42D58DB3"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0</w:t>
            </w:r>
          </w:p>
        </w:tc>
        <w:tc>
          <w:tcPr>
            <w:tcW w:w="492" w:type="pct"/>
            <w:tcBorders>
              <w:top w:val="nil"/>
              <w:left w:val="nil"/>
              <w:bottom w:val="single" w:sz="4" w:space="0" w:color="auto"/>
              <w:right w:val="single" w:sz="4" w:space="0" w:color="auto"/>
            </w:tcBorders>
            <w:shd w:val="clear" w:color="auto" w:fill="F3DED7"/>
            <w:noWrap/>
            <w:vAlign w:val="center"/>
            <w:hideMark/>
          </w:tcPr>
          <w:p w14:paraId="15A9EB44"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0 %</w:t>
            </w:r>
          </w:p>
        </w:tc>
        <w:tc>
          <w:tcPr>
            <w:tcW w:w="492" w:type="pct"/>
            <w:tcBorders>
              <w:top w:val="nil"/>
              <w:left w:val="nil"/>
              <w:bottom w:val="single" w:sz="4" w:space="0" w:color="auto"/>
              <w:right w:val="single" w:sz="4" w:space="0" w:color="auto"/>
            </w:tcBorders>
            <w:shd w:val="clear" w:color="auto" w:fill="F3DED7"/>
            <w:noWrap/>
            <w:vAlign w:val="center"/>
            <w:hideMark/>
          </w:tcPr>
          <w:p w14:paraId="32B33E03"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0</w:t>
            </w:r>
          </w:p>
        </w:tc>
        <w:tc>
          <w:tcPr>
            <w:tcW w:w="492" w:type="pct"/>
            <w:tcBorders>
              <w:top w:val="nil"/>
              <w:left w:val="nil"/>
              <w:bottom w:val="single" w:sz="4" w:space="0" w:color="auto"/>
              <w:right w:val="single" w:sz="4" w:space="0" w:color="auto"/>
            </w:tcBorders>
            <w:shd w:val="clear" w:color="auto" w:fill="F3DED7"/>
            <w:noWrap/>
            <w:vAlign w:val="center"/>
            <w:hideMark/>
          </w:tcPr>
          <w:p w14:paraId="215EB64F"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0 %</w:t>
            </w:r>
          </w:p>
        </w:tc>
      </w:tr>
      <w:tr w:rsidR="009568B0" w:rsidRPr="00A07BE9" w14:paraId="0567855C" w14:textId="77777777" w:rsidTr="005E047E">
        <w:trPr>
          <w:trHeight w:val="227"/>
        </w:trPr>
        <w:tc>
          <w:tcPr>
            <w:tcW w:w="2052" w:type="pct"/>
            <w:tcBorders>
              <w:top w:val="nil"/>
              <w:left w:val="single" w:sz="4" w:space="0" w:color="auto"/>
              <w:bottom w:val="single" w:sz="4" w:space="0" w:color="auto"/>
              <w:right w:val="single" w:sz="4" w:space="0" w:color="auto"/>
            </w:tcBorders>
            <w:shd w:val="clear" w:color="auto" w:fill="auto"/>
            <w:noWrap/>
            <w:vAlign w:val="center"/>
            <w:hideMark/>
          </w:tcPr>
          <w:p w14:paraId="0381DD83" w14:textId="77777777" w:rsidR="009568B0" w:rsidRPr="00A07BE9" w:rsidRDefault="009568B0" w:rsidP="009568B0">
            <w:pPr>
              <w:spacing w:after="0" w:line="240" w:lineRule="auto"/>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Gestión de Activos/Patrimonio</w:t>
            </w:r>
          </w:p>
        </w:tc>
        <w:tc>
          <w:tcPr>
            <w:tcW w:w="491" w:type="pct"/>
            <w:tcBorders>
              <w:top w:val="nil"/>
              <w:left w:val="nil"/>
              <w:bottom w:val="single" w:sz="4" w:space="0" w:color="auto"/>
              <w:right w:val="single" w:sz="4" w:space="0" w:color="auto"/>
            </w:tcBorders>
            <w:shd w:val="clear" w:color="auto" w:fill="auto"/>
            <w:noWrap/>
            <w:vAlign w:val="center"/>
            <w:hideMark/>
          </w:tcPr>
          <w:p w14:paraId="281B9CCB"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4</w:t>
            </w:r>
          </w:p>
        </w:tc>
        <w:tc>
          <w:tcPr>
            <w:tcW w:w="491" w:type="pct"/>
            <w:tcBorders>
              <w:top w:val="nil"/>
              <w:left w:val="nil"/>
              <w:bottom w:val="single" w:sz="4" w:space="0" w:color="auto"/>
              <w:right w:val="single" w:sz="4" w:space="0" w:color="auto"/>
            </w:tcBorders>
            <w:shd w:val="clear" w:color="auto" w:fill="auto"/>
            <w:noWrap/>
            <w:vAlign w:val="center"/>
            <w:hideMark/>
          </w:tcPr>
          <w:p w14:paraId="465AE60C"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11 %</w:t>
            </w:r>
          </w:p>
        </w:tc>
        <w:tc>
          <w:tcPr>
            <w:tcW w:w="492" w:type="pct"/>
            <w:tcBorders>
              <w:top w:val="nil"/>
              <w:left w:val="nil"/>
              <w:bottom w:val="single" w:sz="4" w:space="0" w:color="auto"/>
              <w:right w:val="single" w:sz="4" w:space="0" w:color="auto"/>
            </w:tcBorders>
            <w:shd w:val="clear" w:color="auto" w:fill="auto"/>
            <w:noWrap/>
            <w:vAlign w:val="center"/>
            <w:hideMark/>
          </w:tcPr>
          <w:p w14:paraId="28382D15"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18</w:t>
            </w:r>
          </w:p>
        </w:tc>
        <w:tc>
          <w:tcPr>
            <w:tcW w:w="492" w:type="pct"/>
            <w:tcBorders>
              <w:top w:val="nil"/>
              <w:left w:val="nil"/>
              <w:bottom w:val="single" w:sz="4" w:space="0" w:color="auto"/>
              <w:right w:val="single" w:sz="4" w:space="0" w:color="auto"/>
            </w:tcBorders>
            <w:shd w:val="clear" w:color="auto" w:fill="auto"/>
            <w:noWrap/>
            <w:vAlign w:val="center"/>
            <w:hideMark/>
          </w:tcPr>
          <w:p w14:paraId="0E26467D"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10 %</w:t>
            </w:r>
          </w:p>
        </w:tc>
        <w:tc>
          <w:tcPr>
            <w:tcW w:w="492" w:type="pct"/>
            <w:tcBorders>
              <w:top w:val="nil"/>
              <w:left w:val="nil"/>
              <w:bottom w:val="single" w:sz="4" w:space="0" w:color="auto"/>
              <w:right w:val="single" w:sz="4" w:space="0" w:color="auto"/>
            </w:tcBorders>
            <w:shd w:val="clear" w:color="auto" w:fill="auto"/>
            <w:noWrap/>
            <w:vAlign w:val="center"/>
            <w:hideMark/>
          </w:tcPr>
          <w:p w14:paraId="6D6AE44D"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7</w:t>
            </w:r>
          </w:p>
        </w:tc>
        <w:tc>
          <w:tcPr>
            <w:tcW w:w="492" w:type="pct"/>
            <w:tcBorders>
              <w:top w:val="nil"/>
              <w:left w:val="nil"/>
              <w:bottom w:val="single" w:sz="4" w:space="0" w:color="auto"/>
              <w:right w:val="single" w:sz="4" w:space="0" w:color="auto"/>
            </w:tcBorders>
            <w:shd w:val="clear" w:color="auto" w:fill="auto"/>
            <w:noWrap/>
            <w:vAlign w:val="center"/>
            <w:hideMark/>
          </w:tcPr>
          <w:p w14:paraId="38C55556"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4 %</w:t>
            </w:r>
          </w:p>
        </w:tc>
      </w:tr>
      <w:tr w:rsidR="009568B0" w:rsidRPr="00A07BE9" w14:paraId="1768FB8E" w14:textId="77777777" w:rsidTr="005E047E">
        <w:trPr>
          <w:trHeight w:val="227"/>
        </w:trPr>
        <w:tc>
          <w:tcPr>
            <w:tcW w:w="2052" w:type="pct"/>
            <w:tcBorders>
              <w:top w:val="nil"/>
              <w:left w:val="single" w:sz="4" w:space="0" w:color="auto"/>
              <w:bottom w:val="single" w:sz="4" w:space="0" w:color="auto"/>
              <w:right w:val="single" w:sz="4" w:space="0" w:color="auto"/>
            </w:tcBorders>
            <w:shd w:val="clear" w:color="auto" w:fill="auto"/>
            <w:noWrap/>
            <w:vAlign w:val="center"/>
            <w:hideMark/>
          </w:tcPr>
          <w:p w14:paraId="6F73C7FA" w14:textId="77777777" w:rsidR="009568B0" w:rsidRPr="00A07BE9" w:rsidRDefault="009568B0" w:rsidP="009568B0">
            <w:pPr>
              <w:spacing w:after="0" w:line="240" w:lineRule="auto"/>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Subvenciones</w:t>
            </w:r>
          </w:p>
        </w:tc>
        <w:tc>
          <w:tcPr>
            <w:tcW w:w="491" w:type="pct"/>
            <w:tcBorders>
              <w:top w:val="nil"/>
              <w:left w:val="nil"/>
              <w:bottom w:val="single" w:sz="4" w:space="0" w:color="auto"/>
              <w:right w:val="single" w:sz="4" w:space="0" w:color="auto"/>
            </w:tcBorders>
            <w:shd w:val="clear" w:color="auto" w:fill="auto"/>
            <w:noWrap/>
            <w:vAlign w:val="center"/>
            <w:hideMark/>
          </w:tcPr>
          <w:p w14:paraId="47CBAC71"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6</w:t>
            </w:r>
          </w:p>
        </w:tc>
        <w:tc>
          <w:tcPr>
            <w:tcW w:w="491" w:type="pct"/>
            <w:tcBorders>
              <w:top w:val="nil"/>
              <w:left w:val="nil"/>
              <w:bottom w:val="single" w:sz="4" w:space="0" w:color="auto"/>
              <w:right w:val="single" w:sz="4" w:space="0" w:color="auto"/>
            </w:tcBorders>
            <w:shd w:val="clear" w:color="auto" w:fill="auto"/>
            <w:noWrap/>
            <w:vAlign w:val="center"/>
            <w:hideMark/>
          </w:tcPr>
          <w:p w14:paraId="6BA3572C"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17 %</w:t>
            </w:r>
          </w:p>
        </w:tc>
        <w:tc>
          <w:tcPr>
            <w:tcW w:w="492" w:type="pct"/>
            <w:tcBorders>
              <w:top w:val="nil"/>
              <w:left w:val="nil"/>
              <w:bottom w:val="single" w:sz="4" w:space="0" w:color="auto"/>
              <w:right w:val="single" w:sz="4" w:space="0" w:color="auto"/>
            </w:tcBorders>
            <w:shd w:val="clear" w:color="auto" w:fill="auto"/>
            <w:noWrap/>
            <w:vAlign w:val="center"/>
            <w:hideMark/>
          </w:tcPr>
          <w:p w14:paraId="745410F1"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16</w:t>
            </w:r>
          </w:p>
        </w:tc>
        <w:tc>
          <w:tcPr>
            <w:tcW w:w="492" w:type="pct"/>
            <w:tcBorders>
              <w:top w:val="nil"/>
              <w:left w:val="nil"/>
              <w:bottom w:val="single" w:sz="4" w:space="0" w:color="auto"/>
              <w:right w:val="single" w:sz="4" w:space="0" w:color="auto"/>
            </w:tcBorders>
            <w:shd w:val="clear" w:color="auto" w:fill="auto"/>
            <w:noWrap/>
            <w:vAlign w:val="center"/>
            <w:hideMark/>
          </w:tcPr>
          <w:p w14:paraId="581AE55C"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9 %</w:t>
            </w:r>
          </w:p>
        </w:tc>
        <w:tc>
          <w:tcPr>
            <w:tcW w:w="492" w:type="pct"/>
            <w:tcBorders>
              <w:top w:val="nil"/>
              <w:left w:val="nil"/>
              <w:bottom w:val="single" w:sz="4" w:space="0" w:color="auto"/>
              <w:right w:val="single" w:sz="4" w:space="0" w:color="auto"/>
            </w:tcBorders>
            <w:shd w:val="clear" w:color="auto" w:fill="auto"/>
            <w:noWrap/>
            <w:vAlign w:val="center"/>
            <w:hideMark/>
          </w:tcPr>
          <w:p w14:paraId="1ADDE559"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7</w:t>
            </w:r>
          </w:p>
        </w:tc>
        <w:tc>
          <w:tcPr>
            <w:tcW w:w="492" w:type="pct"/>
            <w:tcBorders>
              <w:top w:val="nil"/>
              <w:left w:val="nil"/>
              <w:bottom w:val="single" w:sz="4" w:space="0" w:color="auto"/>
              <w:right w:val="single" w:sz="4" w:space="0" w:color="auto"/>
            </w:tcBorders>
            <w:shd w:val="clear" w:color="auto" w:fill="auto"/>
            <w:noWrap/>
            <w:vAlign w:val="center"/>
            <w:hideMark/>
          </w:tcPr>
          <w:p w14:paraId="4DB44286"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4 %</w:t>
            </w:r>
          </w:p>
        </w:tc>
      </w:tr>
      <w:tr w:rsidR="009568B0" w:rsidRPr="00A07BE9" w14:paraId="489E38B8" w14:textId="77777777" w:rsidTr="005E047E">
        <w:trPr>
          <w:trHeight w:val="227"/>
        </w:trPr>
        <w:tc>
          <w:tcPr>
            <w:tcW w:w="2052" w:type="pct"/>
            <w:tcBorders>
              <w:top w:val="nil"/>
              <w:left w:val="single" w:sz="4" w:space="0" w:color="auto"/>
              <w:bottom w:val="single" w:sz="4" w:space="0" w:color="auto"/>
              <w:right w:val="single" w:sz="4" w:space="0" w:color="auto"/>
            </w:tcBorders>
            <w:shd w:val="clear" w:color="auto" w:fill="auto"/>
            <w:noWrap/>
            <w:vAlign w:val="center"/>
            <w:hideMark/>
          </w:tcPr>
          <w:p w14:paraId="31872724" w14:textId="77777777" w:rsidR="009568B0" w:rsidRPr="00A07BE9" w:rsidRDefault="009568B0" w:rsidP="009568B0">
            <w:pPr>
              <w:spacing w:after="0" w:line="240" w:lineRule="auto"/>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Gestión de RR.HH.</w:t>
            </w:r>
          </w:p>
        </w:tc>
        <w:tc>
          <w:tcPr>
            <w:tcW w:w="491" w:type="pct"/>
            <w:tcBorders>
              <w:top w:val="nil"/>
              <w:left w:val="nil"/>
              <w:bottom w:val="single" w:sz="4" w:space="0" w:color="auto"/>
              <w:right w:val="single" w:sz="4" w:space="0" w:color="auto"/>
            </w:tcBorders>
            <w:shd w:val="clear" w:color="auto" w:fill="auto"/>
            <w:noWrap/>
            <w:vAlign w:val="center"/>
            <w:hideMark/>
          </w:tcPr>
          <w:p w14:paraId="28F55E88"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8</w:t>
            </w:r>
          </w:p>
        </w:tc>
        <w:tc>
          <w:tcPr>
            <w:tcW w:w="491" w:type="pct"/>
            <w:tcBorders>
              <w:top w:val="nil"/>
              <w:left w:val="nil"/>
              <w:bottom w:val="single" w:sz="4" w:space="0" w:color="auto"/>
              <w:right w:val="single" w:sz="4" w:space="0" w:color="auto"/>
            </w:tcBorders>
            <w:shd w:val="clear" w:color="auto" w:fill="auto"/>
            <w:noWrap/>
            <w:vAlign w:val="center"/>
            <w:hideMark/>
          </w:tcPr>
          <w:p w14:paraId="683841B3"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23 %</w:t>
            </w:r>
          </w:p>
        </w:tc>
        <w:tc>
          <w:tcPr>
            <w:tcW w:w="492" w:type="pct"/>
            <w:tcBorders>
              <w:top w:val="nil"/>
              <w:left w:val="nil"/>
              <w:bottom w:val="single" w:sz="4" w:space="0" w:color="auto"/>
              <w:right w:val="single" w:sz="4" w:space="0" w:color="auto"/>
            </w:tcBorders>
            <w:shd w:val="clear" w:color="auto" w:fill="auto"/>
            <w:noWrap/>
            <w:vAlign w:val="center"/>
            <w:hideMark/>
          </w:tcPr>
          <w:p w14:paraId="513D5601"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64</w:t>
            </w:r>
          </w:p>
        </w:tc>
        <w:tc>
          <w:tcPr>
            <w:tcW w:w="492" w:type="pct"/>
            <w:tcBorders>
              <w:top w:val="nil"/>
              <w:left w:val="nil"/>
              <w:bottom w:val="single" w:sz="4" w:space="0" w:color="auto"/>
              <w:right w:val="single" w:sz="4" w:space="0" w:color="auto"/>
            </w:tcBorders>
            <w:shd w:val="clear" w:color="auto" w:fill="auto"/>
            <w:noWrap/>
            <w:vAlign w:val="center"/>
            <w:hideMark/>
          </w:tcPr>
          <w:p w14:paraId="3919465F"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35 %</w:t>
            </w:r>
          </w:p>
        </w:tc>
        <w:tc>
          <w:tcPr>
            <w:tcW w:w="492" w:type="pct"/>
            <w:tcBorders>
              <w:top w:val="nil"/>
              <w:left w:val="nil"/>
              <w:bottom w:val="single" w:sz="4" w:space="0" w:color="auto"/>
              <w:right w:val="single" w:sz="4" w:space="0" w:color="auto"/>
            </w:tcBorders>
            <w:shd w:val="clear" w:color="auto" w:fill="auto"/>
            <w:noWrap/>
            <w:vAlign w:val="center"/>
            <w:hideMark/>
          </w:tcPr>
          <w:p w14:paraId="19AD7478"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68</w:t>
            </w:r>
          </w:p>
        </w:tc>
        <w:tc>
          <w:tcPr>
            <w:tcW w:w="492" w:type="pct"/>
            <w:tcBorders>
              <w:top w:val="nil"/>
              <w:left w:val="nil"/>
              <w:bottom w:val="single" w:sz="4" w:space="0" w:color="auto"/>
              <w:right w:val="single" w:sz="4" w:space="0" w:color="auto"/>
            </w:tcBorders>
            <w:shd w:val="clear" w:color="auto" w:fill="auto"/>
            <w:noWrap/>
            <w:vAlign w:val="center"/>
            <w:hideMark/>
          </w:tcPr>
          <w:p w14:paraId="2E59DDC9"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40 %</w:t>
            </w:r>
          </w:p>
        </w:tc>
      </w:tr>
      <w:tr w:rsidR="009568B0" w:rsidRPr="00A07BE9" w14:paraId="56C08F5B" w14:textId="77777777" w:rsidTr="005E047E">
        <w:trPr>
          <w:trHeight w:val="227"/>
        </w:trPr>
        <w:tc>
          <w:tcPr>
            <w:tcW w:w="2052" w:type="pct"/>
            <w:tcBorders>
              <w:top w:val="nil"/>
              <w:left w:val="single" w:sz="4" w:space="0" w:color="auto"/>
              <w:bottom w:val="single" w:sz="4" w:space="0" w:color="auto"/>
              <w:right w:val="single" w:sz="4" w:space="0" w:color="auto"/>
            </w:tcBorders>
            <w:shd w:val="clear" w:color="auto" w:fill="F3DED7"/>
            <w:noWrap/>
            <w:vAlign w:val="center"/>
            <w:hideMark/>
          </w:tcPr>
          <w:p w14:paraId="78F2B65E" w14:textId="77777777" w:rsidR="009568B0" w:rsidRPr="00A07BE9" w:rsidRDefault="009568B0" w:rsidP="009568B0">
            <w:pPr>
              <w:spacing w:after="0" w:line="240" w:lineRule="auto"/>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--Procedimientos Selectivos</w:t>
            </w:r>
          </w:p>
        </w:tc>
        <w:tc>
          <w:tcPr>
            <w:tcW w:w="491" w:type="pct"/>
            <w:tcBorders>
              <w:top w:val="nil"/>
              <w:left w:val="nil"/>
              <w:bottom w:val="single" w:sz="4" w:space="0" w:color="auto"/>
              <w:right w:val="single" w:sz="4" w:space="0" w:color="auto"/>
            </w:tcBorders>
            <w:shd w:val="clear" w:color="auto" w:fill="F3DED7"/>
            <w:noWrap/>
            <w:vAlign w:val="center"/>
            <w:hideMark/>
          </w:tcPr>
          <w:p w14:paraId="124B37F3"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5</w:t>
            </w:r>
          </w:p>
        </w:tc>
        <w:tc>
          <w:tcPr>
            <w:tcW w:w="491" w:type="pct"/>
            <w:tcBorders>
              <w:top w:val="nil"/>
              <w:left w:val="nil"/>
              <w:bottom w:val="single" w:sz="4" w:space="0" w:color="auto"/>
              <w:right w:val="single" w:sz="4" w:space="0" w:color="auto"/>
            </w:tcBorders>
            <w:shd w:val="clear" w:color="auto" w:fill="F3DED7"/>
            <w:noWrap/>
            <w:vAlign w:val="center"/>
            <w:hideMark/>
          </w:tcPr>
          <w:p w14:paraId="6AAE2C3B"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14 %</w:t>
            </w:r>
          </w:p>
        </w:tc>
        <w:tc>
          <w:tcPr>
            <w:tcW w:w="492" w:type="pct"/>
            <w:tcBorders>
              <w:top w:val="nil"/>
              <w:left w:val="nil"/>
              <w:bottom w:val="single" w:sz="4" w:space="0" w:color="auto"/>
              <w:right w:val="single" w:sz="4" w:space="0" w:color="auto"/>
            </w:tcBorders>
            <w:shd w:val="clear" w:color="auto" w:fill="F3DED7"/>
            <w:noWrap/>
            <w:vAlign w:val="center"/>
            <w:hideMark/>
          </w:tcPr>
          <w:p w14:paraId="36E3D429"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33</w:t>
            </w:r>
          </w:p>
        </w:tc>
        <w:tc>
          <w:tcPr>
            <w:tcW w:w="492" w:type="pct"/>
            <w:tcBorders>
              <w:top w:val="nil"/>
              <w:left w:val="nil"/>
              <w:bottom w:val="single" w:sz="4" w:space="0" w:color="auto"/>
              <w:right w:val="single" w:sz="4" w:space="0" w:color="auto"/>
            </w:tcBorders>
            <w:shd w:val="clear" w:color="auto" w:fill="F3DED7"/>
            <w:noWrap/>
            <w:vAlign w:val="center"/>
            <w:hideMark/>
          </w:tcPr>
          <w:p w14:paraId="5D4F04FB"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18 %</w:t>
            </w:r>
          </w:p>
        </w:tc>
        <w:tc>
          <w:tcPr>
            <w:tcW w:w="492" w:type="pct"/>
            <w:tcBorders>
              <w:top w:val="nil"/>
              <w:left w:val="nil"/>
              <w:bottom w:val="single" w:sz="4" w:space="0" w:color="auto"/>
              <w:right w:val="single" w:sz="4" w:space="0" w:color="auto"/>
            </w:tcBorders>
            <w:shd w:val="clear" w:color="auto" w:fill="F3DED7"/>
            <w:noWrap/>
            <w:vAlign w:val="center"/>
            <w:hideMark/>
          </w:tcPr>
          <w:p w14:paraId="3B7EF417"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47</w:t>
            </w:r>
          </w:p>
        </w:tc>
        <w:tc>
          <w:tcPr>
            <w:tcW w:w="492" w:type="pct"/>
            <w:tcBorders>
              <w:top w:val="nil"/>
              <w:left w:val="nil"/>
              <w:bottom w:val="single" w:sz="4" w:space="0" w:color="auto"/>
              <w:right w:val="single" w:sz="4" w:space="0" w:color="auto"/>
            </w:tcBorders>
            <w:shd w:val="clear" w:color="auto" w:fill="F3DED7"/>
            <w:noWrap/>
            <w:vAlign w:val="center"/>
            <w:hideMark/>
          </w:tcPr>
          <w:p w14:paraId="1066E735"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28 %</w:t>
            </w:r>
          </w:p>
        </w:tc>
      </w:tr>
      <w:tr w:rsidR="009568B0" w:rsidRPr="00A07BE9" w14:paraId="199D740B" w14:textId="77777777" w:rsidTr="005E047E">
        <w:trPr>
          <w:trHeight w:val="227"/>
        </w:trPr>
        <w:tc>
          <w:tcPr>
            <w:tcW w:w="2052" w:type="pct"/>
            <w:tcBorders>
              <w:top w:val="nil"/>
              <w:left w:val="single" w:sz="4" w:space="0" w:color="auto"/>
              <w:bottom w:val="single" w:sz="4" w:space="0" w:color="auto"/>
              <w:right w:val="single" w:sz="4" w:space="0" w:color="auto"/>
            </w:tcBorders>
            <w:shd w:val="clear" w:color="auto" w:fill="F3DED7"/>
            <w:noWrap/>
            <w:vAlign w:val="center"/>
            <w:hideMark/>
          </w:tcPr>
          <w:p w14:paraId="34486B41" w14:textId="77777777" w:rsidR="009568B0" w:rsidRPr="00A07BE9" w:rsidRDefault="009568B0" w:rsidP="009568B0">
            <w:pPr>
              <w:spacing w:after="0" w:line="240" w:lineRule="auto"/>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--Procedimientos de Provisión</w:t>
            </w:r>
          </w:p>
        </w:tc>
        <w:tc>
          <w:tcPr>
            <w:tcW w:w="491" w:type="pct"/>
            <w:tcBorders>
              <w:top w:val="nil"/>
              <w:left w:val="nil"/>
              <w:bottom w:val="single" w:sz="4" w:space="0" w:color="auto"/>
              <w:right w:val="single" w:sz="4" w:space="0" w:color="auto"/>
            </w:tcBorders>
            <w:shd w:val="clear" w:color="auto" w:fill="F3DED7"/>
            <w:noWrap/>
            <w:vAlign w:val="center"/>
            <w:hideMark/>
          </w:tcPr>
          <w:p w14:paraId="5947643E"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1</w:t>
            </w:r>
          </w:p>
        </w:tc>
        <w:tc>
          <w:tcPr>
            <w:tcW w:w="491" w:type="pct"/>
            <w:tcBorders>
              <w:top w:val="nil"/>
              <w:left w:val="nil"/>
              <w:bottom w:val="single" w:sz="4" w:space="0" w:color="auto"/>
              <w:right w:val="single" w:sz="4" w:space="0" w:color="auto"/>
            </w:tcBorders>
            <w:shd w:val="clear" w:color="auto" w:fill="F3DED7"/>
            <w:noWrap/>
            <w:vAlign w:val="center"/>
            <w:hideMark/>
          </w:tcPr>
          <w:p w14:paraId="22DD913E"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3 %</w:t>
            </w:r>
          </w:p>
        </w:tc>
        <w:tc>
          <w:tcPr>
            <w:tcW w:w="492" w:type="pct"/>
            <w:tcBorders>
              <w:top w:val="nil"/>
              <w:left w:val="nil"/>
              <w:bottom w:val="single" w:sz="4" w:space="0" w:color="auto"/>
              <w:right w:val="single" w:sz="4" w:space="0" w:color="auto"/>
            </w:tcBorders>
            <w:shd w:val="clear" w:color="auto" w:fill="F3DED7"/>
            <w:noWrap/>
            <w:vAlign w:val="center"/>
            <w:hideMark/>
          </w:tcPr>
          <w:p w14:paraId="2919AE86"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8</w:t>
            </w:r>
          </w:p>
        </w:tc>
        <w:tc>
          <w:tcPr>
            <w:tcW w:w="492" w:type="pct"/>
            <w:tcBorders>
              <w:top w:val="nil"/>
              <w:left w:val="nil"/>
              <w:bottom w:val="single" w:sz="4" w:space="0" w:color="auto"/>
              <w:right w:val="single" w:sz="4" w:space="0" w:color="auto"/>
            </w:tcBorders>
            <w:shd w:val="clear" w:color="auto" w:fill="F3DED7"/>
            <w:noWrap/>
            <w:vAlign w:val="center"/>
            <w:hideMark/>
          </w:tcPr>
          <w:p w14:paraId="59490A98"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4 %</w:t>
            </w:r>
          </w:p>
        </w:tc>
        <w:tc>
          <w:tcPr>
            <w:tcW w:w="492" w:type="pct"/>
            <w:tcBorders>
              <w:top w:val="nil"/>
              <w:left w:val="nil"/>
              <w:bottom w:val="single" w:sz="4" w:space="0" w:color="auto"/>
              <w:right w:val="single" w:sz="4" w:space="0" w:color="auto"/>
            </w:tcBorders>
            <w:shd w:val="clear" w:color="auto" w:fill="F3DED7"/>
            <w:noWrap/>
            <w:vAlign w:val="center"/>
            <w:hideMark/>
          </w:tcPr>
          <w:p w14:paraId="622840BC"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6</w:t>
            </w:r>
          </w:p>
        </w:tc>
        <w:tc>
          <w:tcPr>
            <w:tcW w:w="492" w:type="pct"/>
            <w:tcBorders>
              <w:top w:val="nil"/>
              <w:left w:val="nil"/>
              <w:bottom w:val="single" w:sz="4" w:space="0" w:color="auto"/>
              <w:right w:val="single" w:sz="4" w:space="0" w:color="auto"/>
            </w:tcBorders>
            <w:shd w:val="clear" w:color="auto" w:fill="F3DED7"/>
            <w:noWrap/>
            <w:vAlign w:val="center"/>
            <w:hideMark/>
          </w:tcPr>
          <w:p w14:paraId="3D484C21"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4 %</w:t>
            </w:r>
          </w:p>
        </w:tc>
      </w:tr>
      <w:tr w:rsidR="009568B0" w:rsidRPr="00A07BE9" w14:paraId="2B6B695F" w14:textId="77777777" w:rsidTr="005E047E">
        <w:trPr>
          <w:trHeight w:val="227"/>
        </w:trPr>
        <w:tc>
          <w:tcPr>
            <w:tcW w:w="2052" w:type="pct"/>
            <w:tcBorders>
              <w:top w:val="nil"/>
              <w:left w:val="single" w:sz="4" w:space="0" w:color="auto"/>
              <w:bottom w:val="single" w:sz="4" w:space="0" w:color="auto"/>
              <w:right w:val="single" w:sz="4" w:space="0" w:color="auto"/>
            </w:tcBorders>
            <w:shd w:val="clear" w:color="auto" w:fill="F3DED7"/>
            <w:noWrap/>
            <w:vAlign w:val="center"/>
            <w:hideMark/>
          </w:tcPr>
          <w:p w14:paraId="48798C9B" w14:textId="77777777" w:rsidR="009568B0" w:rsidRPr="00A07BE9" w:rsidRDefault="009568B0" w:rsidP="009568B0">
            <w:pPr>
              <w:spacing w:after="0" w:line="240" w:lineRule="auto"/>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--Derechos/Deberes/Incompatibilidades</w:t>
            </w:r>
          </w:p>
        </w:tc>
        <w:tc>
          <w:tcPr>
            <w:tcW w:w="491" w:type="pct"/>
            <w:tcBorders>
              <w:top w:val="nil"/>
              <w:left w:val="nil"/>
              <w:bottom w:val="single" w:sz="4" w:space="0" w:color="auto"/>
              <w:right w:val="single" w:sz="4" w:space="0" w:color="auto"/>
            </w:tcBorders>
            <w:shd w:val="clear" w:color="auto" w:fill="F3DED7"/>
            <w:noWrap/>
            <w:vAlign w:val="center"/>
            <w:hideMark/>
          </w:tcPr>
          <w:p w14:paraId="7A140280"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2</w:t>
            </w:r>
          </w:p>
        </w:tc>
        <w:tc>
          <w:tcPr>
            <w:tcW w:w="491" w:type="pct"/>
            <w:tcBorders>
              <w:top w:val="nil"/>
              <w:left w:val="nil"/>
              <w:bottom w:val="single" w:sz="4" w:space="0" w:color="auto"/>
              <w:right w:val="single" w:sz="4" w:space="0" w:color="auto"/>
            </w:tcBorders>
            <w:shd w:val="clear" w:color="auto" w:fill="F3DED7"/>
            <w:noWrap/>
            <w:vAlign w:val="center"/>
            <w:hideMark/>
          </w:tcPr>
          <w:p w14:paraId="6CB0F3CA"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6 %</w:t>
            </w:r>
          </w:p>
        </w:tc>
        <w:tc>
          <w:tcPr>
            <w:tcW w:w="492" w:type="pct"/>
            <w:tcBorders>
              <w:top w:val="nil"/>
              <w:left w:val="nil"/>
              <w:bottom w:val="single" w:sz="4" w:space="0" w:color="auto"/>
              <w:right w:val="single" w:sz="4" w:space="0" w:color="auto"/>
            </w:tcBorders>
            <w:shd w:val="clear" w:color="auto" w:fill="F3DED7"/>
            <w:noWrap/>
            <w:vAlign w:val="center"/>
            <w:hideMark/>
          </w:tcPr>
          <w:p w14:paraId="5B857FFF"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21</w:t>
            </w:r>
          </w:p>
        </w:tc>
        <w:tc>
          <w:tcPr>
            <w:tcW w:w="492" w:type="pct"/>
            <w:tcBorders>
              <w:top w:val="nil"/>
              <w:left w:val="nil"/>
              <w:bottom w:val="single" w:sz="4" w:space="0" w:color="auto"/>
              <w:right w:val="single" w:sz="4" w:space="0" w:color="auto"/>
            </w:tcBorders>
            <w:shd w:val="clear" w:color="auto" w:fill="F3DED7"/>
            <w:noWrap/>
            <w:vAlign w:val="center"/>
            <w:hideMark/>
          </w:tcPr>
          <w:p w14:paraId="2B8C3DF8"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11 %</w:t>
            </w:r>
          </w:p>
        </w:tc>
        <w:tc>
          <w:tcPr>
            <w:tcW w:w="492" w:type="pct"/>
            <w:tcBorders>
              <w:top w:val="nil"/>
              <w:left w:val="nil"/>
              <w:bottom w:val="single" w:sz="4" w:space="0" w:color="auto"/>
              <w:right w:val="single" w:sz="4" w:space="0" w:color="auto"/>
            </w:tcBorders>
            <w:shd w:val="clear" w:color="auto" w:fill="F3DED7"/>
            <w:noWrap/>
            <w:vAlign w:val="center"/>
            <w:hideMark/>
          </w:tcPr>
          <w:p w14:paraId="3E320EE3"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15</w:t>
            </w:r>
          </w:p>
        </w:tc>
        <w:tc>
          <w:tcPr>
            <w:tcW w:w="492" w:type="pct"/>
            <w:tcBorders>
              <w:top w:val="nil"/>
              <w:left w:val="nil"/>
              <w:bottom w:val="single" w:sz="4" w:space="0" w:color="auto"/>
              <w:right w:val="single" w:sz="4" w:space="0" w:color="auto"/>
            </w:tcBorders>
            <w:shd w:val="clear" w:color="auto" w:fill="F3DED7"/>
            <w:noWrap/>
            <w:vAlign w:val="center"/>
            <w:hideMark/>
          </w:tcPr>
          <w:p w14:paraId="2171F25C"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9 %</w:t>
            </w:r>
          </w:p>
        </w:tc>
      </w:tr>
      <w:tr w:rsidR="009568B0" w:rsidRPr="00A07BE9" w14:paraId="1F582A67" w14:textId="77777777" w:rsidTr="005E047E">
        <w:trPr>
          <w:trHeight w:val="227"/>
        </w:trPr>
        <w:tc>
          <w:tcPr>
            <w:tcW w:w="2052" w:type="pct"/>
            <w:tcBorders>
              <w:top w:val="nil"/>
              <w:left w:val="single" w:sz="4" w:space="0" w:color="auto"/>
              <w:bottom w:val="single" w:sz="4" w:space="0" w:color="auto"/>
              <w:right w:val="single" w:sz="4" w:space="0" w:color="auto"/>
            </w:tcBorders>
            <w:shd w:val="clear" w:color="auto" w:fill="F3DED7"/>
            <w:noWrap/>
            <w:vAlign w:val="center"/>
            <w:hideMark/>
          </w:tcPr>
          <w:p w14:paraId="52B632F5" w14:textId="77777777" w:rsidR="009568B0" w:rsidRPr="00A07BE9" w:rsidRDefault="009568B0" w:rsidP="009568B0">
            <w:pPr>
              <w:spacing w:after="0" w:line="240" w:lineRule="auto"/>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--Otros</w:t>
            </w:r>
          </w:p>
        </w:tc>
        <w:tc>
          <w:tcPr>
            <w:tcW w:w="491" w:type="pct"/>
            <w:tcBorders>
              <w:top w:val="nil"/>
              <w:left w:val="nil"/>
              <w:bottom w:val="single" w:sz="4" w:space="0" w:color="auto"/>
              <w:right w:val="single" w:sz="4" w:space="0" w:color="auto"/>
            </w:tcBorders>
            <w:shd w:val="clear" w:color="auto" w:fill="F3DED7"/>
            <w:noWrap/>
            <w:vAlign w:val="center"/>
            <w:hideMark/>
          </w:tcPr>
          <w:p w14:paraId="32CDCBDA"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0</w:t>
            </w:r>
          </w:p>
        </w:tc>
        <w:tc>
          <w:tcPr>
            <w:tcW w:w="491" w:type="pct"/>
            <w:tcBorders>
              <w:top w:val="nil"/>
              <w:left w:val="nil"/>
              <w:bottom w:val="single" w:sz="4" w:space="0" w:color="auto"/>
              <w:right w:val="single" w:sz="4" w:space="0" w:color="auto"/>
            </w:tcBorders>
            <w:shd w:val="clear" w:color="auto" w:fill="F3DED7"/>
            <w:noWrap/>
            <w:vAlign w:val="center"/>
            <w:hideMark/>
          </w:tcPr>
          <w:p w14:paraId="1C1244C9"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0 %</w:t>
            </w:r>
          </w:p>
        </w:tc>
        <w:tc>
          <w:tcPr>
            <w:tcW w:w="492" w:type="pct"/>
            <w:tcBorders>
              <w:top w:val="nil"/>
              <w:left w:val="nil"/>
              <w:bottom w:val="single" w:sz="4" w:space="0" w:color="auto"/>
              <w:right w:val="single" w:sz="4" w:space="0" w:color="auto"/>
            </w:tcBorders>
            <w:shd w:val="clear" w:color="auto" w:fill="F3DED7"/>
            <w:noWrap/>
            <w:vAlign w:val="center"/>
            <w:hideMark/>
          </w:tcPr>
          <w:p w14:paraId="03E59DA7"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2</w:t>
            </w:r>
          </w:p>
        </w:tc>
        <w:tc>
          <w:tcPr>
            <w:tcW w:w="492" w:type="pct"/>
            <w:tcBorders>
              <w:top w:val="nil"/>
              <w:left w:val="nil"/>
              <w:bottom w:val="single" w:sz="4" w:space="0" w:color="auto"/>
              <w:right w:val="single" w:sz="4" w:space="0" w:color="auto"/>
            </w:tcBorders>
            <w:shd w:val="clear" w:color="auto" w:fill="F3DED7"/>
            <w:noWrap/>
            <w:vAlign w:val="center"/>
            <w:hideMark/>
          </w:tcPr>
          <w:p w14:paraId="1ADDBFD9"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1 %</w:t>
            </w:r>
          </w:p>
        </w:tc>
        <w:tc>
          <w:tcPr>
            <w:tcW w:w="492" w:type="pct"/>
            <w:tcBorders>
              <w:top w:val="nil"/>
              <w:left w:val="nil"/>
              <w:bottom w:val="single" w:sz="4" w:space="0" w:color="auto"/>
              <w:right w:val="single" w:sz="4" w:space="0" w:color="auto"/>
            </w:tcBorders>
            <w:shd w:val="clear" w:color="auto" w:fill="F3DED7"/>
            <w:noWrap/>
            <w:vAlign w:val="center"/>
            <w:hideMark/>
          </w:tcPr>
          <w:p w14:paraId="4815B9CE"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0</w:t>
            </w:r>
          </w:p>
        </w:tc>
        <w:tc>
          <w:tcPr>
            <w:tcW w:w="492" w:type="pct"/>
            <w:tcBorders>
              <w:top w:val="nil"/>
              <w:left w:val="nil"/>
              <w:bottom w:val="single" w:sz="4" w:space="0" w:color="auto"/>
              <w:right w:val="single" w:sz="4" w:space="0" w:color="auto"/>
            </w:tcBorders>
            <w:shd w:val="clear" w:color="auto" w:fill="F3DED7"/>
            <w:noWrap/>
            <w:vAlign w:val="center"/>
            <w:hideMark/>
          </w:tcPr>
          <w:p w14:paraId="0485E2BD"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0 %</w:t>
            </w:r>
          </w:p>
        </w:tc>
      </w:tr>
      <w:tr w:rsidR="009568B0" w:rsidRPr="00A07BE9" w14:paraId="72767CBC" w14:textId="77777777" w:rsidTr="005E047E">
        <w:trPr>
          <w:trHeight w:val="227"/>
        </w:trPr>
        <w:tc>
          <w:tcPr>
            <w:tcW w:w="2052" w:type="pct"/>
            <w:tcBorders>
              <w:top w:val="nil"/>
              <w:left w:val="single" w:sz="4" w:space="0" w:color="auto"/>
              <w:bottom w:val="single" w:sz="4" w:space="0" w:color="auto"/>
              <w:right w:val="single" w:sz="4" w:space="0" w:color="auto"/>
            </w:tcBorders>
            <w:shd w:val="clear" w:color="auto" w:fill="auto"/>
            <w:noWrap/>
            <w:vAlign w:val="center"/>
            <w:hideMark/>
          </w:tcPr>
          <w:p w14:paraId="145F7EAC" w14:textId="77777777" w:rsidR="009568B0" w:rsidRPr="00A07BE9" w:rsidRDefault="009568B0" w:rsidP="009568B0">
            <w:pPr>
              <w:spacing w:after="0" w:line="240" w:lineRule="auto"/>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Urbanismo/Medio Ambiente</w:t>
            </w:r>
          </w:p>
        </w:tc>
        <w:tc>
          <w:tcPr>
            <w:tcW w:w="491" w:type="pct"/>
            <w:tcBorders>
              <w:top w:val="nil"/>
              <w:left w:val="nil"/>
              <w:bottom w:val="single" w:sz="4" w:space="0" w:color="auto"/>
              <w:right w:val="single" w:sz="4" w:space="0" w:color="auto"/>
            </w:tcBorders>
            <w:shd w:val="clear" w:color="auto" w:fill="auto"/>
            <w:noWrap/>
            <w:vAlign w:val="center"/>
            <w:hideMark/>
          </w:tcPr>
          <w:p w14:paraId="2E8B4A60"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2</w:t>
            </w:r>
          </w:p>
        </w:tc>
        <w:tc>
          <w:tcPr>
            <w:tcW w:w="491" w:type="pct"/>
            <w:tcBorders>
              <w:top w:val="nil"/>
              <w:left w:val="nil"/>
              <w:bottom w:val="single" w:sz="4" w:space="0" w:color="auto"/>
              <w:right w:val="single" w:sz="4" w:space="0" w:color="auto"/>
            </w:tcBorders>
            <w:shd w:val="clear" w:color="auto" w:fill="auto"/>
            <w:noWrap/>
            <w:vAlign w:val="center"/>
            <w:hideMark/>
          </w:tcPr>
          <w:p w14:paraId="30B12010"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6 %</w:t>
            </w:r>
          </w:p>
        </w:tc>
        <w:tc>
          <w:tcPr>
            <w:tcW w:w="492" w:type="pct"/>
            <w:tcBorders>
              <w:top w:val="nil"/>
              <w:left w:val="nil"/>
              <w:bottom w:val="single" w:sz="4" w:space="0" w:color="auto"/>
              <w:right w:val="single" w:sz="4" w:space="0" w:color="auto"/>
            </w:tcBorders>
            <w:shd w:val="clear" w:color="auto" w:fill="auto"/>
            <w:noWrap/>
            <w:vAlign w:val="center"/>
            <w:hideMark/>
          </w:tcPr>
          <w:p w14:paraId="1627E1D4"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13</w:t>
            </w:r>
          </w:p>
        </w:tc>
        <w:tc>
          <w:tcPr>
            <w:tcW w:w="492" w:type="pct"/>
            <w:tcBorders>
              <w:top w:val="nil"/>
              <w:left w:val="nil"/>
              <w:bottom w:val="single" w:sz="4" w:space="0" w:color="auto"/>
              <w:right w:val="single" w:sz="4" w:space="0" w:color="auto"/>
            </w:tcBorders>
            <w:shd w:val="clear" w:color="auto" w:fill="auto"/>
            <w:noWrap/>
            <w:vAlign w:val="center"/>
            <w:hideMark/>
          </w:tcPr>
          <w:p w14:paraId="130F3798"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8 %</w:t>
            </w:r>
          </w:p>
        </w:tc>
        <w:tc>
          <w:tcPr>
            <w:tcW w:w="492" w:type="pct"/>
            <w:tcBorders>
              <w:top w:val="nil"/>
              <w:left w:val="nil"/>
              <w:bottom w:val="single" w:sz="4" w:space="0" w:color="auto"/>
              <w:right w:val="single" w:sz="4" w:space="0" w:color="auto"/>
            </w:tcBorders>
            <w:shd w:val="clear" w:color="auto" w:fill="auto"/>
            <w:noWrap/>
            <w:vAlign w:val="center"/>
            <w:hideMark/>
          </w:tcPr>
          <w:p w14:paraId="49D470D3"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17</w:t>
            </w:r>
          </w:p>
        </w:tc>
        <w:tc>
          <w:tcPr>
            <w:tcW w:w="492" w:type="pct"/>
            <w:tcBorders>
              <w:top w:val="nil"/>
              <w:left w:val="nil"/>
              <w:bottom w:val="single" w:sz="4" w:space="0" w:color="auto"/>
              <w:right w:val="single" w:sz="4" w:space="0" w:color="auto"/>
            </w:tcBorders>
            <w:shd w:val="clear" w:color="auto" w:fill="auto"/>
            <w:noWrap/>
            <w:vAlign w:val="center"/>
            <w:hideMark/>
          </w:tcPr>
          <w:p w14:paraId="75F927BD"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10 %</w:t>
            </w:r>
          </w:p>
        </w:tc>
      </w:tr>
      <w:tr w:rsidR="009568B0" w:rsidRPr="00A07BE9" w14:paraId="047C5C57" w14:textId="77777777" w:rsidTr="005E047E">
        <w:trPr>
          <w:trHeight w:val="227"/>
        </w:trPr>
        <w:tc>
          <w:tcPr>
            <w:tcW w:w="2052" w:type="pct"/>
            <w:tcBorders>
              <w:top w:val="nil"/>
              <w:left w:val="single" w:sz="4" w:space="0" w:color="auto"/>
              <w:bottom w:val="single" w:sz="4" w:space="0" w:color="auto"/>
              <w:right w:val="single" w:sz="4" w:space="0" w:color="auto"/>
            </w:tcBorders>
            <w:shd w:val="clear" w:color="auto" w:fill="auto"/>
            <w:noWrap/>
            <w:vAlign w:val="center"/>
            <w:hideMark/>
          </w:tcPr>
          <w:p w14:paraId="469C3AE6" w14:textId="77777777" w:rsidR="009568B0" w:rsidRPr="00A07BE9" w:rsidRDefault="009568B0" w:rsidP="009568B0">
            <w:pPr>
              <w:spacing w:after="0" w:line="240" w:lineRule="auto"/>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Otros</w:t>
            </w:r>
          </w:p>
        </w:tc>
        <w:tc>
          <w:tcPr>
            <w:tcW w:w="491" w:type="pct"/>
            <w:tcBorders>
              <w:top w:val="nil"/>
              <w:left w:val="nil"/>
              <w:bottom w:val="single" w:sz="4" w:space="0" w:color="auto"/>
              <w:right w:val="single" w:sz="4" w:space="0" w:color="auto"/>
            </w:tcBorders>
            <w:shd w:val="clear" w:color="auto" w:fill="auto"/>
            <w:noWrap/>
            <w:vAlign w:val="center"/>
            <w:hideMark/>
          </w:tcPr>
          <w:p w14:paraId="728C541B"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3</w:t>
            </w:r>
          </w:p>
        </w:tc>
        <w:tc>
          <w:tcPr>
            <w:tcW w:w="491" w:type="pct"/>
            <w:tcBorders>
              <w:top w:val="nil"/>
              <w:left w:val="nil"/>
              <w:bottom w:val="single" w:sz="4" w:space="0" w:color="auto"/>
              <w:right w:val="single" w:sz="4" w:space="0" w:color="auto"/>
            </w:tcBorders>
            <w:shd w:val="clear" w:color="auto" w:fill="auto"/>
            <w:noWrap/>
            <w:vAlign w:val="center"/>
            <w:hideMark/>
          </w:tcPr>
          <w:p w14:paraId="0C8385C0"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9 %</w:t>
            </w:r>
          </w:p>
        </w:tc>
        <w:tc>
          <w:tcPr>
            <w:tcW w:w="492" w:type="pct"/>
            <w:tcBorders>
              <w:top w:val="nil"/>
              <w:left w:val="nil"/>
              <w:bottom w:val="single" w:sz="4" w:space="0" w:color="auto"/>
              <w:right w:val="single" w:sz="4" w:space="0" w:color="auto"/>
            </w:tcBorders>
            <w:shd w:val="clear" w:color="auto" w:fill="auto"/>
            <w:noWrap/>
            <w:vAlign w:val="center"/>
            <w:hideMark/>
          </w:tcPr>
          <w:p w14:paraId="2CAEC6A1"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13</w:t>
            </w:r>
          </w:p>
        </w:tc>
        <w:tc>
          <w:tcPr>
            <w:tcW w:w="492" w:type="pct"/>
            <w:tcBorders>
              <w:top w:val="nil"/>
              <w:left w:val="nil"/>
              <w:bottom w:val="single" w:sz="4" w:space="0" w:color="auto"/>
              <w:right w:val="single" w:sz="4" w:space="0" w:color="auto"/>
            </w:tcBorders>
            <w:shd w:val="clear" w:color="auto" w:fill="auto"/>
            <w:noWrap/>
            <w:vAlign w:val="center"/>
            <w:hideMark/>
          </w:tcPr>
          <w:p w14:paraId="4806EAF3"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8 %</w:t>
            </w:r>
          </w:p>
        </w:tc>
        <w:tc>
          <w:tcPr>
            <w:tcW w:w="492" w:type="pct"/>
            <w:tcBorders>
              <w:top w:val="nil"/>
              <w:left w:val="nil"/>
              <w:bottom w:val="single" w:sz="4" w:space="0" w:color="auto"/>
              <w:right w:val="single" w:sz="4" w:space="0" w:color="auto"/>
            </w:tcBorders>
            <w:shd w:val="clear" w:color="auto" w:fill="auto"/>
            <w:noWrap/>
            <w:vAlign w:val="center"/>
            <w:hideMark/>
          </w:tcPr>
          <w:p w14:paraId="4C704BA9"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27</w:t>
            </w:r>
          </w:p>
        </w:tc>
        <w:tc>
          <w:tcPr>
            <w:tcW w:w="492" w:type="pct"/>
            <w:tcBorders>
              <w:top w:val="nil"/>
              <w:left w:val="nil"/>
              <w:bottom w:val="single" w:sz="4" w:space="0" w:color="auto"/>
              <w:right w:val="single" w:sz="4" w:space="0" w:color="auto"/>
            </w:tcBorders>
            <w:shd w:val="clear" w:color="auto" w:fill="auto"/>
            <w:noWrap/>
            <w:vAlign w:val="center"/>
            <w:hideMark/>
          </w:tcPr>
          <w:p w14:paraId="0B137501" w14:textId="77777777" w:rsidR="009568B0" w:rsidRPr="00A07BE9" w:rsidRDefault="009568B0" w:rsidP="009568B0">
            <w:pPr>
              <w:spacing w:after="0" w:line="24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16 %</w:t>
            </w:r>
          </w:p>
        </w:tc>
      </w:tr>
      <w:tr w:rsidR="009568B0" w:rsidRPr="00A07BE9" w14:paraId="63E0F8CF" w14:textId="77777777" w:rsidTr="005E047E">
        <w:trPr>
          <w:trHeight w:val="227"/>
        </w:trPr>
        <w:tc>
          <w:tcPr>
            <w:tcW w:w="205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6F512A" w14:textId="77777777" w:rsidR="009568B0" w:rsidRPr="00A07BE9" w:rsidRDefault="009568B0" w:rsidP="009568B0">
            <w:pPr>
              <w:spacing w:after="0" w:line="240" w:lineRule="auto"/>
              <w:rPr>
                <w:rFonts w:ascii="Open Sans" w:eastAsia="Times New Roman" w:hAnsi="Open Sans" w:cs="Open Sans"/>
                <w:b/>
                <w:color w:val="000000"/>
                <w:sz w:val="18"/>
                <w:szCs w:val="18"/>
                <w:lang w:eastAsia="es-ES"/>
              </w:rPr>
            </w:pPr>
            <w:r w:rsidRPr="00A07BE9">
              <w:rPr>
                <w:rFonts w:ascii="Open Sans" w:eastAsia="Times New Roman" w:hAnsi="Open Sans" w:cs="Open Sans"/>
                <w:b/>
                <w:color w:val="000000"/>
                <w:sz w:val="18"/>
                <w:szCs w:val="18"/>
                <w:lang w:eastAsia="es-ES"/>
              </w:rPr>
              <w:t>TOTAL</w:t>
            </w:r>
          </w:p>
        </w:tc>
        <w:tc>
          <w:tcPr>
            <w:tcW w:w="4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899624" w14:textId="77777777" w:rsidR="009568B0" w:rsidRPr="00A07BE9" w:rsidRDefault="009568B0" w:rsidP="009568B0">
            <w:pPr>
              <w:spacing w:after="0" w:line="240" w:lineRule="auto"/>
              <w:jc w:val="center"/>
              <w:rPr>
                <w:rFonts w:ascii="Open Sans" w:eastAsia="Times New Roman" w:hAnsi="Open Sans" w:cs="Open Sans"/>
                <w:b/>
                <w:color w:val="000000"/>
                <w:sz w:val="18"/>
                <w:szCs w:val="18"/>
                <w:lang w:eastAsia="es-ES"/>
              </w:rPr>
            </w:pPr>
            <w:r w:rsidRPr="00A07BE9">
              <w:rPr>
                <w:rFonts w:ascii="Open Sans" w:eastAsia="Times New Roman" w:hAnsi="Open Sans" w:cs="Open Sans"/>
                <w:b/>
                <w:color w:val="000000"/>
                <w:sz w:val="18"/>
                <w:szCs w:val="18"/>
                <w:lang w:eastAsia="es-ES"/>
              </w:rPr>
              <w:t>35</w:t>
            </w:r>
          </w:p>
        </w:tc>
        <w:tc>
          <w:tcPr>
            <w:tcW w:w="4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51D3C6" w14:textId="77777777" w:rsidR="009568B0" w:rsidRPr="00A07BE9" w:rsidRDefault="009568B0" w:rsidP="009568B0">
            <w:pPr>
              <w:spacing w:after="0" w:line="240" w:lineRule="auto"/>
              <w:jc w:val="center"/>
              <w:rPr>
                <w:rFonts w:ascii="Open Sans" w:eastAsia="Times New Roman" w:hAnsi="Open Sans" w:cs="Open Sans"/>
                <w:b/>
                <w:color w:val="000000"/>
                <w:sz w:val="18"/>
                <w:szCs w:val="18"/>
                <w:lang w:eastAsia="es-ES"/>
              </w:rPr>
            </w:pPr>
            <w:r w:rsidRPr="00A07BE9">
              <w:rPr>
                <w:rFonts w:ascii="Open Sans" w:eastAsia="Times New Roman" w:hAnsi="Open Sans" w:cs="Open Sans"/>
                <w:b/>
                <w:color w:val="000000"/>
                <w:sz w:val="18"/>
                <w:szCs w:val="18"/>
                <w:lang w:eastAsia="es-ES"/>
              </w:rPr>
              <w:t>100 %</w:t>
            </w:r>
          </w:p>
        </w:tc>
        <w:tc>
          <w:tcPr>
            <w:tcW w:w="49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360D99" w14:textId="77777777" w:rsidR="009568B0" w:rsidRPr="00A07BE9" w:rsidRDefault="009568B0" w:rsidP="009568B0">
            <w:pPr>
              <w:spacing w:after="0" w:line="240" w:lineRule="auto"/>
              <w:jc w:val="center"/>
              <w:rPr>
                <w:rFonts w:ascii="Open Sans" w:eastAsia="Times New Roman" w:hAnsi="Open Sans" w:cs="Open Sans"/>
                <w:b/>
                <w:color w:val="000000"/>
                <w:sz w:val="18"/>
                <w:szCs w:val="18"/>
                <w:lang w:eastAsia="es-ES"/>
              </w:rPr>
            </w:pPr>
            <w:r w:rsidRPr="00A07BE9">
              <w:rPr>
                <w:rFonts w:ascii="Open Sans" w:eastAsia="Times New Roman" w:hAnsi="Open Sans" w:cs="Open Sans"/>
                <w:b/>
                <w:color w:val="000000"/>
                <w:sz w:val="18"/>
                <w:szCs w:val="18"/>
                <w:lang w:eastAsia="es-ES"/>
              </w:rPr>
              <w:t>181</w:t>
            </w:r>
          </w:p>
        </w:tc>
        <w:tc>
          <w:tcPr>
            <w:tcW w:w="49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B4890A" w14:textId="77777777" w:rsidR="009568B0" w:rsidRPr="00A07BE9" w:rsidRDefault="009568B0" w:rsidP="009568B0">
            <w:pPr>
              <w:spacing w:after="0" w:line="240" w:lineRule="auto"/>
              <w:jc w:val="center"/>
              <w:rPr>
                <w:rFonts w:ascii="Open Sans" w:eastAsia="Times New Roman" w:hAnsi="Open Sans" w:cs="Open Sans"/>
                <w:b/>
                <w:color w:val="000000"/>
                <w:sz w:val="18"/>
                <w:szCs w:val="18"/>
                <w:lang w:eastAsia="es-ES"/>
              </w:rPr>
            </w:pPr>
            <w:r w:rsidRPr="00A07BE9">
              <w:rPr>
                <w:rFonts w:ascii="Open Sans" w:eastAsia="Times New Roman" w:hAnsi="Open Sans" w:cs="Open Sans"/>
                <w:b/>
                <w:color w:val="000000"/>
                <w:sz w:val="18"/>
                <w:szCs w:val="18"/>
                <w:lang w:eastAsia="es-ES"/>
              </w:rPr>
              <w:t>100 %</w:t>
            </w:r>
          </w:p>
        </w:tc>
        <w:tc>
          <w:tcPr>
            <w:tcW w:w="49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FA122F" w14:textId="77777777" w:rsidR="009568B0" w:rsidRPr="00A07BE9" w:rsidRDefault="009568B0" w:rsidP="009568B0">
            <w:pPr>
              <w:spacing w:after="0" w:line="240" w:lineRule="auto"/>
              <w:jc w:val="center"/>
              <w:rPr>
                <w:rFonts w:ascii="Open Sans" w:eastAsia="Times New Roman" w:hAnsi="Open Sans" w:cs="Open Sans"/>
                <w:b/>
                <w:color w:val="000000"/>
                <w:sz w:val="18"/>
                <w:szCs w:val="18"/>
                <w:lang w:eastAsia="es-ES"/>
              </w:rPr>
            </w:pPr>
            <w:r w:rsidRPr="00A07BE9">
              <w:rPr>
                <w:rFonts w:ascii="Open Sans" w:eastAsia="Times New Roman" w:hAnsi="Open Sans" w:cs="Open Sans"/>
                <w:b/>
                <w:color w:val="000000"/>
                <w:sz w:val="18"/>
                <w:szCs w:val="18"/>
                <w:lang w:eastAsia="es-ES"/>
              </w:rPr>
              <w:t>168</w:t>
            </w:r>
          </w:p>
        </w:tc>
        <w:tc>
          <w:tcPr>
            <w:tcW w:w="49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986ED7" w14:textId="77777777" w:rsidR="009568B0" w:rsidRPr="00A07BE9" w:rsidRDefault="009568B0" w:rsidP="009568B0">
            <w:pPr>
              <w:spacing w:after="0" w:line="240" w:lineRule="auto"/>
              <w:jc w:val="center"/>
              <w:rPr>
                <w:rFonts w:ascii="Open Sans" w:eastAsia="Times New Roman" w:hAnsi="Open Sans" w:cs="Open Sans"/>
                <w:b/>
                <w:color w:val="000000"/>
                <w:sz w:val="18"/>
                <w:szCs w:val="18"/>
                <w:lang w:eastAsia="es-ES"/>
              </w:rPr>
            </w:pPr>
            <w:r w:rsidRPr="00A07BE9">
              <w:rPr>
                <w:rFonts w:ascii="Open Sans" w:eastAsia="Times New Roman" w:hAnsi="Open Sans" w:cs="Open Sans"/>
                <w:b/>
                <w:color w:val="000000"/>
                <w:sz w:val="18"/>
                <w:szCs w:val="18"/>
                <w:lang w:eastAsia="es-ES"/>
              </w:rPr>
              <w:t>100 %</w:t>
            </w:r>
          </w:p>
        </w:tc>
      </w:tr>
    </w:tbl>
    <w:p w14:paraId="649E181F" w14:textId="77777777" w:rsidR="005877CF" w:rsidRPr="00A07BE9" w:rsidRDefault="005877CF" w:rsidP="005877CF">
      <w:pPr>
        <w:spacing w:after="0" w:line="276" w:lineRule="auto"/>
        <w:rPr>
          <w:rFonts w:ascii="Open Sans" w:eastAsia="NSimSun" w:hAnsi="Open Sans" w:cs="Open Sans"/>
          <w:b/>
          <w:kern w:val="2"/>
          <w:sz w:val="20"/>
          <w:szCs w:val="20"/>
          <w:lang w:eastAsia="zh-CN" w:bidi="hi-IN"/>
        </w:rPr>
      </w:pPr>
    </w:p>
    <w:p w14:paraId="085FE5F9" w14:textId="4028E7E1" w:rsidR="009568B0" w:rsidRPr="00A07BE9" w:rsidRDefault="005877CF" w:rsidP="009568B0">
      <w:pPr>
        <w:spacing w:after="0" w:line="276" w:lineRule="auto"/>
        <w:rPr>
          <w:rFonts w:ascii="Open Sans" w:eastAsia="NSimSun" w:hAnsi="Open Sans" w:cs="Open Sans"/>
          <w:b/>
          <w:kern w:val="2"/>
          <w:sz w:val="20"/>
          <w:szCs w:val="20"/>
          <w:lang w:eastAsia="zh-CN" w:bidi="hi-IN"/>
        </w:rPr>
      </w:pPr>
      <w:r w:rsidRPr="00A07BE9">
        <w:rPr>
          <w:rFonts w:ascii="Open Sans" w:eastAsia="NSimSun" w:hAnsi="Open Sans" w:cs="Arial"/>
          <w:noProof/>
          <w:kern w:val="2"/>
          <w:sz w:val="24"/>
          <w:szCs w:val="24"/>
          <w:lang w:eastAsia="es-ES"/>
        </w:rPr>
        <w:drawing>
          <wp:anchor distT="0" distB="0" distL="114300" distR="114300" simplePos="0" relativeHeight="251848704" behindDoc="1" locked="0" layoutInCell="1" allowOverlap="1" wp14:anchorId="45670106" wp14:editId="676AA001">
            <wp:simplePos x="0" y="0"/>
            <wp:positionH relativeFrom="column">
              <wp:posOffset>233680</wp:posOffset>
            </wp:positionH>
            <wp:positionV relativeFrom="paragraph">
              <wp:posOffset>310515</wp:posOffset>
            </wp:positionV>
            <wp:extent cx="5019675" cy="2286000"/>
            <wp:effectExtent l="0" t="0" r="9525" b="0"/>
            <wp:wrapTight wrapText="bothSides">
              <wp:wrapPolygon edited="0">
                <wp:start x="0" y="0"/>
                <wp:lineTo x="0" y="21420"/>
                <wp:lineTo x="21559" y="21420"/>
                <wp:lineTo x="21559" y="0"/>
                <wp:lineTo x="0" y="0"/>
              </wp:wrapPolygon>
            </wp:wrapTight>
            <wp:docPr id="251" name="Gráfico 251"/>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H relativeFrom="margin">
              <wp14:pctWidth>0</wp14:pctWidth>
            </wp14:sizeRelH>
            <wp14:sizeRelV relativeFrom="margin">
              <wp14:pctHeight>0</wp14:pctHeight>
            </wp14:sizeRelV>
          </wp:anchor>
        </w:drawing>
      </w:r>
      <w:r w:rsidR="009568B0" w:rsidRPr="00A07BE9">
        <w:rPr>
          <w:rFonts w:ascii="Open Sans" w:eastAsia="NSimSun" w:hAnsi="Open Sans" w:cs="Open Sans"/>
          <w:b/>
          <w:color w:val="9D2235"/>
          <w:kern w:val="2"/>
          <w:sz w:val="20"/>
          <w:szCs w:val="20"/>
          <w:lang w:eastAsia="zh-CN" w:bidi="hi-IN"/>
        </w:rPr>
        <w:t>Gráfico 5</w:t>
      </w:r>
      <w:r w:rsidR="009568B0" w:rsidRPr="00A07BE9">
        <w:rPr>
          <w:rFonts w:ascii="Open Sans" w:eastAsia="NSimSun" w:hAnsi="Open Sans" w:cs="Open Sans"/>
          <w:b/>
          <w:kern w:val="2"/>
          <w:sz w:val="20"/>
          <w:szCs w:val="20"/>
          <w:lang w:eastAsia="zh-CN" w:bidi="hi-IN"/>
        </w:rPr>
        <w:t>. Denuncias presentadas según el ámbito material.</w:t>
      </w:r>
    </w:p>
    <w:p w14:paraId="219438BC"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4E513CF1"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Del estudio en detalle de los anteriores datos puede concluirse que se ha producido una evolución invertida en el volumen global de las denuncias presentadas en materia de gestión de los recursos humanos y en materia de contratación en general. Mientras que la primera ha experimentado un aumento del peso específico de la materia dentro del global asignado (de un 23% en 2017 a un 40% en 2019), la materia de contratación ha experimentado justo un descenso similar en volumen (de un 34% a 2017 a un 25% en 2019). </w:t>
      </w:r>
    </w:p>
    <w:p w14:paraId="1D9BCFAE"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7519A075" w14:textId="56BF70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Uno de los motivos que justifica en parte la distorsión estadística es el hecho de que en 2019 hayan tenido entrada múltiples denuncias consecutivas relacionadas con un único procedimiento selectivo en materia de recursos humanos, de forma que diferentes expedientes incoados han tenido que ser acumulados en un único expediente de actuaciones de investigación con el fin de realizar su tratamiento unitario. </w:t>
      </w:r>
    </w:p>
    <w:p w14:paraId="5CAF4CE3" w14:textId="77777777" w:rsidR="00D9626F" w:rsidRDefault="00D9626F" w:rsidP="009568B0">
      <w:pPr>
        <w:spacing w:after="0" w:line="276" w:lineRule="auto"/>
        <w:jc w:val="both"/>
        <w:rPr>
          <w:rFonts w:ascii="Open Sans" w:eastAsia="NSimSun" w:hAnsi="Open Sans" w:cs="Open Sans"/>
          <w:kern w:val="2"/>
          <w:sz w:val="20"/>
          <w:szCs w:val="20"/>
          <w:lang w:eastAsia="zh-CN" w:bidi="hi-IN"/>
        </w:rPr>
      </w:pPr>
    </w:p>
    <w:p w14:paraId="35A8E7CD" w14:textId="06BEB195"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lastRenderedPageBreak/>
        <w:t>Las categorías más importantes dentro del volumen total de la Agencia son las dos que se acaban de mencionar, suponiendo un peso específico combinado del 65% del total de denuncias presentadas, esto es, exactamente dos tercios del global. El resto de materias poseen unos valores de dispersión de entre el 4 y el 10% del total de denuncias.</w:t>
      </w:r>
    </w:p>
    <w:p w14:paraId="3D039788" w14:textId="77777777" w:rsidR="007E26E0" w:rsidRPr="00A07BE9" w:rsidRDefault="007E26E0" w:rsidP="009568B0">
      <w:pPr>
        <w:spacing w:after="0" w:line="276" w:lineRule="auto"/>
        <w:jc w:val="both"/>
        <w:rPr>
          <w:rFonts w:ascii="Open Sans" w:eastAsia="NSimSun" w:hAnsi="Open Sans" w:cs="Open Sans"/>
          <w:kern w:val="2"/>
          <w:sz w:val="20"/>
          <w:szCs w:val="20"/>
          <w:lang w:eastAsia="zh-CN" w:bidi="hi-IN"/>
        </w:rPr>
      </w:pPr>
    </w:p>
    <w:p w14:paraId="2BD16F14" w14:textId="7976B323"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La categoría “Otros” ha supuesto en 2019 un 16% del total de denuncias presentadas. En dicha categoría se han incluido mayoritariamente denuncias sobre ámbitos de actuación no contemplados en la </w:t>
      </w:r>
      <w:hyperlink r:id="rId83" w:history="1">
        <w:r w:rsidR="004C14BF" w:rsidRPr="00A07BE9">
          <w:rPr>
            <w:rStyle w:val="Hipervnculo"/>
            <w:rFonts w:ascii="Open Sans" w:hAnsi="Open Sans" w:cs="Open Sans"/>
            <w:sz w:val="20"/>
            <w:szCs w:val="20"/>
          </w:rPr>
          <w:t>Ley 11/2016</w:t>
        </w:r>
        <w:r w:rsidR="004C14BF" w:rsidRPr="00A07BE9">
          <w:rPr>
            <w:rStyle w:val="Hipervnculo"/>
            <w:rFonts w:ascii="Open Sans" w:hAnsi="Open Sans" w:cs="Open Sans"/>
            <w:color w:val="auto"/>
            <w:sz w:val="20"/>
            <w:szCs w:val="20"/>
            <w:u w:val="none"/>
          </w:rPr>
          <w:t>, de 28 de noviembre, de la Generalitat</w:t>
        </w:r>
      </w:hyperlink>
      <w:r w:rsidRPr="00A07BE9">
        <w:rPr>
          <w:rFonts w:ascii="Open Sans" w:eastAsia="NSimSun" w:hAnsi="Open Sans" w:cs="Open Sans"/>
          <w:kern w:val="2"/>
          <w:sz w:val="20"/>
          <w:szCs w:val="20"/>
          <w:lang w:eastAsia="zh-CN" w:bidi="hi-IN"/>
        </w:rPr>
        <w:t xml:space="preserve"> y relativos a las competencias de otras administraciones públicas asimismo no relacionadas en el ámbito subjetivo de la Agencia tasado en el </w:t>
      </w:r>
      <w:r w:rsidR="003408CE" w:rsidRPr="00A07BE9">
        <w:rPr>
          <w:rFonts w:ascii="Open Sans" w:eastAsia="NSimSun" w:hAnsi="Open Sans" w:cs="Open Sans"/>
          <w:kern w:val="2"/>
          <w:sz w:val="20"/>
          <w:szCs w:val="20"/>
          <w:lang w:eastAsia="zh-CN" w:bidi="hi-IN"/>
        </w:rPr>
        <w:t>artículo</w:t>
      </w:r>
      <w:r w:rsidRPr="00A07BE9">
        <w:rPr>
          <w:rFonts w:ascii="Open Sans" w:eastAsia="NSimSun" w:hAnsi="Open Sans" w:cs="Open Sans"/>
          <w:kern w:val="2"/>
          <w:sz w:val="20"/>
          <w:szCs w:val="20"/>
          <w:lang w:eastAsia="zh-CN" w:bidi="hi-IN"/>
        </w:rPr>
        <w:t xml:space="preserve"> 3 de dicha norma.</w:t>
      </w:r>
    </w:p>
    <w:p w14:paraId="1D416976" w14:textId="0257E1F8" w:rsidR="009568B0" w:rsidRPr="00A07BE9" w:rsidRDefault="009568B0" w:rsidP="009568B0">
      <w:pPr>
        <w:spacing w:after="0" w:line="276" w:lineRule="auto"/>
        <w:jc w:val="both"/>
        <w:rPr>
          <w:rFonts w:ascii="Open Sans" w:eastAsia="NSimSun" w:hAnsi="Open Sans" w:cs="Open Sans"/>
          <w:kern w:val="2"/>
          <w:sz w:val="20"/>
          <w:szCs w:val="20"/>
          <w:u w:val="single"/>
          <w:lang w:eastAsia="zh-CN" w:bidi="hi-IN"/>
        </w:rPr>
      </w:pPr>
    </w:p>
    <w:p w14:paraId="00849FD2" w14:textId="77777777" w:rsidR="0027764E" w:rsidRPr="00A07BE9" w:rsidRDefault="0027764E" w:rsidP="009568B0">
      <w:pPr>
        <w:spacing w:after="0" w:line="276" w:lineRule="auto"/>
        <w:jc w:val="both"/>
        <w:rPr>
          <w:rFonts w:ascii="Open Sans" w:eastAsia="NSimSun" w:hAnsi="Open Sans" w:cs="Open Sans"/>
          <w:kern w:val="2"/>
          <w:sz w:val="20"/>
          <w:szCs w:val="20"/>
          <w:u w:val="single"/>
          <w:lang w:eastAsia="zh-CN" w:bidi="hi-IN"/>
        </w:rPr>
      </w:pPr>
    </w:p>
    <w:p w14:paraId="7177A7A2" w14:textId="315262EC"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8"/>
          <w:szCs w:val="28"/>
          <w:lang w:eastAsia="es-ES" w:bidi="hi-IN"/>
        </w:rPr>
      </w:pPr>
      <w:r w:rsidRPr="00A07BE9">
        <w:rPr>
          <w:rFonts w:ascii="Open Sans" w:eastAsia="Times New Roman" w:hAnsi="Open Sans" w:cs="Open Sans"/>
          <w:b/>
          <w:bCs/>
          <w:smallCaps/>
          <w:color w:val="9D2235"/>
          <w:kern w:val="2"/>
          <w:sz w:val="28"/>
          <w:szCs w:val="28"/>
          <w:lang w:eastAsia="es-ES" w:bidi="hi-IN"/>
        </w:rPr>
        <w:t>3.3.</w:t>
      </w:r>
      <w:r w:rsidR="005877CF" w:rsidRPr="00A07BE9">
        <w:rPr>
          <w:rFonts w:ascii="Open Sans" w:eastAsia="Times New Roman" w:hAnsi="Open Sans" w:cs="Open Sans"/>
          <w:b/>
          <w:bCs/>
          <w:smallCaps/>
          <w:color w:val="9D2235"/>
          <w:kern w:val="2"/>
          <w:sz w:val="28"/>
          <w:szCs w:val="28"/>
          <w:lang w:eastAsia="es-ES" w:bidi="hi-IN"/>
        </w:rPr>
        <w:t>5.</w:t>
      </w:r>
      <w:r w:rsidRPr="00A07BE9">
        <w:rPr>
          <w:rFonts w:ascii="Open Sans" w:eastAsia="Times New Roman" w:hAnsi="Open Sans" w:cs="Open Sans"/>
          <w:b/>
          <w:bCs/>
          <w:smallCaps/>
          <w:color w:val="9D2235"/>
          <w:kern w:val="2"/>
          <w:sz w:val="28"/>
          <w:szCs w:val="28"/>
          <w:lang w:eastAsia="es-ES" w:bidi="hi-IN"/>
        </w:rPr>
        <w:t xml:space="preserve"> Denuncias Presentadas según la Tipología, Condición o Naturaleza del Comunicante</w:t>
      </w:r>
    </w:p>
    <w:p w14:paraId="1666F4E7" w14:textId="77777777"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0"/>
          <w:szCs w:val="20"/>
          <w:lang w:eastAsia="es-ES" w:bidi="hi-IN"/>
        </w:rPr>
      </w:pPr>
    </w:p>
    <w:p w14:paraId="06CE0FEC"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En el presente apartado se ha tratado de atender a la obtención de estadística con el fin de cuantificar el volumen de denunciantes que realiza la puesta en conocimiento de hechos a la Agencia de forma anónima y el volumen que lo realiza mediante identificación. </w:t>
      </w:r>
    </w:p>
    <w:p w14:paraId="2A458795"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486F3778"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Dentro de la primera de estas dos categorías, personas identificadas, se ha procedido a realizar un desglose en atención al carácter de persona física o jurídica y, dentro de ambos grupos, se ha realizado una subdivisión entre diferentes categorías de especial relevancia, especialmente por la intensidad del nexo que une a cada una de dichas personas con la actividad administrativa denunciada.</w:t>
      </w:r>
    </w:p>
    <w:p w14:paraId="6DAFD65A"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0DBF19C8"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La primera sección de la tabla que se muestra a continuación contempla las categorías correspondientes a personas físicas en general, mientras que la segunda parte de la tabla contempla la clasificación por tipos de entidades con personalidad jurídica.</w:t>
      </w:r>
    </w:p>
    <w:p w14:paraId="6B2C0AC2" w14:textId="77777777" w:rsidR="004A5F93" w:rsidRPr="00A07BE9" w:rsidRDefault="004A5F93" w:rsidP="009568B0">
      <w:pPr>
        <w:spacing w:after="0" w:line="276" w:lineRule="auto"/>
        <w:jc w:val="both"/>
        <w:rPr>
          <w:rFonts w:ascii="Open Sans" w:eastAsia="NSimSun" w:hAnsi="Open Sans" w:cs="Open Sans"/>
          <w:kern w:val="2"/>
          <w:sz w:val="20"/>
          <w:szCs w:val="20"/>
          <w:lang w:eastAsia="zh-CN" w:bidi="hi-IN"/>
        </w:rPr>
      </w:pPr>
    </w:p>
    <w:p w14:paraId="597FA5A8" w14:textId="03EE61D6" w:rsidR="009568B0" w:rsidRPr="00A07BE9" w:rsidRDefault="005877CF"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Asimismo,</w:t>
      </w:r>
      <w:r w:rsidR="009568B0" w:rsidRPr="00A07BE9">
        <w:rPr>
          <w:rFonts w:ascii="Open Sans" w:eastAsia="NSimSun" w:hAnsi="Open Sans" w:cs="Open Sans"/>
          <w:kern w:val="2"/>
          <w:sz w:val="20"/>
          <w:szCs w:val="20"/>
          <w:lang w:eastAsia="zh-CN" w:bidi="hi-IN"/>
        </w:rPr>
        <w:t xml:space="preserve"> se incluye el porcentaje de denuncias presentadas de forma anónima.</w:t>
      </w:r>
    </w:p>
    <w:p w14:paraId="52116D3A" w14:textId="094A7600" w:rsidR="00FD7AAB" w:rsidRDefault="00FD7AAB" w:rsidP="00AB4B3C">
      <w:pPr>
        <w:spacing w:after="0" w:line="276" w:lineRule="auto"/>
        <w:jc w:val="both"/>
        <w:rPr>
          <w:rFonts w:ascii="Open Sans" w:eastAsia="NSimSun" w:hAnsi="Open Sans" w:cs="Open Sans"/>
          <w:b/>
          <w:color w:val="9D2235"/>
          <w:kern w:val="2"/>
          <w:sz w:val="20"/>
          <w:szCs w:val="20"/>
          <w:lang w:eastAsia="zh-CN" w:bidi="hi-IN"/>
        </w:rPr>
      </w:pPr>
    </w:p>
    <w:p w14:paraId="089D9FA4" w14:textId="22020E8D" w:rsidR="00D9626F" w:rsidRDefault="00D9626F" w:rsidP="00AB4B3C">
      <w:pPr>
        <w:spacing w:after="0" w:line="276" w:lineRule="auto"/>
        <w:jc w:val="both"/>
        <w:rPr>
          <w:rFonts w:ascii="Open Sans" w:eastAsia="NSimSun" w:hAnsi="Open Sans" w:cs="Open Sans"/>
          <w:b/>
          <w:color w:val="9D2235"/>
          <w:kern w:val="2"/>
          <w:sz w:val="20"/>
          <w:szCs w:val="20"/>
          <w:lang w:eastAsia="zh-CN" w:bidi="hi-IN"/>
        </w:rPr>
      </w:pPr>
    </w:p>
    <w:p w14:paraId="43F50500" w14:textId="29CD994F" w:rsidR="00D9626F" w:rsidRDefault="00D9626F" w:rsidP="00AB4B3C">
      <w:pPr>
        <w:spacing w:after="0" w:line="276" w:lineRule="auto"/>
        <w:jc w:val="both"/>
        <w:rPr>
          <w:rFonts w:ascii="Open Sans" w:eastAsia="NSimSun" w:hAnsi="Open Sans" w:cs="Open Sans"/>
          <w:b/>
          <w:color w:val="9D2235"/>
          <w:kern w:val="2"/>
          <w:sz w:val="20"/>
          <w:szCs w:val="20"/>
          <w:lang w:eastAsia="zh-CN" w:bidi="hi-IN"/>
        </w:rPr>
      </w:pPr>
    </w:p>
    <w:p w14:paraId="4F7F2A0A" w14:textId="5C7CA044" w:rsidR="00D9626F" w:rsidRDefault="00D9626F" w:rsidP="00AB4B3C">
      <w:pPr>
        <w:spacing w:after="0" w:line="276" w:lineRule="auto"/>
        <w:jc w:val="both"/>
        <w:rPr>
          <w:rFonts w:ascii="Open Sans" w:eastAsia="NSimSun" w:hAnsi="Open Sans" w:cs="Open Sans"/>
          <w:b/>
          <w:color w:val="9D2235"/>
          <w:kern w:val="2"/>
          <w:sz w:val="20"/>
          <w:szCs w:val="20"/>
          <w:lang w:eastAsia="zh-CN" w:bidi="hi-IN"/>
        </w:rPr>
      </w:pPr>
    </w:p>
    <w:p w14:paraId="341D3A5A" w14:textId="60546CE1" w:rsidR="00D9626F" w:rsidRDefault="00D9626F" w:rsidP="00AB4B3C">
      <w:pPr>
        <w:spacing w:after="0" w:line="276" w:lineRule="auto"/>
        <w:jc w:val="both"/>
        <w:rPr>
          <w:rFonts w:ascii="Open Sans" w:eastAsia="NSimSun" w:hAnsi="Open Sans" w:cs="Open Sans"/>
          <w:b/>
          <w:color w:val="9D2235"/>
          <w:kern w:val="2"/>
          <w:sz w:val="20"/>
          <w:szCs w:val="20"/>
          <w:lang w:eastAsia="zh-CN" w:bidi="hi-IN"/>
        </w:rPr>
      </w:pPr>
    </w:p>
    <w:p w14:paraId="21E1D9F1" w14:textId="7072C319" w:rsidR="00D9626F" w:rsidRDefault="00D9626F" w:rsidP="00AB4B3C">
      <w:pPr>
        <w:spacing w:after="0" w:line="276" w:lineRule="auto"/>
        <w:jc w:val="both"/>
        <w:rPr>
          <w:rFonts w:ascii="Open Sans" w:eastAsia="NSimSun" w:hAnsi="Open Sans" w:cs="Open Sans"/>
          <w:b/>
          <w:color w:val="9D2235"/>
          <w:kern w:val="2"/>
          <w:sz w:val="20"/>
          <w:szCs w:val="20"/>
          <w:lang w:eastAsia="zh-CN" w:bidi="hi-IN"/>
        </w:rPr>
      </w:pPr>
    </w:p>
    <w:p w14:paraId="7DB37A08" w14:textId="695D9118" w:rsidR="00D9626F" w:rsidRDefault="00D9626F" w:rsidP="00AB4B3C">
      <w:pPr>
        <w:spacing w:after="0" w:line="276" w:lineRule="auto"/>
        <w:jc w:val="both"/>
        <w:rPr>
          <w:rFonts w:ascii="Open Sans" w:eastAsia="NSimSun" w:hAnsi="Open Sans" w:cs="Open Sans"/>
          <w:b/>
          <w:color w:val="9D2235"/>
          <w:kern w:val="2"/>
          <w:sz w:val="20"/>
          <w:szCs w:val="20"/>
          <w:lang w:eastAsia="zh-CN" w:bidi="hi-IN"/>
        </w:rPr>
      </w:pPr>
    </w:p>
    <w:p w14:paraId="4594403A" w14:textId="6370CA3C" w:rsidR="00D9626F" w:rsidRDefault="00D9626F" w:rsidP="00AB4B3C">
      <w:pPr>
        <w:spacing w:after="0" w:line="276" w:lineRule="auto"/>
        <w:jc w:val="both"/>
        <w:rPr>
          <w:rFonts w:ascii="Open Sans" w:eastAsia="NSimSun" w:hAnsi="Open Sans" w:cs="Open Sans"/>
          <w:b/>
          <w:color w:val="9D2235"/>
          <w:kern w:val="2"/>
          <w:sz w:val="20"/>
          <w:szCs w:val="20"/>
          <w:lang w:eastAsia="zh-CN" w:bidi="hi-IN"/>
        </w:rPr>
      </w:pPr>
    </w:p>
    <w:p w14:paraId="790B3F7A" w14:textId="3F8F29CD" w:rsidR="00D9626F" w:rsidRDefault="00D9626F" w:rsidP="00AB4B3C">
      <w:pPr>
        <w:spacing w:after="0" w:line="276" w:lineRule="auto"/>
        <w:jc w:val="both"/>
        <w:rPr>
          <w:rFonts w:ascii="Open Sans" w:eastAsia="NSimSun" w:hAnsi="Open Sans" w:cs="Open Sans"/>
          <w:b/>
          <w:color w:val="9D2235"/>
          <w:kern w:val="2"/>
          <w:sz w:val="20"/>
          <w:szCs w:val="20"/>
          <w:lang w:eastAsia="zh-CN" w:bidi="hi-IN"/>
        </w:rPr>
      </w:pPr>
    </w:p>
    <w:p w14:paraId="72436853" w14:textId="1F06239A" w:rsidR="00D9626F" w:rsidRDefault="00D9626F" w:rsidP="00AB4B3C">
      <w:pPr>
        <w:spacing w:after="0" w:line="276" w:lineRule="auto"/>
        <w:jc w:val="both"/>
        <w:rPr>
          <w:rFonts w:ascii="Open Sans" w:eastAsia="NSimSun" w:hAnsi="Open Sans" w:cs="Open Sans"/>
          <w:b/>
          <w:color w:val="9D2235"/>
          <w:kern w:val="2"/>
          <w:sz w:val="20"/>
          <w:szCs w:val="20"/>
          <w:lang w:eastAsia="zh-CN" w:bidi="hi-IN"/>
        </w:rPr>
      </w:pPr>
    </w:p>
    <w:p w14:paraId="499090B4" w14:textId="4A0C275A" w:rsidR="00D9626F" w:rsidRDefault="00D9626F" w:rsidP="00AB4B3C">
      <w:pPr>
        <w:spacing w:after="0" w:line="276" w:lineRule="auto"/>
        <w:jc w:val="both"/>
        <w:rPr>
          <w:rFonts w:ascii="Open Sans" w:eastAsia="NSimSun" w:hAnsi="Open Sans" w:cs="Open Sans"/>
          <w:b/>
          <w:color w:val="9D2235"/>
          <w:kern w:val="2"/>
          <w:sz w:val="20"/>
          <w:szCs w:val="20"/>
          <w:lang w:eastAsia="zh-CN" w:bidi="hi-IN"/>
        </w:rPr>
      </w:pPr>
    </w:p>
    <w:p w14:paraId="4F8A467B" w14:textId="77777777" w:rsidR="00D9626F" w:rsidRPr="00A07BE9" w:rsidRDefault="00D9626F" w:rsidP="00AB4B3C">
      <w:pPr>
        <w:spacing w:after="0" w:line="276" w:lineRule="auto"/>
        <w:jc w:val="both"/>
        <w:rPr>
          <w:rFonts w:ascii="Open Sans" w:eastAsia="NSimSun" w:hAnsi="Open Sans" w:cs="Open Sans"/>
          <w:b/>
          <w:color w:val="9D2235"/>
          <w:kern w:val="2"/>
          <w:sz w:val="20"/>
          <w:szCs w:val="20"/>
          <w:lang w:eastAsia="zh-CN" w:bidi="hi-IN"/>
        </w:rPr>
      </w:pPr>
    </w:p>
    <w:p w14:paraId="76BAF47C" w14:textId="17907E78" w:rsidR="00AC7531" w:rsidRPr="00A07BE9" w:rsidRDefault="009568B0" w:rsidP="00AB4B3C">
      <w:pPr>
        <w:spacing w:after="0" w:line="276" w:lineRule="auto"/>
        <w:jc w:val="both"/>
        <w:rPr>
          <w:rFonts w:ascii="Open Sans" w:eastAsia="NSimSun" w:hAnsi="Open Sans" w:cs="Open Sans"/>
          <w:b/>
          <w:kern w:val="2"/>
          <w:sz w:val="20"/>
          <w:szCs w:val="20"/>
          <w:lang w:eastAsia="zh-CN" w:bidi="hi-IN"/>
        </w:rPr>
      </w:pPr>
      <w:r w:rsidRPr="00A07BE9">
        <w:rPr>
          <w:rFonts w:ascii="Open Sans" w:eastAsia="NSimSun" w:hAnsi="Open Sans" w:cs="Open Sans"/>
          <w:b/>
          <w:color w:val="9D2235"/>
          <w:kern w:val="2"/>
          <w:sz w:val="20"/>
          <w:szCs w:val="20"/>
          <w:lang w:eastAsia="zh-CN" w:bidi="hi-IN"/>
        </w:rPr>
        <w:lastRenderedPageBreak/>
        <w:t xml:space="preserve">Tabla </w:t>
      </w:r>
      <w:r w:rsidR="001900B6" w:rsidRPr="00A07BE9">
        <w:rPr>
          <w:rFonts w:ascii="Open Sans" w:eastAsia="NSimSun" w:hAnsi="Open Sans" w:cs="Open Sans"/>
          <w:b/>
          <w:color w:val="9D2235"/>
          <w:kern w:val="2"/>
          <w:sz w:val="20"/>
          <w:szCs w:val="20"/>
          <w:lang w:eastAsia="zh-CN" w:bidi="hi-IN"/>
        </w:rPr>
        <w:t>9</w:t>
      </w:r>
      <w:r w:rsidRPr="00A07BE9">
        <w:rPr>
          <w:rFonts w:ascii="Open Sans" w:eastAsia="NSimSun" w:hAnsi="Open Sans" w:cs="Open Sans"/>
          <w:b/>
          <w:kern w:val="2"/>
          <w:sz w:val="20"/>
          <w:szCs w:val="20"/>
          <w:lang w:eastAsia="zh-CN" w:bidi="hi-IN"/>
        </w:rPr>
        <w:t>. Denuncias presentadas según la tipología, condición o naturaleza del comunicante.</w:t>
      </w:r>
    </w:p>
    <w:tbl>
      <w:tblPr>
        <w:tblW w:w="5000" w:type="pct"/>
        <w:tblCellMar>
          <w:left w:w="70" w:type="dxa"/>
          <w:right w:w="70" w:type="dxa"/>
        </w:tblCellMar>
        <w:tblLook w:val="04A0" w:firstRow="1" w:lastRow="0" w:firstColumn="1" w:lastColumn="0" w:noHBand="0" w:noVBand="1"/>
      </w:tblPr>
      <w:tblGrid>
        <w:gridCol w:w="2677"/>
        <w:gridCol w:w="970"/>
        <w:gridCol w:w="970"/>
        <w:gridCol w:w="970"/>
        <w:gridCol w:w="970"/>
        <w:gridCol w:w="970"/>
        <w:gridCol w:w="967"/>
      </w:tblGrid>
      <w:tr w:rsidR="009568B0" w:rsidRPr="00A07BE9" w14:paraId="7F0D0102" w14:textId="77777777" w:rsidTr="005E047E">
        <w:trPr>
          <w:trHeight w:val="312"/>
        </w:trPr>
        <w:tc>
          <w:tcPr>
            <w:tcW w:w="1576" w:type="pct"/>
            <w:tcBorders>
              <w:top w:val="single" w:sz="4" w:space="0" w:color="auto"/>
              <w:left w:val="single" w:sz="4" w:space="0" w:color="auto"/>
              <w:bottom w:val="single" w:sz="4" w:space="0" w:color="auto"/>
              <w:right w:val="single" w:sz="4" w:space="0" w:color="auto"/>
            </w:tcBorders>
            <w:shd w:val="clear" w:color="auto" w:fill="C6C6C6"/>
            <w:noWrap/>
            <w:vAlign w:val="center"/>
            <w:hideMark/>
          </w:tcPr>
          <w:p w14:paraId="7B0BB6A7" w14:textId="77777777" w:rsidR="009568B0" w:rsidRPr="00A07BE9" w:rsidRDefault="009568B0" w:rsidP="009568B0">
            <w:pPr>
              <w:spacing w:after="0" w:line="240" w:lineRule="auto"/>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DENUNCIANTES</w:t>
            </w:r>
          </w:p>
        </w:tc>
        <w:tc>
          <w:tcPr>
            <w:tcW w:w="571" w:type="pct"/>
            <w:tcBorders>
              <w:top w:val="single" w:sz="4" w:space="0" w:color="auto"/>
              <w:left w:val="nil"/>
              <w:bottom w:val="single" w:sz="4" w:space="0" w:color="auto"/>
              <w:right w:val="single" w:sz="4" w:space="0" w:color="auto"/>
            </w:tcBorders>
            <w:shd w:val="clear" w:color="auto" w:fill="C6C6C6"/>
            <w:noWrap/>
            <w:vAlign w:val="center"/>
            <w:hideMark/>
          </w:tcPr>
          <w:p w14:paraId="0B6B2759"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2017</w:t>
            </w:r>
          </w:p>
        </w:tc>
        <w:tc>
          <w:tcPr>
            <w:tcW w:w="571" w:type="pct"/>
            <w:tcBorders>
              <w:top w:val="single" w:sz="4" w:space="0" w:color="auto"/>
              <w:left w:val="nil"/>
              <w:bottom w:val="single" w:sz="4" w:space="0" w:color="auto"/>
              <w:right w:val="single" w:sz="4" w:space="0" w:color="auto"/>
            </w:tcBorders>
            <w:shd w:val="clear" w:color="auto" w:fill="C6C6C6"/>
            <w:noWrap/>
            <w:vAlign w:val="center"/>
            <w:hideMark/>
          </w:tcPr>
          <w:p w14:paraId="28D12C6B"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2017 %</w:t>
            </w:r>
          </w:p>
        </w:tc>
        <w:tc>
          <w:tcPr>
            <w:tcW w:w="571" w:type="pct"/>
            <w:tcBorders>
              <w:top w:val="single" w:sz="4" w:space="0" w:color="auto"/>
              <w:left w:val="nil"/>
              <w:bottom w:val="single" w:sz="4" w:space="0" w:color="auto"/>
              <w:right w:val="single" w:sz="4" w:space="0" w:color="auto"/>
            </w:tcBorders>
            <w:shd w:val="clear" w:color="auto" w:fill="C6C6C6"/>
            <w:noWrap/>
            <w:vAlign w:val="center"/>
            <w:hideMark/>
          </w:tcPr>
          <w:p w14:paraId="7BA1C95A"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2018</w:t>
            </w:r>
          </w:p>
        </w:tc>
        <w:tc>
          <w:tcPr>
            <w:tcW w:w="571" w:type="pct"/>
            <w:tcBorders>
              <w:top w:val="single" w:sz="4" w:space="0" w:color="auto"/>
              <w:left w:val="nil"/>
              <w:bottom w:val="single" w:sz="4" w:space="0" w:color="auto"/>
              <w:right w:val="single" w:sz="4" w:space="0" w:color="auto"/>
            </w:tcBorders>
            <w:shd w:val="clear" w:color="auto" w:fill="C6C6C6"/>
            <w:noWrap/>
            <w:vAlign w:val="center"/>
            <w:hideMark/>
          </w:tcPr>
          <w:p w14:paraId="08B682A7"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2018 %</w:t>
            </w:r>
          </w:p>
        </w:tc>
        <w:tc>
          <w:tcPr>
            <w:tcW w:w="571" w:type="pct"/>
            <w:tcBorders>
              <w:top w:val="single" w:sz="4" w:space="0" w:color="auto"/>
              <w:left w:val="nil"/>
              <w:bottom w:val="single" w:sz="4" w:space="0" w:color="auto"/>
              <w:right w:val="single" w:sz="4" w:space="0" w:color="auto"/>
            </w:tcBorders>
            <w:shd w:val="clear" w:color="auto" w:fill="C6C6C6"/>
            <w:noWrap/>
            <w:vAlign w:val="center"/>
            <w:hideMark/>
          </w:tcPr>
          <w:p w14:paraId="5CBEE502"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2019</w:t>
            </w:r>
          </w:p>
        </w:tc>
        <w:tc>
          <w:tcPr>
            <w:tcW w:w="569" w:type="pct"/>
            <w:tcBorders>
              <w:top w:val="single" w:sz="4" w:space="0" w:color="auto"/>
              <w:left w:val="nil"/>
              <w:bottom w:val="single" w:sz="4" w:space="0" w:color="auto"/>
              <w:right w:val="single" w:sz="4" w:space="0" w:color="auto"/>
            </w:tcBorders>
            <w:shd w:val="clear" w:color="auto" w:fill="C6C6C6"/>
            <w:noWrap/>
            <w:vAlign w:val="center"/>
            <w:hideMark/>
          </w:tcPr>
          <w:p w14:paraId="22645B3D"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2019 %</w:t>
            </w:r>
          </w:p>
        </w:tc>
      </w:tr>
      <w:tr w:rsidR="009568B0" w:rsidRPr="00A07BE9" w14:paraId="0AB71E27" w14:textId="77777777" w:rsidTr="005E047E">
        <w:trPr>
          <w:trHeight w:val="312"/>
        </w:trPr>
        <w:tc>
          <w:tcPr>
            <w:tcW w:w="1576" w:type="pct"/>
            <w:tcBorders>
              <w:top w:val="nil"/>
              <w:left w:val="single" w:sz="4" w:space="0" w:color="auto"/>
              <w:bottom w:val="single" w:sz="4" w:space="0" w:color="auto"/>
              <w:right w:val="single" w:sz="4" w:space="0" w:color="auto"/>
            </w:tcBorders>
            <w:shd w:val="clear" w:color="auto" w:fill="auto"/>
            <w:noWrap/>
            <w:vAlign w:val="center"/>
            <w:hideMark/>
          </w:tcPr>
          <w:p w14:paraId="30EC9F5E"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Cargo Político</w:t>
            </w:r>
          </w:p>
        </w:tc>
        <w:tc>
          <w:tcPr>
            <w:tcW w:w="571" w:type="pct"/>
            <w:tcBorders>
              <w:top w:val="nil"/>
              <w:left w:val="nil"/>
              <w:bottom w:val="single" w:sz="4" w:space="0" w:color="auto"/>
              <w:right w:val="single" w:sz="4" w:space="0" w:color="auto"/>
            </w:tcBorders>
            <w:shd w:val="clear" w:color="auto" w:fill="auto"/>
            <w:noWrap/>
            <w:vAlign w:val="center"/>
            <w:hideMark/>
          </w:tcPr>
          <w:p w14:paraId="00AA9386"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w:t>
            </w:r>
          </w:p>
        </w:tc>
        <w:tc>
          <w:tcPr>
            <w:tcW w:w="571" w:type="pct"/>
            <w:tcBorders>
              <w:top w:val="nil"/>
              <w:left w:val="nil"/>
              <w:bottom w:val="single" w:sz="4" w:space="0" w:color="auto"/>
              <w:right w:val="single" w:sz="4" w:space="0" w:color="auto"/>
            </w:tcBorders>
            <w:shd w:val="clear" w:color="auto" w:fill="auto"/>
            <w:noWrap/>
            <w:vAlign w:val="center"/>
            <w:hideMark/>
          </w:tcPr>
          <w:p w14:paraId="2AEA1BE7"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7 %</w:t>
            </w:r>
          </w:p>
        </w:tc>
        <w:tc>
          <w:tcPr>
            <w:tcW w:w="571" w:type="pct"/>
            <w:tcBorders>
              <w:top w:val="nil"/>
              <w:left w:val="nil"/>
              <w:bottom w:val="single" w:sz="4" w:space="0" w:color="auto"/>
              <w:right w:val="single" w:sz="4" w:space="0" w:color="auto"/>
            </w:tcBorders>
            <w:shd w:val="clear" w:color="auto" w:fill="auto"/>
            <w:noWrap/>
            <w:vAlign w:val="center"/>
            <w:hideMark/>
          </w:tcPr>
          <w:p w14:paraId="723D2470"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24</w:t>
            </w:r>
          </w:p>
        </w:tc>
        <w:tc>
          <w:tcPr>
            <w:tcW w:w="571" w:type="pct"/>
            <w:tcBorders>
              <w:top w:val="nil"/>
              <w:left w:val="nil"/>
              <w:bottom w:val="single" w:sz="4" w:space="0" w:color="auto"/>
              <w:right w:val="single" w:sz="4" w:space="0" w:color="auto"/>
            </w:tcBorders>
            <w:shd w:val="clear" w:color="auto" w:fill="auto"/>
            <w:noWrap/>
            <w:vAlign w:val="center"/>
            <w:hideMark/>
          </w:tcPr>
          <w:p w14:paraId="2EABD8E2"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32 %</w:t>
            </w:r>
          </w:p>
        </w:tc>
        <w:tc>
          <w:tcPr>
            <w:tcW w:w="571" w:type="pct"/>
            <w:tcBorders>
              <w:top w:val="nil"/>
              <w:left w:val="nil"/>
              <w:bottom w:val="single" w:sz="4" w:space="0" w:color="auto"/>
              <w:right w:val="single" w:sz="4" w:space="0" w:color="auto"/>
            </w:tcBorders>
            <w:shd w:val="clear" w:color="auto" w:fill="auto"/>
            <w:noWrap/>
            <w:vAlign w:val="center"/>
            <w:hideMark/>
          </w:tcPr>
          <w:p w14:paraId="11AC1F76"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12</w:t>
            </w:r>
          </w:p>
        </w:tc>
        <w:tc>
          <w:tcPr>
            <w:tcW w:w="569" w:type="pct"/>
            <w:tcBorders>
              <w:top w:val="nil"/>
              <w:left w:val="nil"/>
              <w:bottom w:val="single" w:sz="4" w:space="0" w:color="auto"/>
              <w:right w:val="single" w:sz="4" w:space="0" w:color="auto"/>
            </w:tcBorders>
            <w:shd w:val="clear" w:color="auto" w:fill="auto"/>
            <w:noWrap/>
            <w:vAlign w:val="center"/>
            <w:hideMark/>
          </w:tcPr>
          <w:p w14:paraId="133F9EAD"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16 %</w:t>
            </w:r>
          </w:p>
        </w:tc>
      </w:tr>
      <w:tr w:rsidR="009568B0" w:rsidRPr="00A07BE9" w14:paraId="1BBF1A35" w14:textId="77777777" w:rsidTr="005E047E">
        <w:trPr>
          <w:trHeight w:val="312"/>
        </w:trPr>
        <w:tc>
          <w:tcPr>
            <w:tcW w:w="1576" w:type="pct"/>
            <w:tcBorders>
              <w:top w:val="nil"/>
              <w:left w:val="single" w:sz="4" w:space="0" w:color="auto"/>
              <w:bottom w:val="single" w:sz="4" w:space="0" w:color="auto"/>
              <w:right w:val="single" w:sz="4" w:space="0" w:color="auto"/>
            </w:tcBorders>
            <w:shd w:val="clear" w:color="auto" w:fill="auto"/>
            <w:noWrap/>
            <w:vAlign w:val="center"/>
            <w:hideMark/>
          </w:tcPr>
          <w:p w14:paraId="2E0C86B3"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Empleado Público</w:t>
            </w:r>
          </w:p>
        </w:tc>
        <w:tc>
          <w:tcPr>
            <w:tcW w:w="571" w:type="pct"/>
            <w:tcBorders>
              <w:top w:val="nil"/>
              <w:left w:val="nil"/>
              <w:bottom w:val="single" w:sz="4" w:space="0" w:color="auto"/>
              <w:right w:val="single" w:sz="4" w:space="0" w:color="auto"/>
            </w:tcBorders>
            <w:shd w:val="clear" w:color="auto" w:fill="auto"/>
            <w:noWrap/>
            <w:vAlign w:val="center"/>
            <w:hideMark/>
          </w:tcPr>
          <w:p w14:paraId="31985446"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23</w:t>
            </w:r>
          </w:p>
        </w:tc>
        <w:tc>
          <w:tcPr>
            <w:tcW w:w="571" w:type="pct"/>
            <w:tcBorders>
              <w:top w:val="nil"/>
              <w:left w:val="nil"/>
              <w:bottom w:val="single" w:sz="4" w:space="0" w:color="auto"/>
              <w:right w:val="single" w:sz="4" w:space="0" w:color="auto"/>
            </w:tcBorders>
            <w:shd w:val="clear" w:color="auto" w:fill="auto"/>
            <w:noWrap/>
            <w:vAlign w:val="center"/>
            <w:hideMark/>
          </w:tcPr>
          <w:p w14:paraId="3BE5D3B4"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77 %</w:t>
            </w:r>
          </w:p>
        </w:tc>
        <w:tc>
          <w:tcPr>
            <w:tcW w:w="571" w:type="pct"/>
            <w:tcBorders>
              <w:top w:val="nil"/>
              <w:left w:val="nil"/>
              <w:bottom w:val="single" w:sz="4" w:space="0" w:color="auto"/>
              <w:right w:val="single" w:sz="4" w:space="0" w:color="auto"/>
            </w:tcBorders>
            <w:shd w:val="clear" w:color="auto" w:fill="auto"/>
            <w:noWrap/>
            <w:vAlign w:val="center"/>
            <w:hideMark/>
          </w:tcPr>
          <w:p w14:paraId="7AF764CC"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24</w:t>
            </w:r>
          </w:p>
        </w:tc>
        <w:tc>
          <w:tcPr>
            <w:tcW w:w="571" w:type="pct"/>
            <w:tcBorders>
              <w:top w:val="nil"/>
              <w:left w:val="nil"/>
              <w:bottom w:val="single" w:sz="4" w:space="0" w:color="auto"/>
              <w:right w:val="single" w:sz="4" w:space="0" w:color="auto"/>
            </w:tcBorders>
            <w:shd w:val="clear" w:color="auto" w:fill="auto"/>
            <w:noWrap/>
            <w:vAlign w:val="center"/>
            <w:hideMark/>
          </w:tcPr>
          <w:p w14:paraId="7FE2E017"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32 %</w:t>
            </w:r>
          </w:p>
        </w:tc>
        <w:tc>
          <w:tcPr>
            <w:tcW w:w="571" w:type="pct"/>
            <w:tcBorders>
              <w:top w:val="nil"/>
              <w:left w:val="nil"/>
              <w:bottom w:val="single" w:sz="4" w:space="0" w:color="auto"/>
              <w:right w:val="single" w:sz="4" w:space="0" w:color="auto"/>
            </w:tcBorders>
            <w:shd w:val="clear" w:color="auto" w:fill="auto"/>
            <w:noWrap/>
            <w:vAlign w:val="center"/>
            <w:hideMark/>
          </w:tcPr>
          <w:p w14:paraId="3DBBC778"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18</w:t>
            </w:r>
          </w:p>
        </w:tc>
        <w:tc>
          <w:tcPr>
            <w:tcW w:w="569" w:type="pct"/>
            <w:tcBorders>
              <w:top w:val="nil"/>
              <w:left w:val="nil"/>
              <w:bottom w:val="single" w:sz="4" w:space="0" w:color="auto"/>
              <w:right w:val="single" w:sz="4" w:space="0" w:color="auto"/>
            </w:tcBorders>
            <w:shd w:val="clear" w:color="auto" w:fill="auto"/>
            <w:noWrap/>
            <w:vAlign w:val="center"/>
            <w:hideMark/>
          </w:tcPr>
          <w:p w14:paraId="67E01CD6"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24 %</w:t>
            </w:r>
          </w:p>
        </w:tc>
      </w:tr>
      <w:tr w:rsidR="009568B0" w:rsidRPr="00A07BE9" w14:paraId="2F9EBC22" w14:textId="77777777" w:rsidTr="005E047E">
        <w:trPr>
          <w:trHeight w:val="312"/>
        </w:trPr>
        <w:tc>
          <w:tcPr>
            <w:tcW w:w="1576" w:type="pct"/>
            <w:tcBorders>
              <w:top w:val="nil"/>
              <w:left w:val="single" w:sz="4" w:space="0" w:color="auto"/>
              <w:bottom w:val="single" w:sz="4" w:space="0" w:color="auto"/>
              <w:right w:val="single" w:sz="4" w:space="0" w:color="auto"/>
            </w:tcBorders>
            <w:shd w:val="clear" w:color="auto" w:fill="auto"/>
            <w:noWrap/>
            <w:vAlign w:val="center"/>
            <w:hideMark/>
          </w:tcPr>
          <w:p w14:paraId="0D5D1C47"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Particular</w:t>
            </w:r>
          </w:p>
        </w:tc>
        <w:tc>
          <w:tcPr>
            <w:tcW w:w="571" w:type="pct"/>
            <w:tcBorders>
              <w:top w:val="nil"/>
              <w:left w:val="nil"/>
              <w:bottom w:val="single" w:sz="4" w:space="0" w:color="auto"/>
              <w:right w:val="single" w:sz="4" w:space="0" w:color="auto"/>
            </w:tcBorders>
            <w:shd w:val="clear" w:color="auto" w:fill="auto"/>
            <w:noWrap/>
            <w:vAlign w:val="center"/>
            <w:hideMark/>
          </w:tcPr>
          <w:p w14:paraId="48128C09"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5</w:t>
            </w:r>
          </w:p>
        </w:tc>
        <w:tc>
          <w:tcPr>
            <w:tcW w:w="571" w:type="pct"/>
            <w:tcBorders>
              <w:top w:val="nil"/>
              <w:left w:val="nil"/>
              <w:bottom w:val="single" w:sz="4" w:space="0" w:color="auto"/>
              <w:right w:val="single" w:sz="4" w:space="0" w:color="auto"/>
            </w:tcBorders>
            <w:shd w:val="clear" w:color="auto" w:fill="auto"/>
            <w:noWrap/>
            <w:vAlign w:val="center"/>
            <w:hideMark/>
          </w:tcPr>
          <w:p w14:paraId="0A93109C"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17 %</w:t>
            </w:r>
          </w:p>
        </w:tc>
        <w:tc>
          <w:tcPr>
            <w:tcW w:w="571" w:type="pct"/>
            <w:tcBorders>
              <w:top w:val="nil"/>
              <w:left w:val="nil"/>
              <w:bottom w:val="single" w:sz="4" w:space="0" w:color="auto"/>
              <w:right w:val="single" w:sz="4" w:space="0" w:color="auto"/>
            </w:tcBorders>
            <w:shd w:val="clear" w:color="auto" w:fill="auto"/>
            <w:noWrap/>
            <w:vAlign w:val="center"/>
            <w:hideMark/>
          </w:tcPr>
          <w:p w14:paraId="46F0F442"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28</w:t>
            </w:r>
          </w:p>
        </w:tc>
        <w:tc>
          <w:tcPr>
            <w:tcW w:w="571" w:type="pct"/>
            <w:tcBorders>
              <w:top w:val="nil"/>
              <w:left w:val="nil"/>
              <w:bottom w:val="single" w:sz="4" w:space="0" w:color="auto"/>
              <w:right w:val="single" w:sz="4" w:space="0" w:color="auto"/>
            </w:tcBorders>
            <w:shd w:val="clear" w:color="auto" w:fill="auto"/>
            <w:noWrap/>
            <w:vAlign w:val="center"/>
            <w:hideMark/>
          </w:tcPr>
          <w:p w14:paraId="24D75BAC"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37 %</w:t>
            </w:r>
          </w:p>
        </w:tc>
        <w:tc>
          <w:tcPr>
            <w:tcW w:w="571" w:type="pct"/>
            <w:tcBorders>
              <w:top w:val="nil"/>
              <w:left w:val="nil"/>
              <w:bottom w:val="single" w:sz="4" w:space="0" w:color="auto"/>
              <w:right w:val="single" w:sz="4" w:space="0" w:color="auto"/>
            </w:tcBorders>
            <w:shd w:val="clear" w:color="auto" w:fill="auto"/>
            <w:noWrap/>
            <w:vAlign w:val="center"/>
            <w:hideMark/>
          </w:tcPr>
          <w:p w14:paraId="74E4AB33"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44</w:t>
            </w:r>
          </w:p>
        </w:tc>
        <w:tc>
          <w:tcPr>
            <w:tcW w:w="569" w:type="pct"/>
            <w:tcBorders>
              <w:top w:val="nil"/>
              <w:left w:val="nil"/>
              <w:bottom w:val="single" w:sz="4" w:space="0" w:color="auto"/>
              <w:right w:val="single" w:sz="4" w:space="0" w:color="auto"/>
            </w:tcBorders>
            <w:shd w:val="clear" w:color="auto" w:fill="auto"/>
            <w:noWrap/>
            <w:vAlign w:val="center"/>
            <w:hideMark/>
          </w:tcPr>
          <w:p w14:paraId="0388BBF1"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59 %</w:t>
            </w:r>
          </w:p>
        </w:tc>
      </w:tr>
      <w:tr w:rsidR="009568B0" w:rsidRPr="00A07BE9" w14:paraId="4A7EDD9D" w14:textId="77777777" w:rsidTr="005E047E">
        <w:trPr>
          <w:trHeight w:val="312"/>
        </w:trPr>
        <w:tc>
          <w:tcPr>
            <w:tcW w:w="1576" w:type="pct"/>
            <w:tcBorders>
              <w:top w:val="nil"/>
              <w:left w:val="single" w:sz="4" w:space="0" w:color="auto"/>
              <w:bottom w:val="single" w:sz="4" w:space="0" w:color="auto"/>
              <w:right w:val="single" w:sz="4" w:space="0" w:color="auto"/>
            </w:tcBorders>
            <w:shd w:val="clear" w:color="auto" w:fill="F3DED7"/>
            <w:noWrap/>
            <w:vAlign w:val="center"/>
            <w:hideMark/>
          </w:tcPr>
          <w:p w14:paraId="77A424F0" w14:textId="77777777" w:rsidR="009568B0" w:rsidRPr="00A07BE9" w:rsidRDefault="009568B0" w:rsidP="009568B0">
            <w:pPr>
              <w:spacing w:after="0" w:line="240" w:lineRule="auto"/>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SUBTOTAL</w:t>
            </w:r>
          </w:p>
        </w:tc>
        <w:tc>
          <w:tcPr>
            <w:tcW w:w="571" w:type="pct"/>
            <w:tcBorders>
              <w:top w:val="nil"/>
              <w:left w:val="nil"/>
              <w:bottom w:val="single" w:sz="4" w:space="0" w:color="auto"/>
              <w:right w:val="single" w:sz="4" w:space="0" w:color="auto"/>
            </w:tcBorders>
            <w:shd w:val="clear" w:color="auto" w:fill="F3DED7"/>
            <w:noWrap/>
            <w:vAlign w:val="center"/>
            <w:hideMark/>
          </w:tcPr>
          <w:p w14:paraId="6F29FB0E"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30</w:t>
            </w:r>
          </w:p>
        </w:tc>
        <w:tc>
          <w:tcPr>
            <w:tcW w:w="571" w:type="pct"/>
            <w:tcBorders>
              <w:top w:val="nil"/>
              <w:left w:val="nil"/>
              <w:bottom w:val="single" w:sz="4" w:space="0" w:color="auto"/>
              <w:right w:val="single" w:sz="4" w:space="0" w:color="auto"/>
            </w:tcBorders>
            <w:shd w:val="clear" w:color="auto" w:fill="F3DED7"/>
            <w:noWrap/>
            <w:vAlign w:val="center"/>
            <w:hideMark/>
          </w:tcPr>
          <w:p w14:paraId="38912945"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85 %</w:t>
            </w:r>
          </w:p>
        </w:tc>
        <w:tc>
          <w:tcPr>
            <w:tcW w:w="571" w:type="pct"/>
            <w:tcBorders>
              <w:top w:val="nil"/>
              <w:left w:val="nil"/>
              <w:bottom w:val="single" w:sz="4" w:space="0" w:color="auto"/>
              <w:right w:val="single" w:sz="4" w:space="0" w:color="auto"/>
            </w:tcBorders>
            <w:shd w:val="clear" w:color="auto" w:fill="F3DED7"/>
            <w:noWrap/>
            <w:vAlign w:val="center"/>
            <w:hideMark/>
          </w:tcPr>
          <w:p w14:paraId="33E9062C"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76</w:t>
            </w:r>
          </w:p>
        </w:tc>
        <w:tc>
          <w:tcPr>
            <w:tcW w:w="571" w:type="pct"/>
            <w:tcBorders>
              <w:top w:val="nil"/>
              <w:left w:val="nil"/>
              <w:bottom w:val="single" w:sz="4" w:space="0" w:color="auto"/>
              <w:right w:val="single" w:sz="4" w:space="0" w:color="auto"/>
            </w:tcBorders>
            <w:shd w:val="clear" w:color="auto" w:fill="F3DED7"/>
            <w:noWrap/>
            <w:vAlign w:val="center"/>
            <w:hideMark/>
          </w:tcPr>
          <w:p w14:paraId="0D9E921D"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42 %</w:t>
            </w:r>
          </w:p>
        </w:tc>
        <w:tc>
          <w:tcPr>
            <w:tcW w:w="571" w:type="pct"/>
            <w:tcBorders>
              <w:top w:val="nil"/>
              <w:left w:val="nil"/>
              <w:bottom w:val="single" w:sz="4" w:space="0" w:color="auto"/>
              <w:right w:val="single" w:sz="4" w:space="0" w:color="auto"/>
            </w:tcBorders>
            <w:shd w:val="clear" w:color="auto" w:fill="F3DED7"/>
            <w:noWrap/>
            <w:vAlign w:val="center"/>
            <w:hideMark/>
          </w:tcPr>
          <w:p w14:paraId="17582AFE"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74</w:t>
            </w:r>
          </w:p>
        </w:tc>
        <w:tc>
          <w:tcPr>
            <w:tcW w:w="569" w:type="pct"/>
            <w:tcBorders>
              <w:top w:val="nil"/>
              <w:left w:val="nil"/>
              <w:bottom w:val="single" w:sz="4" w:space="0" w:color="auto"/>
              <w:right w:val="single" w:sz="4" w:space="0" w:color="auto"/>
            </w:tcBorders>
            <w:shd w:val="clear" w:color="auto" w:fill="F3DED7"/>
            <w:noWrap/>
            <w:vAlign w:val="center"/>
            <w:hideMark/>
          </w:tcPr>
          <w:p w14:paraId="2C761E8D"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44 %</w:t>
            </w:r>
          </w:p>
        </w:tc>
      </w:tr>
      <w:tr w:rsidR="009568B0" w:rsidRPr="00A07BE9" w14:paraId="368075E0" w14:textId="77777777" w:rsidTr="005E047E">
        <w:trPr>
          <w:trHeight w:val="312"/>
        </w:trPr>
        <w:tc>
          <w:tcPr>
            <w:tcW w:w="1576" w:type="pct"/>
            <w:tcBorders>
              <w:top w:val="nil"/>
              <w:left w:val="single" w:sz="4" w:space="0" w:color="auto"/>
              <w:bottom w:val="single" w:sz="4" w:space="0" w:color="auto"/>
              <w:right w:val="single" w:sz="4" w:space="0" w:color="auto"/>
            </w:tcBorders>
            <w:shd w:val="clear" w:color="auto" w:fill="auto"/>
            <w:noWrap/>
            <w:vAlign w:val="center"/>
            <w:hideMark/>
          </w:tcPr>
          <w:p w14:paraId="0008BA70"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Asociaciones – ONG</w:t>
            </w:r>
          </w:p>
        </w:tc>
        <w:tc>
          <w:tcPr>
            <w:tcW w:w="571" w:type="pct"/>
            <w:tcBorders>
              <w:top w:val="nil"/>
              <w:left w:val="nil"/>
              <w:bottom w:val="single" w:sz="4" w:space="0" w:color="auto"/>
              <w:right w:val="single" w:sz="4" w:space="0" w:color="auto"/>
            </w:tcBorders>
            <w:shd w:val="clear" w:color="auto" w:fill="auto"/>
            <w:noWrap/>
            <w:vAlign w:val="center"/>
            <w:hideMark/>
          </w:tcPr>
          <w:p w14:paraId="69E50B77"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w:t>
            </w:r>
          </w:p>
        </w:tc>
        <w:tc>
          <w:tcPr>
            <w:tcW w:w="571" w:type="pct"/>
            <w:tcBorders>
              <w:top w:val="nil"/>
              <w:left w:val="nil"/>
              <w:bottom w:val="single" w:sz="4" w:space="0" w:color="auto"/>
              <w:right w:val="single" w:sz="4" w:space="0" w:color="auto"/>
            </w:tcBorders>
            <w:shd w:val="clear" w:color="auto" w:fill="auto"/>
            <w:noWrap/>
            <w:vAlign w:val="center"/>
            <w:hideMark/>
          </w:tcPr>
          <w:p w14:paraId="12F5B797"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33 %</w:t>
            </w:r>
          </w:p>
        </w:tc>
        <w:tc>
          <w:tcPr>
            <w:tcW w:w="571" w:type="pct"/>
            <w:tcBorders>
              <w:top w:val="nil"/>
              <w:left w:val="nil"/>
              <w:bottom w:val="single" w:sz="4" w:space="0" w:color="auto"/>
              <w:right w:val="single" w:sz="4" w:space="0" w:color="auto"/>
            </w:tcBorders>
            <w:shd w:val="clear" w:color="auto" w:fill="auto"/>
            <w:noWrap/>
            <w:vAlign w:val="center"/>
            <w:hideMark/>
          </w:tcPr>
          <w:p w14:paraId="7790D76C"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w:t>
            </w:r>
          </w:p>
        </w:tc>
        <w:tc>
          <w:tcPr>
            <w:tcW w:w="571" w:type="pct"/>
            <w:tcBorders>
              <w:top w:val="nil"/>
              <w:left w:val="nil"/>
              <w:bottom w:val="single" w:sz="4" w:space="0" w:color="auto"/>
              <w:right w:val="single" w:sz="4" w:space="0" w:color="auto"/>
            </w:tcBorders>
            <w:shd w:val="clear" w:color="auto" w:fill="auto"/>
            <w:noWrap/>
            <w:vAlign w:val="center"/>
            <w:hideMark/>
          </w:tcPr>
          <w:p w14:paraId="0AA53396"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7 %</w:t>
            </w:r>
          </w:p>
        </w:tc>
        <w:tc>
          <w:tcPr>
            <w:tcW w:w="571" w:type="pct"/>
            <w:tcBorders>
              <w:top w:val="nil"/>
              <w:left w:val="nil"/>
              <w:bottom w:val="single" w:sz="4" w:space="0" w:color="auto"/>
              <w:right w:val="single" w:sz="4" w:space="0" w:color="auto"/>
            </w:tcBorders>
            <w:shd w:val="clear" w:color="auto" w:fill="auto"/>
            <w:noWrap/>
            <w:vAlign w:val="center"/>
            <w:hideMark/>
          </w:tcPr>
          <w:p w14:paraId="7EB8C3F3"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w:t>
            </w:r>
          </w:p>
        </w:tc>
        <w:tc>
          <w:tcPr>
            <w:tcW w:w="569" w:type="pct"/>
            <w:tcBorders>
              <w:top w:val="nil"/>
              <w:left w:val="nil"/>
              <w:bottom w:val="single" w:sz="4" w:space="0" w:color="auto"/>
              <w:right w:val="single" w:sz="4" w:space="0" w:color="auto"/>
            </w:tcBorders>
            <w:shd w:val="clear" w:color="auto" w:fill="auto"/>
            <w:noWrap/>
            <w:vAlign w:val="center"/>
            <w:hideMark/>
          </w:tcPr>
          <w:p w14:paraId="114245E7"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11 %</w:t>
            </w:r>
          </w:p>
        </w:tc>
      </w:tr>
      <w:tr w:rsidR="009568B0" w:rsidRPr="00A07BE9" w14:paraId="6CF0EE53" w14:textId="77777777" w:rsidTr="005E047E">
        <w:trPr>
          <w:trHeight w:val="312"/>
        </w:trPr>
        <w:tc>
          <w:tcPr>
            <w:tcW w:w="1576" w:type="pct"/>
            <w:tcBorders>
              <w:top w:val="nil"/>
              <w:left w:val="single" w:sz="4" w:space="0" w:color="auto"/>
              <w:bottom w:val="single" w:sz="4" w:space="0" w:color="auto"/>
              <w:right w:val="single" w:sz="4" w:space="0" w:color="auto"/>
            </w:tcBorders>
            <w:shd w:val="clear" w:color="auto" w:fill="auto"/>
            <w:noWrap/>
            <w:vAlign w:val="center"/>
            <w:hideMark/>
          </w:tcPr>
          <w:p w14:paraId="7936ECBC"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Instituciones</w:t>
            </w:r>
          </w:p>
        </w:tc>
        <w:tc>
          <w:tcPr>
            <w:tcW w:w="571" w:type="pct"/>
            <w:tcBorders>
              <w:top w:val="nil"/>
              <w:left w:val="nil"/>
              <w:bottom w:val="single" w:sz="4" w:space="0" w:color="auto"/>
              <w:right w:val="single" w:sz="4" w:space="0" w:color="auto"/>
            </w:tcBorders>
            <w:shd w:val="clear" w:color="auto" w:fill="auto"/>
            <w:noWrap/>
            <w:vAlign w:val="center"/>
            <w:hideMark/>
          </w:tcPr>
          <w:p w14:paraId="4B24EABF"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w:t>
            </w:r>
          </w:p>
        </w:tc>
        <w:tc>
          <w:tcPr>
            <w:tcW w:w="571" w:type="pct"/>
            <w:tcBorders>
              <w:top w:val="nil"/>
              <w:left w:val="nil"/>
              <w:bottom w:val="single" w:sz="4" w:space="0" w:color="auto"/>
              <w:right w:val="single" w:sz="4" w:space="0" w:color="auto"/>
            </w:tcBorders>
            <w:shd w:val="clear" w:color="auto" w:fill="auto"/>
            <w:noWrap/>
            <w:vAlign w:val="center"/>
            <w:hideMark/>
          </w:tcPr>
          <w:p w14:paraId="624E845D"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0 %</w:t>
            </w:r>
          </w:p>
        </w:tc>
        <w:tc>
          <w:tcPr>
            <w:tcW w:w="571" w:type="pct"/>
            <w:tcBorders>
              <w:top w:val="nil"/>
              <w:left w:val="nil"/>
              <w:bottom w:val="single" w:sz="4" w:space="0" w:color="auto"/>
              <w:right w:val="single" w:sz="4" w:space="0" w:color="auto"/>
            </w:tcBorders>
            <w:shd w:val="clear" w:color="auto" w:fill="auto"/>
            <w:noWrap/>
            <w:vAlign w:val="center"/>
            <w:hideMark/>
          </w:tcPr>
          <w:p w14:paraId="7938E1F6"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4</w:t>
            </w:r>
          </w:p>
        </w:tc>
        <w:tc>
          <w:tcPr>
            <w:tcW w:w="571" w:type="pct"/>
            <w:tcBorders>
              <w:top w:val="nil"/>
              <w:left w:val="nil"/>
              <w:bottom w:val="single" w:sz="4" w:space="0" w:color="auto"/>
              <w:right w:val="single" w:sz="4" w:space="0" w:color="auto"/>
            </w:tcBorders>
            <w:shd w:val="clear" w:color="auto" w:fill="auto"/>
            <w:noWrap/>
            <w:vAlign w:val="center"/>
            <w:hideMark/>
          </w:tcPr>
          <w:p w14:paraId="16419614"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29 %</w:t>
            </w:r>
          </w:p>
        </w:tc>
        <w:tc>
          <w:tcPr>
            <w:tcW w:w="571" w:type="pct"/>
            <w:tcBorders>
              <w:top w:val="nil"/>
              <w:left w:val="nil"/>
              <w:bottom w:val="single" w:sz="4" w:space="0" w:color="auto"/>
              <w:right w:val="single" w:sz="4" w:space="0" w:color="auto"/>
            </w:tcBorders>
            <w:shd w:val="clear" w:color="auto" w:fill="auto"/>
            <w:noWrap/>
            <w:vAlign w:val="center"/>
            <w:hideMark/>
          </w:tcPr>
          <w:p w14:paraId="6D272C8B"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w:t>
            </w:r>
          </w:p>
        </w:tc>
        <w:tc>
          <w:tcPr>
            <w:tcW w:w="569" w:type="pct"/>
            <w:tcBorders>
              <w:top w:val="nil"/>
              <w:left w:val="nil"/>
              <w:bottom w:val="single" w:sz="4" w:space="0" w:color="auto"/>
              <w:right w:val="single" w:sz="4" w:space="0" w:color="auto"/>
            </w:tcBorders>
            <w:shd w:val="clear" w:color="auto" w:fill="auto"/>
            <w:noWrap/>
            <w:vAlign w:val="center"/>
            <w:hideMark/>
          </w:tcPr>
          <w:p w14:paraId="12E4C1F1"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0 %</w:t>
            </w:r>
          </w:p>
        </w:tc>
      </w:tr>
      <w:tr w:rsidR="009568B0" w:rsidRPr="00A07BE9" w14:paraId="73D8B93B" w14:textId="77777777" w:rsidTr="005E047E">
        <w:trPr>
          <w:trHeight w:val="312"/>
        </w:trPr>
        <w:tc>
          <w:tcPr>
            <w:tcW w:w="1576" w:type="pct"/>
            <w:tcBorders>
              <w:top w:val="nil"/>
              <w:left w:val="single" w:sz="4" w:space="0" w:color="auto"/>
              <w:bottom w:val="single" w:sz="4" w:space="0" w:color="auto"/>
              <w:right w:val="single" w:sz="4" w:space="0" w:color="auto"/>
            </w:tcBorders>
            <w:shd w:val="clear" w:color="auto" w:fill="auto"/>
            <w:noWrap/>
            <w:vAlign w:val="center"/>
            <w:hideMark/>
          </w:tcPr>
          <w:p w14:paraId="71F3D3B2"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Empresas</w:t>
            </w:r>
          </w:p>
        </w:tc>
        <w:tc>
          <w:tcPr>
            <w:tcW w:w="571" w:type="pct"/>
            <w:tcBorders>
              <w:top w:val="nil"/>
              <w:left w:val="nil"/>
              <w:bottom w:val="single" w:sz="4" w:space="0" w:color="auto"/>
              <w:right w:val="single" w:sz="4" w:space="0" w:color="auto"/>
            </w:tcBorders>
            <w:shd w:val="clear" w:color="auto" w:fill="auto"/>
            <w:noWrap/>
            <w:vAlign w:val="center"/>
            <w:hideMark/>
          </w:tcPr>
          <w:p w14:paraId="320D4315"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w:t>
            </w:r>
          </w:p>
        </w:tc>
        <w:tc>
          <w:tcPr>
            <w:tcW w:w="571" w:type="pct"/>
            <w:tcBorders>
              <w:top w:val="nil"/>
              <w:left w:val="nil"/>
              <w:bottom w:val="single" w:sz="4" w:space="0" w:color="auto"/>
              <w:right w:val="single" w:sz="4" w:space="0" w:color="auto"/>
            </w:tcBorders>
            <w:shd w:val="clear" w:color="auto" w:fill="auto"/>
            <w:noWrap/>
            <w:vAlign w:val="center"/>
            <w:hideMark/>
          </w:tcPr>
          <w:p w14:paraId="41D35A5D"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33 %</w:t>
            </w:r>
          </w:p>
        </w:tc>
        <w:tc>
          <w:tcPr>
            <w:tcW w:w="571" w:type="pct"/>
            <w:tcBorders>
              <w:top w:val="nil"/>
              <w:left w:val="nil"/>
              <w:bottom w:val="single" w:sz="4" w:space="0" w:color="auto"/>
              <w:right w:val="single" w:sz="4" w:space="0" w:color="auto"/>
            </w:tcBorders>
            <w:shd w:val="clear" w:color="auto" w:fill="auto"/>
            <w:noWrap/>
            <w:vAlign w:val="center"/>
            <w:hideMark/>
          </w:tcPr>
          <w:p w14:paraId="643E848A"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w:t>
            </w:r>
          </w:p>
        </w:tc>
        <w:tc>
          <w:tcPr>
            <w:tcW w:w="571" w:type="pct"/>
            <w:tcBorders>
              <w:top w:val="nil"/>
              <w:left w:val="nil"/>
              <w:bottom w:val="single" w:sz="4" w:space="0" w:color="auto"/>
              <w:right w:val="single" w:sz="4" w:space="0" w:color="auto"/>
            </w:tcBorders>
            <w:shd w:val="clear" w:color="auto" w:fill="auto"/>
            <w:noWrap/>
            <w:vAlign w:val="center"/>
            <w:hideMark/>
          </w:tcPr>
          <w:p w14:paraId="4D6F8B68"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0 %</w:t>
            </w:r>
          </w:p>
        </w:tc>
        <w:tc>
          <w:tcPr>
            <w:tcW w:w="571" w:type="pct"/>
            <w:tcBorders>
              <w:top w:val="nil"/>
              <w:left w:val="nil"/>
              <w:bottom w:val="single" w:sz="4" w:space="0" w:color="auto"/>
              <w:right w:val="single" w:sz="4" w:space="0" w:color="auto"/>
            </w:tcBorders>
            <w:shd w:val="clear" w:color="auto" w:fill="auto"/>
            <w:noWrap/>
            <w:vAlign w:val="center"/>
            <w:hideMark/>
          </w:tcPr>
          <w:p w14:paraId="4B43F67D"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w:t>
            </w:r>
          </w:p>
        </w:tc>
        <w:tc>
          <w:tcPr>
            <w:tcW w:w="569" w:type="pct"/>
            <w:tcBorders>
              <w:top w:val="nil"/>
              <w:left w:val="nil"/>
              <w:bottom w:val="single" w:sz="4" w:space="0" w:color="auto"/>
              <w:right w:val="single" w:sz="4" w:space="0" w:color="auto"/>
            </w:tcBorders>
            <w:shd w:val="clear" w:color="auto" w:fill="auto"/>
            <w:noWrap/>
            <w:vAlign w:val="center"/>
            <w:hideMark/>
          </w:tcPr>
          <w:p w14:paraId="0953EDDC"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0 %</w:t>
            </w:r>
          </w:p>
        </w:tc>
      </w:tr>
      <w:tr w:rsidR="009568B0" w:rsidRPr="00A07BE9" w14:paraId="1D8D58DA" w14:textId="77777777" w:rsidTr="005E047E">
        <w:trPr>
          <w:trHeight w:val="312"/>
        </w:trPr>
        <w:tc>
          <w:tcPr>
            <w:tcW w:w="1576" w:type="pct"/>
            <w:tcBorders>
              <w:top w:val="nil"/>
              <w:left w:val="single" w:sz="4" w:space="0" w:color="auto"/>
              <w:bottom w:val="single" w:sz="4" w:space="0" w:color="auto"/>
              <w:right w:val="single" w:sz="4" w:space="0" w:color="auto"/>
            </w:tcBorders>
            <w:shd w:val="clear" w:color="auto" w:fill="auto"/>
            <w:noWrap/>
            <w:vAlign w:val="center"/>
            <w:hideMark/>
          </w:tcPr>
          <w:p w14:paraId="5C4701FF"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Sindicatos</w:t>
            </w:r>
          </w:p>
        </w:tc>
        <w:tc>
          <w:tcPr>
            <w:tcW w:w="571" w:type="pct"/>
            <w:tcBorders>
              <w:top w:val="nil"/>
              <w:left w:val="nil"/>
              <w:bottom w:val="single" w:sz="4" w:space="0" w:color="auto"/>
              <w:right w:val="single" w:sz="4" w:space="0" w:color="auto"/>
            </w:tcBorders>
            <w:shd w:val="clear" w:color="auto" w:fill="auto"/>
            <w:noWrap/>
            <w:vAlign w:val="center"/>
            <w:hideMark/>
          </w:tcPr>
          <w:p w14:paraId="2B246D54"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w:t>
            </w:r>
          </w:p>
        </w:tc>
        <w:tc>
          <w:tcPr>
            <w:tcW w:w="571" w:type="pct"/>
            <w:tcBorders>
              <w:top w:val="nil"/>
              <w:left w:val="nil"/>
              <w:bottom w:val="single" w:sz="4" w:space="0" w:color="auto"/>
              <w:right w:val="single" w:sz="4" w:space="0" w:color="auto"/>
            </w:tcBorders>
            <w:shd w:val="clear" w:color="auto" w:fill="auto"/>
            <w:noWrap/>
            <w:vAlign w:val="center"/>
            <w:hideMark/>
          </w:tcPr>
          <w:p w14:paraId="2F82F341"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33 %</w:t>
            </w:r>
          </w:p>
        </w:tc>
        <w:tc>
          <w:tcPr>
            <w:tcW w:w="571" w:type="pct"/>
            <w:tcBorders>
              <w:top w:val="nil"/>
              <w:left w:val="nil"/>
              <w:bottom w:val="single" w:sz="4" w:space="0" w:color="auto"/>
              <w:right w:val="single" w:sz="4" w:space="0" w:color="auto"/>
            </w:tcBorders>
            <w:shd w:val="clear" w:color="auto" w:fill="auto"/>
            <w:noWrap/>
            <w:vAlign w:val="center"/>
            <w:hideMark/>
          </w:tcPr>
          <w:p w14:paraId="4DBABFE2"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5</w:t>
            </w:r>
          </w:p>
        </w:tc>
        <w:tc>
          <w:tcPr>
            <w:tcW w:w="571" w:type="pct"/>
            <w:tcBorders>
              <w:top w:val="nil"/>
              <w:left w:val="nil"/>
              <w:bottom w:val="single" w:sz="4" w:space="0" w:color="auto"/>
              <w:right w:val="single" w:sz="4" w:space="0" w:color="auto"/>
            </w:tcBorders>
            <w:shd w:val="clear" w:color="auto" w:fill="auto"/>
            <w:noWrap/>
            <w:vAlign w:val="center"/>
            <w:hideMark/>
          </w:tcPr>
          <w:p w14:paraId="10600E95"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36 %</w:t>
            </w:r>
          </w:p>
        </w:tc>
        <w:tc>
          <w:tcPr>
            <w:tcW w:w="571" w:type="pct"/>
            <w:tcBorders>
              <w:top w:val="nil"/>
              <w:left w:val="nil"/>
              <w:bottom w:val="single" w:sz="4" w:space="0" w:color="auto"/>
              <w:right w:val="single" w:sz="4" w:space="0" w:color="auto"/>
            </w:tcBorders>
            <w:shd w:val="clear" w:color="auto" w:fill="auto"/>
            <w:noWrap/>
            <w:vAlign w:val="center"/>
            <w:hideMark/>
          </w:tcPr>
          <w:p w14:paraId="501C1690"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w:t>
            </w:r>
          </w:p>
        </w:tc>
        <w:tc>
          <w:tcPr>
            <w:tcW w:w="569" w:type="pct"/>
            <w:tcBorders>
              <w:top w:val="nil"/>
              <w:left w:val="nil"/>
              <w:bottom w:val="single" w:sz="4" w:space="0" w:color="auto"/>
              <w:right w:val="single" w:sz="4" w:space="0" w:color="auto"/>
            </w:tcBorders>
            <w:shd w:val="clear" w:color="auto" w:fill="auto"/>
            <w:noWrap/>
            <w:vAlign w:val="center"/>
            <w:hideMark/>
          </w:tcPr>
          <w:p w14:paraId="609A6123"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22 %</w:t>
            </w:r>
          </w:p>
        </w:tc>
      </w:tr>
      <w:tr w:rsidR="009568B0" w:rsidRPr="00A07BE9" w14:paraId="6472E1D5" w14:textId="77777777" w:rsidTr="005E047E">
        <w:trPr>
          <w:trHeight w:val="312"/>
        </w:trPr>
        <w:tc>
          <w:tcPr>
            <w:tcW w:w="1576" w:type="pct"/>
            <w:tcBorders>
              <w:top w:val="nil"/>
              <w:left w:val="single" w:sz="4" w:space="0" w:color="auto"/>
              <w:bottom w:val="single" w:sz="4" w:space="0" w:color="auto"/>
              <w:right w:val="single" w:sz="4" w:space="0" w:color="auto"/>
            </w:tcBorders>
            <w:shd w:val="clear" w:color="auto" w:fill="auto"/>
            <w:noWrap/>
            <w:vAlign w:val="center"/>
            <w:hideMark/>
          </w:tcPr>
          <w:p w14:paraId="52967491"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Grupos Políticos</w:t>
            </w:r>
          </w:p>
        </w:tc>
        <w:tc>
          <w:tcPr>
            <w:tcW w:w="571" w:type="pct"/>
            <w:tcBorders>
              <w:top w:val="nil"/>
              <w:left w:val="nil"/>
              <w:bottom w:val="single" w:sz="4" w:space="0" w:color="auto"/>
              <w:right w:val="single" w:sz="4" w:space="0" w:color="auto"/>
            </w:tcBorders>
            <w:shd w:val="clear" w:color="auto" w:fill="auto"/>
            <w:noWrap/>
            <w:vAlign w:val="center"/>
            <w:hideMark/>
          </w:tcPr>
          <w:p w14:paraId="7102C28D"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w:t>
            </w:r>
          </w:p>
        </w:tc>
        <w:tc>
          <w:tcPr>
            <w:tcW w:w="571" w:type="pct"/>
            <w:tcBorders>
              <w:top w:val="nil"/>
              <w:left w:val="nil"/>
              <w:bottom w:val="single" w:sz="4" w:space="0" w:color="auto"/>
              <w:right w:val="single" w:sz="4" w:space="0" w:color="auto"/>
            </w:tcBorders>
            <w:shd w:val="clear" w:color="auto" w:fill="auto"/>
            <w:noWrap/>
            <w:vAlign w:val="center"/>
            <w:hideMark/>
          </w:tcPr>
          <w:p w14:paraId="11EEA04C"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0 %</w:t>
            </w:r>
          </w:p>
        </w:tc>
        <w:tc>
          <w:tcPr>
            <w:tcW w:w="571" w:type="pct"/>
            <w:tcBorders>
              <w:top w:val="nil"/>
              <w:left w:val="nil"/>
              <w:bottom w:val="single" w:sz="4" w:space="0" w:color="auto"/>
              <w:right w:val="single" w:sz="4" w:space="0" w:color="auto"/>
            </w:tcBorders>
            <w:shd w:val="clear" w:color="auto" w:fill="auto"/>
            <w:noWrap/>
            <w:vAlign w:val="center"/>
            <w:hideMark/>
          </w:tcPr>
          <w:p w14:paraId="0A884DDE"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4</w:t>
            </w:r>
          </w:p>
        </w:tc>
        <w:tc>
          <w:tcPr>
            <w:tcW w:w="571" w:type="pct"/>
            <w:tcBorders>
              <w:top w:val="nil"/>
              <w:left w:val="nil"/>
              <w:bottom w:val="single" w:sz="4" w:space="0" w:color="auto"/>
              <w:right w:val="single" w:sz="4" w:space="0" w:color="auto"/>
            </w:tcBorders>
            <w:shd w:val="clear" w:color="auto" w:fill="auto"/>
            <w:noWrap/>
            <w:vAlign w:val="center"/>
            <w:hideMark/>
          </w:tcPr>
          <w:p w14:paraId="2A1FF15A"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29 %</w:t>
            </w:r>
          </w:p>
        </w:tc>
        <w:tc>
          <w:tcPr>
            <w:tcW w:w="571" w:type="pct"/>
            <w:tcBorders>
              <w:top w:val="nil"/>
              <w:left w:val="nil"/>
              <w:bottom w:val="single" w:sz="4" w:space="0" w:color="auto"/>
              <w:right w:val="single" w:sz="4" w:space="0" w:color="auto"/>
            </w:tcBorders>
            <w:shd w:val="clear" w:color="auto" w:fill="auto"/>
            <w:noWrap/>
            <w:vAlign w:val="center"/>
            <w:hideMark/>
          </w:tcPr>
          <w:p w14:paraId="267AC9E9"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6</w:t>
            </w:r>
          </w:p>
        </w:tc>
        <w:tc>
          <w:tcPr>
            <w:tcW w:w="569" w:type="pct"/>
            <w:tcBorders>
              <w:top w:val="nil"/>
              <w:left w:val="nil"/>
              <w:bottom w:val="single" w:sz="4" w:space="0" w:color="auto"/>
              <w:right w:val="single" w:sz="4" w:space="0" w:color="auto"/>
            </w:tcBorders>
            <w:shd w:val="clear" w:color="auto" w:fill="auto"/>
            <w:noWrap/>
            <w:vAlign w:val="center"/>
            <w:hideMark/>
          </w:tcPr>
          <w:p w14:paraId="4FA0BCAC"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67 %</w:t>
            </w:r>
          </w:p>
        </w:tc>
      </w:tr>
      <w:tr w:rsidR="009568B0" w:rsidRPr="00A07BE9" w14:paraId="78111134" w14:textId="77777777" w:rsidTr="005E047E">
        <w:trPr>
          <w:trHeight w:val="312"/>
        </w:trPr>
        <w:tc>
          <w:tcPr>
            <w:tcW w:w="1576" w:type="pct"/>
            <w:tcBorders>
              <w:top w:val="nil"/>
              <w:left w:val="single" w:sz="4" w:space="0" w:color="auto"/>
              <w:bottom w:val="single" w:sz="4" w:space="0" w:color="auto"/>
              <w:right w:val="single" w:sz="4" w:space="0" w:color="auto"/>
            </w:tcBorders>
            <w:shd w:val="clear" w:color="auto" w:fill="F3DED7"/>
            <w:noWrap/>
            <w:vAlign w:val="center"/>
            <w:hideMark/>
          </w:tcPr>
          <w:p w14:paraId="264E8FEF" w14:textId="77777777" w:rsidR="009568B0" w:rsidRPr="00A07BE9" w:rsidRDefault="009568B0" w:rsidP="009568B0">
            <w:pPr>
              <w:spacing w:after="0" w:line="240" w:lineRule="auto"/>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SUBTOTAL</w:t>
            </w:r>
          </w:p>
        </w:tc>
        <w:tc>
          <w:tcPr>
            <w:tcW w:w="571" w:type="pct"/>
            <w:tcBorders>
              <w:top w:val="nil"/>
              <w:left w:val="nil"/>
              <w:bottom w:val="single" w:sz="4" w:space="0" w:color="auto"/>
              <w:right w:val="single" w:sz="4" w:space="0" w:color="auto"/>
            </w:tcBorders>
            <w:shd w:val="clear" w:color="auto" w:fill="F3DED7"/>
            <w:noWrap/>
            <w:vAlign w:val="center"/>
            <w:hideMark/>
          </w:tcPr>
          <w:p w14:paraId="2EF4785A"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3</w:t>
            </w:r>
          </w:p>
        </w:tc>
        <w:tc>
          <w:tcPr>
            <w:tcW w:w="571" w:type="pct"/>
            <w:tcBorders>
              <w:top w:val="nil"/>
              <w:left w:val="nil"/>
              <w:bottom w:val="single" w:sz="4" w:space="0" w:color="auto"/>
              <w:right w:val="single" w:sz="4" w:space="0" w:color="auto"/>
            </w:tcBorders>
            <w:shd w:val="clear" w:color="auto" w:fill="F3DED7"/>
            <w:noWrap/>
            <w:vAlign w:val="center"/>
            <w:hideMark/>
          </w:tcPr>
          <w:p w14:paraId="73B9D4D5"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9 %</w:t>
            </w:r>
          </w:p>
        </w:tc>
        <w:tc>
          <w:tcPr>
            <w:tcW w:w="571" w:type="pct"/>
            <w:tcBorders>
              <w:top w:val="nil"/>
              <w:left w:val="nil"/>
              <w:bottom w:val="single" w:sz="4" w:space="0" w:color="auto"/>
              <w:right w:val="single" w:sz="4" w:space="0" w:color="auto"/>
            </w:tcBorders>
            <w:shd w:val="clear" w:color="auto" w:fill="F3DED7"/>
            <w:noWrap/>
            <w:vAlign w:val="center"/>
            <w:hideMark/>
          </w:tcPr>
          <w:p w14:paraId="3B26DBCD"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14</w:t>
            </w:r>
          </w:p>
        </w:tc>
        <w:tc>
          <w:tcPr>
            <w:tcW w:w="571" w:type="pct"/>
            <w:tcBorders>
              <w:top w:val="nil"/>
              <w:left w:val="nil"/>
              <w:bottom w:val="single" w:sz="4" w:space="0" w:color="auto"/>
              <w:right w:val="single" w:sz="4" w:space="0" w:color="auto"/>
            </w:tcBorders>
            <w:shd w:val="clear" w:color="auto" w:fill="F3DED7"/>
            <w:noWrap/>
            <w:vAlign w:val="center"/>
            <w:hideMark/>
          </w:tcPr>
          <w:p w14:paraId="5CCB1B04"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8 %</w:t>
            </w:r>
          </w:p>
        </w:tc>
        <w:tc>
          <w:tcPr>
            <w:tcW w:w="571" w:type="pct"/>
            <w:tcBorders>
              <w:top w:val="nil"/>
              <w:left w:val="nil"/>
              <w:bottom w:val="single" w:sz="4" w:space="0" w:color="auto"/>
              <w:right w:val="single" w:sz="4" w:space="0" w:color="auto"/>
            </w:tcBorders>
            <w:shd w:val="clear" w:color="auto" w:fill="F3DED7"/>
            <w:noWrap/>
            <w:vAlign w:val="center"/>
            <w:hideMark/>
          </w:tcPr>
          <w:p w14:paraId="76D85698"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9</w:t>
            </w:r>
          </w:p>
        </w:tc>
        <w:tc>
          <w:tcPr>
            <w:tcW w:w="569" w:type="pct"/>
            <w:tcBorders>
              <w:top w:val="nil"/>
              <w:left w:val="nil"/>
              <w:bottom w:val="single" w:sz="4" w:space="0" w:color="auto"/>
              <w:right w:val="single" w:sz="4" w:space="0" w:color="auto"/>
            </w:tcBorders>
            <w:shd w:val="clear" w:color="auto" w:fill="F3DED7"/>
            <w:noWrap/>
            <w:vAlign w:val="center"/>
            <w:hideMark/>
          </w:tcPr>
          <w:p w14:paraId="647F05DE"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5 %</w:t>
            </w:r>
          </w:p>
        </w:tc>
      </w:tr>
      <w:tr w:rsidR="009568B0" w:rsidRPr="00A07BE9" w14:paraId="76D01B43" w14:textId="77777777" w:rsidTr="005E047E">
        <w:trPr>
          <w:trHeight w:val="312"/>
        </w:trPr>
        <w:tc>
          <w:tcPr>
            <w:tcW w:w="1576" w:type="pct"/>
            <w:tcBorders>
              <w:top w:val="nil"/>
              <w:left w:val="single" w:sz="4" w:space="0" w:color="auto"/>
              <w:bottom w:val="single" w:sz="4" w:space="0" w:color="auto"/>
              <w:right w:val="single" w:sz="4" w:space="0" w:color="auto"/>
            </w:tcBorders>
            <w:shd w:val="clear" w:color="auto" w:fill="EABAC2"/>
            <w:noWrap/>
            <w:vAlign w:val="center"/>
            <w:hideMark/>
          </w:tcPr>
          <w:p w14:paraId="41CDE5E3" w14:textId="77777777" w:rsidR="009568B0" w:rsidRPr="00A07BE9" w:rsidRDefault="009568B0" w:rsidP="009568B0">
            <w:pPr>
              <w:spacing w:after="0" w:line="240" w:lineRule="auto"/>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SIN IDENTIFICAR</w:t>
            </w:r>
          </w:p>
        </w:tc>
        <w:tc>
          <w:tcPr>
            <w:tcW w:w="571" w:type="pct"/>
            <w:tcBorders>
              <w:top w:val="nil"/>
              <w:left w:val="nil"/>
              <w:bottom w:val="single" w:sz="4" w:space="0" w:color="auto"/>
              <w:right w:val="single" w:sz="4" w:space="0" w:color="auto"/>
            </w:tcBorders>
            <w:shd w:val="clear" w:color="auto" w:fill="EABAC2"/>
            <w:noWrap/>
            <w:vAlign w:val="center"/>
            <w:hideMark/>
          </w:tcPr>
          <w:p w14:paraId="12F901D2"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w:t>
            </w:r>
          </w:p>
        </w:tc>
        <w:tc>
          <w:tcPr>
            <w:tcW w:w="571" w:type="pct"/>
            <w:tcBorders>
              <w:top w:val="nil"/>
              <w:left w:val="nil"/>
              <w:bottom w:val="single" w:sz="4" w:space="0" w:color="auto"/>
              <w:right w:val="single" w:sz="4" w:space="0" w:color="auto"/>
            </w:tcBorders>
            <w:shd w:val="clear" w:color="auto" w:fill="EABAC2"/>
            <w:noWrap/>
            <w:vAlign w:val="center"/>
            <w:hideMark/>
          </w:tcPr>
          <w:p w14:paraId="75C78C49"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6 %</w:t>
            </w:r>
          </w:p>
        </w:tc>
        <w:tc>
          <w:tcPr>
            <w:tcW w:w="571" w:type="pct"/>
            <w:tcBorders>
              <w:top w:val="nil"/>
              <w:left w:val="nil"/>
              <w:bottom w:val="single" w:sz="4" w:space="0" w:color="auto"/>
              <w:right w:val="single" w:sz="4" w:space="0" w:color="auto"/>
            </w:tcBorders>
            <w:shd w:val="clear" w:color="auto" w:fill="EABAC2"/>
            <w:noWrap/>
            <w:vAlign w:val="center"/>
            <w:hideMark/>
          </w:tcPr>
          <w:p w14:paraId="035DB2CD"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91</w:t>
            </w:r>
          </w:p>
        </w:tc>
        <w:tc>
          <w:tcPr>
            <w:tcW w:w="571" w:type="pct"/>
            <w:tcBorders>
              <w:top w:val="nil"/>
              <w:left w:val="nil"/>
              <w:bottom w:val="single" w:sz="4" w:space="0" w:color="auto"/>
              <w:right w:val="single" w:sz="4" w:space="0" w:color="auto"/>
            </w:tcBorders>
            <w:shd w:val="clear" w:color="auto" w:fill="EABAC2"/>
            <w:noWrap/>
            <w:vAlign w:val="center"/>
            <w:hideMark/>
          </w:tcPr>
          <w:p w14:paraId="3CA113B3"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50 %</w:t>
            </w:r>
          </w:p>
        </w:tc>
        <w:tc>
          <w:tcPr>
            <w:tcW w:w="571" w:type="pct"/>
            <w:tcBorders>
              <w:top w:val="nil"/>
              <w:left w:val="nil"/>
              <w:bottom w:val="single" w:sz="4" w:space="0" w:color="auto"/>
              <w:right w:val="single" w:sz="4" w:space="0" w:color="auto"/>
            </w:tcBorders>
            <w:shd w:val="clear" w:color="auto" w:fill="EABAC2"/>
            <w:noWrap/>
            <w:vAlign w:val="center"/>
            <w:hideMark/>
          </w:tcPr>
          <w:p w14:paraId="0A7DA0D5"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85</w:t>
            </w:r>
          </w:p>
        </w:tc>
        <w:tc>
          <w:tcPr>
            <w:tcW w:w="569" w:type="pct"/>
            <w:tcBorders>
              <w:top w:val="nil"/>
              <w:left w:val="nil"/>
              <w:bottom w:val="single" w:sz="4" w:space="0" w:color="auto"/>
              <w:right w:val="single" w:sz="4" w:space="0" w:color="auto"/>
            </w:tcBorders>
            <w:shd w:val="clear" w:color="auto" w:fill="EABAC2"/>
            <w:noWrap/>
            <w:vAlign w:val="center"/>
            <w:hideMark/>
          </w:tcPr>
          <w:p w14:paraId="108FC6F3"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51 %</w:t>
            </w:r>
          </w:p>
        </w:tc>
      </w:tr>
      <w:tr w:rsidR="009568B0" w:rsidRPr="00A07BE9" w14:paraId="4FB93AB9" w14:textId="77777777" w:rsidTr="005E047E">
        <w:trPr>
          <w:trHeight w:val="312"/>
        </w:trPr>
        <w:tc>
          <w:tcPr>
            <w:tcW w:w="15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83AD3F" w14:textId="77777777" w:rsidR="009568B0" w:rsidRPr="00A07BE9" w:rsidRDefault="009568B0" w:rsidP="009568B0">
            <w:pPr>
              <w:spacing w:after="0" w:line="240" w:lineRule="auto"/>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TOTAL</w:t>
            </w:r>
          </w:p>
        </w:tc>
        <w:tc>
          <w:tcPr>
            <w:tcW w:w="5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9A2E11"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35</w:t>
            </w:r>
          </w:p>
        </w:tc>
        <w:tc>
          <w:tcPr>
            <w:tcW w:w="5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E61665"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100%</w:t>
            </w:r>
          </w:p>
        </w:tc>
        <w:tc>
          <w:tcPr>
            <w:tcW w:w="5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F600D3"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181</w:t>
            </w:r>
          </w:p>
        </w:tc>
        <w:tc>
          <w:tcPr>
            <w:tcW w:w="5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8A7A37"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100%</w:t>
            </w:r>
          </w:p>
        </w:tc>
        <w:tc>
          <w:tcPr>
            <w:tcW w:w="5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7F6878"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168</w:t>
            </w:r>
          </w:p>
        </w:tc>
        <w:tc>
          <w:tcPr>
            <w:tcW w:w="5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D7B14A"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100%</w:t>
            </w:r>
          </w:p>
        </w:tc>
      </w:tr>
    </w:tbl>
    <w:p w14:paraId="368B148C" w14:textId="77777777" w:rsidR="0027764E" w:rsidRPr="00A07BE9" w:rsidRDefault="0027764E" w:rsidP="00D56217">
      <w:pPr>
        <w:spacing w:after="0" w:line="276" w:lineRule="auto"/>
        <w:jc w:val="both"/>
        <w:rPr>
          <w:rFonts w:ascii="Open Sans" w:eastAsia="NSimSun" w:hAnsi="Open Sans" w:cs="Open Sans"/>
          <w:b/>
          <w:color w:val="9D2235"/>
          <w:kern w:val="2"/>
          <w:sz w:val="20"/>
          <w:szCs w:val="20"/>
          <w:lang w:eastAsia="zh-CN" w:bidi="hi-IN"/>
        </w:rPr>
      </w:pPr>
    </w:p>
    <w:p w14:paraId="680E9D24" w14:textId="77777777" w:rsidR="0027764E" w:rsidRPr="00A07BE9" w:rsidRDefault="0027764E" w:rsidP="00D56217">
      <w:pPr>
        <w:spacing w:after="0" w:line="276" w:lineRule="auto"/>
        <w:jc w:val="both"/>
        <w:rPr>
          <w:rFonts w:ascii="Open Sans" w:eastAsia="NSimSun" w:hAnsi="Open Sans" w:cs="Open Sans"/>
          <w:b/>
          <w:color w:val="9D2235"/>
          <w:kern w:val="2"/>
          <w:sz w:val="20"/>
          <w:szCs w:val="20"/>
          <w:lang w:eastAsia="zh-CN" w:bidi="hi-IN"/>
        </w:rPr>
      </w:pPr>
    </w:p>
    <w:p w14:paraId="2492701B" w14:textId="10A0133C" w:rsidR="009568B0" w:rsidRPr="00A07BE9" w:rsidRDefault="009568B0" w:rsidP="00D56217">
      <w:pPr>
        <w:spacing w:after="0" w:line="276" w:lineRule="auto"/>
        <w:jc w:val="both"/>
        <w:rPr>
          <w:rFonts w:ascii="Open Sans" w:eastAsia="NSimSun" w:hAnsi="Open Sans" w:cs="Open Sans"/>
          <w:b/>
          <w:kern w:val="2"/>
          <w:sz w:val="20"/>
          <w:szCs w:val="20"/>
          <w:lang w:eastAsia="zh-CN" w:bidi="hi-IN"/>
        </w:rPr>
      </w:pPr>
      <w:r w:rsidRPr="00A07BE9">
        <w:rPr>
          <w:rFonts w:ascii="Open Sans" w:eastAsia="NSimSun" w:hAnsi="Open Sans" w:cs="Open Sans"/>
          <w:b/>
          <w:color w:val="9D2235"/>
          <w:kern w:val="2"/>
          <w:sz w:val="20"/>
          <w:szCs w:val="20"/>
          <w:lang w:eastAsia="zh-CN" w:bidi="hi-IN"/>
        </w:rPr>
        <w:t xml:space="preserve">Gráfico 6. </w:t>
      </w:r>
      <w:r w:rsidRPr="00A07BE9">
        <w:rPr>
          <w:rFonts w:ascii="Open Sans" w:eastAsia="NSimSun" w:hAnsi="Open Sans" w:cs="Open Sans"/>
          <w:b/>
          <w:kern w:val="2"/>
          <w:sz w:val="20"/>
          <w:szCs w:val="20"/>
          <w:lang w:eastAsia="zh-CN" w:bidi="hi-IN"/>
        </w:rPr>
        <w:t>Denuncias presentadas según la tipología, condición o naturaleza del comunicante.</w:t>
      </w:r>
    </w:p>
    <w:p w14:paraId="51F18104" w14:textId="2CD36D6E" w:rsidR="009568B0" w:rsidRPr="00A07BE9" w:rsidRDefault="009568B0" w:rsidP="005877CF">
      <w:pPr>
        <w:spacing w:after="0" w:line="276" w:lineRule="auto"/>
        <w:jc w:val="center"/>
        <w:rPr>
          <w:rFonts w:ascii="Open Sans" w:eastAsia="NSimSun" w:hAnsi="Open Sans" w:cs="Open Sans"/>
          <w:b/>
          <w:kern w:val="2"/>
          <w:sz w:val="21"/>
          <w:szCs w:val="21"/>
          <w:lang w:eastAsia="zh-CN" w:bidi="hi-IN"/>
        </w:rPr>
      </w:pPr>
      <w:r w:rsidRPr="00A07BE9">
        <w:rPr>
          <w:rFonts w:ascii="Open Sans" w:eastAsia="NSimSun" w:hAnsi="Open Sans" w:cs="Arial"/>
          <w:noProof/>
          <w:kern w:val="2"/>
          <w:sz w:val="24"/>
          <w:szCs w:val="24"/>
          <w:lang w:eastAsia="es-ES"/>
        </w:rPr>
        <w:drawing>
          <wp:inline distT="0" distB="0" distL="0" distR="0" wp14:anchorId="44036526" wp14:editId="4988A1D2">
            <wp:extent cx="4333875" cy="1704975"/>
            <wp:effectExtent l="0" t="0" r="9525" b="9525"/>
            <wp:docPr id="58" name="Gráfico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4619EF53" w14:textId="77777777" w:rsidR="005877CF" w:rsidRPr="00A07BE9" w:rsidRDefault="005877CF" w:rsidP="005877CF">
      <w:pPr>
        <w:spacing w:after="0" w:line="276" w:lineRule="auto"/>
        <w:jc w:val="center"/>
        <w:rPr>
          <w:rFonts w:ascii="Open Sans" w:eastAsia="NSimSun" w:hAnsi="Open Sans" w:cs="Open Sans"/>
          <w:b/>
          <w:kern w:val="2"/>
          <w:sz w:val="21"/>
          <w:szCs w:val="21"/>
          <w:lang w:eastAsia="zh-CN" w:bidi="hi-IN"/>
        </w:rPr>
      </w:pPr>
    </w:p>
    <w:p w14:paraId="38EF5922" w14:textId="52D82046"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Del análisis de los anteriores datos se pone de manifiesto la utilidad que ha supuesto para los interesados la herramienta del </w:t>
      </w:r>
      <w:hyperlink r:id="rId85" w:history="1">
        <w:r w:rsidRPr="00A07BE9">
          <w:rPr>
            <w:rStyle w:val="Hipervnculo"/>
            <w:rFonts w:ascii="Open Sans" w:eastAsia="NSimSun" w:hAnsi="Open Sans" w:cs="Open Sans"/>
            <w:kern w:val="2"/>
            <w:sz w:val="20"/>
            <w:szCs w:val="20"/>
            <w:lang w:eastAsia="zh-CN" w:bidi="hi-IN"/>
          </w:rPr>
          <w:t>Buzón de Denuncias</w:t>
        </w:r>
      </w:hyperlink>
      <w:r w:rsidRPr="00A07BE9">
        <w:rPr>
          <w:rFonts w:ascii="Open Sans" w:eastAsia="NSimSun" w:hAnsi="Open Sans" w:cs="Open Sans"/>
          <w:kern w:val="2"/>
          <w:sz w:val="20"/>
          <w:szCs w:val="20"/>
          <w:lang w:eastAsia="zh-CN" w:bidi="hi-IN"/>
        </w:rPr>
        <w:t xml:space="preserve">, permitiendo un paso de únicamente 2 denuncias anónimas en 2017 a 85 denuncias anónimas en 2019, que suponen, a su vez, la mitad del total de denuncias presentadas en la Agencia. Llama la atención que, de las denuncias cuyo presentador se identifica, la gran mayoría lo son de personas físicas, apreciándose una evolución hacia particulares no unidos a la administración pública por razón de una vinculación de carácter político o funcionarial-estatutaria. </w:t>
      </w:r>
    </w:p>
    <w:p w14:paraId="513B4FA8"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6B6BC5DB"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Dicho dato debe ponerse en relación con los contenidos en el apartado anterior, ya que la mayoría de denunciantes persona física particular lo han sido en relación con los procesos selectivos de personal. Por tanto, un incremento en la denuncia de dichos tipos de expediente ha encontrado su reflejo en el presente apartado. El estudio del resto de datos contemplados no ofrece unas conclusiones de especial relevancia que poner de manifiesto.</w:t>
      </w:r>
    </w:p>
    <w:p w14:paraId="2A064E9F" w14:textId="77777777"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0"/>
          <w:szCs w:val="20"/>
          <w:lang w:eastAsia="es-ES" w:bidi="hi-IN"/>
        </w:rPr>
      </w:pPr>
    </w:p>
    <w:p w14:paraId="4F02F524" w14:textId="20401B40"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8"/>
          <w:szCs w:val="28"/>
          <w:lang w:eastAsia="es-ES" w:bidi="hi-IN"/>
        </w:rPr>
      </w:pPr>
      <w:r w:rsidRPr="00A07BE9">
        <w:rPr>
          <w:rFonts w:ascii="Open Sans" w:eastAsia="Times New Roman" w:hAnsi="Open Sans" w:cs="Open Sans"/>
          <w:b/>
          <w:bCs/>
          <w:smallCaps/>
          <w:color w:val="9D2235"/>
          <w:kern w:val="2"/>
          <w:sz w:val="28"/>
          <w:szCs w:val="28"/>
          <w:lang w:eastAsia="es-ES" w:bidi="hi-IN"/>
        </w:rPr>
        <w:lastRenderedPageBreak/>
        <w:t>3.3.</w:t>
      </w:r>
      <w:r w:rsidR="001D0A43" w:rsidRPr="00A07BE9">
        <w:rPr>
          <w:rFonts w:ascii="Open Sans" w:eastAsia="Times New Roman" w:hAnsi="Open Sans" w:cs="Open Sans"/>
          <w:b/>
          <w:bCs/>
          <w:smallCaps/>
          <w:color w:val="9D2235"/>
          <w:kern w:val="2"/>
          <w:sz w:val="28"/>
          <w:szCs w:val="28"/>
          <w:lang w:eastAsia="es-ES" w:bidi="hi-IN"/>
        </w:rPr>
        <w:t>6</w:t>
      </w:r>
      <w:r w:rsidR="003A60FD" w:rsidRPr="00A07BE9">
        <w:rPr>
          <w:rFonts w:ascii="Open Sans" w:eastAsia="Times New Roman" w:hAnsi="Open Sans" w:cs="Open Sans"/>
          <w:b/>
          <w:bCs/>
          <w:smallCaps/>
          <w:color w:val="9D2235"/>
          <w:kern w:val="2"/>
          <w:sz w:val="28"/>
          <w:szCs w:val="28"/>
          <w:lang w:eastAsia="es-ES" w:bidi="hi-IN"/>
        </w:rPr>
        <w:t>.</w:t>
      </w:r>
      <w:r w:rsidRPr="00A07BE9">
        <w:rPr>
          <w:rFonts w:ascii="Open Sans" w:eastAsia="Times New Roman" w:hAnsi="Open Sans" w:cs="Open Sans"/>
          <w:b/>
          <w:bCs/>
          <w:smallCaps/>
          <w:color w:val="9D2235"/>
          <w:kern w:val="2"/>
          <w:sz w:val="28"/>
          <w:szCs w:val="28"/>
          <w:lang w:eastAsia="es-ES" w:bidi="hi-IN"/>
        </w:rPr>
        <w:t xml:space="preserve"> Denuncias de Personas Físicas Clasificadas Por Género</w:t>
      </w:r>
    </w:p>
    <w:p w14:paraId="3F833594" w14:textId="77777777"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0"/>
          <w:szCs w:val="20"/>
          <w:lang w:eastAsia="es-ES" w:bidi="hi-IN"/>
        </w:rPr>
      </w:pPr>
    </w:p>
    <w:p w14:paraId="27AB3DE4" w14:textId="2435DEB8"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Siguiendo con la tradición establecida en las anteriores </w:t>
      </w:r>
      <w:hyperlink r:id="rId86" w:history="1">
        <w:r w:rsidRPr="00A07BE9">
          <w:rPr>
            <w:rStyle w:val="Hipervnculo"/>
            <w:rFonts w:ascii="Open Sans" w:eastAsia="NSimSun" w:hAnsi="Open Sans" w:cs="Open Sans"/>
            <w:kern w:val="2"/>
            <w:sz w:val="20"/>
            <w:szCs w:val="20"/>
            <w:lang w:eastAsia="zh-CN" w:bidi="hi-IN"/>
          </w:rPr>
          <w:t>Memorias de la Agencia</w:t>
        </w:r>
      </w:hyperlink>
      <w:r w:rsidRPr="00A07BE9">
        <w:rPr>
          <w:rFonts w:ascii="Open Sans" w:eastAsia="NSimSun" w:hAnsi="Open Sans" w:cs="Open Sans"/>
          <w:kern w:val="2"/>
          <w:sz w:val="20"/>
          <w:szCs w:val="20"/>
          <w:lang w:eastAsia="zh-CN" w:bidi="hi-IN"/>
        </w:rPr>
        <w:t>, se finaliza la exposición de datos de relevancia estadística realizándose un breve análisis de la distribución de las denuncias según el género del denunciante, en aquellos supuestos en los que se ha podido identificar el mismo.</w:t>
      </w:r>
    </w:p>
    <w:p w14:paraId="73246666" w14:textId="77777777" w:rsidR="00DB322D" w:rsidRPr="00A07BE9" w:rsidRDefault="00DB322D" w:rsidP="009568B0">
      <w:pPr>
        <w:spacing w:after="0" w:line="276" w:lineRule="auto"/>
        <w:jc w:val="both"/>
        <w:rPr>
          <w:rFonts w:ascii="Open Sans" w:eastAsia="NSimSun" w:hAnsi="Open Sans" w:cs="Open Sans"/>
          <w:kern w:val="2"/>
          <w:sz w:val="20"/>
          <w:szCs w:val="20"/>
          <w:lang w:eastAsia="zh-CN" w:bidi="hi-IN"/>
        </w:rPr>
      </w:pPr>
    </w:p>
    <w:p w14:paraId="226E6438" w14:textId="478BC097" w:rsidR="009568B0" w:rsidRPr="00A07BE9" w:rsidRDefault="009568B0" w:rsidP="009568B0">
      <w:pPr>
        <w:spacing w:after="0" w:line="276" w:lineRule="auto"/>
        <w:ind w:right="-285"/>
        <w:rPr>
          <w:rFonts w:ascii="Open Sans" w:eastAsia="NSimSun" w:hAnsi="Open Sans" w:cs="Open Sans"/>
          <w:b/>
          <w:kern w:val="2"/>
          <w:sz w:val="20"/>
          <w:szCs w:val="20"/>
          <w:lang w:eastAsia="zh-CN" w:bidi="hi-IN"/>
        </w:rPr>
      </w:pPr>
      <w:r w:rsidRPr="00A07BE9">
        <w:rPr>
          <w:rFonts w:ascii="Open Sans" w:eastAsia="NSimSun" w:hAnsi="Open Sans" w:cs="Open Sans"/>
          <w:b/>
          <w:color w:val="9D2235"/>
          <w:kern w:val="2"/>
          <w:sz w:val="20"/>
          <w:szCs w:val="20"/>
          <w:lang w:eastAsia="zh-CN" w:bidi="hi-IN"/>
        </w:rPr>
        <w:t xml:space="preserve">Tabla </w:t>
      </w:r>
      <w:r w:rsidR="001900B6" w:rsidRPr="00A07BE9">
        <w:rPr>
          <w:rFonts w:ascii="Open Sans" w:eastAsia="NSimSun" w:hAnsi="Open Sans" w:cs="Open Sans"/>
          <w:b/>
          <w:color w:val="9D2235"/>
          <w:kern w:val="2"/>
          <w:sz w:val="20"/>
          <w:szCs w:val="20"/>
          <w:lang w:eastAsia="zh-CN" w:bidi="hi-IN"/>
        </w:rPr>
        <w:t>10</w:t>
      </w:r>
      <w:r w:rsidRPr="00A07BE9">
        <w:rPr>
          <w:rFonts w:ascii="Open Sans" w:eastAsia="NSimSun" w:hAnsi="Open Sans" w:cs="Open Sans"/>
          <w:b/>
          <w:color w:val="9D2235"/>
          <w:kern w:val="2"/>
          <w:sz w:val="20"/>
          <w:szCs w:val="20"/>
          <w:lang w:eastAsia="zh-CN" w:bidi="hi-IN"/>
        </w:rPr>
        <w:t xml:space="preserve">. </w:t>
      </w:r>
      <w:r w:rsidRPr="00A07BE9">
        <w:rPr>
          <w:rFonts w:ascii="Open Sans" w:eastAsia="NSimSun" w:hAnsi="Open Sans" w:cs="Open Sans"/>
          <w:b/>
          <w:kern w:val="2"/>
          <w:sz w:val="20"/>
          <w:szCs w:val="20"/>
          <w:lang w:eastAsia="zh-CN" w:bidi="hi-IN"/>
        </w:rPr>
        <w:t>Denuncias de personas físicas clasificadas por género.</w:t>
      </w:r>
    </w:p>
    <w:p w14:paraId="57682F3B" w14:textId="77777777" w:rsidR="003A60FD" w:rsidRPr="00A07BE9" w:rsidRDefault="003A60FD" w:rsidP="009568B0">
      <w:pPr>
        <w:spacing w:after="0" w:line="276" w:lineRule="auto"/>
        <w:ind w:right="-285"/>
        <w:rPr>
          <w:rFonts w:ascii="Open Sans" w:eastAsia="NSimSun" w:hAnsi="Open Sans" w:cs="Open Sans"/>
          <w:b/>
          <w:kern w:val="2"/>
          <w:sz w:val="20"/>
          <w:szCs w:val="20"/>
          <w:lang w:eastAsia="zh-CN" w:bidi="hi-IN"/>
        </w:rPr>
      </w:pPr>
    </w:p>
    <w:tbl>
      <w:tblPr>
        <w:tblW w:w="5000" w:type="pct"/>
        <w:tblCellMar>
          <w:left w:w="70" w:type="dxa"/>
          <w:right w:w="70" w:type="dxa"/>
        </w:tblCellMar>
        <w:tblLook w:val="04A0" w:firstRow="1" w:lastRow="0" w:firstColumn="1" w:lastColumn="0" w:noHBand="0" w:noVBand="1"/>
      </w:tblPr>
      <w:tblGrid>
        <w:gridCol w:w="2213"/>
        <w:gridCol w:w="1046"/>
        <w:gridCol w:w="1048"/>
        <w:gridCol w:w="1048"/>
        <w:gridCol w:w="1048"/>
        <w:gridCol w:w="1048"/>
        <w:gridCol w:w="1043"/>
      </w:tblGrid>
      <w:tr w:rsidR="009568B0" w:rsidRPr="00A07BE9" w14:paraId="7F64A5B6" w14:textId="77777777" w:rsidTr="005E047E">
        <w:trPr>
          <w:trHeight w:val="312"/>
        </w:trPr>
        <w:tc>
          <w:tcPr>
            <w:tcW w:w="1302" w:type="pct"/>
            <w:tcBorders>
              <w:top w:val="single" w:sz="4" w:space="0" w:color="auto"/>
              <w:left w:val="single" w:sz="4" w:space="0" w:color="auto"/>
              <w:bottom w:val="single" w:sz="4" w:space="0" w:color="auto"/>
              <w:right w:val="single" w:sz="4" w:space="0" w:color="auto"/>
            </w:tcBorders>
            <w:shd w:val="clear" w:color="auto" w:fill="C6C6C6"/>
            <w:noWrap/>
            <w:vAlign w:val="center"/>
            <w:hideMark/>
          </w:tcPr>
          <w:p w14:paraId="000774AA" w14:textId="37CA4145" w:rsidR="009568B0" w:rsidRPr="00A07BE9" w:rsidRDefault="009568B0" w:rsidP="009568B0">
            <w:pPr>
              <w:spacing w:after="0" w:line="240" w:lineRule="auto"/>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FISICAS POR G</w:t>
            </w:r>
            <w:r w:rsidR="00510CA3" w:rsidRPr="00A07BE9">
              <w:rPr>
                <w:rFonts w:ascii="Open Sans" w:eastAsia="Times New Roman" w:hAnsi="Open Sans" w:cs="Open Sans"/>
                <w:b/>
                <w:bCs/>
                <w:color w:val="000000"/>
                <w:sz w:val="20"/>
                <w:szCs w:val="20"/>
                <w:lang w:eastAsia="es-ES"/>
              </w:rPr>
              <w:t>É</w:t>
            </w:r>
            <w:r w:rsidRPr="00A07BE9">
              <w:rPr>
                <w:rFonts w:ascii="Open Sans" w:eastAsia="Times New Roman" w:hAnsi="Open Sans" w:cs="Open Sans"/>
                <w:b/>
                <w:bCs/>
                <w:color w:val="000000"/>
                <w:sz w:val="20"/>
                <w:szCs w:val="20"/>
                <w:lang w:eastAsia="es-ES"/>
              </w:rPr>
              <w:t>NERO</w:t>
            </w:r>
          </w:p>
        </w:tc>
        <w:tc>
          <w:tcPr>
            <w:tcW w:w="616" w:type="pct"/>
            <w:tcBorders>
              <w:top w:val="single" w:sz="4" w:space="0" w:color="auto"/>
              <w:left w:val="nil"/>
              <w:bottom w:val="single" w:sz="4" w:space="0" w:color="auto"/>
              <w:right w:val="single" w:sz="4" w:space="0" w:color="auto"/>
            </w:tcBorders>
            <w:shd w:val="clear" w:color="auto" w:fill="C6C6C6"/>
            <w:noWrap/>
            <w:vAlign w:val="center"/>
            <w:hideMark/>
          </w:tcPr>
          <w:p w14:paraId="391359B4"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2017</w:t>
            </w:r>
          </w:p>
        </w:tc>
        <w:tc>
          <w:tcPr>
            <w:tcW w:w="617" w:type="pct"/>
            <w:tcBorders>
              <w:top w:val="single" w:sz="4" w:space="0" w:color="auto"/>
              <w:left w:val="nil"/>
              <w:bottom w:val="single" w:sz="4" w:space="0" w:color="auto"/>
              <w:right w:val="single" w:sz="4" w:space="0" w:color="auto"/>
            </w:tcBorders>
            <w:shd w:val="clear" w:color="auto" w:fill="C6C6C6"/>
            <w:noWrap/>
            <w:vAlign w:val="center"/>
            <w:hideMark/>
          </w:tcPr>
          <w:p w14:paraId="36650DDB"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2017 %</w:t>
            </w:r>
          </w:p>
        </w:tc>
        <w:tc>
          <w:tcPr>
            <w:tcW w:w="617" w:type="pct"/>
            <w:tcBorders>
              <w:top w:val="single" w:sz="4" w:space="0" w:color="auto"/>
              <w:left w:val="nil"/>
              <w:bottom w:val="single" w:sz="4" w:space="0" w:color="auto"/>
              <w:right w:val="single" w:sz="4" w:space="0" w:color="auto"/>
            </w:tcBorders>
            <w:shd w:val="clear" w:color="auto" w:fill="C6C6C6"/>
            <w:noWrap/>
            <w:vAlign w:val="center"/>
            <w:hideMark/>
          </w:tcPr>
          <w:p w14:paraId="5DD16C43"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2018</w:t>
            </w:r>
          </w:p>
        </w:tc>
        <w:tc>
          <w:tcPr>
            <w:tcW w:w="617" w:type="pct"/>
            <w:tcBorders>
              <w:top w:val="single" w:sz="4" w:space="0" w:color="auto"/>
              <w:left w:val="nil"/>
              <w:bottom w:val="single" w:sz="4" w:space="0" w:color="auto"/>
              <w:right w:val="single" w:sz="4" w:space="0" w:color="auto"/>
            </w:tcBorders>
            <w:shd w:val="clear" w:color="auto" w:fill="C6C6C6"/>
            <w:noWrap/>
            <w:vAlign w:val="center"/>
            <w:hideMark/>
          </w:tcPr>
          <w:p w14:paraId="46334126"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2018 %</w:t>
            </w:r>
          </w:p>
        </w:tc>
        <w:tc>
          <w:tcPr>
            <w:tcW w:w="617" w:type="pct"/>
            <w:tcBorders>
              <w:top w:val="single" w:sz="4" w:space="0" w:color="auto"/>
              <w:left w:val="nil"/>
              <w:bottom w:val="single" w:sz="4" w:space="0" w:color="auto"/>
              <w:right w:val="single" w:sz="4" w:space="0" w:color="auto"/>
            </w:tcBorders>
            <w:shd w:val="clear" w:color="auto" w:fill="C6C6C6"/>
            <w:noWrap/>
            <w:vAlign w:val="center"/>
            <w:hideMark/>
          </w:tcPr>
          <w:p w14:paraId="37571D7B"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2019</w:t>
            </w:r>
          </w:p>
        </w:tc>
        <w:tc>
          <w:tcPr>
            <w:tcW w:w="614" w:type="pct"/>
            <w:tcBorders>
              <w:top w:val="single" w:sz="4" w:space="0" w:color="auto"/>
              <w:left w:val="nil"/>
              <w:bottom w:val="single" w:sz="4" w:space="0" w:color="auto"/>
              <w:right w:val="single" w:sz="4" w:space="0" w:color="auto"/>
            </w:tcBorders>
            <w:shd w:val="clear" w:color="auto" w:fill="C6C6C6"/>
            <w:noWrap/>
            <w:vAlign w:val="center"/>
            <w:hideMark/>
          </w:tcPr>
          <w:p w14:paraId="2412C6E3"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2019 %</w:t>
            </w:r>
          </w:p>
        </w:tc>
      </w:tr>
      <w:tr w:rsidR="009568B0" w:rsidRPr="00A07BE9" w14:paraId="0D6DD7F5" w14:textId="77777777" w:rsidTr="005E047E">
        <w:trPr>
          <w:trHeight w:val="312"/>
        </w:trPr>
        <w:tc>
          <w:tcPr>
            <w:tcW w:w="1302" w:type="pct"/>
            <w:tcBorders>
              <w:top w:val="nil"/>
              <w:left w:val="single" w:sz="4" w:space="0" w:color="auto"/>
              <w:bottom w:val="single" w:sz="4" w:space="0" w:color="auto"/>
              <w:right w:val="single" w:sz="4" w:space="0" w:color="auto"/>
            </w:tcBorders>
            <w:shd w:val="clear" w:color="auto" w:fill="auto"/>
            <w:noWrap/>
            <w:vAlign w:val="center"/>
            <w:hideMark/>
          </w:tcPr>
          <w:p w14:paraId="5336409C"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Hombre</w:t>
            </w:r>
          </w:p>
        </w:tc>
        <w:tc>
          <w:tcPr>
            <w:tcW w:w="616" w:type="pct"/>
            <w:tcBorders>
              <w:top w:val="nil"/>
              <w:left w:val="nil"/>
              <w:bottom w:val="single" w:sz="4" w:space="0" w:color="auto"/>
              <w:right w:val="single" w:sz="4" w:space="0" w:color="auto"/>
            </w:tcBorders>
            <w:shd w:val="clear" w:color="auto" w:fill="auto"/>
            <w:noWrap/>
            <w:vAlign w:val="center"/>
            <w:hideMark/>
          </w:tcPr>
          <w:p w14:paraId="6359867F"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30</w:t>
            </w:r>
          </w:p>
        </w:tc>
        <w:tc>
          <w:tcPr>
            <w:tcW w:w="617" w:type="pct"/>
            <w:tcBorders>
              <w:top w:val="nil"/>
              <w:left w:val="nil"/>
              <w:bottom w:val="single" w:sz="4" w:space="0" w:color="auto"/>
              <w:right w:val="single" w:sz="4" w:space="0" w:color="auto"/>
            </w:tcBorders>
            <w:shd w:val="clear" w:color="auto" w:fill="auto"/>
            <w:noWrap/>
            <w:vAlign w:val="center"/>
            <w:hideMark/>
          </w:tcPr>
          <w:p w14:paraId="7C89B091"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100 %</w:t>
            </w:r>
          </w:p>
        </w:tc>
        <w:tc>
          <w:tcPr>
            <w:tcW w:w="617" w:type="pct"/>
            <w:tcBorders>
              <w:top w:val="nil"/>
              <w:left w:val="nil"/>
              <w:bottom w:val="single" w:sz="4" w:space="0" w:color="auto"/>
              <w:right w:val="single" w:sz="4" w:space="0" w:color="auto"/>
            </w:tcBorders>
            <w:shd w:val="clear" w:color="auto" w:fill="auto"/>
            <w:noWrap/>
            <w:vAlign w:val="center"/>
            <w:hideMark/>
          </w:tcPr>
          <w:p w14:paraId="4947A33C"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59</w:t>
            </w:r>
          </w:p>
        </w:tc>
        <w:tc>
          <w:tcPr>
            <w:tcW w:w="617" w:type="pct"/>
            <w:tcBorders>
              <w:top w:val="nil"/>
              <w:left w:val="nil"/>
              <w:bottom w:val="single" w:sz="4" w:space="0" w:color="auto"/>
              <w:right w:val="single" w:sz="4" w:space="0" w:color="auto"/>
            </w:tcBorders>
            <w:shd w:val="clear" w:color="auto" w:fill="auto"/>
            <w:noWrap/>
            <w:vAlign w:val="center"/>
            <w:hideMark/>
          </w:tcPr>
          <w:p w14:paraId="5C4E18AD"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78 %</w:t>
            </w:r>
          </w:p>
        </w:tc>
        <w:tc>
          <w:tcPr>
            <w:tcW w:w="617" w:type="pct"/>
            <w:tcBorders>
              <w:top w:val="nil"/>
              <w:left w:val="nil"/>
              <w:bottom w:val="single" w:sz="4" w:space="0" w:color="auto"/>
              <w:right w:val="single" w:sz="4" w:space="0" w:color="auto"/>
            </w:tcBorders>
            <w:shd w:val="clear" w:color="auto" w:fill="auto"/>
            <w:noWrap/>
            <w:vAlign w:val="center"/>
            <w:hideMark/>
          </w:tcPr>
          <w:p w14:paraId="3B15838F"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59</w:t>
            </w:r>
          </w:p>
        </w:tc>
        <w:tc>
          <w:tcPr>
            <w:tcW w:w="614" w:type="pct"/>
            <w:tcBorders>
              <w:top w:val="nil"/>
              <w:left w:val="nil"/>
              <w:bottom w:val="single" w:sz="4" w:space="0" w:color="auto"/>
              <w:right w:val="single" w:sz="4" w:space="0" w:color="auto"/>
            </w:tcBorders>
            <w:shd w:val="clear" w:color="auto" w:fill="auto"/>
            <w:noWrap/>
            <w:vAlign w:val="center"/>
            <w:hideMark/>
          </w:tcPr>
          <w:p w14:paraId="4364CF34"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73 %</w:t>
            </w:r>
          </w:p>
        </w:tc>
      </w:tr>
      <w:tr w:rsidR="009568B0" w:rsidRPr="00A07BE9" w14:paraId="7C3EEA6B" w14:textId="77777777" w:rsidTr="005E047E">
        <w:trPr>
          <w:trHeight w:val="312"/>
        </w:trPr>
        <w:tc>
          <w:tcPr>
            <w:tcW w:w="1302" w:type="pct"/>
            <w:tcBorders>
              <w:top w:val="nil"/>
              <w:left w:val="single" w:sz="4" w:space="0" w:color="auto"/>
              <w:bottom w:val="single" w:sz="4" w:space="0" w:color="auto"/>
              <w:right w:val="single" w:sz="4" w:space="0" w:color="auto"/>
            </w:tcBorders>
            <w:shd w:val="clear" w:color="auto" w:fill="auto"/>
            <w:noWrap/>
            <w:vAlign w:val="center"/>
            <w:hideMark/>
          </w:tcPr>
          <w:p w14:paraId="4A029238"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Mujer</w:t>
            </w:r>
          </w:p>
        </w:tc>
        <w:tc>
          <w:tcPr>
            <w:tcW w:w="616" w:type="pct"/>
            <w:tcBorders>
              <w:top w:val="nil"/>
              <w:left w:val="nil"/>
              <w:bottom w:val="single" w:sz="4" w:space="0" w:color="auto"/>
              <w:right w:val="single" w:sz="4" w:space="0" w:color="auto"/>
            </w:tcBorders>
            <w:shd w:val="clear" w:color="auto" w:fill="auto"/>
            <w:noWrap/>
            <w:vAlign w:val="center"/>
            <w:hideMark/>
          </w:tcPr>
          <w:p w14:paraId="5FB03B5E"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w:t>
            </w:r>
          </w:p>
        </w:tc>
        <w:tc>
          <w:tcPr>
            <w:tcW w:w="617" w:type="pct"/>
            <w:tcBorders>
              <w:top w:val="nil"/>
              <w:left w:val="nil"/>
              <w:bottom w:val="single" w:sz="4" w:space="0" w:color="auto"/>
              <w:right w:val="single" w:sz="4" w:space="0" w:color="auto"/>
            </w:tcBorders>
            <w:shd w:val="clear" w:color="auto" w:fill="auto"/>
            <w:noWrap/>
            <w:vAlign w:val="center"/>
            <w:hideMark/>
          </w:tcPr>
          <w:p w14:paraId="06E27ADD"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0 %</w:t>
            </w:r>
          </w:p>
        </w:tc>
        <w:tc>
          <w:tcPr>
            <w:tcW w:w="617" w:type="pct"/>
            <w:tcBorders>
              <w:top w:val="nil"/>
              <w:left w:val="nil"/>
              <w:bottom w:val="single" w:sz="4" w:space="0" w:color="auto"/>
              <w:right w:val="single" w:sz="4" w:space="0" w:color="auto"/>
            </w:tcBorders>
            <w:shd w:val="clear" w:color="auto" w:fill="auto"/>
            <w:noWrap/>
            <w:vAlign w:val="center"/>
            <w:hideMark/>
          </w:tcPr>
          <w:p w14:paraId="39903179"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17</w:t>
            </w:r>
          </w:p>
        </w:tc>
        <w:tc>
          <w:tcPr>
            <w:tcW w:w="617" w:type="pct"/>
            <w:tcBorders>
              <w:top w:val="nil"/>
              <w:left w:val="nil"/>
              <w:bottom w:val="single" w:sz="4" w:space="0" w:color="auto"/>
              <w:right w:val="single" w:sz="4" w:space="0" w:color="auto"/>
            </w:tcBorders>
            <w:shd w:val="clear" w:color="auto" w:fill="auto"/>
            <w:noWrap/>
            <w:vAlign w:val="center"/>
            <w:hideMark/>
          </w:tcPr>
          <w:p w14:paraId="6BC6C9D8"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22 %</w:t>
            </w:r>
          </w:p>
        </w:tc>
        <w:tc>
          <w:tcPr>
            <w:tcW w:w="617" w:type="pct"/>
            <w:tcBorders>
              <w:top w:val="nil"/>
              <w:left w:val="nil"/>
              <w:bottom w:val="single" w:sz="4" w:space="0" w:color="auto"/>
              <w:right w:val="single" w:sz="4" w:space="0" w:color="auto"/>
            </w:tcBorders>
            <w:shd w:val="clear" w:color="auto" w:fill="auto"/>
            <w:noWrap/>
            <w:vAlign w:val="center"/>
            <w:hideMark/>
          </w:tcPr>
          <w:p w14:paraId="443A49F9"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22</w:t>
            </w:r>
          </w:p>
        </w:tc>
        <w:tc>
          <w:tcPr>
            <w:tcW w:w="614" w:type="pct"/>
            <w:tcBorders>
              <w:top w:val="nil"/>
              <w:left w:val="nil"/>
              <w:bottom w:val="single" w:sz="4" w:space="0" w:color="auto"/>
              <w:right w:val="single" w:sz="4" w:space="0" w:color="auto"/>
            </w:tcBorders>
            <w:shd w:val="clear" w:color="auto" w:fill="auto"/>
            <w:noWrap/>
            <w:vAlign w:val="center"/>
            <w:hideMark/>
          </w:tcPr>
          <w:p w14:paraId="0B349B85"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27 %</w:t>
            </w:r>
          </w:p>
        </w:tc>
      </w:tr>
      <w:tr w:rsidR="009568B0" w:rsidRPr="00A07BE9" w14:paraId="1C179C4F" w14:textId="77777777" w:rsidTr="005E047E">
        <w:trPr>
          <w:trHeight w:val="312"/>
        </w:trPr>
        <w:tc>
          <w:tcPr>
            <w:tcW w:w="130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E0384F" w14:textId="77777777" w:rsidR="009568B0" w:rsidRPr="00A07BE9" w:rsidRDefault="009568B0" w:rsidP="009568B0">
            <w:pPr>
              <w:spacing w:after="0" w:line="240" w:lineRule="auto"/>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TOTAL</w:t>
            </w:r>
          </w:p>
        </w:tc>
        <w:tc>
          <w:tcPr>
            <w:tcW w:w="61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DD1760"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30</w:t>
            </w:r>
          </w:p>
        </w:tc>
        <w:tc>
          <w:tcPr>
            <w:tcW w:w="6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D68E33"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100%</w:t>
            </w:r>
          </w:p>
        </w:tc>
        <w:tc>
          <w:tcPr>
            <w:tcW w:w="6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1A0994"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76</w:t>
            </w:r>
          </w:p>
        </w:tc>
        <w:tc>
          <w:tcPr>
            <w:tcW w:w="6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EE3E72"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100%</w:t>
            </w:r>
          </w:p>
        </w:tc>
        <w:tc>
          <w:tcPr>
            <w:tcW w:w="6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DE606D"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81</w:t>
            </w:r>
          </w:p>
        </w:tc>
        <w:tc>
          <w:tcPr>
            <w:tcW w:w="6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25F43E"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100%</w:t>
            </w:r>
          </w:p>
        </w:tc>
      </w:tr>
    </w:tbl>
    <w:p w14:paraId="4CCFA0DA" w14:textId="566225B7" w:rsidR="005E047E" w:rsidRPr="00A07BE9" w:rsidRDefault="005E047E" w:rsidP="009568B0">
      <w:pPr>
        <w:spacing w:after="0" w:line="276" w:lineRule="auto"/>
        <w:ind w:right="-427"/>
        <w:rPr>
          <w:rFonts w:ascii="Open Sans" w:eastAsia="NSimSun" w:hAnsi="Open Sans" w:cs="Open Sans"/>
          <w:b/>
          <w:color w:val="9D2235"/>
          <w:kern w:val="2"/>
          <w:sz w:val="20"/>
          <w:szCs w:val="20"/>
          <w:lang w:eastAsia="zh-CN" w:bidi="hi-IN"/>
        </w:rPr>
      </w:pPr>
    </w:p>
    <w:p w14:paraId="26312CAD" w14:textId="77777777" w:rsidR="003A60FD" w:rsidRPr="00A07BE9" w:rsidRDefault="003A60FD" w:rsidP="009568B0">
      <w:pPr>
        <w:spacing w:after="0" w:line="276" w:lineRule="auto"/>
        <w:ind w:right="-427"/>
        <w:rPr>
          <w:rFonts w:ascii="Open Sans" w:eastAsia="NSimSun" w:hAnsi="Open Sans" w:cs="Open Sans"/>
          <w:b/>
          <w:color w:val="9D2235"/>
          <w:kern w:val="2"/>
          <w:sz w:val="20"/>
          <w:szCs w:val="20"/>
          <w:lang w:eastAsia="zh-CN" w:bidi="hi-IN"/>
        </w:rPr>
      </w:pPr>
    </w:p>
    <w:p w14:paraId="648B9630" w14:textId="3F702887" w:rsidR="009568B0" w:rsidRPr="00A07BE9" w:rsidRDefault="009568B0" w:rsidP="009568B0">
      <w:pPr>
        <w:spacing w:after="0" w:line="276" w:lineRule="auto"/>
        <w:ind w:right="-427"/>
        <w:rPr>
          <w:rFonts w:ascii="Open Sans" w:eastAsia="NSimSun" w:hAnsi="Open Sans" w:cs="Open Sans"/>
          <w:b/>
          <w:kern w:val="2"/>
          <w:sz w:val="20"/>
          <w:szCs w:val="20"/>
          <w:lang w:eastAsia="zh-CN" w:bidi="hi-IN"/>
        </w:rPr>
      </w:pPr>
      <w:r w:rsidRPr="00A07BE9">
        <w:rPr>
          <w:rFonts w:ascii="Open Sans" w:eastAsia="NSimSun" w:hAnsi="Open Sans" w:cs="Open Sans"/>
          <w:b/>
          <w:color w:val="9D2235"/>
          <w:kern w:val="2"/>
          <w:sz w:val="20"/>
          <w:szCs w:val="20"/>
          <w:lang w:eastAsia="zh-CN" w:bidi="hi-IN"/>
        </w:rPr>
        <w:t xml:space="preserve">Gráfico 7 </w:t>
      </w:r>
      <w:r w:rsidRPr="00A07BE9">
        <w:rPr>
          <w:rFonts w:ascii="Open Sans" w:eastAsia="NSimSun" w:hAnsi="Open Sans" w:cs="Open Sans"/>
          <w:b/>
          <w:kern w:val="2"/>
          <w:sz w:val="20"/>
          <w:szCs w:val="20"/>
          <w:lang w:eastAsia="zh-CN" w:bidi="hi-IN"/>
        </w:rPr>
        <w:t>Denuncias de personas físicas clasificadas por género.</w:t>
      </w:r>
    </w:p>
    <w:p w14:paraId="4D96B5B7" w14:textId="2012362F" w:rsidR="00D944CA" w:rsidRPr="00A07BE9" w:rsidRDefault="00D944CA" w:rsidP="00D944CA">
      <w:pPr>
        <w:spacing w:after="0" w:line="276" w:lineRule="auto"/>
        <w:ind w:right="-427"/>
        <w:rPr>
          <w:rFonts w:ascii="Open Sans" w:eastAsia="NSimSun" w:hAnsi="Open Sans" w:cs="Open Sans"/>
          <w:b/>
          <w:kern w:val="2"/>
          <w:sz w:val="20"/>
          <w:szCs w:val="20"/>
          <w:lang w:eastAsia="zh-CN" w:bidi="hi-IN"/>
        </w:rPr>
      </w:pPr>
    </w:p>
    <w:p w14:paraId="5A0DA0A7" w14:textId="75B56B28" w:rsidR="009568B0" w:rsidRPr="00A07BE9" w:rsidRDefault="00D944CA" w:rsidP="009568B0">
      <w:pPr>
        <w:spacing w:after="0" w:line="276" w:lineRule="auto"/>
        <w:ind w:right="-427"/>
        <w:jc w:val="center"/>
        <w:rPr>
          <w:rFonts w:ascii="Open Sans" w:eastAsia="NSimSun" w:hAnsi="Open Sans" w:cs="Open Sans"/>
          <w:b/>
          <w:kern w:val="2"/>
          <w:sz w:val="21"/>
          <w:szCs w:val="21"/>
          <w:lang w:eastAsia="zh-CN" w:bidi="hi-IN"/>
        </w:rPr>
      </w:pPr>
      <w:r w:rsidRPr="00A07BE9">
        <w:rPr>
          <w:rFonts w:ascii="Open Sans" w:eastAsia="NSimSun" w:hAnsi="Open Sans" w:cs="Arial"/>
          <w:noProof/>
          <w:kern w:val="2"/>
          <w:sz w:val="24"/>
          <w:szCs w:val="24"/>
          <w:lang w:eastAsia="es-ES"/>
        </w:rPr>
        <w:drawing>
          <wp:anchor distT="0" distB="0" distL="114300" distR="114300" simplePos="0" relativeHeight="251885568" behindDoc="1" locked="0" layoutInCell="1" allowOverlap="1" wp14:anchorId="76436627" wp14:editId="4BDCE5AD">
            <wp:simplePos x="0" y="0"/>
            <wp:positionH relativeFrom="margin">
              <wp:align>center</wp:align>
            </wp:positionH>
            <wp:positionV relativeFrom="paragraph">
              <wp:posOffset>8255</wp:posOffset>
            </wp:positionV>
            <wp:extent cx="4448175" cy="2257425"/>
            <wp:effectExtent l="0" t="0" r="9525" b="9525"/>
            <wp:wrapTight wrapText="bothSides">
              <wp:wrapPolygon edited="0">
                <wp:start x="0" y="0"/>
                <wp:lineTo x="0" y="21509"/>
                <wp:lineTo x="21554" y="21509"/>
                <wp:lineTo x="21554" y="0"/>
                <wp:lineTo x="0" y="0"/>
              </wp:wrapPolygon>
            </wp:wrapTight>
            <wp:docPr id="59" name="Gráfico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H relativeFrom="margin">
              <wp14:pctWidth>0</wp14:pctWidth>
            </wp14:sizeRelH>
          </wp:anchor>
        </w:drawing>
      </w:r>
    </w:p>
    <w:p w14:paraId="57D9121D" w14:textId="77777777" w:rsidR="009568B0" w:rsidRPr="00A07BE9" w:rsidRDefault="009568B0" w:rsidP="009568B0">
      <w:pPr>
        <w:spacing w:after="0" w:line="276" w:lineRule="auto"/>
        <w:ind w:right="-427"/>
        <w:jc w:val="center"/>
        <w:rPr>
          <w:rFonts w:ascii="Open Sans" w:eastAsia="NSimSun" w:hAnsi="Open Sans" w:cs="Open Sans"/>
          <w:kern w:val="2"/>
          <w:sz w:val="21"/>
          <w:szCs w:val="21"/>
          <w:lang w:eastAsia="zh-CN" w:bidi="hi-IN"/>
        </w:rPr>
      </w:pPr>
    </w:p>
    <w:p w14:paraId="2DC01EB4" w14:textId="77777777" w:rsidR="00D944CA" w:rsidRPr="00A07BE9" w:rsidRDefault="00D944CA" w:rsidP="009568B0">
      <w:pPr>
        <w:spacing w:after="0" w:line="276" w:lineRule="auto"/>
        <w:jc w:val="both"/>
        <w:rPr>
          <w:rFonts w:ascii="Open Sans" w:eastAsia="NSimSun" w:hAnsi="Open Sans" w:cs="Open Sans"/>
          <w:kern w:val="2"/>
          <w:sz w:val="20"/>
          <w:szCs w:val="20"/>
          <w:lang w:eastAsia="zh-CN" w:bidi="hi-IN"/>
        </w:rPr>
      </w:pPr>
    </w:p>
    <w:p w14:paraId="033C3C5F" w14:textId="77777777" w:rsidR="00D944CA" w:rsidRPr="00A07BE9" w:rsidRDefault="00D944CA" w:rsidP="009568B0">
      <w:pPr>
        <w:spacing w:after="0" w:line="276" w:lineRule="auto"/>
        <w:jc w:val="both"/>
        <w:rPr>
          <w:rFonts w:ascii="Open Sans" w:eastAsia="NSimSun" w:hAnsi="Open Sans" w:cs="Open Sans"/>
          <w:kern w:val="2"/>
          <w:sz w:val="20"/>
          <w:szCs w:val="20"/>
          <w:lang w:eastAsia="zh-CN" w:bidi="hi-IN"/>
        </w:rPr>
      </w:pPr>
    </w:p>
    <w:p w14:paraId="3AC4A24F" w14:textId="77777777" w:rsidR="00D944CA" w:rsidRPr="00A07BE9" w:rsidRDefault="00D944CA" w:rsidP="009568B0">
      <w:pPr>
        <w:spacing w:after="0" w:line="276" w:lineRule="auto"/>
        <w:jc w:val="both"/>
        <w:rPr>
          <w:rFonts w:ascii="Open Sans" w:eastAsia="NSimSun" w:hAnsi="Open Sans" w:cs="Open Sans"/>
          <w:kern w:val="2"/>
          <w:sz w:val="20"/>
          <w:szCs w:val="20"/>
          <w:lang w:eastAsia="zh-CN" w:bidi="hi-IN"/>
        </w:rPr>
      </w:pPr>
    </w:p>
    <w:p w14:paraId="499014D1" w14:textId="77777777" w:rsidR="00D944CA" w:rsidRPr="00A07BE9" w:rsidRDefault="00D944CA" w:rsidP="009568B0">
      <w:pPr>
        <w:spacing w:after="0" w:line="276" w:lineRule="auto"/>
        <w:jc w:val="both"/>
        <w:rPr>
          <w:rFonts w:ascii="Open Sans" w:eastAsia="NSimSun" w:hAnsi="Open Sans" w:cs="Open Sans"/>
          <w:kern w:val="2"/>
          <w:sz w:val="20"/>
          <w:szCs w:val="20"/>
          <w:lang w:eastAsia="zh-CN" w:bidi="hi-IN"/>
        </w:rPr>
      </w:pPr>
    </w:p>
    <w:p w14:paraId="1436B27E" w14:textId="77777777" w:rsidR="00D944CA" w:rsidRPr="00A07BE9" w:rsidRDefault="00D944CA" w:rsidP="009568B0">
      <w:pPr>
        <w:spacing w:after="0" w:line="276" w:lineRule="auto"/>
        <w:jc w:val="both"/>
        <w:rPr>
          <w:rFonts w:ascii="Open Sans" w:eastAsia="NSimSun" w:hAnsi="Open Sans" w:cs="Open Sans"/>
          <w:kern w:val="2"/>
          <w:sz w:val="20"/>
          <w:szCs w:val="20"/>
          <w:lang w:eastAsia="zh-CN" w:bidi="hi-IN"/>
        </w:rPr>
      </w:pPr>
    </w:p>
    <w:p w14:paraId="34C42384" w14:textId="77777777" w:rsidR="00D944CA" w:rsidRPr="00A07BE9" w:rsidRDefault="00D944CA" w:rsidP="009568B0">
      <w:pPr>
        <w:spacing w:after="0" w:line="276" w:lineRule="auto"/>
        <w:jc w:val="both"/>
        <w:rPr>
          <w:rFonts w:ascii="Open Sans" w:eastAsia="NSimSun" w:hAnsi="Open Sans" w:cs="Open Sans"/>
          <w:kern w:val="2"/>
          <w:sz w:val="20"/>
          <w:szCs w:val="20"/>
          <w:lang w:eastAsia="zh-CN" w:bidi="hi-IN"/>
        </w:rPr>
      </w:pPr>
    </w:p>
    <w:p w14:paraId="26CAD508" w14:textId="77777777" w:rsidR="00D944CA" w:rsidRPr="00A07BE9" w:rsidRDefault="00D944CA" w:rsidP="009568B0">
      <w:pPr>
        <w:spacing w:after="0" w:line="276" w:lineRule="auto"/>
        <w:jc w:val="both"/>
        <w:rPr>
          <w:rFonts w:ascii="Open Sans" w:eastAsia="NSimSun" w:hAnsi="Open Sans" w:cs="Open Sans"/>
          <w:kern w:val="2"/>
          <w:sz w:val="20"/>
          <w:szCs w:val="20"/>
          <w:lang w:eastAsia="zh-CN" w:bidi="hi-IN"/>
        </w:rPr>
      </w:pPr>
    </w:p>
    <w:p w14:paraId="22A2802D" w14:textId="77777777" w:rsidR="00D944CA" w:rsidRPr="00A07BE9" w:rsidRDefault="00D944CA" w:rsidP="009568B0">
      <w:pPr>
        <w:spacing w:after="0" w:line="276" w:lineRule="auto"/>
        <w:jc w:val="both"/>
        <w:rPr>
          <w:rFonts w:ascii="Open Sans" w:eastAsia="NSimSun" w:hAnsi="Open Sans" w:cs="Open Sans"/>
          <w:kern w:val="2"/>
          <w:sz w:val="20"/>
          <w:szCs w:val="20"/>
          <w:lang w:eastAsia="zh-CN" w:bidi="hi-IN"/>
        </w:rPr>
      </w:pPr>
    </w:p>
    <w:p w14:paraId="002705A9" w14:textId="77777777" w:rsidR="00D944CA" w:rsidRPr="00A07BE9" w:rsidRDefault="00D944CA" w:rsidP="009568B0">
      <w:pPr>
        <w:spacing w:after="0" w:line="276" w:lineRule="auto"/>
        <w:jc w:val="both"/>
        <w:rPr>
          <w:rFonts w:ascii="Open Sans" w:eastAsia="NSimSun" w:hAnsi="Open Sans" w:cs="Open Sans"/>
          <w:kern w:val="2"/>
          <w:sz w:val="20"/>
          <w:szCs w:val="20"/>
          <w:lang w:eastAsia="zh-CN" w:bidi="hi-IN"/>
        </w:rPr>
      </w:pPr>
    </w:p>
    <w:p w14:paraId="471C21D4" w14:textId="77777777" w:rsidR="00D944CA" w:rsidRPr="00A07BE9" w:rsidRDefault="00D944CA" w:rsidP="009568B0">
      <w:pPr>
        <w:spacing w:after="0" w:line="276" w:lineRule="auto"/>
        <w:jc w:val="both"/>
        <w:rPr>
          <w:rFonts w:ascii="Open Sans" w:eastAsia="NSimSun" w:hAnsi="Open Sans" w:cs="Open Sans"/>
          <w:kern w:val="2"/>
          <w:sz w:val="20"/>
          <w:szCs w:val="20"/>
          <w:lang w:eastAsia="zh-CN" w:bidi="hi-IN"/>
        </w:rPr>
      </w:pPr>
    </w:p>
    <w:p w14:paraId="3D98CE82" w14:textId="7410E488"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De dichos datos se deduce una evolución lineal y un mantenimiento de las proporciones entre las denuncias presentadas por hombres, que oscilan alrededor del 75% del total, y mujeres, a las que les corresponde el 25% restante.</w:t>
      </w:r>
    </w:p>
    <w:p w14:paraId="5546D533" w14:textId="196DFBEB" w:rsidR="005877CF" w:rsidRPr="00A07BE9" w:rsidRDefault="005877CF" w:rsidP="009568B0">
      <w:pPr>
        <w:spacing w:after="0" w:line="276" w:lineRule="auto"/>
        <w:jc w:val="both"/>
        <w:rPr>
          <w:rFonts w:ascii="Open Sans" w:eastAsia="NSimSun" w:hAnsi="Open Sans" w:cs="Open Sans"/>
          <w:kern w:val="2"/>
          <w:sz w:val="20"/>
          <w:szCs w:val="20"/>
          <w:lang w:eastAsia="zh-CN" w:bidi="hi-IN"/>
        </w:rPr>
      </w:pPr>
    </w:p>
    <w:p w14:paraId="2B66198C" w14:textId="77777777" w:rsidR="005877CF" w:rsidRPr="00A07BE9" w:rsidRDefault="005877CF" w:rsidP="009568B0">
      <w:pPr>
        <w:spacing w:after="0" w:line="276" w:lineRule="auto"/>
        <w:jc w:val="both"/>
        <w:rPr>
          <w:rFonts w:ascii="Open Sans" w:eastAsia="NSimSun" w:hAnsi="Open Sans" w:cs="Open Sans"/>
          <w:kern w:val="2"/>
          <w:sz w:val="20"/>
          <w:szCs w:val="20"/>
          <w:lang w:eastAsia="zh-CN" w:bidi="hi-IN"/>
        </w:rPr>
      </w:pPr>
    </w:p>
    <w:p w14:paraId="2A372140" w14:textId="77777777" w:rsidR="009568B0" w:rsidRPr="00A07BE9" w:rsidRDefault="009568B0" w:rsidP="009568B0">
      <w:pPr>
        <w:spacing w:after="0" w:line="276" w:lineRule="auto"/>
        <w:jc w:val="both"/>
        <w:rPr>
          <w:rFonts w:ascii="Open Sans" w:eastAsia="NSimSun" w:hAnsi="Open Sans" w:cs="Arial"/>
          <w:b/>
          <w:bCs/>
          <w:color w:val="9D2235"/>
          <w:kern w:val="2"/>
          <w:sz w:val="32"/>
          <w:szCs w:val="32"/>
          <w:lang w:eastAsia="zh-CN" w:bidi="hi-IN"/>
        </w:rPr>
      </w:pPr>
      <w:r w:rsidRPr="00A07BE9">
        <w:rPr>
          <w:rFonts w:ascii="Open Sans" w:eastAsia="NSimSun" w:hAnsi="Open Sans" w:cs="Arial"/>
          <w:b/>
          <w:bCs/>
          <w:color w:val="9D2235"/>
          <w:kern w:val="2"/>
          <w:sz w:val="32"/>
          <w:szCs w:val="32"/>
          <w:lang w:eastAsia="zh-CN" w:bidi="hi-IN"/>
        </w:rPr>
        <w:t>3.4. PROCEDIMIENTO DE ANÁLISIS E INVESTIGACIÓN. SEGUIMIENTO DE ACTUACIONES.</w:t>
      </w:r>
    </w:p>
    <w:p w14:paraId="20036DCB"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3E97BA8C" w14:textId="4340C2A3"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8"/>
          <w:szCs w:val="28"/>
          <w:lang w:eastAsia="es-ES" w:bidi="hi-IN"/>
        </w:rPr>
      </w:pPr>
      <w:r w:rsidRPr="00A07BE9">
        <w:rPr>
          <w:rFonts w:ascii="Open Sans" w:eastAsia="Times New Roman" w:hAnsi="Open Sans" w:cs="Open Sans"/>
          <w:b/>
          <w:bCs/>
          <w:smallCaps/>
          <w:color w:val="9D2235"/>
          <w:kern w:val="2"/>
          <w:sz w:val="28"/>
          <w:szCs w:val="28"/>
          <w:lang w:eastAsia="es-ES" w:bidi="hi-IN"/>
        </w:rPr>
        <w:t>3.4.</w:t>
      </w:r>
      <w:r w:rsidR="005877CF" w:rsidRPr="00A07BE9">
        <w:rPr>
          <w:rFonts w:ascii="Open Sans" w:eastAsia="Times New Roman" w:hAnsi="Open Sans" w:cs="Open Sans"/>
          <w:b/>
          <w:bCs/>
          <w:smallCaps/>
          <w:color w:val="9D2235"/>
          <w:kern w:val="2"/>
          <w:sz w:val="28"/>
          <w:szCs w:val="28"/>
          <w:lang w:eastAsia="es-ES" w:bidi="hi-IN"/>
        </w:rPr>
        <w:t>1.</w:t>
      </w:r>
      <w:r w:rsidRPr="00A07BE9">
        <w:rPr>
          <w:rFonts w:ascii="Open Sans" w:eastAsia="Times New Roman" w:hAnsi="Open Sans" w:cs="Open Sans"/>
          <w:b/>
          <w:bCs/>
          <w:smallCaps/>
          <w:color w:val="9D2235"/>
          <w:kern w:val="2"/>
          <w:sz w:val="28"/>
          <w:szCs w:val="28"/>
          <w:lang w:eastAsia="es-ES" w:bidi="hi-IN"/>
        </w:rPr>
        <w:t xml:space="preserve"> Procedimiento de Análisis e Investigación</w:t>
      </w:r>
    </w:p>
    <w:p w14:paraId="5DDC505E" w14:textId="77777777"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0"/>
          <w:szCs w:val="20"/>
          <w:lang w:eastAsia="es-ES" w:bidi="hi-IN"/>
        </w:rPr>
      </w:pPr>
    </w:p>
    <w:p w14:paraId="00491301" w14:textId="7FCFB09F"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 xml:space="preserve">El procedimiento de análisis e investigación de denuncias está regulado en el </w:t>
      </w:r>
      <w:r w:rsidR="003408CE" w:rsidRPr="00A07BE9">
        <w:rPr>
          <w:rFonts w:ascii="Open Sans" w:eastAsia="NSimSun" w:hAnsi="Open Sans" w:cs="Arial"/>
          <w:kern w:val="2"/>
          <w:sz w:val="20"/>
          <w:szCs w:val="20"/>
          <w:lang w:eastAsia="zh-CN" w:bidi="hi-IN"/>
        </w:rPr>
        <w:t>artículo</w:t>
      </w:r>
      <w:r w:rsidRPr="00A07BE9">
        <w:rPr>
          <w:rFonts w:ascii="Open Sans" w:eastAsia="NSimSun" w:hAnsi="Open Sans" w:cs="Arial"/>
          <w:kern w:val="2"/>
          <w:sz w:val="20"/>
          <w:szCs w:val="20"/>
          <w:lang w:eastAsia="zh-CN" w:bidi="hi-IN"/>
        </w:rPr>
        <w:t xml:space="preserve"> 11 y siguientes de la </w:t>
      </w:r>
      <w:hyperlink r:id="rId88" w:history="1">
        <w:r w:rsidR="004C14BF" w:rsidRPr="00A07BE9">
          <w:rPr>
            <w:rStyle w:val="Hipervnculo"/>
            <w:rFonts w:ascii="Open Sans" w:hAnsi="Open Sans" w:cs="Open Sans"/>
            <w:sz w:val="20"/>
            <w:szCs w:val="20"/>
          </w:rPr>
          <w:t>Ley 11/2016</w:t>
        </w:r>
        <w:r w:rsidR="004C14BF" w:rsidRPr="00A07BE9">
          <w:rPr>
            <w:rStyle w:val="Hipervnculo"/>
            <w:rFonts w:ascii="Open Sans" w:hAnsi="Open Sans" w:cs="Open Sans"/>
            <w:color w:val="auto"/>
            <w:sz w:val="20"/>
            <w:szCs w:val="20"/>
            <w:u w:val="none"/>
          </w:rPr>
          <w:t>, de 28 de noviembre, de la Generalitat</w:t>
        </w:r>
      </w:hyperlink>
      <w:r w:rsidR="007C529F" w:rsidRPr="00A07BE9">
        <w:rPr>
          <w:rFonts w:ascii="Open Sans" w:eastAsia="NSimSun" w:hAnsi="Open Sans" w:cs="Arial"/>
          <w:kern w:val="2"/>
          <w:sz w:val="20"/>
          <w:szCs w:val="20"/>
          <w:lang w:eastAsia="zh-CN" w:bidi="hi-IN"/>
        </w:rPr>
        <w:t xml:space="preserve">, </w:t>
      </w:r>
      <w:r w:rsidRPr="00A07BE9">
        <w:rPr>
          <w:rFonts w:ascii="Open Sans" w:eastAsia="NSimSun" w:hAnsi="Open Sans" w:cs="Arial"/>
          <w:kern w:val="2"/>
          <w:sz w:val="20"/>
          <w:szCs w:val="20"/>
          <w:lang w:eastAsia="zh-CN" w:bidi="hi-IN"/>
        </w:rPr>
        <w:t>de la Agencia de Prevención y Lucha contra el Fraude y la Corrupción de la Comunitat Valenciana.</w:t>
      </w:r>
    </w:p>
    <w:p w14:paraId="0E6AB8AD" w14:textId="1EDF3A40"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lastRenderedPageBreak/>
        <w:t xml:space="preserve">Las actuaciones de la </w:t>
      </w:r>
      <w:r w:rsidR="004E6659" w:rsidRPr="00A07BE9">
        <w:rPr>
          <w:rFonts w:ascii="Open Sans" w:eastAsia="NSimSun" w:hAnsi="Open Sans" w:cs="Arial"/>
          <w:kern w:val="2"/>
          <w:sz w:val="20"/>
          <w:szCs w:val="20"/>
          <w:lang w:eastAsia="zh-CN" w:bidi="hi-IN"/>
        </w:rPr>
        <w:t>A</w:t>
      </w:r>
      <w:r w:rsidRPr="00A07BE9">
        <w:rPr>
          <w:rFonts w:ascii="Open Sans" w:eastAsia="NSimSun" w:hAnsi="Open Sans" w:cs="Arial"/>
          <w:kern w:val="2"/>
          <w:sz w:val="20"/>
          <w:szCs w:val="20"/>
          <w:lang w:eastAsia="zh-CN" w:bidi="hi-IN"/>
        </w:rPr>
        <w:t>gencia se iniciarán de oficio, por acuerdo del director o la directora, previa determinación de la verosimilitud, cuando sea sabedora de hechos o conductas que requieran ser investigados, inspeccionados o que aconsejen realizar un seguimiento y también cuando los indicadores de riesgo aconsejen la inspección o el seguimiento de determinados hechos o actividades.</w:t>
      </w:r>
    </w:p>
    <w:p w14:paraId="2F3B77E0"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1772A8F8"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Estas actuaciones, que configuran en puridad lo que se ha venido en denominar en el seno del expediente de investigación la “Fase de Análisis”, son previas a la adopción del acuerdo de inicio de actuaciones de investigación, lo que daría lugar al inicio de la “Fase de Investigación”. Estas primeras actuaciones indagatorias, en relación con los hechos puestos en conocimiento o en relación con las actuaciones incoadas de oficio, representan, cuantitativamente, una de las funciones principales que tiene encomendada la Dirección de Análisis e Investigación, dado que, como se expondrá en la sección correspondiente a estadística del procedimiento de análisis e investigación, únicamente un porcentaje de denuncias presentadas ha justificado la adopción de un acuerdo de iniciación de actuaciones de investigación.</w:t>
      </w:r>
    </w:p>
    <w:p w14:paraId="24C900EC"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4E351482"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Por lo que se refiere específicamente a las actuaciones de investigación, las actuaciones de investigación e inspección que lleve a cabo la Agencia tienen por objeto constatar y documentar casos concretos de uso o destino irregular de fondos públicos, de conductas del personal al servicio de las entidades públicas que comporten el uso o abuso en beneficio privado de informaciones que tengan por razón de sus funciones, o que tengan o puedan tener como resultado el uso o el destino irregular de fondos públicos o de cualquier otro aprovechamiento contrario al ordenamiento jurídico, así como de conductas opuestas a la integridad o contrarias a los principios de objetividad, eficacia y sumisión plena a la ley y al derecho. Igualmente, corresponde a la Agencia investigar los actos o las omisiones que pudieran ser constitutivos de infracción administrativa o disciplinaria y, en función de los resultados de la investigación, instar la incoación de los procedimientos que corresponda para depurar las responsabilidades que pudieran corresponder.</w:t>
      </w:r>
    </w:p>
    <w:p w14:paraId="65609099"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44982176" w14:textId="661272E9"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 xml:space="preserve">Como se acaba de decir, las actuaciones de investigación se inician por Resolución del </w:t>
      </w:r>
      <w:r w:rsidR="00E9433B" w:rsidRPr="00A07BE9">
        <w:rPr>
          <w:rFonts w:ascii="Open Sans" w:eastAsia="NSimSun" w:hAnsi="Open Sans" w:cs="Arial"/>
          <w:kern w:val="2"/>
          <w:sz w:val="20"/>
          <w:szCs w:val="20"/>
          <w:lang w:eastAsia="zh-CN" w:bidi="hi-IN"/>
        </w:rPr>
        <w:t>d</w:t>
      </w:r>
      <w:r w:rsidRPr="00A07BE9">
        <w:rPr>
          <w:rFonts w:ascii="Open Sans" w:eastAsia="NSimSun" w:hAnsi="Open Sans" w:cs="Arial"/>
          <w:kern w:val="2"/>
          <w:sz w:val="20"/>
          <w:szCs w:val="20"/>
          <w:lang w:eastAsia="zh-CN" w:bidi="hi-IN"/>
        </w:rPr>
        <w:t xml:space="preserve">irector de la Agencia, a partir de la cual y durante el plazo de 6 meses, ampliables, se realizan las actuaciones indagatorias correspondientes. A partir de la constatación de hechos y de las conductas investigadas, el </w:t>
      </w:r>
      <w:r w:rsidR="00E9433B" w:rsidRPr="00A07BE9">
        <w:rPr>
          <w:rFonts w:ascii="Open Sans" w:eastAsia="NSimSun" w:hAnsi="Open Sans" w:cs="Arial"/>
          <w:kern w:val="2"/>
          <w:sz w:val="20"/>
          <w:szCs w:val="20"/>
          <w:lang w:eastAsia="zh-CN" w:bidi="hi-IN"/>
        </w:rPr>
        <w:t>d</w:t>
      </w:r>
      <w:r w:rsidRPr="00A07BE9">
        <w:rPr>
          <w:rFonts w:ascii="Open Sans" w:eastAsia="NSimSun" w:hAnsi="Open Sans" w:cs="Arial"/>
          <w:kern w:val="2"/>
          <w:sz w:val="20"/>
          <w:szCs w:val="20"/>
          <w:lang w:eastAsia="zh-CN" w:bidi="hi-IN"/>
        </w:rPr>
        <w:t xml:space="preserve">irector de la Agencia finaliza las actuaciones mediante Resolución, pudiendo contener diferentes pronunciamientos, como recomendaciones a la entidad denunciada, comunicación de posibles responsabilidades a las autoridades competentes, o incluso el archivo de las actuaciones, cuando no se constaten indicios de responsabilidades o irregularidades ni disfunciones o prácticas susceptibles de mejora. </w:t>
      </w:r>
    </w:p>
    <w:p w14:paraId="1B488A94"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48F91A05" w14:textId="7E11C9A9"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 xml:space="preserve">A </w:t>
      </w:r>
      <w:r w:rsidR="00D944CA" w:rsidRPr="00A07BE9">
        <w:rPr>
          <w:rFonts w:ascii="Open Sans" w:eastAsia="NSimSun" w:hAnsi="Open Sans" w:cs="Arial"/>
          <w:kern w:val="2"/>
          <w:sz w:val="20"/>
          <w:szCs w:val="20"/>
          <w:lang w:eastAsia="zh-CN" w:bidi="hi-IN"/>
        </w:rPr>
        <w:t>continuación,</w:t>
      </w:r>
      <w:r w:rsidRPr="00A07BE9">
        <w:rPr>
          <w:rFonts w:ascii="Open Sans" w:eastAsia="NSimSun" w:hAnsi="Open Sans" w:cs="Arial"/>
          <w:kern w:val="2"/>
          <w:sz w:val="20"/>
          <w:szCs w:val="20"/>
          <w:lang w:eastAsia="zh-CN" w:bidi="hi-IN"/>
        </w:rPr>
        <w:t xml:space="preserve"> se introduce un diagrama de flujos que permite apreciar de una forma visual la estructura básica de la tramitación del expediente de análisis e investigación:</w:t>
      </w:r>
    </w:p>
    <w:p w14:paraId="4EC8CBF4" w14:textId="109DBFDD" w:rsidR="006F5661" w:rsidRPr="00A07BE9" w:rsidRDefault="006F5661" w:rsidP="009568B0">
      <w:pPr>
        <w:spacing w:after="0" w:line="276" w:lineRule="auto"/>
        <w:jc w:val="both"/>
        <w:rPr>
          <w:rFonts w:ascii="Open Sans" w:eastAsia="NSimSun" w:hAnsi="Open Sans" w:cs="Arial"/>
          <w:kern w:val="2"/>
          <w:sz w:val="21"/>
          <w:szCs w:val="21"/>
          <w:lang w:eastAsia="zh-CN" w:bidi="hi-IN"/>
        </w:rPr>
      </w:pPr>
    </w:p>
    <w:p w14:paraId="34ADE9D8" w14:textId="77777777" w:rsidR="00D075FF" w:rsidRPr="00A07BE9" w:rsidRDefault="00D075FF" w:rsidP="009568B0">
      <w:pPr>
        <w:spacing w:after="0" w:line="276" w:lineRule="auto"/>
        <w:jc w:val="both"/>
        <w:rPr>
          <w:rFonts w:ascii="Open Sans" w:eastAsia="NSimSun" w:hAnsi="Open Sans" w:cs="Arial"/>
          <w:kern w:val="2"/>
          <w:sz w:val="21"/>
          <w:szCs w:val="21"/>
          <w:lang w:eastAsia="zh-CN" w:bidi="hi-IN"/>
        </w:rPr>
      </w:pPr>
    </w:p>
    <w:p w14:paraId="7046C293" w14:textId="77777777" w:rsidR="005E047E" w:rsidRPr="00A07BE9" w:rsidRDefault="005E047E" w:rsidP="009568B0">
      <w:pPr>
        <w:spacing w:after="0" w:line="276" w:lineRule="auto"/>
        <w:jc w:val="both"/>
        <w:rPr>
          <w:rFonts w:ascii="Open Sans" w:eastAsia="NSimSun" w:hAnsi="Open Sans" w:cs="Arial"/>
          <w:kern w:val="2"/>
          <w:sz w:val="21"/>
          <w:szCs w:val="21"/>
          <w:lang w:eastAsia="zh-CN" w:bidi="hi-IN"/>
        </w:rPr>
      </w:pPr>
    </w:p>
    <w:p w14:paraId="4C4BF974" w14:textId="77777777" w:rsidR="009568B0" w:rsidRPr="00A07BE9" w:rsidRDefault="009568B0" w:rsidP="009568B0">
      <w:pPr>
        <w:spacing w:after="0" w:line="276" w:lineRule="auto"/>
        <w:jc w:val="center"/>
        <w:rPr>
          <w:rFonts w:ascii="Open Sans" w:eastAsia="NSimSun" w:hAnsi="Open Sans" w:cs="Arial"/>
          <w:b/>
          <w:color w:val="9D2235"/>
          <w:kern w:val="2"/>
          <w:sz w:val="20"/>
          <w:szCs w:val="20"/>
          <w:u w:val="single"/>
          <w:lang w:eastAsia="zh-CN" w:bidi="hi-IN"/>
        </w:rPr>
      </w:pPr>
      <w:r w:rsidRPr="00A07BE9">
        <w:rPr>
          <w:rFonts w:ascii="Open Sans" w:eastAsia="NSimSun" w:hAnsi="Open Sans" w:cs="Arial"/>
          <w:b/>
          <w:color w:val="9D2235"/>
          <w:kern w:val="2"/>
          <w:sz w:val="20"/>
          <w:szCs w:val="20"/>
          <w:u w:val="single"/>
          <w:lang w:eastAsia="zh-CN" w:bidi="hi-IN"/>
        </w:rPr>
        <w:t>DIAGRAMA DE FLUJOS DE LA FASE DE ANÁLISIS</w:t>
      </w:r>
    </w:p>
    <w:p w14:paraId="19ADA67E" w14:textId="77777777" w:rsidR="009568B0" w:rsidRPr="00A07BE9" w:rsidRDefault="009568B0" w:rsidP="009568B0">
      <w:pPr>
        <w:spacing w:after="0" w:line="276" w:lineRule="auto"/>
        <w:jc w:val="both"/>
        <w:rPr>
          <w:rFonts w:ascii="Open Sans" w:eastAsia="NSimSun" w:hAnsi="Open Sans" w:cs="Arial"/>
          <w:kern w:val="2"/>
          <w:sz w:val="21"/>
          <w:szCs w:val="21"/>
          <w:lang w:eastAsia="zh-CN" w:bidi="hi-IN"/>
        </w:rPr>
      </w:pPr>
    </w:p>
    <w:p w14:paraId="35D8F0F6" w14:textId="77777777" w:rsidR="009568B0" w:rsidRPr="00A07BE9" w:rsidRDefault="009568B0" w:rsidP="009568B0">
      <w:pPr>
        <w:spacing w:after="0" w:line="240" w:lineRule="auto"/>
        <w:jc w:val="center"/>
        <w:rPr>
          <w:rFonts w:ascii="Open Sans" w:eastAsia="NSimSun" w:hAnsi="Open Sans" w:cs="Arial"/>
          <w:i/>
          <w:iCs/>
          <w:kern w:val="2"/>
          <w:sz w:val="16"/>
          <w:szCs w:val="16"/>
          <w:lang w:eastAsia="zh-CN" w:bidi="hi-IN"/>
        </w:rPr>
      </w:pPr>
      <w:r w:rsidRPr="00A07BE9">
        <w:rPr>
          <w:rFonts w:ascii="Open Sans" w:eastAsia="NSimSun" w:hAnsi="Open Sans" w:cs="Arial"/>
          <w:i/>
          <w:iCs/>
          <w:noProof/>
          <w:kern w:val="2"/>
          <w:sz w:val="16"/>
          <w:szCs w:val="16"/>
          <w:lang w:eastAsia="es-ES"/>
        </w:rPr>
        <mc:AlternateContent>
          <mc:Choice Requires="wps">
            <w:drawing>
              <wp:anchor distT="0" distB="0" distL="0" distR="0" simplePos="0" relativeHeight="251808768" behindDoc="0" locked="0" layoutInCell="1" allowOverlap="1" wp14:anchorId="71489E32" wp14:editId="6BCFCD3C">
                <wp:simplePos x="0" y="0"/>
                <wp:positionH relativeFrom="column">
                  <wp:posOffset>1482090</wp:posOffset>
                </wp:positionH>
                <wp:positionV relativeFrom="paragraph">
                  <wp:posOffset>7620</wp:posOffset>
                </wp:positionV>
                <wp:extent cx="2219325" cy="733425"/>
                <wp:effectExtent l="0" t="0" r="28575" b="28575"/>
                <wp:wrapNone/>
                <wp:docPr id="60" name="Forma1"/>
                <wp:cNvGraphicFramePr/>
                <a:graphic xmlns:a="http://schemas.openxmlformats.org/drawingml/2006/main">
                  <a:graphicData uri="http://schemas.microsoft.com/office/word/2010/wordprocessingShape">
                    <wps:wsp>
                      <wps:cNvSpPr/>
                      <wps:spPr>
                        <a:xfrm>
                          <a:off x="0" y="0"/>
                          <a:ext cx="2219325" cy="733425"/>
                        </a:xfrm>
                        <a:custGeom>
                          <a:avLst/>
                          <a:gdLst/>
                          <a:ahLst/>
                          <a:cxnLst/>
                          <a:rect l="0" t="0" r="r" b="b"/>
                          <a:pathLst>
                            <a:path w="3997" h="1048">
                              <a:moveTo>
                                <a:pt x="174" y="0"/>
                              </a:moveTo>
                              <a:lnTo>
                                <a:pt x="175" y="0"/>
                              </a:lnTo>
                              <a:cubicBezTo>
                                <a:pt x="144" y="0"/>
                                <a:pt x="114" y="8"/>
                                <a:pt x="87" y="23"/>
                              </a:cubicBezTo>
                              <a:cubicBezTo>
                                <a:pt x="61" y="39"/>
                                <a:pt x="39" y="61"/>
                                <a:pt x="23" y="87"/>
                              </a:cubicBezTo>
                              <a:cubicBezTo>
                                <a:pt x="8" y="114"/>
                                <a:pt x="0" y="144"/>
                                <a:pt x="0" y="175"/>
                              </a:cubicBezTo>
                              <a:lnTo>
                                <a:pt x="0" y="872"/>
                              </a:lnTo>
                              <a:lnTo>
                                <a:pt x="0" y="873"/>
                              </a:lnTo>
                              <a:cubicBezTo>
                                <a:pt x="0" y="903"/>
                                <a:pt x="8" y="933"/>
                                <a:pt x="23" y="960"/>
                              </a:cubicBezTo>
                              <a:cubicBezTo>
                                <a:pt x="39" y="986"/>
                                <a:pt x="61" y="1008"/>
                                <a:pt x="87" y="1024"/>
                              </a:cubicBezTo>
                              <a:cubicBezTo>
                                <a:pt x="114" y="1039"/>
                                <a:pt x="144" y="1047"/>
                                <a:pt x="175" y="1047"/>
                              </a:cubicBezTo>
                              <a:lnTo>
                                <a:pt x="3821" y="1047"/>
                              </a:lnTo>
                              <a:lnTo>
                                <a:pt x="3822" y="1047"/>
                              </a:lnTo>
                              <a:cubicBezTo>
                                <a:pt x="3852" y="1047"/>
                                <a:pt x="3882" y="1039"/>
                                <a:pt x="3909" y="1024"/>
                              </a:cubicBezTo>
                              <a:cubicBezTo>
                                <a:pt x="3935" y="1008"/>
                                <a:pt x="3957" y="986"/>
                                <a:pt x="3973" y="960"/>
                              </a:cubicBezTo>
                              <a:cubicBezTo>
                                <a:pt x="3988" y="933"/>
                                <a:pt x="3996" y="903"/>
                                <a:pt x="3996" y="873"/>
                              </a:cubicBezTo>
                              <a:lnTo>
                                <a:pt x="3996" y="174"/>
                              </a:lnTo>
                              <a:lnTo>
                                <a:pt x="3996" y="175"/>
                              </a:lnTo>
                              <a:lnTo>
                                <a:pt x="3996" y="175"/>
                              </a:lnTo>
                              <a:cubicBezTo>
                                <a:pt x="3996" y="144"/>
                                <a:pt x="3988" y="114"/>
                                <a:pt x="3973" y="87"/>
                              </a:cubicBezTo>
                              <a:cubicBezTo>
                                <a:pt x="3957" y="61"/>
                                <a:pt x="3935" y="39"/>
                                <a:pt x="3909" y="23"/>
                              </a:cubicBezTo>
                              <a:cubicBezTo>
                                <a:pt x="3882" y="8"/>
                                <a:pt x="3852" y="0"/>
                                <a:pt x="3822" y="0"/>
                              </a:cubicBezTo>
                              <a:lnTo>
                                <a:pt x="174" y="0"/>
                              </a:lnTo>
                            </a:path>
                          </a:pathLst>
                        </a:custGeom>
                        <a:solidFill>
                          <a:srgbClr val="D83A23"/>
                        </a:solidFill>
                        <a:ln>
                          <a:solidFill>
                            <a:srgbClr val="3465A4"/>
                          </a:solidFill>
                        </a:ln>
                        <a:effectLst/>
                      </wps:spPr>
                      <wps:txbx>
                        <w:txbxContent>
                          <w:p w14:paraId="09CE6A07" w14:textId="77777777" w:rsidR="000F0D13" w:rsidRPr="00D944CA" w:rsidRDefault="000F0D13" w:rsidP="00D944CA">
                            <w:pPr>
                              <w:spacing w:after="0"/>
                              <w:jc w:val="center"/>
                              <w:rPr>
                                <w:rFonts w:ascii="Open Sans" w:hAnsi="Open Sans" w:cs="Open Sans"/>
                              </w:rPr>
                            </w:pPr>
                            <w:r w:rsidRPr="00D944CA">
                              <w:rPr>
                                <w:rFonts w:ascii="Open Sans" w:hAnsi="Open Sans" w:cs="Open Sans"/>
                                <w:b/>
                                <w:bCs/>
                                <w:color w:val="FFFFFF"/>
                                <w:sz w:val="16"/>
                                <w:szCs w:val="16"/>
                                <w:u w:val="single"/>
                              </w:rPr>
                              <w:t>CONOCIMIENTO DE HECHOS POR LA AGENCIA</w:t>
                            </w:r>
                          </w:p>
                          <w:p w14:paraId="4EC6543A" w14:textId="77777777" w:rsidR="000F0D13" w:rsidRPr="00D944CA" w:rsidRDefault="000F0D13" w:rsidP="00D944CA">
                            <w:pPr>
                              <w:spacing w:after="0"/>
                              <w:jc w:val="center"/>
                              <w:rPr>
                                <w:rFonts w:ascii="Open Sans" w:hAnsi="Open Sans" w:cs="Open Sans"/>
                              </w:rPr>
                            </w:pPr>
                            <w:r w:rsidRPr="00D944CA">
                              <w:rPr>
                                <w:rFonts w:ascii="Open Sans" w:hAnsi="Open Sans" w:cs="Open Sans"/>
                                <w:color w:val="FFFFFF"/>
                                <w:sz w:val="16"/>
                                <w:szCs w:val="16"/>
                              </w:rPr>
                              <w:t>-Denuncias</w:t>
                            </w:r>
                          </w:p>
                          <w:p w14:paraId="299A0C10" w14:textId="77777777" w:rsidR="000F0D13" w:rsidRPr="00D944CA" w:rsidRDefault="000F0D13" w:rsidP="00D944CA">
                            <w:pPr>
                              <w:spacing w:after="0"/>
                              <w:jc w:val="center"/>
                              <w:rPr>
                                <w:rFonts w:ascii="Open Sans" w:hAnsi="Open Sans" w:cs="Open Sans"/>
                              </w:rPr>
                            </w:pPr>
                            <w:r w:rsidRPr="00D944CA">
                              <w:rPr>
                                <w:rFonts w:ascii="Open Sans" w:hAnsi="Open Sans" w:cs="Open Sans"/>
                                <w:color w:val="FFFFFF"/>
                                <w:sz w:val="16"/>
                                <w:szCs w:val="16"/>
                              </w:rPr>
                              <w:t>-Comunicaciones</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71489E32" id="_x0000_s1043" style="position:absolute;left:0;text-align:left;margin-left:116.7pt;margin-top:.6pt;width:174.75pt;height:57.75pt;z-index:25180876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3997,104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ChJVQMAABMKAAAOAAAAZHJzL2Uyb0RvYy54bWysVtuO0zAQfUfiH6y8s7m42ybVdtHCCoSE&#10;AAn4ANdxtpGSONjuZfl6xnYmjbNFsIiXxB6Pj2fOzHh88/rUNuQglK5lt4nSqyQiouOyrLuHTfT9&#10;27tXeUS0YV3JGtmJTfQodPT69uWLm2O/FpncyaYUigBIp9fHfhPtjOnXcaz5TrRMX8ledLBYSdUy&#10;A1P1EJeKHQG9beIsSZbxUaqyV5ILrUF67xejW4dfVYKbz1WlhSHNJgLbjPsq993ab3x7w9YPivW7&#10;mg9msH+womV1B4eOUPfMMLJX9ROotuZKalmZKy7bWFZVzYXzAbxJk5k3X3esF84XIEf3I036/8Hy&#10;T4ev/RcFNBx7vdYwtF6cKtXaP9hHTo6sx5EscTKEgzDL0oJm1xHhsLaidAFjgInPu/lem/dCOiR2&#10;+KiNJ7vEEdvhiJ86HCoI2TxYKiIQrK0PVs+M3WfNs0Ny3ES0KFYR2UH+JYvchaGVB/FNOh1jPUhX&#10;i4igD2Dieb3pQj1waKKHq3y/rfkb8TPQXUwwwRh/UOqF+WCsE+ZgHYBmdCAoRAtnHmaZuh20mMLA&#10;zMLAmiPSawKoFcIRnvwQLZz5HVCRsCEFQycwUBtWCC49Fa4wsCEacuNRPUC+ygY7cBX/oRYygash&#10;8lS3SJwu8uuNL2ggHDgolq6eIbwhXDjz4AOXRb6cOjzQnibJpfilSebo+asDLL+O0iQMoqXYyxcu&#10;ZOhYCixP5U8OQaoG+/PMpwikPIYeNfA/amZzZNS4yEx+HeqjhTTPcSF0iRaJz8xnEUQLih6HbNPi&#10;2tfLLDi0WPlcf16c84spA1fG0rEyy69RnsNhlyoKqcM0GmDsBePVUQH/TxSxmlAB/39UvBgt9GNW&#10;urQY/J7V+UjiMy6MMSDhzTMG8DfZ8IzrbkytoOwoZuLQpmf5fLnYQzbn975fhdqyrcM1q7GduII7&#10;Nywtm7p8VzeNbSJaPWzfNoocGDwj7nN6N/oWqDWdU/7tTrpYXt9hnkx2wtF+q3AvFt8K43NDtiNz&#10;2p5IXdpWZhPNirayfPyiyBFeL5tI/9gzJSLSfOjgeWCfOjhQONjigHV8J+ERxI1y3bKTd3sjq9o2&#10;aHesRx4m8PJwTA2vJPu0mc6d1vktd/sLAAD//wMAUEsDBBQABgAIAAAAIQC/YmMy4QAAAAkBAAAP&#10;AAAAZHJzL2Rvd25yZXYueG1sTI8xT8MwEIV3JP6DdUgsqHWatKWEOBUgWomBgbYD4zU+kkBsR7bb&#10;Bn59jwnGp+/p3XfFcjCdOJIPrbMKJuMEBNnK6dbWCnbb1WgBIkS0GjtnScE3BViWlxcF5tqd7Bsd&#10;N7EWPGJDjgqaGPtcylA1ZDCMXU+W2YfzBiNHX0vt8cTjppNpksylwdbyhQZ7emqo+tocjIKVf+yf&#10;s5/PG3zfzfRUDuvX5GWt1PXV8HAPItIQ/8rwq8/qULLT3h2sDqJTkGbZlKsMUhDMZ4v0DsSe82R+&#10;C7Is5P8PyjMAAAD//wMAUEsBAi0AFAAGAAgAAAAhALaDOJL+AAAA4QEAABMAAAAAAAAAAAAAAAAA&#10;AAAAAFtDb250ZW50X1R5cGVzXS54bWxQSwECLQAUAAYACAAAACEAOP0h/9YAAACUAQAACwAAAAAA&#10;AAAAAAAAAAAvAQAAX3JlbHMvLnJlbHNQSwECLQAUAAYACAAAACEADQQoSVUDAAATCgAADgAAAAAA&#10;AAAAAAAAAAAuAgAAZHJzL2Uyb0RvYy54bWxQSwECLQAUAAYACAAAACEAv2JjMuEAAAAJAQAADwAA&#10;AAAAAAAAAAAAAACvBQAAZHJzL2Rvd25yZXYueG1sUEsFBgAAAAAEAAQA8wAAAL0GAAAAAA==&#10;" adj="-11796480,,5400" path="m174,r1,c144,,114,8,87,23,61,39,39,61,23,87,8,114,,144,,175l,872r,1c,903,8,933,23,960v16,26,38,48,64,64c114,1039,144,1047,175,1047r3646,l3822,1047v30,,60,-8,87,-23c3935,1008,3957,986,3973,960v15,-27,23,-57,23,-87l3996,174r,1l3996,175v,-31,-8,-61,-23,-88c3957,61,3935,39,3909,23,3882,8,3852,,3822,l174,e" fillcolor="#d83a23" strokecolor="#3465a4">
                <v:stroke joinstyle="miter"/>
                <v:formulas/>
                <v:path arrowok="t" o:connecttype="custom" textboxrect="0,0,3997,1048"/>
                <v:textbox inset="0,0,0,0">
                  <w:txbxContent>
                    <w:p w14:paraId="09CE6A07" w14:textId="77777777" w:rsidR="000F0D13" w:rsidRPr="00D944CA" w:rsidRDefault="000F0D13" w:rsidP="00D944CA">
                      <w:pPr>
                        <w:spacing w:after="0"/>
                        <w:jc w:val="center"/>
                        <w:rPr>
                          <w:rFonts w:ascii="Open Sans" w:hAnsi="Open Sans" w:cs="Open Sans"/>
                        </w:rPr>
                      </w:pPr>
                      <w:r w:rsidRPr="00D944CA">
                        <w:rPr>
                          <w:rFonts w:ascii="Open Sans" w:hAnsi="Open Sans" w:cs="Open Sans"/>
                          <w:b/>
                          <w:bCs/>
                          <w:color w:val="FFFFFF"/>
                          <w:sz w:val="16"/>
                          <w:szCs w:val="16"/>
                          <w:u w:val="single"/>
                        </w:rPr>
                        <w:t>CONOCIMIENTO DE HECHOS POR LA AGENCIA</w:t>
                      </w:r>
                    </w:p>
                    <w:p w14:paraId="4EC6543A" w14:textId="77777777" w:rsidR="000F0D13" w:rsidRPr="00D944CA" w:rsidRDefault="000F0D13" w:rsidP="00D944CA">
                      <w:pPr>
                        <w:spacing w:after="0"/>
                        <w:jc w:val="center"/>
                        <w:rPr>
                          <w:rFonts w:ascii="Open Sans" w:hAnsi="Open Sans" w:cs="Open Sans"/>
                        </w:rPr>
                      </w:pPr>
                      <w:r w:rsidRPr="00D944CA">
                        <w:rPr>
                          <w:rFonts w:ascii="Open Sans" w:hAnsi="Open Sans" w:cs="Open Sans"/>
                          <w:color w:val="FFFFFF"/>
                          <w:sz w:val="16"/>
                          <w:szCs w:val="16"/>
                        </w:rPr>
                        <w:t>-Denuncias</w:t>
                      </w:r>
                    </w:p>
                    <w:p w14:paraId="299A0C10" w14:textId="77777777" w:rsidR="000F0D13" w:rsidRPr="00D944CA" w:rsidRDefault="000F0D13" w:rsidP="00D944CA">
                      <w:pPr>
                        <w:spacing w:after="0"/>
                        <w:jc w:val="center"/>
                        <w:rPr>
                          <w:rFonts w:ascii="Open Sans" w:hAnsi="Open Sans" w:cs="Open Sans"/>
                        </w:rPr>
                      </w:pPr>
                      <w:r w:rsidRPr="00D944CA">
                        <w:rPr>
                          <w:rFonts w:ascii="Open Sans" w:hAnsi="Open Sans" w:cs="Open Sans"/>
                          <w:color w:val="FFFFFF"/>
                          <w:sz w:val="16"/>
                          <w:szCs w:val="16"/>
                        </w:rPr>
                        <w:t>-Comunicaciones</w:t>
                      </w:r>
                    </w:p>
                  </w:txbxContent>
                </v:textbox>
              </v:shape>
            </w:pict>
          </mc:Fallback>
        </mc:AlternateContent>
      </w:r>
    </w:p>
    <w:p w14:paraId="5EA0E841" w14:textId="77777777" w:rsidR="009568B0" w:rsidRPr="00A07BE9" w:rsidRDefault="009568B0" w:rsidP="009568B0">
      <w:pPr>
        <w:spacing w:after="0" w:line="240" w:lineRule="auto"/>
        <w:jc w:val="center"/>
        <w:rPr>
          <w:rFonts w:ascii="Open Sans" w:eastAsia="NSimSun" w:hAnsi="Open Sans" w:cs="Arial"/>
          <w:i/>
          <w:iCs/>
          <w:kern w:val="2"/>
          <w:sz w:val="16"/>
          <w:szCs w:val="16"/>
          <w:lang w:eastAsia="zh-CN" w:bidi="hi-IN"/>
        </w:rPr>
      </w:pPr>
    </w:p>
    <w:p w14:paraId="5DFAEC1D" w14:textId="77777777" w:rsidR="009568B0" w:rsidRPr="00A07BE9" w:rsidRDefault="009568B0" w:rsidP="009568B0">
      <w:pPr>
        <w:spacing w:after="0" w:line="240" w:lineRule="auto"/>
        <w:jc w:val="center"/>
        <w:rPr>
          <w:rFonts w:ascii="Open Sans" w:eastAsia="NSimSun" w:hAnsi="Open Sans" w:cs="Arial"/>
          <w:kern w:val="2"/>
          <w:sz w:val="24"/>
          <w:szCs w:val="24"/>
          <w:lang w:eastAsia="zh-CN" w:bidi="hi-IN"/>
        </w:rPr>
      </w:pPr>
    </w:p>
    <w:p w14:paraId="7E4100F4" w14:textId="5CED23ED" w:rsidR="009568B0" w:rsidRPr="00A07BE9" w:rsidRDefault="009568B0" w:rsidP="009568B0">
      <w:pPr>
        <w:spacing w:after="0" w:line="240" w:lineRule="auto"/>
        <w:jc w:val="center"/>
        <w:rPr>
          <w:rFonts w:ascii="Open Sans" w:eastAsia="NSimSun" w:hAnsi="Open Sans" w:cs="Arial"/>
          <w:kern w:val="2"/>
          <w:sz w:val="24"/>
          <w:szCs w:val="24"/>
          <w:lang w:eastAsia="zh-CN" w:bidi="hi-IN"/>
        </w:rPr>
      </w:pPr>
    </w:p>
    <w:p w14:paraId="1ECE8A7A" w14:textId="0C31BDB0" w:rsidR="009568B0" w:rsidRPr="00A07BE9" w:rsidRDefault="006F5661" w:rsidP="009568B0">
      <w:pPr>
        <w:spacing w:after="0" w:line="240" w:lineRule="auto"/>
        <w:jc w:val="center"/>
        <w:rPr>
          <w:rFonts w:ascii="Open Sans" w:eastAsia="NSimSun" w:hAnsi="Open Sans" w:cs="Arial"/>
          <w:kern w:val="2"/>
          <w:sz w:val="24"/>
          <w:szCs w:val="24"/>
          <w:lang w:eastAsia="zh-CN" w:bidi="hi-IN"/>
        </w:rPr>
      </w:pPr>
      <w:r w:rsidRPr="00A07BE9">
        <w:rPr>
          <w:rFonts w:ascii="Open Sans" w:eastAsia="NSimSun" w:hAnsi="Open Sans" w:cs="Arial"/>
          <w:noProof/>
          <w:kern w:val="2"/>
          <w:sz w:val="24"/>
          <w:szCs w:val="24"/>
          <w:lang w:eastAsia="es-ES"/>
        </w:rPr>
        <mc:AlternateContent>
          <mc:Choice Requires="wps">
            <w:drawing>
              <wp:anchor distT="0" distB="0" distL="0" distR="0" simplePos="0" relativeHeight="251828224" behindDoc="0" locked="0" layoutInCell="1" allowOverlap="1" wp14:anchorId="688C8E47" wp14:editId="4B5F9193">
                <wp:simplePos x="0" y="0"/>
                <wp:positionH relativeFrom="margin">
                  <wp:posOffset>2491740</wp:posOffset>
                </wp:positionH>
                <wp:positionV relativeFrom="paragraph">
                  <wp:posOffset>69215</wp:posOffset>
                </wp:positionV>
                <wp:extent cx="200025" cy="342900"/>
                <wp:effectExtent l="0" t="0" r="28575" b="19050"/>
                <wp:wrapNone/>
                <wp:docPr id="65" name="Forma7"/>
                <wp:cNvGraphicFramePr/>
                <a:graphic xmlns:a="http://schemas.openxmlformats.org/drawingml/2006/main">
                  <a:graphicData uri="http://schemas.microsoft.com/office/word/2010/wordprocessingShape">
                    <wps:wsp>
                      <wps:cNvSpPr/>
                      <wps:spPr>
                        <a:xfrm>
                          <a:off x="0" y="0"/>
                          <a:ext cx="200025" cy="342900"/>
                        </a:xfrm>
                        <a:custGeom>
                          <a:avLst/>
                          <a:gdLst/>
                          <a:ahLst/>
                          <a:cxnLst/>
                          <a:rect l="0" t="0" r="r" b="b"/>
                          <a:pathLst>
                            <a:path w="269" h="411">
                              <a:moveTo>
                                <a:pt x="67" y="0"/>
                              </a:moveTo>
                              <a:lnTo>
                                <a:pt x="67" y="307"/>
                              </a:lnTo>
                              <a:lnTo>
                                <a:pt x="0" y="307"/>
                              </a:lnTo>
                              <a:lnTo>
                                <a:pt x="134" y="410"/>
                              </a:lnTo>
                              <a:lnTo>
                                <a:pt x="268" y="307"/>
                              </a:lnTo>
                              <a:lnTo>
                                <a:pt x="201" y="307"/>
                              </a:lnTo>
                              <a:lnTo>
                                <a:pt x="201" y="0"/>
                              </a:lnTo>
                              <a:lnTo>
                                <a:pt x="67" y="0"/>
                              </a:lnTo>
                            </a:path>
                          </a:pathLst>
                        </a:custGeom>
                        <a:solidFill>
                          <a:srgbClr val="5B6770"/>
                        </a:solid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shape w14:anchorId="44389685" id="Forma7" o:spid="_x0000_s1026" style="position:absolute;margin-left:196.2pt;margin-top:5.45pt;width:15.75pt;height:27pt;z-index:25182822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coordsize="26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TECwIAAN8EAAAOAAAAZHJzL2Uyb0RvYy54bWysVNuO2yAQfa/Uf0C8N77EcXat2Ku2q/Sl&#10;alfa7QcQjGMkDAjY2Pn7Djhk0/Re9cUMMHOYOWfGm7tpEOjAjOVK1jhbpBgxSVXL5b7GX562b24w&#10;so7IlgglWY2PzOK75vWrzagrlqteiZYZBCDSVqOuce+crpLE0p4NxC6UZhIuO2UG4mBr9klryAjo&#10;g0jyNC2TUZlWG0WZtXB6P1/iJuB3HaPuc9dZ5pCoMeTmwteE785/k2ZDqr0huuf0lAb5hywGwiU8&#10;eoa6J46gZ8O/gxo4Ncqqzi2oGhLVdZyyUANUk6VX1Tz2RLNQC5Bj9Zkm+/9g6afDg0G8rXG5wkiS&#10;ATTaerbXnppR2wo8HvWDOe0smL7OqTODX6ECNAU6j2c62eQQhUPQJ80BlcLVsshv00B38hJMn637&#10;wFQAIoeP1s1qtNEifbToJKNpQNNrNQ1GoOZuVlMT5+N8dt5EI2RS3mLU17jIsqDSoA7sSQUP59Mv&#10;1xjF/CG/l2shf+C2TAM54Biv46oDGvSZr/g3XtmyCH5FFmmJKHGd0fISRugP8KB//srv169eMTKn&#10;BBV7RpvNyQgsg32po1WCt1suhGfXmv3uvTDoQGD8Vu/K9Tq++o2bkMH5p5HLoly9Lby68NhFJOzm&#10;UBYmfe6QxDft3Kbe2qn2GLo3nMMUBZDTxPsxvdyDfflfar4CAAD//wMAUEsDBBQABgAIAAAAIQBr&#10;7LHB3gAAAAkBAAAPAAAAZHJzL2Rvd25yZXYueG1sTI/BToNAEIbvJr7DZky82UVKKlCWxtg2nmzS&#10;ajwv7BSI7CxhtwXf3vGkt5n8X/75ptjMthdXHH3nSMHjIgKBVDvTUaPg433/kILwQZPRvSNU8I0e&#10;NuXtTaFz4yY64vUUGsEl5HOtoA1hyKX0dYtW+4UbkDg7u9HqwOvYSDPqicttL+MoWkmrO+ILrR7w&#10;pcX663SxCrLd6zb9fJtwm+5mbKd91RwPT0rd383PaxAB5/AHw68+q0PJTpW7kPGiV7DM4oRRDqIM&#10;BANJvOShUrBKMpBlIf9/UP4AAAD//wMAUEsBAi0AFAAGAAgAAAAhALaDOJL+AAAA4QEAABMAAAAA&#10;AAAAAAAAAAAAAAAAAFtDb250ZW50X1R5cGVzXS54bWxQSwECLQAUAAYACAAAACEAOP0h/9YAAACU&#10;AQAACwAAAAAAAAAAAAAAAAAvAQAAX3JlbHMvLnJlbHNQSwECLQAUAAYACAAAACEAZfiExAsCAADf&#10;BAAADgAAAAAAAAAAAAAAAAAuAgAAZHJzL2Uyb0RvYy54bWxQSwECLQAUAAYACAAAACEAa+yxwd4A&#10;AAAJAQAADwAAAAAAAAAAAAAAAABlBAAAZHJzL2Rvd25yZXYueG1sUEsFBgAAAAAEAAQA8wAAAHAF&#10;AAAAAA==&#10;" path="m67,r,307l,307,134,410,268,307r-67,l201,,67,e" fillcolor="#5b6770" strokecolor="#3465a4">
                <v:path arrowok="t"/>
                <w10:wrap anchorx="margin"/>
              </v:shape>
            </w:pict>
          </mc:Fallback>
        </mc:AlternateContent>
      </w:r>
    </w:p>
    <w:p w14:paraId="74A32B48" w14:textId="6984E752" w:rsidR="009568B0" w:rsidRPr="00A07BE9" w:rsidRDefault="009568B0" w:rsidP="009568B0">
      <w:pPr>
        <w:spacing w:after="0" w:line="240" w:lineRule="auto"/>
        <w:jc w:val="center"/>
        <w:rPr>
          <w:rFonts w:ascii="Open Sans" w:eastAsia="NSimSun" w:hAnsi="Open Sans" w:cs="Arial"/>
          <w:kern w:val="2"/>
          <w:sz w:val="24"/>
          <w:szCs w:val="24"/>
          <w:lang w:eastAsia="zh-CN" w:bidi="hi-IN"/>
        </w:rPr>
      </w:pPr>
    </w:p>
    <w:p w14:paraId="32C05581" w14:textId="2AAB3119" w:rsidR="009568B0" w:rsidRPr="00A07BE9" w:rsidRDefault="00BF5F8C" w:rsidP="009568B0">
      <w:pPr>
        <w:spacing w:after="0" w:line="240" w:lineRule="auto"/>
        <w:jc w:val="center"/>
        <w:rPr>
          <w:rFonts w:ascii="Open Sans" w:eastAsia="NSimSun" w:hAnsi="Open Sans" w:cs="Arial"/>
          <w:kern w:val="2"/>
          <w:sz w:val="24"/>
          <w:szCs w:val="24"/>
          <w:lang w:eastAsia="zh-CN" w:bidi="hi-IN"/>
        </w:rPr>
      </w:pPr>
      <w:r w:rsidRPr="00A07BE9">
        <w:rPr>
          <w:rFonts w:ascii="Open Sans" w:eastAsia="NSimSun" w:hAnsi="Open Sans" w:cs="Arial"/>
          <w:noProof/>
          <w:kern w:val="2"/>
          <w:sz w:val="24"/>
          <w:szCs w:val="24"/>
          <w:lang w:eastAsia="es-ES"/>
        </w:rPr>
        <mc:AlternateContent>
          <mc:Choice Requires="wps">
            <w:drawing>
              <wp:anchor distT="0" distB="0" distL="0" distR="0" simplePos="0" relativeHeight="251809792" behindDoc="0" locked="0" layoutInCell="1" allowOverlap="1" wp14:anchorId="3D391657" wp14:editId="3F01BAB2">
                <wp:simplePos x="0" y="0"/>
                <wp:positionH relativeFrom="margin">
                  <wp:posOffset>1263015</wp:posOffset>
                </wp:positionH>
                <wp:positionV relativeFrom="paragraph">
                  <wp:posOffset>1905</wp:posOffset>
                </wp:positionV>
                <wp:extent cx="2676525" cy="771525"/>
                <wp:effectExtent l="0" t="0" r="28575" b="28575"/>
                <wp:wrapNone/>
                <wp:docPr id="236" name="Forma1"/>
                <wp:cNvGraphicFramePr/>
                <a:graphic xmlns:a="http://schemas.openxmlformats.org/drawingml/2006/main">
                  <a:graphicData uri="http://schemas.microsoft.com/office/word/2010/wordprocessingShape">
                    <wps:wsp>
                      <wps:cNvSpPr/>
                      <wps:spPr>
                        <a:xfrm>
                          <a:off x="0" y="0"/>
                          <a:ext cx="2676525" cy="771525"/>
                        </a:xfrm>
                        <a:custGeom>
                          <a:avLst/>
                          <a:gdLst/>
                          <a:ahLst/>
                          <a:cxnLst/>
                          <a:rect l="0" t="0" r="r" b="b"/>
                          <a:pathLst>
                            <a:path w="4775" h="1024">
                              <a:moveTo>
                                <a:pt x="170" y="0"/>
                              </a:moveTo>
                              <a:lnTo>
                                <a:pt x="171" y="0"/>
                              </a:lnTo>
                              <a:cubicBezTo>
                                <a:pt x="141" y="0"/>
                                <a:pt x="111" y="8"/>
                                <a:pt x="85" y="23"/>
                              </a:cubicBezTo>
                              <a:cubicBezTo>
                                <a:pt x="59" y="38"/>
                                <a:pt x="38" y="59"/>
                                <a:pt x="23" y="85"/>
                              </a:cubicBezTo>
                              <a:cubicBezTo>
                                <a:pt x="8" y="111"/>
                                <a:pt x="0" y="141"/>
                                <a:pt x="0" y="171"/>
                              </a:cubicBezTo>
                              <a:lnTo>
                                <a:pt x="0" y="852"/>
                              </a:lnTo>
                              <a:lnTo>
                                <a:pt x="0" y="853"/>
                              </a:lnTo>
                              <a:cubicBezTo>
                                <a:pt x="0" y="882"/>
                                <a:pt x="8" y="912"/>
                                <a:pt x="23" y="938"/>
                              </a:cubicBezTo>
                              <a:cubicBezTo>
                                <a:pt x="38" y="964"/>
                                <a:pt x="59" y="985"/>
                                <a:pt x="85" y="1000"/>
                              </a:cubicBezTo>
                              <a:cubicBezTo>
                                <a:pt x="111" y="1015"/>
                                <a:pt x="141" y="1023"/>
                                <a:pt x="171" y="1023"/>
                              </a:cubicBezTo>
                              <a:lnTo>
                                <a:pt x="4603" y="1023"/>
                              </a:lnTo>
                              <a:lnTo>
                                <a:pt x="4604" y="1023"/>
                              </a:lnTo>
                              <a:cubicBezTo>
                                <a:pt x="4633" y="1023"/>
                                <a:pt x="4663" y="1015"/>
                                <a:pt x="4689" y="1000"/>
                              </a:cubicBezTo>
                              <a:cubicBezTo>
                                <a:pt x="4715" y="985"/>
                                <a:pt x="4736" y="964"/>
                                <a:pt x="4751" y="938"/>
                              </a:cubicBezTo>
                              <a:cubicBezTo>
                                <a:pt x="4766" y="912"/>
                                <a:pt x="4774" y="882"/>
                                <a:pt x="4774" y="853"/>
                              </a:cubicBezTo>
                              <a:lnTo>
                                <a:pt x="4774" y="170"/>
                              </a:lnTo>
                              <a:lnTo>
                                <a:pt x="4774" y="171"/>
                              </a:lnTo>
                              <a:lnTo>
                                <a:pt x="4774" y="171"/>
                              </a:lnTo>
                              <a:cubicBezTo>
                                <a:pt x="4774" y="141"/>
                                <a:pt x="4766" y="111"/>
                                <a:pt x="4751" y="85"/>
                              </a:cubicBezTo>
                              <a:cubicBezTo>
                                <a:pt x="4736" y="59"/>
                                <a:pt x="4715" y="38"/>
                                <a:pt x="4689" y="23"/>
                              </a:cubicBezTo>
                              <a:cubicBezTo>
                                <a:pt x="4663" y="8"/>
                                <a:pt x="4633" y="0"/>
                                <a:pt x="4604" y="0"/>
                              </a:cubicBezTo>
                              <a:lnTo>
                                <a:pt x="170" y="0"/>
                              </a:lnTo>
                            </a:path>
                          </a:pathLst>
                        </a:custGeom>
                        <a:solidFill>
                          <a:srgbClr val="EC8F89"/>
                        </a:solidFill>
                        <a:ln>
                          <a:solidFill>
                            <a:srgbClr val="3465A4"/>
                          </a:solidFill>
                        </a:ln>
                        <a:effectLst/>
                      </wps:spPr>
                      <wps:txbx>
                        <w:txbxContent>
                          <w:p w14:paraId="15CD973C" w14:textId="77777777" w:rsidR="000F0D13" w:rsidRPr="006F5661" w:rsidRDefault="000F0D13" w:rsidP="006F5661">
                            <w:pPr>
                              <w:spacing w:after="0"/>
                              <w:jc w:val="center"/>
                              <w:rPr>
                                <w:rFonts w:ascii="Open Sans" w:hAnsi="Open Sans" w:cs="Open Sans"/>
                              </w:rPr>
                            </w:pPr>
                            <w:r w:rsidRPr="006F5661">
                              <w:rPr>
                                <w:rFonts w:ascii="Open Sans" w:hAnsi="Open Sans" w:cs="Open Sans"/>
                                <w:b/>
                                <w:bCs/>
                                <w:color w:val="FFFFFF"/>
                                <w:sz w:val="16"/>
                                <w:szCs w:val="16"/>
                                <w:u w:val="single"/>
                              </w:rPr>
                              <w:t>INICIO DE LA FASE DE ANÁLISIS</w:t>
                            </w:r>
                          </w:p>
                          <w:p w14:paraId="0B2F8EF9" w14:textId="316F8606" w:rsidR="000F0D13" w:rsidRPr="006F5661" w:rsidRDefault="000F0D13" w:rsidP="006F5661">
                            <w:pPr>
                              <w:spacing w:after="0"/>
                              <w:jc w:val="center"/>
                              <w:rPr>
                                <w:rFonts w:ascii="Open Sans" w:hAnsi="Open Sans" w:cs="Open Sans"/>
                              </w:rPr>
                            </w:pPr>
                            <w:r w:rsidRPr="006F5661">
                              <w:rPr>
                                <w:rFonts w:ascii="Open Sans" w:hAnsi="Open Sans" w:cs="Open Sans"/>
                                <w:color w:val="FFFFFF"/>
                                <w:sz w:val="16"/>
                                <w:szCs w:val="16"/>
                              </w:rPr>
                              <w:t>- Test de competencia objetiva, subjetiva y territorial</w:t>
                            </w:r>
                          </w:p>
                          <w:p w14:paraId="3A8CA672" w14:textId="1E7562A2" w:rsidR="000F0D13" w:rsidRPr="006F5661" w:rsidRDefault="000F0D13" w:rsidP="006F5661">
                            <w:pPr>
                              <w:spacing w:after="0"/>
                              <w:jc w:val="center"/>
                              <w:rPr>
                                <w:rFonts w:ascii="Open Sans" w:hAnsi="Open Sans" w:cs="Open Sans"/>
                              </w:rPr>
                            </w:pPr>
                            <w:r w:rsidRPr="006F5661">
                              <w:rPr>
                                <w:rFonts w:ascii="Open Sans" w:hAnsi="Open Sans" w:cs="Open Sans"/>
                                <w:color w:val="FFFFFF"/>
                                <w:sz w:val="16"/>
                                <w:szCs w:val="16"/>
                              </w:rPr>
                              <w:t>- Test de duplicidad de actuaciones en otros órganos.</w:t>
                            </w:r>
                          </w:p>
                          <w:p w14:paraId="40DA41E6" w14:textId="272DC06C" w:rsidR="000F0D13" w:rsidRPr="006F5661" w:rsidRDefault="000F0D13" w:rsidP="006F5661">
                            <w:pPr>
                              <w:spacing w:after="0"/>
                              <w:jc w:val="center"/>
                              <w:rPr>
                                <w:rFonts w:ascii="Open Sans" w:hAnsi="Open Sans" w:cs="Open Sans"/>
                              </w:rPr>
                            </w:pPr>
                            <w:r w:rsidRPr="006F5661">
                              <w:rPr>
                                <w:rFonts w:ascii="Open Sans" w:hAnsi="Open Sans" w:cs="Open Sans"/>
                                <w:color w:val="FFFFFF"/>
                                <w:sz w:val="16"/>
                                <w:szCs w:val="16"/>
                              </w:rPr>
                              <w:t>- Estudio de los datos aportados en la denuncia.</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3D391657" id="_x0000_s1044" style="position:absolute;left:0;text-align:left;margin-left:99.45pt;margin-top:.15pt;width:210.75pt;height:60.75pt;z-index:251809792;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middle" coordsize="4775,102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3O0XQMAABEKAAAOAAAAZHJzL2Uyb0RvYy54bWysVttu2zAMfR+wfzD8vvoSx3aCJkXXrcOA&#10;YSvQ7gMUWY4N2JYnKZfu60eJlhM5HbYOe7ElijoiDylS1zfHtvH2TMiadys/ugp9j3WUF3W3Xfnf&#10;n+7f5b4nFekK0vCOrfxnJv2b9ds314d+yWJe8aZgwgOQTi4P/cqvlOqXQSBpxVoir3jPOlgsuWiJ&#10;gqnYBoUgB0BvmyAOwzQ4cFH0glMmJUg/4KK/Nvhlyaj6VpaSKa9Z+WCbMl9hvhv9DdbXZLkVpK9q&#10;OphB/sGKltQdHDpCfSCKeDtRX0C1NRVc8lJdUd4GvCxryowP4E0UTrx5rEjPjC9AjuxHmuT/g6Vf&#10;94/9gwAaDr1cShhqL46laPUf7POOhqznkSx2VB4FYZxm6Tye+x6FtSyL9BhggtNuupPqE+MGiey/&#10;SIVkF3ZEKjuix84OBYRsGizhexCsDQarJ0rv0+bpoXdY+UmWgR0V5F8YJyYMLd+zJ250lPYgyiD4&#10;1gcw8bTedK5e5OjZVbrb1PQ9++noJme6YAweFKEwH4w1whysg8Pj2UCQi+bOEGa+MDtmDgzMNAys&#10;GSJRE0C1EI5A8l00d4Y7ECUCQ89gkJ4IXLoUZkYIrLlolhtERYB8Hg922FX7d7UsE3bVRXZ0c4No&#10;+UXjF5EjHDhYIF0Xhr4EPnC5SJNzhwfaF8jmeCaGLwpDUy/+Cl/Tq+MShZGJjMXSDKMcs2GUA8nn&#10;8otDLFPITZKGGHfI+CmXF5rJFNlqvERMks5cZGthkqZ2wXUpSXPM1lcRlEDFMHZNyE6yWYpyNzRJ&#10;NkeGXhPlJEsHMDdhoGAgKbmbXSf53LLqcmSZG6JgYXR5wetnFez/QtHeJatg/39UdA2ZqrsXd/R7&#10;cstHEl9RLsaAuHVnjJ9bo8ZkGNPStdudDV7YzHKq3ZiIQ5O2uiFGzhLuArpsTqs+rsLV0o3DtKqx&#10;mZj7dmpXkjd1cV83jW4hUmw3d43w9gQeER/v8nvId4y2o9Z0Rvm3O2dJOr815QYOO9sJM9zKzHsF&#10;G2Fwasd6pI6bo1cXUE8MR1q04cXzg/AO8HZZ+fLHjgjme83nDh4H+qFjB8IONnZAOlpxeAJRJUyv&#10;7PjtTvGy1u3ZHIvIwwTeHYap4Y2kHzbnc6N1esmtfwEAAP//AwBQSwMEFAAGAAgAAAAhAJt6DfPd&#10;AAAACAEAAA8AAABkcnMvZG93bnJldi54bWxMj8FOwzAQRO9I/IO1SNyo01CVJMSpKhCXIiHR9gOc&#10;eEmixuvUdtrw9ywnOM7O6O1MuZntIC7oQ+9IwXKRgEBqnOmpVXA8vD1kIELUZPTgCBV8Y4BNdXtT&#10;6sK4K33iZR9bwRAKhVbQxTgWUoamQ6vDwo1I7H05b3Vk6VtpvL4y3A4yTZK1tLon/tDpEV86bE77&#10;ySp43E6n93pXtyv7sfO5N+fw9HpW6v5u3j6DiDjHvzD81ufqUHGn2k1kghhY51nOUYaBYHudJisQ&#10;Nd/TZQayKuX/AdUPAAAA//8DAFBLAQItABQABgAIAAAAIQC2gziS/gAAAOEBAAATAAAAAAAAAAAA&#10;AAAAAAAAAABbQ29udGVudF9UeXBlc10ueG1sUEsBAi0AFAAGAAgAAAAhADj9If/WAAAAlAEAAAsA&#10;AAAAAAAAAAAAAAAALwEAAF9yZWxzLy5yZWxzUEsBAi0AFAAGAAgAAAAhAFnHc7RdAwAAEQoAAA4A&#10;AAAAAAAAAAAAAAAALgIAAGRycy9lMm9Eb2MueG1sUEsBAi0AFAAGAAgAAAAhAJt6DfPdAAAACAEA&#10;AA8AAAAAAAAAAAAAAAAAtwUAAGRycy9kb3ducmV2LnhtbFBLBQYAAAAABAAEAPMAAADBBgAAAAA=&#10;" adj="-11796480,,5400" path="m170,r1,c141,,111,8,85,23,59,38,38,59,23,85,8,111,,141,,171l,852r,1c,882,8,912,23,938v15,26,36,47,62,62c111,1015,141,1023,171,1023r4432,l4604,1023v29,,59,-8,85,-23c4715,985,4736,964,4751,938v15,-26,23,-56,23,-85l4774,170r,1l4774,171v,-30,-8,-60,-23,-86c4736,59,4715,38,4689,23,4663,8,4633,,4604,l170,e" fillcolor="#ec8f89" strokecolor="#3465a4">
                <v:stroke joinstyle="miter"/>
                <v:formulas/>
                <v:path arrowok="t" o:connecttype="custom" textboxrect="0,0,4775,1024"/>
                <v:textbox inset="0,0,0,0">
                  <w:txbxContent>
                    <w:p w14:paraId="15CD973C" w14:textId="77777777" w:rsidR="000F0D13" w:rsidRPr="006F5661" w:rsidRDefault="000F0D13" w:rsidP="006F5661">
                      <w:pPr>
                        <w:spacing w:after="0"/>
                        <w:jc w:val="center"/>
                        <w:rPr>
                          <w:rFonts w:ascii="Open Sans" w:hAnsi="Open Sans" w:cs="Open Sans"/>
                        </w:rPr>
                      </w:pPr>
                      <w:r w:rsidRPr="006F5661">
                        <w:rPr>
                          <w:rFonts w:ascii="Open Sans" w:hAnsi="Open Sans" w:cs="Open Sans"/>
                          <w:b/>
                          <w:bCs/>
                          <w:color w:val="FFFFFF"/>
                          <w:sz w:val="16"/>
                          <w:szCs w:val="16"/>
                          <w:u w:val="single"/>
                        </w:rPr>
                        <w:t>INICIO DE LA FASE DE ANÁLISIS</w:t>
                      </w:r>
                    </w:p>
                    <w:p w14:paraId="0B2F8EF9" w14:textId="316F8606" w:rsidR="000F0D13" w:rsidRPr="006F5661" w:rsidRDefault="000F0D13" w:rsidP="006F5661">
                      <w:pPr>
                        <w:spacing w:after="0"/>
                        <w:jc w:val="center"/>
                        <w:rPr>
                          <w:rFonts w:ascii="Open Sans" w:hAnsi="Open Sans" w:cs="Open Sans"/>
                        </w:rPr>
                      </w:pPr>
                      <w:r w:rsidRPr="006F5661">
                        <w:rPr>
                          <w:rFonts w:ascii="Open Sans" w:hAnsi="Open Sans" w:cs="Open Sans"/>
                          <w:color w:val="FFFFFF"/>
                          <w:sz w:val="16"/>
                          <w:szCs w:val="16"/>
                        </w:rPr>
                        <w:t>- Test de competencia objetiva, subjetiva y territorial</w:t>
                      </w:r>
                    </w:p>
                    <w:p w14:paraId="3A8CA672" w14:textId="1E7562A2" w:rsidR="000F0D13" w:rsidRPr="006F5661" w:rsidRDefault="000F0D13" w:rsidP="006F5661">
                      <w:pPr>
                        <w:spacing w:after="0"/>
                        <w:jc w:val="center"/>
                        <w:rPr>
                          <w:rFonts w:ascii="Open Sans" w:hAnsi="Open Sans" w:cs="Open Sans"/>
                        </w:rPr>
                      </w:pPr>
                      <w:r w:rsidRPr="006F5661">
                        <w:rPr>
                          <w:rFonts w:ascii="Open Sans" w:hAnsi="Open Sans" w:cs="Open Sans"/>
                          <w:color w:val="FFFFFF"/>
                          <w:sz w:val="16"/>
                          <w:szCs w:val="16"/>
                        </w:rPr>
                        <w:t>- Test de duplicidad de actuaciones en otros órganos.</w:t>
                      </w:r>
                    </w:p>
                    <w:p w14:paraId="40DA41E6" w14:textId="272DC06C" w:rsidR="000F0D13" w:rsidRPr="006F5661" w:rsidRDefault="000F0D13" w:rsidP="006F5661">
                      <w:pPr>
                        <w:spacing w:after="0"/>
                        <w:jc w:val="center"/>
                        <w:rPr>
                          <w:rFonts w:ascii="Open Sans" w:hAnsi="Open Sans" w:cs="Open Sans"/>
                        </w:rPr>
                      </w:pPr>
                      <w:r w:rsidRPr="006F5661">
                        <w:rPr>
                          <w:rFonts w:ascii="Open Sans" w:hAnsi="Open Sans" w:cs="Open Sans"/>
                          <w:color w:val="FFFFFF"/>
                          <w:sz w:val="16"/>
                          <w:szCs w:val="16"/>
                        </w:rPr>
                        <w:t>- Estudio de los datos aportados en la denuncia.</w:t>
                      </w:r>
                    </w:p>
                  </w:txbxContent>
                </v:textbox>
                <w10:wrap anchorx="margin"/>
              </v:shape>
            </w:pict>
          </mc:Fallback>
        </mc:AlternateContent>
      </w:r>
    </w:p>
    <w:p w14:paraId="179D0285" w14:textId="10183FC0" w:rsidR="009568B0" w:rsidRPr="00A07BE9" w:rsidRDefault="009568B0" w:rsidP="009568B0">
      <w:pPr>
        <w:spacing w:after="0" w:line="240" w:lineRule="auto"/>
        <w:jc w:val="center"/>
        <w:rPr>
          <w:rFonts w:ascii="Open Sans" w:eastAsia="NSimSun" w:hAnsi="Open Sans" w:cs="Arial"/>
          <w:kern w:val="2"/>
          <w:sz w:val="24"/>
          <w:szCs w:val="24"/>
          <w:lang w:eastAsia="zh-CN" w:bidi="hi-IN"/>
        </w:rPr>
      </w:pPr>
    </w:p>
    <w:p w14:paraId="7D7654D2" w14:textId="42226F35" w:rsidR="009568B0" w:rsidRPr="00A07BE9" w:rsidRDefault="009568B0" w:rsidP="009568B0">
      <w:pPr>
        <w:spacing w:after="0" w:line="240" w:lineRule="auto"/>
        <w:jc w:val="center"/>
        <w:rPr>
          <w:rFonts w:ascii="Open Sans" w:eastAsia="NSimSun" w:hAnsi="Open Sans" w:cs="Arial"/>
          <w:kern w:val="2"/>
          <w:sz w:val="24"/>
          <w:szCs w:val="24"/>
          <w:lang w:eastAsia="zh-CN" w:bidi="hi-IN"/>
        </w:rPr>
      </w:pPr>
    </w:p>
    <w:p w14:paraId="3FA0F872" w14:textId="116C1652" w:rsidR="009568B0" w:rsidRPr="00A07BE9" w:rsidRDefault="009568B0" w:rsidP="009568B0">
      <w:pPr>
        <w:spacing w:after="0" w:line="240" w:lineRule="auto"/>
        <w:jc w:val="center"/>
        <w:rPr>
          <w:rFonts w:ascii="Open Sans" w:eastAsia="NSimSun" w:hAnsi="Open Sans" w:cs="Arial"/>
          <w:kern w:val="2"/>
          <w:sz w:val="24"/>
          <w:szCs w:val="24"/>
          <w:lang w:eastAsia="zh-CN" w:bidi="hi-IN"/>
        </w:rPr>
      </w:pPr>
    </w:p>
    <w:p w14:paraId="1D680682" w14:textId="2A33D362" w:rsidR="009568B0" w:rsidRPr="00A07BE9" w:rsidRDefault="00BF5F8C" w:rsidP="009568B0">
      <w:pPr>
        <w:spacing w:after="0" w:line="240" w:lineRule="auto"/>
        <w:jc w:val="center"/>
        <w:rPr>
          <w:rFonts w:ascii="Open Sans" w:eastAsia="NSimSun" w:hAnsi="Open Sans" w:cs="Arial"/>
          <w:kern w:val="2"/>
          <w:sz w:val="24"/>
          <w:szCs w:val="24"/>
          <w:lang w:eastAsia="zh-CN" w:bidi="hi-IN"/>
        </w:rPr>
      </w:pPr>
      <w:r w:rsidRPr="00A07BE9">
        <w:rPr>
          <w:rFonts w:ascii="Open Sans" w:eastAsia="NSimSun" w:hAnsi="Open Sans" w:cs="Arial"/>
          <w:noProof/>
          <w:kern w:val="2"/>
          <w:sz w:val="24"/>
          <w:szCs w:val="24"/>
          <w:lang w:eastAsia="es-ES"/>
        </w:rPr>
        <mc:AlternateContent>
          <mc:Choice Requires="wps">
            <w:drawing>
              <wp:anchor distT="0" distB="0" distL="0" distR="0" simplePos="0" relativeHeight="251827200" behindDoc="0" locked="0" layoutInCell="1" allowOverlap="1" wp14:anchorId="6E5E4C07" wp14:editId="344EA38E">
                <wp:simplePos x="0" y="0"/>
                <wp:positionH relativeFrom="margin">
                  <wp:posOffset>2548890</wp:posOffset>
                </wp:positionH>
                <wp:positionV relativeFrom="paragraph">
                  <wp:posOffset>14605</wp:posOffset>
                </wp:positionV>
                <wp:extent cx="247650" cy="390525"/>
                <wp:effectExtent l="0" t="0" r="19050" b="28575"/>
                <wp:wrapNone/>
                <wp:docPr id="64" name="Forma7"/>
                <wp:cNvGraphicFramePr/>
                <a:graphic xmlns:a="http://schemas.openxmlformats.org/drawingml/2006/main">
                  <a:graphicData uri="http://schemas.microsoft.com/office/word/2010/wordprocessingShape">
                    <wps:wsp>
                      <wps:cNvSpPr/>
                      <wps:spPr>
                        <a:xfrm>
                          <a:off x="0" y="0"/>
                          <a:ext cx="247650" cy="390525"/>
                        </a:xfrm>
                        <a:custGeom>
                          <a:avLst/>
                          <a:gdLst/>
                          <a:ahLst/>
                          <a:cxnLst/>
                          <a:rect l="0" t="0" r="r" b="b"/>
                          <a:pathLst>
                            <a:path w="269" h="411">
                              <a:moveTo>
                                <a:pt x="67" y="0"/>
                              </a:moveTo>
                              <a:lnTo>
                                <a:pt x="67" y="307"/>
                              </a:lnTo>
                              <a:lnTo>
                                <a:pt x="0" y="307"/>
                              </a:lnTo>
                              <a:lnTo>
                                <a:pt x="134" y="410"/>
                              </a:lnTo>
                              <a:lnTo>
                                <a:pt x="268" y="307"/>
                              </a:lnTo>
                              <a:lnTo>
                                <a:pt x="201" y="307"/>
                              </a:lnTo>
                              <a:lnTo>
                                <a:pt x="201" y="0"/>
                              </a:lnTo>
                              <a:lnTo>
                                <a:pt x="67" y="0"/>
                              </a:lnTo>
                            </a:path>
                          </a:pathLst>
                        </a:custGeom>
                        <a:solidFill>
                          <a:srgbClr val="5B6770"/>
                        </a:solid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shape w14:anchorId="4710A5A5" id="Forma7" o:spid="_x0000_s1026" style="position:absolute;margin-left:200.7pt;margin-top:1.15pt;width:19.5pt;height:30.75pt;z-index:251827200;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coordsize="26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JzZCQIAAN8EAAAOAAAAZHJzL2Uyb0RvYy54bWysVNuO2yAQfa/Uf0C8N77El64VZ9V2lb5U&#10;7Uq7/QCCcYyEAQFrO3/fAcfZNO32pr7gAWYOZ87MeHM79QINzFiuZI2TVYwRk1Q1XB5q/PVx9+Yt&#10;RtYR2RChJKvxkVl8u339ajPqiqWqU6JhBgGItNWoa9w5p6sosrRjPbErpZmEy1aZnjjYmkPUGDIC&#10;ei+iNI6LaFSm0UZRZi2c3s2XeBvw25ZR96VtLXNI1Bi4ubCasO79Gm03pDoYojtOTzTIP7DoCZfw&#10;6BnqjjiCngz/Aarn1CirWreiqo9U23LKQg6QTRJfZfPQEc1CLiCO1WeZ7P+DpZ+He4N4U+Miw0iS&#10;Hmq082qXXppR2wo8HvS9Oe0smD7PqTW9/0IGaApyHs9ysskhCodpVhY5iE7han0T52nuMaPnYPpk&#10;3UemAhAZPlk3V6NZLNItFp3kYhqo6XU1DUZQzf1cTU2cj/PsvIlGYFLcYNTVOEuSUKVeDexRBQ/n&#10;6RclRgt/4Pd8LeRP3NZxEAccl+vlqwMapOwz/o1XsgbBwS9LQhe+iJYWMEJ/gAf981d+v371SpE5&#10;QeDoFQ01PKsMh5d1tErwZseF8Opac9h/EAYNBMYvf1+U5fLqd25CBucXI9dZkb/LTs1zERk086Es&#10;TPrcIZFv2rlNvbVXzTF0bziHKQrsTxPvx/RyD/blf2n7DQAA//8DAFBLAwQUAAYACAAAACEAD4hv&#10;+d0AAAAIAQAADwAAAGRycy9kb3ducmV2LnhtbEyPwU7DMBBE70j8g7VI3KjTNippmk2FaCtOVGpB&#10;nJ14iSPidRS7Tfh7zAmOoxnNvCm2k+3ElQbfOkaYzxIQxLXTLTcI72+HhwyED4q16hwTwjd52Ja3&#10;N4XKtRv5RNdzaEQsYZ8rBBNCn0vpa0NW+ZnriaP36QarQpRDI/WgxlhuO7lIkpW0quW4YFRPz4bq&#10;r/PFIqz3L7vs43WkXbafyIyHqjkdHxHv76anDYhAU/gLwy9+RIcyMlXuwtqLDiFN5mmMIiyWIKKf&#10;pknUFcJqmYEsC/n/QPkDAAD//wMAUEsBAi0AFAAGAAgAAAAhALaDOJL+AAAA4QEAABMAAAAAAAAA&#10;AAAAAAAAAAAAAFtDb250ZW50X1R5cGVzXS54bWxQSwECLQAUAAYACAAAACEAOP0h/9YAAACUAQAA&#10;CwAAAAAAAAAAAAAAAAAvAQAAX3JlbHMvLnJlbHNQSwECLQAUAAYACAAAACEA53ic2QkCAADfBAAA&#10;DgAAAAAAAAAAAAAAAAAuAgAAZHJzL2Uyb0RvYy54bWxQSwECLQAUAAYACAAAACEAD4hv+d0AAAAI&#10;AQAADwAAAAAAAAAAAAAAAABjBAAAZHJzL2Rvd25yZXYueG1sUEsFBgAAAAAEAAQA8wAAAG0FAAAA&#10;AA==&#10;" path="m67,r,307l,307,134,410,268,307r-67,l201,,67,e" fillcolor="#5b6770" strokecolor="#3465a4">
                <v:path arrowok="t"/>
                <w10:wrap anchorx="margin"/>
              </v:shape>
            </w:pict>
          </mc:Fallback>
        </mc:AlternateContent>
      </w:r>
    </w:p>
    <w:p w14:paraId="3ACE5B94" w14:textId="788CD187" w:rsidR="009568B0" w:rsidRPr="00A07BE9" w:rsidRDefault="00BF5F8C" w:rsidP="009568B0">
      <w:pPr>
        <w:spacing w:after="0" w:line="240" w:lineRule="auto"/>
        <w:jc w:val="center"/>
        <w:rPr>
          <w:rFonts w:ascii="Open Sans" w:eastAsia="NSimSun" w:hAnsi="Open Sans" w:cs="Arial"/>
          <w:kern w:val="2"/>
          <w:sz w:val="24"/>
          <w:szCs w:val="24"/>
          <w:lang w:eastAsia="zh-CN" w:bidi="hi-IN"/>
        </w:rPr>
      </w:pPr>
      <w:r w:rsidRPr="00A07BE9">
        <w:rPr>
          <w:rFonts w:ascii="Open Sans" w:eastAsia="NSimSun" w:hAnsi="Open Sans" w:cs="Arial"/>
          <w:noProof/>
          <w:kern w:val="2"/>
          <w:sz w:val="24"/>
          <w:szCs w:val="24"/>
          <w:lang w:eastAsia="es-ES"/>
        </w:rPr>
        <mc:AlternateContent>
          <mc:Choice Requires="wps">
            <w:drawing>
              <wp:anchor distT="0" distB="0" distL="0" distR="0" simplePos="0" relativeHeight="251810816" behindDoc="0" locked="0" layoutInCell="1" allowOverlap="1" wp14:anchorId="53DD6A2E" wp14:editId="02396337">
                <wp:simplePos x="0" y="0"/>
                <wp:positionH relativeFrom="column">
                  <wp:posOffset>-208867</wp:posOffset>
                </wp:positionH>
                <wp:positionV relativeFrom="paragraph">
                  <wp:posOffset>217158</wp:posOffset>
                </wp:positionV>
                <wp:extent cx="1546644" cy="948906"/>
                <wp:effectExtent l="0" t="0" r="15875" b="22860"/>
                <wp:wrapNone/>
                <wp:docPr id="238" name="Forma1"/>
                <wp:cNvGraphicFramePr/>
                <a:graphic xmlns:a="http://schemas.openxmlformats.org/drawingml/2006/main">
                  <a:graphicData uri="http://schemas.microsoft.com/office/word/2010/wordprocessingShape">
                    <wps:wsp>
                      <wps:cNvSpPr/>
                      <wps:spPr>
                        <a:xfrm>
                          <a:off x="0" y="0"/>
                          <a:ext cx="1546644" cy="948906"/>
                        </a:xfrm>
                        <a:custGeom>
                          <a:avLst/>
                          <a:gdLst/>
                          <a:ahLst/>
                          <a:cxnLst/>
                          <a:rect l="0" t="0" r="r" b="b"/>
                          <a:pathLst>
                            <a:path w="2685" h="1912">
                              <a:moveTo>
                                <a:pt x="318" y="0"/>
                              </a:moveTo>
                              <a:lnTo>
                                <a:pt x="319" y="0"/>
                              </a:lnTo>
                              <a:cubicBezTo>
                                <a:pt x="263" y="0"/>
                                <a:pt x="208" y="15"/>
                                <a:pt x="159" y="43"/>
                              </a:cubicBezTo>
                              <a:cubicBezTo>
                                <a:pt x="111" y="71"/>
                                <a:pt x="71" y="111"/>
                                <a:pt x="43" y="159"/>
                              </a:cubicBezTo>
                              <a:cubicBezTo>
                                <a:pt x="15" y="208"/>
                                <a:pt x="0" y="263"/>
                                <a:pt x="0" y="319"/>
                              </a:cubicBezTo>
                              <a:lnTo>
                                <a:pt x="0" y="1592"/>
                              </a:lnTo>
                              <a:lnTo>
                                <a:pt x="0" y="1593"/>
                              </a:lnTo>
                              <a:cubicBezTo>
                                <a:pt x="0" y="1648"/>
                                <a:pt x="15" y="1703"/>
                                <a:pt x="43" y="1752"/>
                              </a:cubicBezTo>
                              <a:cubicBezTo>
                                <a:pt x="71" y="1800"/>
                                <a:pt x="111" y="1840"/>
                                <a:pt x="159" y="1868"/>
                              </a:cubicBezTo>
                              <a:cubicBezTo>
                                <a:pt x="208" y="1896"/>
                                <a:pt x="263" y="1911"/>
                                <a:pt x="319" y="1911"/>
                              </a:cubicBezTo>
                              <a:lnTo>
                                <a:pt x="2365" y="1910"/>
                              </a:lnTo>
                              <a:lnTo>
                                <a:pt x="2366" y="1911"/>
                              </a:lnTo>
                              <a:cubicBezTo>
                                <a:pt x="2421" y="1911"/>
                                <a:pt x="2476" y="1896"/>
                                <a:pt x="2525" y="1868"/>
                              </a:cubicBezTo>
                              <a:cubicBezTo>
                                <a:pt x="2573" y="1840"/>
                                <a:pt x="2613" y="1800"/>
                                <a:pt x="2641" y="1752"/>
                              </a:cubicBezTo>
                              <a:cubicBezTo>
                                <a:pt x="2669" y="1703"/>
                                <a:pt x="2684" y="1648"/>
                                <a:pt x="2684" y="1593"/>
                              </a:cubicBezTo>
                              <a:lnTo>
                                <a:pt x="2684" y="318"/>
                              </a:lnTo>
                              <a:lnTo>
                                <a:pt x="2684" y="319"/>
                              </a:lnTo>
                              <a:lnTo>
                                <a:pt x="2684" y="319"/>
                              </a:lnTo>
                              <a:cubicBezTo>
                                <a:pt x="2684" y="263"/>
                                <a:pt x="2669" y="208"/>
                                <a:pt x="2641" y="159"/>
                              </a:cubicBezTo>
                              <a:cubicBezTo>
                                <a:pt x="2613" y="111"/>
                                <a:pt x="2573" y="71"/>
                                <a:pt x="2525" y="43"/>
                              </a:cubicBezTo>
                              <a:cubicBezTo>
                                <a:pt x="2476" y="15"/>
                                <a:pt x="2421" y="0"/>
                                <a:pt x="2366" y="0"/>
                              </a:cubicBezTo>
                              <a:lnTo>
                                <a:pt x="318" y="0"/>
                              </a:lnTo>
                            </a:path>
                          </a:pathLst>
                        </a:custGeom>
                        <a:solidFill>
                          <a:srgbClr val="EABAC2"/>
                        </a:solidFill>
                        <a:ln>
                          <a:solidFill>
                            <a:srgbClr val="3465A4"/>
                          </a:solidFill>
                        </a:ln>
                        <a:effectLst/>
                      </wps:spPr>
                      <wps:txbx>
                        <w:txbxContent>
                          <w:p w14:paraId="6F5F19F8" w14:textId="467C201E" w:rsidR="000F0D13" w:rsidRPr="00AC2ACC" w:rsidRDefault="000F0D13" w:rsidP="006F5661">
                            <w:pPr>
                              <w:spacing w:after="0"/>
                              <w:jc w:val="center"/>
                              <w:rPr>
                                <w:rFonts w:ascii="Open Sans" w:hAnsi="Open Sans" w:cs="Open Sans"/>
                              </w:rPr>
                            </w:pPr>
                            <w:r w:rsidRPr="00AC2ACC">
                              <w:rPr>
                                <w:rFonts w:ascii="Open Sans" w:hAnsi="Open Sans" w:cs="Open Sans"/>
                                <w:color w:val="FFFFFF"/>
                                <w:sz w:val="16"/>
                                <w:szCs w:val="16"/>
                              </w:rPr>
                              <w:t>Si no se supera el test de</w:t>
                            </w:r>
                          </w:p>
                          <w:p w14:paraId="2E743243" w14:textId="77777777" w:rsidR="000F0D13" w:rsidRPr="00AC2ACC" w:rsidRDefault="000F0D13" w:rsidP="006F5661">
                            <w:pPr>
                              <w:spacing w:after="0"/>
                              <w:jc w:val="center"/>
                              <w:rPr>
                                <w:rFonts w:ascii="Open Sans" w:hAnsi="Open Sans" w:cs="Open Sans"/>
                              </w:rPr>
                            </w:pPr>
                            <w:r w:rsidRPr="00AC2ACC">
                              <w:rPr>
                                <w:rFonts w:ascii="Open Sans" w:hAnsi="Open Sans" w:cs="Open Sans"/>
                                <w:color w:val="FFFFFF"/>
                                <w:sz w:val="16"/>
                                <w:szCs w:val="16"/>
                              </w:rPr>
                              <w:t>comprobación de la competencia</w:t>
                            </w:r>
                          </w:p>
                          <w:p w14:paraId="3AB8EEDC" w14:textId="22E8EF00" w:rsidR="000F0D13" w:rsidRPr="00AC2ACC" w:rsidRDefault="000F0D13" w:rsidP="006F5661">
                            <w:pPr>
                              <w:spacing w:after="0"/>
                              <w:jc w:val="center"/>
                              <w:rPr>
                                <w:rFonts w:ascii="Open Sans" w:hAnsi="Open Sans" w:cs="Open Sans"/>
                              </w:rPr>
                            </w:pPr>
                            <w:r w:rsidRPr="00AC2ACC">
                              <w:rPr>
                                <w:rFonts w:ascii="Open Sans" w:hAnsi="Open Sans" w:cs="Open Sans"/>
                                <w:color w:val="FFFFFF"/>
                                <w:sz w:val="16"/>
                                <w:szCs w:val="16"/>
                              </w:rPr>
                              <w:t>o de duplicidad de actuaciones,</w:t>
                            </w:r>
                          </w:p>
                          <w:p w14:paraId="63B04270" w14:textId="77777777" w:rsidR="000F0D13" w:rsidRPr="00AC2ACC" w:rsidRDefault="000F0D13" w:rsidP="006F5661">
                            <w:pPr>
                              <w:spacing w:after="0"/>
                              <w:jc w:val="center"/>
                              <w:rPr>
                                <w:rFonts w:ascii="Open Sans" w:hAnsi="Open Sans" w:cs="Open Sans"/>
                              </w:rPr>
                            </w:pPr>
                            <w:r w:rsidRPr="00AC2ACC">
                              <w:rPr>
                                <w:rFonts w:ascii="Open Sans" w:hAnsi="Open Sans" w:cs="Open Sans"/>
                                <w:color w:val="FFFFFF"/>
                                <w:sz w:val="16"/>
                                <w:szCs w:val="16"/>
                              </w:rPr>
                              <w:t>se procede a la</w:t>
                            </w:r>
                          </w:p>
                          <w:p w14:paraId="042D7DBF" w14:textId="77777777" w:rsidR="000F0D13" w:rsidRPr="00AC2ACC" w:rsidRDefault="000F0D13" w:rsidP="006F5661">
                            <w:pPr>
                              <w:spacing w:after="0"/>
                              <w:jc w:val="center"/>
                              <w:rPr>
                                <w:rFonts w:ascii="Open Sans" w:hAnsi="Open Sans" w:cs="Open Sans"/>
                              </w:rPr>
                            </w:pPr>
                            <w:r w:rsidRPr="00AC2ACC">
                              <w:rPr>
                                <w:rFonts w:ascii="Open Sans" w:hAnsi="Open Sans" w:cs="Open Sans"/>
                                <w:b/>
                                <w:bCs/>
                                <w:color w:val="FFFFFF"/>
                                <w:sz w:val="16"/>
                                <w:szCs w:val="16"/>
                                <w:u w:val="single"/>
                              </w:rPr>
                              <w:t>INADMISIÓN</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53DD6A2E" id="_x0000_s1045" style="position:absolute;left:0;text-align:left;margin-left:-16.45pt;margin-top:17.1pt;width:121.8pt;height:74.7pt;z-index:25181081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2685,191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sZSagMAACoKAAAOAAAAZHJzL2Uyb0RvYy54bWysVslu2zAQvRfoPwi6N7JoSV4QJ8jSFgWK&#10;NkDSD6ApKhYgiSpJL+nXd7iMZcopihS9SFyGj2/eDDm8vD60TbTjUtWiW8XpxSSOeMdEWXfPq/jH&#10;06cP8zhSmnYlbUTHV/ELV/H11ft3l/t+yYnYiKbkMgKQTi33/SreaN0vk0SxDW+puhA972CyErKl&#10;GrryOSkl3QN62yRkMimSvZBlLwXjSsHovZuMryx+VXGmv1eV4jpqVjFw0/Yr7XdtvsnVJV0+S9pv&#10;auZp0H9g0dK6g02PUPdU02gr6zOotmZSKFHpCybaRFRVzbj1AbxJJyNvHje059YXEEf1R5nU/4Nl&#10;33aP/YMEGfa9WipoGi8OlWzNH/hFByvWy1EsftARg8E0z4oiy+KIwdwimy8mhVEzGVazrdKfubBI&#10;dPdVaSd2iS26wRY7dNiUELJxsGQcQbDWLlg91WadoWea0X4Vk2Kex9EGOC1SYsPQih1/EtZGGw+m&#10;KeQh+gAUh/mmC+0WgR3Osu26Zrf816ktKaaDLZCxG5GJ2yjNPVs7muYONpt6iUK8sOeA0jS16LP0&#10;FAh6xg0zacV0tgBrR2EXF4EQMOx5eBAMgAzdEyA4IWYQHDsbnKavg6NCDtYBgLvEM8Fp/I/MUA+c&#10;fo2qxyyygCoIbH2eTQKyKMUsRwYhZNhzbFDU+cTfB14iH4F0noXjPpjpvLCMIJ1C1LDnwI55MV/Y&#10;Y3LMF59EkLlBSI3c1j8/frYJKubhp4XXY5FasmCPFvg/WhZjZLR4lXhGfM6NGJJs5oHGLuXEc3mT&#10;QPnMZ/FIblKkOBHGhxSZZ/aWYJOi8MqOMgcuEbjMzOEaZdowkS8wX0OlUD+vMAKZS8edRzTA/5kh&#10;ni00wP9fDUMiI/PRQT66Pjr1g5BvuECGsISJSzCO4cVFMCnecAUOGRZcpgQzMjiVZFq4dMT0D5UJ&#10;BR2XAzcLZ8ZUFFvDjlXGHryhjinR1OWnumlMbVHyeX3XyGhH4XXx8eb25g4vncCs6azxH1dOsyK/&#10;yXyqnKy0Z9gs5fYh4ypkMtRp09KH9SGqS1P6DIAZWovy5UFGe3jUrGL1c0slj6PmSwevBvMCwobE&#10;xhobtGMbAW8jpqUtop242WpR1aZu220dsu/Ag8Qq5R9P5sVz2rdWwxPv6jcAAAD//wMAUEsDBBQA&#10;BgAIAAAAIQDUPkkS3QAAAAoBAAAPAAAAZHJzL2Rvd25yZXYueG1sTI9BT4NAEIXvJv6HzZh4a5cC&#10;QUSWpiHRo4nVeJ6yU6Cyu4TdAv57x5MeJ+/Le9+U+9UMYqbJ984q2G0jEGQbp3vbKvh4f97kIHxA&#10;q3FwlhR8k4d9dXtTYqHdYt9oPoZWcIn1BSroQhgLKX3TkUG/dSNZzs5uMhj4nFqpJ1y43AwyjqJM&#10;GuwtL3Q4Ut1R83W8Gt41r5da1tnyOQ8v2Kbp+ZBfZqXu79bDE4hAa/iD4Vef1aFip5O7Wu3FoGCT&#10;xI+MKkjSGAQD8S56AHFiMk8ykFUp/79Q/QAAAP//AwBQSwECLQAUAAYACAAAACEAtoM4kv4AAADh&#10;AQAAEwAAAAAAAAAAAAAAAAAAAAAAW0NvbnRlbnRfVHlwZXNdLnhtbFBLAQItABQABgAIAAAAIQA4&#10;/SH/1gAAAJQBAAALAAAAAAAAAAAAAAAAAC8BAABfcmVscy8ucmVsc1BLAQItABQABgAIAAAAIQCr&#10;xsZSagMAACoKAAAOAAAAAAAAAAAAAAAAAC4CAABkcnMvZTJvRG9jLnhtbFBLAQItABQABgAIAAAA&#10;IQDUPkkS3QAAAAoBAAAPAAAAAAAAAAAAAAAAAMQFAABkcnMvZG93bnJldi54bWxQSwUGAAAAAAQA&#10;BADzAAAAzgYAAAAA&#10;" adj="-11796480,,5400" path="m318,r1,c263,,208,15,159,43,111,71,71,111,43,159,15,208,,263,,319l,1592r,1c,1648,15,1703,43,1752v28,48,68,88,116,116c208,1896,263,1911,319,1911r2046,-1l2366,1911v55,,110,-15,159,-43c2573,1840,2613,1800,2641,1752v28,-49,43,-104,43,-159l2684,318r,1l2684,319v,-56,-15,-111,-43,-160c2613,111,2573,71,2525,43,2476,15,2421,,2366,l318,e" fillcolor="#eabac2" strokecolor="#3465a4">
                <v:stroke joinstyle="miter"/>
                <v:formulas/>
                <v:path arrowok="t" o:connecttype="custom" textboxrect="0,0,2685,1912"/>
                <v:textbox inset="0,0,0,0">
                  <w:txbxContent>
                    <w:p w14:paraId="6F5F19F8" w14:textId="467C201E" w:rsidR="000F0D13" w:rsidRPr="00AC2ACC" w:rsidRDefault="000F0D13" w:rsidP="006F5661">
                      <w:pPr>
                        <w:spacing w:after="0"/>
                        <w:jc w:val="center"/>
                        <w:rPr>
                          <w:rFonts w:ascii="Open Sans" w:hAnsi="Open Sans" w:cs="Open Sans"/>
                        </w:rPr>
                      </w:pPr>
                      <w:r w:rsidRPr="00AC2ACC">
                        <w:rPr>
                          <w:rFonts w:ascii="Open Sans" w:hAnsi="Open Sans" w:cs="Open Sans"/>
                          <w:color w:val="FFFFFF"/>
                          <w:sz w:val="16"/>
                          <w:szCs w:val="16"/>
                        </w:rPr>
                        <w:t>Si no se supera el test de</w:t>
                      </w:r>
                    </w:p>
                    <w:p w14:paraId="2E743243" w14:textId="77777777" w:rsidR="000F0D13" w:rsidRPr="00AC2ACC" w:rsidRDefault="000F0D13" w:rsidP="006F5661">
                      <w:pPr>
                        <w:spacing w:after="0"/>
                        <w:jc w:val="center"/>
                        <w:rPr>
                          <w:rFonts w:ascii="Open Sans" w:hAnsi="Open Sans" w:cs="Open Sans"/>
                        </w:rPr>
                      </w:pPr>
                      <w:r w:rsidRPr="00AC2ACC">
                        <w:rPr>
                          <w:rFonts w:ascii="Open Sans" w:hAnsi="Open Sans" w:cs="Open Sans"/>
                          <w:color w:val="FFFFFF"/>
                          <w:sz w:val="16"/>
                          <w:szCs w:val="16"/>
                        </w:rPr>
                        <w:t>comprobación de la competencia</w:t>
                      </w:r>
                    </w:p>
                    <w:p w14:paraId="3AB8EEDC" w14:textId="22E8EF00" w:rsidR="000F0D13" w:rsidRPr="00AC2ACC" w:rsidRDefault="000F0D13" w:rsidP="006F5661">
                      <w:pPr>
                        <w:spacing w:after="0"/>
                        <w:jc w:val="center"/>
                        <w:rPr>
                          <w:rFonts w:ascii="Open Sans" w:hAnsi="Open Sans" w:cs="Open Sans"/>
                        </w:rPr>
                      </w:pPr>
                      <w:r w:rsidRPr="00AC2ACC">
                        <w:rPr>
                          <w:rFonts w:ascii="Open Sans" w:hAnsi="Open Sans" w:cs="Open Sans"/>
                          <w:color w:val="FFFFFF"/>
                          <w:sz w:val="16"/>
                          <w:szCs w:val="16"/>
                        </w:rPr>
                        <w:t>o de duplicidad de actuaciones,</w:t>
                      </w:r>
                    </w:p>
                    <w:p w14:paraId="63B04270" w14:textId="77777777" w:rsidR="000F0D13" w:rsidRPr="00AC2ACC" w:rsidRDefault="000F0D13" w:rsidP="006F5661">
                      <w:pPr>
                        <w:spacing w:after="0"/>
                        <w:jc w:val="center"/>
                        <w:rPr>
                          <w:rFonts w:ascii="Open Sans" w:hAnsi="Open Sans" w:cs="Open Sans"/>
                        </w:rPr>
                      </w:pPr>
                      <w:r w:rsidRPr="00AC2ACC">
                        <w:rPr>
                          <w:rFonts w:ascii="Open Sans" w:hAnsi="Open Sans" w:cs="Open Sans"/>
                          <w:color w:val="FFFFFF"/>
                          <w:sz w:val="16"/>
                          <w:szCs w:val="16"/>
                        </w:rPr>
                        <w:t>se procede a la</w:t>
                      </w:r>
                    </w:p>
                    <w:p w14:paraId="042D7DBF" w14:textId="77777777" w:rsidR="000F0D13" w:rsidRPr="00AC2ACC" w:rsidRDefault="000F0D13" w:rsidP="006F5661">
                      <w:pPr>
                        <w:spacing w:after="0"/>
                        <w:jc w:val="center"/>
                        <w:rPr>
                          <w:rFonts w:ascii="Open Sans" w:hAnsi="Open Sans" w:cs="Open Sans"/>
                        </w:rPr>
                      </w:pPr>
                      <w:r w:rsidRPr="00AC2ACC">
                        <w:rPr>
                          <w:rFonts w:ascii="Open Sans" w:hAnsi="Open Sans" w:cs="Open Sans"/>
                          <w:b/>
                          <w:bCs/>
                          <w:color w:val="FFFFFF"/>
                          <w:sz w:val="16"/>
                          <w:szCs w:val="16"/>
                          <w:u w:val="single"/>
                        </w:rPr>
                        <w:t>INADMISIÓN</w:t>
                      </w:r>
                    </w:p>
                  </w:txbxContent>
                </v:textbox>
              </v:shape>
            </w:pict>
          </mc:Fallback>
        </mc:AlternateContent>
      </w:r>
    </w:p>
    <w:p w14:paraId="199C1901" w14:textId="16C63CA3" w:rsidR="009568B0" w:rsidRPr="00A07BE9" w:rsidRDefault="00BB7F2B" w:rsidP="009568B0">
      <w:pPr>
        <w:spacing w:after="0" w:line="240" w:lineRule="auto"/>
        <w:jc w:val="center"/>
        <w:rPr>
          <w:rFonts w:ascii="Open Sans" w:eastAsia="NSimSun" w:hAnsi="Open Sans" w:cs="Arial"/>
          <w:kern w:val="2"/>
          <w:sz w:val="24"/>
          <w:szCs w:val="24"/>
          <w:lang w:eastAsia="zh-CN" w:bidi="hi-IN"/>
        </w:rPr>
      </w:pPr>
      <w:r w:rsidRPr="00A07BE9">
        <w:rPr>
          <w:rFonts w:ascii="Open Sans" w:eastAsia="NSimSun" w:hAnsi="Open Sans" w:cs="Arial"/>
          <w:noProof/>
          <w:kern w:val="2"/>
          <w:sz w:val="24"/>
          <w:szCs w:val="24"/>
          <w:lang w:eastAsia="es-ES"/>
        </w:rPr>
        <mc:AlternateContent>
          <mc:Choice Requires="wps">
            <w:drawing>
              <wp:anchor distT="0" distB="0" distL="0" distR="0" simplePos="0" relativeHeight="251812864" behindDoc="0" locked="0" layoutInCell="1" allowOverlap="1" wp14:anchorId="7F3CF89D" wp14:editId="1BFC35B7">
                <wp:simplePos x="0" y="0"/>
                <wp:positionH relativeFrom="column">
                  <wp:posOffset>4053840</wp:posOffset>
                </wp:positionH>
                <wp:positionV relativeFrom="paragraph">
                  <wp:posOffset>113665</wp:posOffset>
                </wp:positionV>
                <wp:extent cx="1771650" cy="933450"/>
                <wp:effectExtent l="0" t="0" r="19050" b="19050"/>
                <wp:wrapNone/>
                <wp:docPr id="237" name="Forma1"/>
                <wp:cNvGraphicFramePr/>
                <a:graphic xmlns:a="http://schemas.openxmlformats.org/drawingml/2006/main">
                  <a:graphicData uri="http://schemas.microsoft.com/office/word/2010/wordprocessingShape">
                    <wps:wsp>
                      <wps:cNvSpPr/>
                      <wps:spPr>
                        <a:xfrm>
                          <a:off x="0" y="0"/>
                          <a:ext cx="1771650" cy="933450"/>
                        </a:xfrm>
                        <a:custGeom>
                          <a:avLst/>
                          <a:gdLst/>
                          <a:ahLst/>
                          <a:cxnLst/>
                          <a:rect l="0" t="0" r="r" b="b"/>
                          <a:pathLst>
                            <a:path w="2685" h="1912">
                              <a:moveTo>
                                <a:pt x="318" y="0"/>
                              </a:moveTo>
                              <a:lnTo>
                                <a:pt x="319" y="0"/>
                              </a:lnTo>
                              <a:cubicBezTo>
                                <a:pt x="263" y="0"/>
                                <a:pt x="208" y="15"/>
                                <a:pt x="159" y="43"/>
                              </a:cubicBezTo>
                              <a:cubicBezTo>
                                <a:pt x="111" y="71"/>
                                <a:pt x="71" y="111"/>
                                <a:pt x="43" y="159"/>
                              </a:cubicBezTo>
                              <a:cubicBezTo>
                                <a:pt x="15" y="208"/>
                                <a:pt x="0" y="263"/>
                                <a:pt x="0" y="319"/>
                              </a:cubicBezTo>
                              <a:lnTo>
                                <a:pt x="0" y="1592"/>
                              </a:lnTo>
                              <a:lnTo>
                                <a:pt x="0" y="1593"/>
                              </a:lnTo>
                              <a:cubicBezTo>
                                <a:pt x="0" y="1648"/>
                                <a:pt x="15" y="1703"/>
                                <a:pt x="43" y="1752"/>
                              </a:cubicBezTo>
                              <a:cubicBezTo>
                                <a:pt x="71" y="1800"/>
                                <a:pt x="111" y="1840"/>
                                <a:pt x="159" y="1868"/>
                              </a:cubicBezTo>
                              <a:cubicBezTo>
                                <a:pt x="208" y="1896"/>
                                <a:pt x="263" y="1911"/>
                                <a:pt x="319" y="1911"/>
                              </a:cubicBezTo>
                              <a:lnTo>
                                <a:pt x="2365" y="1910"/>
                              </a:lnTo>
                              <a:lnTo>
                                <a:pt x="2366" y="1911"/>
                              </a:lnTo>
                              <a:cubicBezTo>
                                <a:pt x="2421" y="1911"/>
                                <a:pt x="2476" y="1896"/>
                                <a:pt x="2525" y="1868"/>
                              </a:cubicBezTo>
                              <a:cubicBezTo>
                                <a:pt x="2573" y="1840"/>
                                <a:pt x="2613" y="1800"/>
                                <a:pt x="2641" y="1752"/>
                              </a:cubicBezTo>
                              <a:cubicBezTo>
                                <a:pt x="2669" y="1703"/>
                                <a:pt x="2684" y="1648"/>
                                <a:pt x="2684" y="1593"/>
                              </a:cubicBezTo>
                              <a:lnTo>
                                <a:pt x="2684" y="318"/>
                              </a:lnTo>
                              <a:lnTo>
                                <a:pt x="2684" y="319"/>
                              </a:lnTo>
                              <a:lnTo>
                                <a:pt x="2684" y="319"/>
                              </a:lnTo>
                              <a:cubicBezTo>
                                <a:pt x="2684" y="263"/>
                                <a:pt x="2669" y="208"/>
                                <a:pt x="2641" y="159"/>
                              </a:cubicBezTo>
                              <a:cubicBezTo>
                                <a:pt x="2613" y="111"/>
                                <a:pt x="2573" y="71"/>
                                <a:pt x="2525" y="43"/>
                              </a:cubicBezTo>
                              <a:cubicBezTo>
                                <a:pt x="2476" y="15"/>
                                <a:pt x="2421" y="0"/>
                                <a:pt x="2366" y="0"/>
                              </a:cubicBezTo>
                              <a:lnTo>
                                <a:pt x="318" y="0"/>
                              </a:lnTo>
                            </a:path>
                          </a:pathLst>
                        </a:custGeom>
                        <a:solidFill>
                          <a:srgbClr val="EABAC2"/>
                        </a:solidFill>
                        <a:ln>
                          <a:solidFill>
                            <a:srgbClr val="3465A4"/>
                          </a:solidFill>
                        </a:ln>
                        <a:effectLst/>
                      </wps:spPr>
                      <wps:txbx>
                        <w:txbxContent>
                          <w:p w14:paraId="101EF045" w14:textId="77777777" w:rsidR="000F0D13" w:rsidRPr="00AC2ACC" w:rsidRDefault="000F0D13" w:rsidP="006F5661">
                            <w:pPr>
                              <w:spacing w:after="0"/>
                              <w:jc w:val="center"/>
                              <w:rPr>
                                <w:rFonts w:ascii="Open Sans" w:hAnsi="Open Sans" w:cs="Open Sans"/>
                              </w:rPr>
                            </w:pPr>
                            <w:r w:rsidRPr="00AC2ACC">
                              <w:rPr>
                                <w:rFonts w:ascii="Open Sans" w:hAnsi="Open Sans" w:cs="Open Sans"/>
                                <w:color w:val="FFFFFF"/>
                                <w:sz w:val="16"/>
                                <w:szCs w:val="16"/>
                              </w:rPr>
                              <w:t>Si la denuncia supera el test de</w:t>
                            </w:r>
                          </w:p>
                          <w:p w14:paraId="0DF44722" w14:textId="77777777" w:rsidR="000F0D13" w:rsidRPr="00AC2ACC" w:rsidRDefault="000F0D13" w:rsidP="006F5661">
                            <w:pPr>
                              <w:spacing w:after="0"/>
                              <w:jc w:val="center"/>
                              <w:rPr>
                                <w:rFonts w:ascii="Open Sans" w:hAnsi="Open Sans" w:cs="Open Sans"/>
                              </w:rPr>
                            </w:pPr>
                            <w:r w:rsidRPr="00AC2ACC">
                              <w:rPr>
                                <w:rFonts w:ascii="Open Sans" w:hAnsi="Open Sans" w:cs="Open Sans"/>
                                <w:color w:val="FFFFFF"/>
                                <w:sz w:val="16"/>
                                <w:szCs w:val="16"/>
                              </w:rPr>
                              <w:t>comprobación de la competencia</w:t>
                            </w:r>
                          </w:p>
                          <w:p w14:paraId="6F59A270" w14:textId="77777777" w:rsidR="000F0D13" w:rsidRPr="00AC2ACC" w:rsidRDefault="000F0D13" w:rsidP="006F5661">
                            <w:pPr>
                              <w:spacing w:after="0"/>
                              <w:jc w:val="center"/>
                              <w:rPr>
                                <w:rFonts w:ascii="Open Sans" w:hAnsi="Open Sans" w:cs="Open Sans"/>
                              </w:rPr>
                            </w:pPr>
                            <w:r w:rsidRPr="00AC2ACC">
                              <w:rPr>
                                <w:rFonts w:ascii="Open Sans" w:hAnsi="Open Sans" w:cs="Open Sans"/>
                                <w:b/>
                                <w:bCs/>
                                <w:color w:val="FFFFFF"/>
                                <w:sz w:val="16"/>
                                <w:szCs w:val="16"/>
                                <w:u w:val="single"/>
                              </w:rPr>
                              <w:t>Y</w:t>
                            </w:r>
                            <w:r w:rsidRPr="00AC2ACC">
                              <w:rPr>
                                <w:rFonts w:ascii="Open Sans" w:hAnsi="Open Sans" w:cs="Open Sans"/>
                                <w:color w:val="FFFFFF"/>
                                <w:sz w:val="16"/>
                                <w:szCs w:val="16"/>
                              </w:rPr>
                              <w:t xml:space="preserve"> de duplicidad de actuaciones,</w:t>
                            </w:r>
                          </w:p>
                          <w:p w14:paraId="5CB9A0A4" w14:textId="77777777" w:rsidR="000F0D13" w:rsidRPr="00AC2ACC" w:rsidRDefault="000F0D13" w:rsidP="006F5661">
                            <w:pPr>
                              <w:spacing w:after="0"/>
                              <w:jc w:val="center"/>
                              <w:rPr>
                                <w:rFonts w:ascii="Open Sans" w:hAnsi="Open Sans" w:cs="Open Sans"/>
                              </w:rPr>
                            </w:pPr>
                            <w:r w:rsidRPr="00AC2ACC">
                              <w:rPr>
                                <w:rFonts w:ascii="Open Sans" w:hAnsi="Open Sans" w:cs="Open Sans"/>
                                <w:b/>
                                <w:bCs/>
                                <w:color w:val="FFFFFF"/>
                                <w:sz w:val="16"/>
                                <w:szCs w:val="16"/>
                                <w:u w:val="single"/>
                              </w:rPr>
                              <w:t>Y</w:t>
                            </w:r>
                            <w:r w:rsidRPr="00AC2ACC">
                              <w:rPr>
                                <w:rFonts w:ascii="Open Sans" w:hAnsi="Open Sans" w:cs="Open Sans"/>
                                <w:color w:val="FFFFFF"/>
                                <w:sz w:val="16"/>
                                <w:szCs w:val="16"/>
                              </w:rPr>
                              <w:t xml:space="preserve"> contiene datos concretos,</w:t>
                            </w:r>
                          </w:p>
                          <w:p w14:paraId="40B63D0A" w14:textId="17D420FA" w:rsidR="000F0D13" w:rsidRPr="00AC2ACC" w:rsidRDefault="000F0D13" w:rsidP="006F5661">
                            <w:pPr>
                              <w:spacing w:after="0"/>
                              <w:jc w:val="center"/>
                              <w:rPr>
                                <w:rFonts w:ascii="Open Sans" w:hAnsi="Open Sans" w:cs="Open Sans"/>
                              </w:rPr>
                            </w:pPr>
                            <w:r w:rsidRPr="00AC2ACC">
                              <w:rPr>
                                <w:rFonts w:ascii="Open Sans" w:hAnsi="Open Sans" w:cs="Open Sans"/>
                                <w:color w:val="FFFFFF"/>
                                <w:sz w:val="16"/>
                                <w:szCs w:val="16"/>
                              </w:rPr>
                              <w:t>se procede a la</w:t>
                            </w:r>
                          </w:p>
                          <w:p w14:paraId="2A508DDD" w14:textId="77777777" w:rsidR="000F0D13" w:rsidRPr="00AC2ACC" w:rsidRDefault="000F0D13" w:rsidP="006F5661">
                            <w:pPr>
                              <w:spacing w:after="0"/>
                              <w:jc w:val="center"/>
                              <w:rPr>
                                <w:rFonts w:ascii="Open Sans" w:hAnsi="Open Sans" w:cs="Open Sans"/>
                              </w:rPr>
                            </w:pPr>
                            <w:r w:rsidRPr="00AC2ACC">
                              <w:rPr>
                                <w:rFonts w:ascii="Open Sans" w:hAnsi="Open Sans" w:cs="Open Sans"/>
                                <w:b/>
                                <w:bCs/>
                                <w:color w:val="FFFFFF"/>
                                <w:sz w:val="16"/>
                                <w:szCs w:val="16"/>
                                <w:u w:val="single"/>
                              </w:rPr>
                              <w:t>INICIACIÓN DE ACTUACIONES</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7F3CF89D" id="_x0000_s1046" style="position:absolute;left:0;text-align:left;margin-left:319.2pt;margin-top:8.95pt;width:139.5pt;height:73.5pt;z-index:25181286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2685,191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Yx2ZQMAACoKAAAOAAAAZHJzL2Uyb0RvYy54bWysVslu3DgQvQeYfxB0H6tJLb3A7cBJJkGA&#10;IGMgmQ9gU5RbgCRqSPbifH2KS7WasoPAg7lIJKv4+OpVcbl9e+675CiUbuWwTcnNIk3EwGXdDo/b&#10;9J/vH/9cpYk2bKhZJwexTZ+ETt/e/fHm9jRuBJV72dVCJQAy6M1p3KZ7Y8ZNlmm+Fz3TN3IUAxgb&#10;qXpmoKses1qxE6D3XUYXiyo7SVWPSnKhNYx+8Mb0zuE3jeDm76bRwiTdNgVuxn2V++7sN7u7ZZtH&#10;xcZ9ywMN9h9Y9KwdYNEL1AdmWHJQ7TOovuVKatmYGy77TDZNy4WLAaIhi1k03/ZsFC4WEEePF5n0&#10;/wfLvx6/jQ8KZDiNeqOhaaM4N6q3f+CXnJ1YTxexxNkkHAbJckmqEjTlYFvneQFtgMmm2fygzSch&#10;HRI7ftHGi11ji+2xxc8DNhWkbJ4slSaQrJ1P1siMnWfp2WZy2qa0WpVpsgdOa0JdGnp5FN+l8zE2&#10;gpxAHWIMQHGyd0Pst4780MoPu5a/Ez+ufWmVT75Axi1EF34hUga2bpSUHrbIg0QxXtzzQIQQh74k&#10;10DQs2FYoxPT+wKsG4VVfAZiwLgX4EEwALJ0r4Agm3YQAns2mJOXwVEhD+sBIFwamKAZ/zM31APN&#10;L1ENmFURUQWBXczLRUQWpViWyCCGjHueDYq6WoTzIEgUMkBWRTwekklWlWME5RSjxj0PdqmL1bq6&#10;FheLCCo3SqmV28UXxp8tgooF+LwKeqwJbkP0wP/Fs5ojo8eLxAsaam7GkBbLADQPqaSBy6sEKpeh&#10;imdy04qgIc4PrYrA7DXJplUVlJ1VDhwihRdmVmmToVxjvcZKoX5BYQSyh47fj+iA/2eOuLfQAf+/&#10;dYyJzNxnG/kS+mzXT0K+4gCZ0hIXLsU8xgcXxaJ4xRE4VVh0mFKsyGhX0rzy5YjlHysTCzq/DrwV&#10;9pi9Udwddrll3Mab7jEtu7b+2HadvVu0ety971RyZPC6+Ov+3f17PHQit25wzr+cmRdVeV+EUrma&#10;CUv7qcI9ZPwNmU33tG2Z8+6ctLU9yS2AHdrJ+ulBJSd41GxT/e+BKZEm3ecBXg1wlBpsKGzssMEG&#10;vpfwNuJGuUt0kPcHI5vW3ttuWY8cOvAgcUqFx5N98Vz3ndf0xLv7CQAA//8DAFBLAwQUAAYACAAA&#10;ACEA0FeZV90AAAAKAQAADwAAAGRycy9kb3ducmV2LnhtbEyPQU+DQBCF7yb+h82YeLNLlVCgLE1D&#10;okcTW+N5yk6Blt0l7Bbw3zue9Djvvbz3TbFbTC8mGn3nrIL1KgJBtna6s42Cz+PrUwrCB7Qae2dJ&#10;wTd52JX3dwXm2s32g6ZDaASXWJ+jgjaEIZfS1y0Z9Cs3kGXv7EaDgc+xkXrEmctNL5+jKJEGO8sL&#10;LQ5UtVRfDzfDu+b9Uskqmb+m/g2bOD7v08uk1OPDst+CCLSEvzD84jM6lMx0cjervegVJC9pzFE2&#10;NhkIDmTrDQsnFpI4A1kW8v8L5Q8AAAD//wMAUEsBAi0AFAAGAAgAAAAhALaDOJL+AAAA4QEAABMA&#10;AAAAAAAAAAAAAAAAAAAAAFtDb250ZW50X1R5cGVzXS54bWxQSwECLQAUAAYACAAAACEAOP0h/9YA&#10;AACUAQAACwAAAAAAAAAAAAAAAAAvAQAAX3JlbHMvLnJlbHNQSwECLQAUAAYACAAAACEAsIWMdmUD&#10;AAAqCgAADgAAAAAAAAAAAAAAAAAuAgAAZHJzL2Uyb0RvYy54bWxQSwECLQAUAAYACAAAACEA0FeZ&#10;V90AAAAKAQAADwAAAAAAAAAAAAAAAAC/BQAAZHJzL2Rvd25yZXYueG1sUEsFBgAAAAAEAAQA8wAA&#10;AMkGAAAAAA==&#10;" adj="-11796480,,5400" path="m318,r1,c263,,208,15,159,43,111,71,71,111,43,159,15,208,,263,,319l,1592r,1c,1648,15,1703,43,1752v28,48,68,88,116,116c208,1896,263,1911,319,1911r2046,-1l2366,1911v55,,110,-15,159,-43c2573,1840,2613,1800,2641,1752v28,-49,43,-104,43,-159l2684,318r,1l2684,319v,-56,-15,-111,-43,-160c2613,111,2573,71,2525,43,2476,15,2421,,2366,l318,e" fillcolor="#eabac2" strokecolor="#3465a4">
                <v:stroke joinstyle="miter"/>
                <v:formulas/>
                <v:path arrowok="t" o:connecttype="custom" textboxrect="0,0,2685,1912"/>
                <v:textbox inset="0,0,0,0">
                  <w:txbxContent>
                    <w:p w14:paraId="101EF045" w14:textId="77777777" w:rsidR="000F0D13" w:rsidRPr="00AC2ACC" w:rsidRDefault="000F0D13" w:rsidP="006F5661">
                      <w:pPr>
                        <w:spacing w:after="0"/>
                        <w:jc w:val="center"/>
                        <w:rPr>
                          <w:rFonts w:ascii="Open Sans" w:hAnsi="Open Sans" w:cs="Open Sans"/>
                        </w:rPr>
                      </w:pPr>
                      <w:r w:rsidRPr="00AC2ACC">
                        <w:rPr>
                          <w:rFonts w:ascii="Open Sans" w:hAnsi="Open Sans" w:cs="Open Sans"/>
                          <w:color w:val="FFFFFF"/>
                          <w:sz w:val="16"/>
                          <w:szCs w:val="16"/>
                        </w:rPr>
                        <w:t>Si la denuncia supera el test de</w:t>
                      </w:r>
                    </w:p>
                    <w:p w14:paraId="0DF44722" w14:textId="77777777" w:rsidR="000F0D13" w:rsidRPr="00AC2ACC" w:rsidRDefault="000F0D13" w:rsidP="006F5661">
                      <w:pPr>
                        <w:spacing w:after="0"/>
                        <w:jc w:val="center"/>
                        <w:rPr>
                          <w:rFonts w:ascii="Open Sans" w:hAnsi="Open Sans" w:cs="Open Sans"/>
                        </w:rPr>
                      </w:pPr>
                      <w:r w:rsidRPr="00AC2ACC">
                        <w:rPr>
                          <w:rFonts w:ascii="Open Sans" w:hAnsi="Open Sans" w:cs="Open Sans"/>
                          <w:color w:val="FFFFFF"/>
                          <w:sz w:val="16"/>
                          <w:szCs w:val="16"/>
                        </w:rPr>
                        <w:t>comprobación de la competencia</w:t>
                      </w:r>
                    </w:p>
                    <w:p w14:paraId="6F59A270" w14:textId="77777777" w:rsidR="000F0D13" w:rsidRPr="00AC2ACC" w:rsidRDefault="000F0D13" w:rsidP="006F5661">
                      <w:pPr>
                        <w:spacing w:after="0"/>
                        <w:jc w:val="center"/>
                        <w:rPr>
                          <w:rFonts w:ascii="Open Sans" w:hAnsi="Open Sans" w:cs="Open Sans"/>
                        </w:rPr>
                      </w:pPr>
                      <w:r w:rsidRPr="00AC2ACC">
                        <w:rPr>
                          <w:rFonts w:ascii="Open Sans" w:hAnsi="Open Sans" w:cs="Open Sans"/>
                          <w:b/>
                          <w:bCs/>
                          <w:color w:val="FFFFFF"/>
                          <w:sz w:val="16"/>
                          <w:szCs w:val="16"/>
                          <w:u w:val="single"/>
                        </w:rPr>
                        <w:t>Y</w:t>
                      </w:r>
                      <w:r w:rsidRPr="00AC2ACC">
                        <w:rPr>
                          <w:rFonts w:ascii="Open Sans" w:hAnsi="Open Sans" w:cs="Open Sans"/>
                          <w:color w:val="FFFFFF"/>
                          <w:sz w:val="16"/>
                          <w:szCs w:val="16"/>
                        </w:rPr>
                        <w:t xml:space="preserve"> de duplicidad de actuaciones,</w:t>
                      </w:r>
                    </w:p>
                    <w:p w14:paraId="5CB9A0A4" w14:textId="77777777" w:rsidR="000F0D13" w:rsidRPr="00AC2ACC" w:rsidRDefault="000F0D13" w:rsidP="006F5661">
                      <w:pPr>
                        <w:spacing w:after="0"/>
                        <w:jc w:val="center"/>
                        <w:rPr>
                          <w:rFonts w:ascii="Open Sans" w:hAnsi="Open Sans" w:cs="Open Sans"/>
                        </w:rPr>
                      </w:pPr>
                      <w:r w:rsidRPr="00AC2ACC">
                        <w:rPr>
                          <w:rFonts w:ascii="Open Sans" w:hAnsi="Open Sans" w:cs="Open Sans"/>
                          <w:b/>
                          <w:bCs/>
                          <w:color w:val="FFFFFF"/>
                          <w:sz w:val="16"/>
                          <w:szCs w:val="16"/>
                          <w:u w:val="single"/>
                        </w:rPr>
                        <w:t>Y</w:t>
                      </w:r>
                      <w:r w:rsidRPr="00AC2ACC">
                        <w:rPr>
                          <w:rFonts w:ascii="Open Sans" w:hAnsi="Open Sans" w:cs="Open Sans"/>
                          <w:color w:val="FFFFFF"/>
                          <w:sz w:val="16"/>
                          <w:szCs w:val="16"/>
                        </w:rPr>
                        <w:t xml:space="preserve"> contiene datos concretos,</w:t>
                      </w:r>
                    </w:p>
                    <w:p w14:paraId="40B63D0A" w14:textId="17D420FA" w:rsidR="000F0D13" w:rsidRPr="00AC2ACC" w:rsidRDefault="000F0D13" w:rsidP="006F5661">
                      <w:pPr>
                        <w:spacing w:after="0"/>
                        <w:jc w:val="center"/>
                        <w:rPr>
                          <w:rFonts w:ascii="Open Sans" w:hAnsi="Open Sans" w:cs="Open Sans"/>
                        </w:rPr>
                      </w:pPr>
                      <w:r w:rsidRPr="00AC2ACC">
                        <w:rPr>
                          <w:rFonts w:ascii="Open Sans" w:hAnsi="Open Sans" w:cs="Open Sans"/>
                          <w:color w:val="FFFFFF"/>
                          <w:sz w:val="16"/>
                          <w:szCs w:val="16"/>
                        </w:rPr>
                        <w:t>se procede a la</w:t>
                      </w:r>
                    </w:p>
                    <w:p w14:paraId="2A508DDD" w14:textId="77777777" w:rsidR="000F0D13" w:rsidRPr="00AC2ACC" w:rsidRDefault="000F0D13" w:rsidP="006F5661">
                      <w:pPr>
                        <w:spacing w:after="0"/>
                        <w:jc w:val="center"/>
                        <w:rPr>
                          <w:rFonts w:ascii="Open Sans" w:hAnsi="Open Sans" w:cs="Open Sans"/>
                        </w:rPr>
                      </w:pPr>
                      <w:r w:rsidRPr="00AC2ACC">
                        <w:rPr>
                          <w:rFonts w:ascii="Open Sans" w:hAnsi="Open Sans" w:cs="Open Sans"/>
                          <w:b/>
                          <w:bCs/>
                          <w:color w:val="FFFFFF"/>
                          <w:sz w:val="16"/>
                          <w:szCs w:val="16"/>
                          <w:u w:val="single"/>
                        </w:rPr>
                        <w:t>INICIACIÓN DE ACTUACIONES</w:t>
                      </w:r>
                    </w:p>
                  </w:txbxContent>
                </v:textbox>
              </v:shape>
            </w:pict>
          </mc:Fallback>
        </mc:AlternateContent>
      </w:r>
      <w:r w:rsidRPr="00A07BE9">
        <w:rPr>
          <w:rFonts w:ascii="Open Sans" w:eastAsia="NSimSun" w:hAnsi="Open Sans" w:cs="Arial"/>
          <w:noProof/>
          <w:kern w:val="2"/>
          <w:sz w:val="24"/>
          <w:szCs w:val="24"/>
          <w:lang w:eastAsia="es-ES"/>
        </w:rPr>
        <mc:AlternateContent>
          <mc:Choice Requires="wps">
            <w:drawing>
              <wp:anchor distT="0" distB="0" distL="0" distR="0" simplePos="0" relativeHeight="251811840" behindDoc="0" locked="0" layoutInCell="1" allowOverlap="1" wp14:anchorId="4948289B" wp14:editId="763D420B">
                <wp:simplePos x="0" y="0"/>
                <wp:positionH relativeFrom="margin">
                  <wp:posOffset>1947545</wp:posOffset>
                </wp:positionH>
                <wp:positionV relativeFrom="paragraph">
                  <wp:posOffset>18415</wp:posOffset>
                </wp:positionV>
                <wp:extent cx="1638300" cy="895350"/>
                <wp:effectExtent l="0" t="0" r="19050" b="19050"/>
                <wp:wrapNone/>
                <wp:docPr id="239" name="Forma1"/>
                <wp:cNvGraphicFramePr/>
                <a:graphic xmlns:a="http://schemas.openxmlformats.org/drawingml/2006/main">
                  <a:graphicData uri="http://schemas.microsoft.com/office/word/2010/wordprocessingShape">
                    <wps:wsp>
                      <wps:cNvSpPr/>
                      <wps:spPr>
                        <a:xfrm>
                          <a:off x="0" y="0"/>
                          <a:ext cx="1638300" cy="895350"/>
                        </a:xfrm>
                        <a:custGeom>
                          <a:avLst/>
                          <a:gdLst/>
                          <a:ahLst/>
                          <a:cxnLst/>
                          <a:rect l="0" t="0" r="r" b="b"/>
                          <a:pathLst>
                            <a:path w="2685" h="1912">
                              <a:moveTo>
                                <a:pt x="318" y="0"/>
                              </a:moveTo>
                              <a:lnTo>
                                <a:pt x="319" y="0"/>
                              </a:lnTo>
                              <a:cubicBezTo>
                                <a:pt x="263" y="0"/>
                                <a:pt x="208" y="15"/>
                                <a:pt x="159" y="43"/>
                              </a:cubicBezTo>
                              <a:cubicBezTo>
                                <a:pt x="111" y="71"/>
                                <a:pt x="71" y="111"/>
                                <a:pt x="43" y="159"/>
                              </a:cubicBezTo>
                              <a:cubicBezTo>
                                <a:pt x="15" y="208"/>
                                <a:pt x="0" y="263"/>
                                <a:pt x="0" y="319"/>
                              </a:cubicBezTo>
                              <a:lnTo>
                                <a:pt x="0" y="1592"/>
                              </a:lnTo>
                              <a:lnTo>
                                <a:pt x="0" y="1593"/>
                              </a:lnTo>
                              <a:cubicBezTo>
                                <a:pt x="0" y="1648"/>
                                <a:pt x="15" y="1703"/>
                                <a:pt x="43" y="1752"/>
                              </a:cubicBezTo>
                              <a:cubicBezTo>
                                <a:pt x="71" y="1800"/>
                                <a:pt x="111" y="1840"/>
                                <a:pt x="159" y="1868"/>
                              </a:cubicBezTo>
                              <a:cubicBezTo>
                                <a:pt x="208" y="1896"/>
                                <a:pt x="263" y="1911"/>
                                <a:pt x="319" y="1911"/>
                              </a:cubicBezTo>
                              <a:lnTo>
                                <a:pt x="2365" y="1910"/>
                              </a:lnTo>
                              <a:lnTo>
                                <a:pt x="2366" y="1911"/>
                              </a:lnTo>
                              <a:cubicBezTo>
                                <a:pt x="2421" y="1911"/>
                                <a:pt x="2476" y="1896"/>
                                <a:pt x="2525" y="1868"/>
                              </a:cubicBezTo>
                              <a:cubicBezTo>
                                <a:pt x="2573" y="1840"/>
                                <a:pt x="2613" y="1800"/>
                                <a:pt x="2641" y="1752"/>
                              </a:cubicBezTo>
                              <a:cubicBezTo>
                                <a:pt x="2669" y="1703"/>
                                <a:pt x="2684" y="1648"/>
                                <a:pt x="2684" y="1593"/>
                              </a:cubicBezTo>
                              <a:lnTo>
                                <a:pt x="2684" y="318"/>
                              </a:lnTo>
                              <a:lnTo>
                                <a:pt x="2684" y="319"/>
                              </a:lnTo>
                              <a:lnTo>
                                <a:pt x="2684" y="319"/>
                              </a:lnTo>
                              <a:cubicBezTo>
                                <a:pt x="2684" y="263"/>
                                <a:pt x="2669" y="208"/>
                                <a:pt x="2641" y="159"/>
                              </a:cubicBezTo>
                              <a:cubicBezTo>
                                <a:pt x="2613" y="111"/>
                                <a:pt x="2573" y="71"/>
                                <a:pt x="2525" y="43"/>
                              </a:cubicBezTo>
                              <a:cubicBezTo>
                                <a:pt x="2476" y="15"/>
                                <a:pt x="2421" y="0"/>
                                <a:pt x="2366" y="0"/>
                              </a:cubicBezTo>
                              <a:lnTo>
                                <a:pt x="318" y="0"/>
                              </a:lnTo>
                            </a:path>
                          </a:pathLst>
                        </a:custGeom>
                        <a:solidFill>
                          <a:srgbClr val="EABAC2"/>
                        </a:solidFill>
                        <a:ln>
                          <a:solidFill>
                            <a:srgbClr val="3465A4"/>
                          </a:solidFill>
                        </a:ln>
                        <a:effectLst/>
                      </wps:spPr>
                      <wps:txbx>
                        <w:txbxContent>
                          <w:p w14:paraId="603DBC29" w14:textId="77777777" w:rsidR="000F0D13" w:rsidRDefault="000F0D13" w:rsidP="00AC2ACC">
                            <w:pPr>
                              <w:spacing w:after="0"/>
                              <w:jc w:val="center"/>
                            </w:pPr>
                            <w:r>
                              <w:rPr>
                                <w:color w:val="FFFFFF"/>
                                <w:sz w:val="16"/>
                                <w:szCs w:val="16"/>
                              </w:rPr>
                              <w:t xml:space="preserve">Si la denuncia no </w:t>
                            </w:r>
                          </w:p>
                          <w:p w14:paraId="3B685E71" w14:textId="77777777" w:rsidR="000F0D13" w:rsidRDefault="000F0D13" w:rsidP="00AC2ACC">
                            <w:pPr>
                              <w:spacing w:after="0"/>
                              <w:jc w:val="center"/>
                            </w:pPr>
                            <w:r>
                              <w:rPr>
                                <w:color w:val="FFFFFF"/>
                                <w:sz w:val="16"/>
                                <w:szCs w:val="16"/>
                              </w:rPr>
                              <w:t>contiene un mínimo de datos que</w:t>
                            </w:r>
                          </w:p>
                          <w:p w14:paraId="2DFBDDF5" w14:textId="77777777" w:rsidR="000F0D13" w:rsidRDefault="000F0D13" w:rsidP="00AC2ACC">
                            <w:pPr>
                              <w:spacing w:after="0"/>
                              <w:jc w:val="center"/>
                            </w:pPr>
                            <w:r>
                              <w:rPr>
                                <w:color w:val="FFFFFF"/>
                                <w:sz w:val="16"/>
                                <w:szCs w:val="16"/>
                              </w:rPr>
                              <w:t>permitan el inicio de actuaciones,</w:t>
                            </w:r>
                          </w:p>
                          <w:p w14:paraId="45F3F699" w14:textId="373FB792" w:rsidR="000F0D13" w:rsidRPr="00AC2ACC" w:rsidRDefault="000F0D13" w:rsidP="00AC2ACC">
                            <w:pPr>
                              <w:spacing w:after="0"/>
                              <w:jc w:val="center"/>
                            </w:pPr>
                            <w:r>
                              <w:rPr>
                                <w:color w:val="FFFFFF"/>
                                <w:sz w:val="16"/>
                                <w:szCs w:val="16"/>
                              </w:rPr>
                              <w:t xml:space="preserve"> se procede a la</w:t>
                            </w:r>
                          </w:p>
                          <w:p w14:paraId="3B48383B" w14:textId="77777777" w:rsidR="000F0D13" w:rsidRDefault="000F0D13" w:rsidP="00AC2ACC">
                            <w:pPr>
                              <w:spacing w:after="0"/>
                              <w:jc w:val="center"/>
                            </w:pPr>
                            <w:r>
                              <w:rPr>
                                <w:b/>
                                <w:bCs/>
                                <w:color w:val="FFFFFF"/>
                                <w:sz w:val="16"/>
                                <w:szCs w:val="16"/>
                                <w:u w:val="single"/>
                              </w:rPr>
                              <w:t xml:space="preserve">PETICIÓN DE AMPLIACIÓN </w:t>
                            </w:r>
                          </w:p>
                          <w:p w14:paraId="5CA1F172" w14:textId="77777777" w:rsidR="000F0D13" w:rsidRDefault="000F0D13" w:rsidP="009568B0">
                            <w:pPr>
                              <w:jc w:val="center"/>
                            </w:pPr>
                            <w:r>
                              <w:rPr>
                                <w:b/>
                                <w:bCs/>
                                <w:color w:val="FFFFFF"/>
                                <w:sz w:val="16"/>
                                <w:szCs w:val="16"/>
                                <w:u w:val="single"/>
                              </w:rPr>
                              <w:t>DE DATOS AL DENUNCIANTE</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4948289B" id="_x0000_s1047" style="position:absolute;left:0;text-align:left;margin-left:153.35pt;margin-top:1.45pt;width:129pt;height:70.5pt;z-index:251811840;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middle" coordsize="2685,191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ZCXQMAACoKAAAOAAAAZHJzL2Uyb0RvYy54bWysVttu1DAQfUfiH6K802ycy17ULSotICQE&#10;lQof4HWcbqQkDrb3Ur6e8WU267QIinhJ7Jnx8cyZ8diXb49dG+25VI3o13F6MYsj3jNRNf3DOv7+&#10;7cObRRwpTfuKtqLn6/iRq/jt1etXl4dhxYnYirbiMgKQXq0Owzreaj2skkSxLe+ouhAD70FZC9lR&#10;DVP5kFSSHgC9axMym5XJQchqkIJxpUB665TxlcWva87017pWXEftOgbftP1K+92Yb3J1SVcPkg7b&#10;hnk36D940dGmh01PULdU02gnmydQXcOkUKLWF0x0iajrhnEbA0STzibR3G/pwG0sQI4aTjSp/wfL&#10;vuzvhzsJNBwGtVIwNFEca9mZP/gXHS1Zjyey+FFHDIRpmS2yGXDKQLdYFllh2UzG1Wyn9EcuLBLd&#10;f1bakV3hiG5xxI49DiWkbJosGUeQrI1L1kC1WWfcM8PosI5JuSjiaAs+LVNi09CJPf8mrI02EWQp&#10;1CHGAC6O+rYP7ZaBHWrZbtOwd/znuS0ps9EWnLEbkZnbKC28t1aaFg42z4wU9g/xwpkDStPUos/T&#10;cyCYmTCM0pLpbAHWSmGXv4YHwgDIuHsGBNk0QgjsiTBLnwdHhpwnDgDCJd4TVON/YoZ8oPo5Jjxm&#10;mQeuAsE25vkscBapmBfoQQgZzpw3SOoCqvksbsxAushDuU9muiitR3+VzlNdLJbl+SZYRFC5QUoN&#10;3TY+L3+yCTLmQiBZ6flYpngM0QL/J8tyiowWz5FDcuJrbuIhyeceaBpSQbwvLyKomPsqntBNyhQV&#10;YX5ImXvPXpJsUpae2UnlQBPJHTGTShsVxRLrNWQK+fMMI5BpOu48ogH+nxji2UID/P/RMHRkYj45&#10;yKfQJ6d+JPIFDWRMS1i4BPMYNi6CRfGCFjhWWNBMTxUZnEo4Aa4csfxDZkJCp9eB08IZMzeKbdCn&#10;W8YevPEeU6Jtqg9N25q7RcmHzU0roz2F18X763fXN9h0ArO2t8a/XZnlZXGd+1I5Wwlbu6XcPmTc&#10;DZmM97QZ6ePmGDUVNG3bPoxoI6rHOxkd4FGzjtWPHZU8jtpPPbwaoJVqHEgcbHBAe7YV8DZiWtpL&#10;tBfXOy3qxtzbdluH7CfwILFM+ceTefGcz63V+MS7+gUAAP//AwBQSwMEFAAGAAgAAAAhAPYuaxHc&#10;AAAACQEAAA8AAABkcnMvZG93bnJldi54bWxMj8FOwzAQRO9I/IO1SNyoQxvSNo1TVZHgiERBnN14&#10;m6TY6yh2k/D3LCc4jmY086bYz86KEYfQeVLwuEhAINXedNQo+Hh/ftiACFGT0dYTKvjGAPvy9qbQ&#10;ufETveF4jI3gEgq5VtDG2OdShrpFp8PC90jsnf3gdGQ5NNIMeuJyZ+UySTLpdEe80Ooeqxbrr+PV&#10;8a57vVSyyqbP0b7oJk3Ph81lVOr+bj7sQESc418YfvEZHUpmOvkrmSCsglWSrTmqYLkFwf5TlrI+&#10;cTBdbUGWhfz/oPwBAAD//wMAUEsBAi0AFAAGAAgAAAAhALaDOJL+AAAA4QEAABMAAAAAAAAAAAAA&#10;AAAAAAAAAFtDb250ZW50X1R5cGVzXS54bWxQSwECLQAUAAYACAAAACEAOP0h/9YAAACUAQAACwAA&#10;AAAAAAAAAAAAAAAvAQAAX3JlbHMvLnJlbHNQSwECLQAUAAYACAAAACEANvpGQl0DAAAqCgAADgAA&#10;AAAAAAAAAAAAAAAuAgAAZHJzL2Uyb0RvYy54bWxQSwECLQAUAAYACAAAACEA9i5rEdwAAAAJAQAA&#10;DwAAAAAAAAAAAAAAAAC3BQAAZHJzL2Rvd25yZXYueG1sUEsFBgAAAAAEAAQA8wAAAMAGAAAAAA==&#10;" adj="-11796480,,5400" path="m318,r1,c263,,208,15,159,43,111,71,71,111,43,159,15,208,,263,,319l,1592r,1c,1648,15,1703,43,1752v28,48,68,88,116,116c208,1896,263,1911,319,1911r2046,-1l2366,1911v55,,110,-15,159,-43c2573,1840,2613,1800,2641,1752v28,-49,43,-104,43,-159l2684,318r,1l2684,319v,-56,-15,-111,-43,-160c2613,111,2573,71,2525,43,2476,15,2421,,2366,l318,e" fillcolor="#eabac2" strokecolor="#3465a4">
                <v:stroke joinstyle="miter"/>
                <v:formulas/>
                <v:path arrowok="t" o:connecttype="custom" textboxrect="0,0,2685,1912"/>
                <v:textbox inset="0,0,0,0">
                  <w:txbxContent>
                    <w:p w14:paraId="603DBC29" w14:textId="77777777" w:rsidR="000F0D13" w:rsidRDefault="000F0D13" w:rsidP="00AC2ACC">
                      <w:pPr>
                        <w:spacing w:after="0"/>
                        <w:jc w:val="center"/>
                      </w:pPr>
                      <w:r>
                        <w:rPr>
                          <w:color w:val="FFFFFF"/>
                          <w:sz w:val="16"/>
                          <w:szCs w:val="16"/>
                        </w:rPr>
                        <w:t xml:space="preserve">Si la denuncia no </w:t>
                      </w:r>
                    </w:p>
                    <w:p w14:paraId="3B685E71" w14:textId="77777777" w:rsidR="000F0D13" w:rsidRDefault="000F0D13" w:rsidP="00AC2ACC">
                      <w:pPr>
                        <w:spacing w:after="0"/>
                        <w:jc w:val="center"/>
                      </w:pPr>
                      <w:r>
                        <w:rPr>
                          <w:color w:val="FFFFFF"/>
                          <w:sz w:val="16"/>
                          <w:szCs w:val="16"/>
                        </w:rPr>
                        <w:t>contiene un mínimo de datos que</w:t>
                      </w:r>
                    </w:p>
                    <w:p w14:paraId="2DFBDDF5" w14:textId="77777777" w:rsidR="000F0D13" w:rsidRDefault="000F0D13" w:rsidP="00AC2ACC">
                      <w:pPr>
                        <w:spacing w:after="0"/>
                        <w:jc w:val="center"/>
                      </w:pPr>
                      <w:r>
                        <w:rPr>
                          <w:color w:val="FFFFFF"/>
                          <w:sz w:val="16"/>
                          <w:szCs w:val="16"/>
                        </w:rPr>
                        <w:t>permitan el inicio de actuaciones,</w:t>
                      </w:r>
                    </w:p>
                    <w:p w14:paraId="45F3F699" w14:textId="373FB792" w:rsidR="000F0D13" w:rsidRPr="00AC2ACC" w:rsidRDefault="000F0D13" w:rsidP="00AC2ACC">
                      <w:pPr>
                        <w:spacing w:after="0"/>
                        <w:jc w:val="center"/>
                      </w:pPr>
                      <w:r>
                        <w:rPr>
                          <w:color w:val="FFFFFF"/>
                          <w:sz w:val="16"/>
                          <w:szCs w:val="16"/>
                        </w:rPr>
                        <w:t xml:space="preserve"> se procede a la</w:t>
                      </w:r>
                    </w:p>
                    <w:p w14:paraId="3B48383B" w14:textId="77777777" w:rsidR="000F0D13" w:rsidRDefault="000F0D13" w:rsidP="00AC2ACC">
                      <w:pPr>
                        <w:spacing w:after="0"/>
                        <w:jc w:val="center"/>
                      </w:pPr>
                      <w:r>
                        <w:rPr>
                          <w:b/>
                          <w:bCs/>
                          <w:color w:val="FFFFFF"/>
                          <w:sz w:val="16"/>
                          <w:szCs w:val="16"/>
                          <w:u w:val="single"/>
                        </w:rPr>
                        <w:t xml:space="preserve">PETICIÓN DE AMPLIACIÓN </w:t>
                      </w:r>
                    </w:p>
                    <w:p w14:paraId="5CA1F172" w14:textId="77777777" w:rsidR="000F0D13" w:rsidRDefault="000F0D13" w:rsidP="009568B0">
                      <w:pPr>
                        <w:jc w:val="center"/>
                      </w:pPr>
                      <w:r>
                        <w:rPr>
                          <w:b/>
                          <w:bCs/>
                          <w:color w:val="FFFFFF"/>
                          <w:sz w:val="16"/>
                          <w:szCs w:val="16"/>
                          <w:u w:val="single"/>
                        </w:rPr>
                        <w:t>DE DATOS AL DENUNCIANTE</w:t>
                      </w:r>
                    </w:p>
                  </w:txbxContent>
                </v:textbox>
                <w10:wrap anchorx="margin"/>
              </v:shape>
            </w:pict>
          </mc:Fallback>
        </mc:AlternateContent>
      </w:r>
    </w:p>
    <w:p w14:paraId="147805D8" w14:textId="39E0B69B" w:rsidR="009568B0" w:rsidRPr="00A07BE9" w:rsidRDefault="00BF5F8C" w:rsidP="009568B0">
      <w:pPr>
        <w:spacing w:after="0" w:line="240" w:lineRule="auto"/>
        <w:jc w:val="center"/>
        <w:rPr>
          <w:rFonts w:ascii="Open Sans" w:eastAsia="NSimSun" w:hAnsi="Open Sans" w:cs="Arial"/>
          <w:kern w:val="2"/>
          <w:sz w:val="24"/>
          <w:szCs w:val="24"/>
          <w:lang w:eastAsia="zh-CN" w:bidi="hi-IN"/>
        </w:rPr>
      </w:pPr>
      <w:r w:rsidRPr="00A07BE9">
        <w:rPr>
          <w:rFonts w:ascii="Open Sans" w:eastAsia="NSimSun" w:hAnsi="Open Sans" w:cs="Arial"/>
          <w:noProof/>
          <w:kern w:val="2"/>
          <w:sz w:val="24"/>
          <w:szCs w:val="24"/>
          <w:lang w:eastAsia="es-ES"/>
        </w:rPr>
        <mc:AlternateContent>
          <mc:Choice Requires="wps">
            <w:drawing>
              <wp:anchor distT="0" distB="0" distL="0" distR="0" simplePos="0" relativeHeight="251814912" behindDoc="0" locked="0" layoutInCell="1" allowOverlap="1" wp14:anchorId="66140A39" wp14:editId="3C7F475E">
                <wp:simplePos x="0" y="0"/>
                <wp:positionH relativeFrom="column">
                  <wp:posOffset>1376680</wp:posOffset>
                </wp:positionH>
                <wp:positionV relativeFrom="paragraph">
                  <wp:posOffset>153669</wp:posOffset>
                </wp:positionV>
                <wp:extent cx="534035" cy="222250"/>
                <wp:effectExtent l="0" t="0" r="18415" b="25400"/>
                <wp:wrapNone/>
                <wp:docPr id="241" name="Forma3"/>
                <wp:cNvGraphicFramePr/>
                <a:graphic xmlns:a="http://schemas.openxmlformats.org/drawingml/2006/main">
                  <a:graphicData uri="http://schemas.microsoft.com/office/word/2010/wordprocessingShape">
                    <wps:wsp>
                      <wps:cNvSpPr/>
                      <wps:spPr>
                        <a:xfrm rot="10800000">
                          <a:off x="0" y="0"/>
                          <a:ext cx="534035" cy="222250"/>
                        </a:xfrm>
                        <a:custGeom>
                          <a:avLst/>
                          <a:gdLst/>
                          <a:ahLst/>
                          <a:cxnLst/>
                          <a:rect l="0" t="0" r="r" b="b"/>
                          <a:pathLst>
                            <a:path w="887" h="306">
                              <a:moveTo>
                                <a:pt x="0" y="76"/>
                              </a:moveTo>
                              <a:lnTo>
                                <a:pt x="664" y="76"/>
                              </a:lnTo>
                              <a:lnTo>
                                <a:pt x="664" y="0"/>
                              </a:lnTo>
                              <a:lnTo>
                                <a:pt x="886" y="152"/>
                              </a:lnTo>
                              <a:lnTo>
                                <a:pt x="664" y="305"/>
                              </a:lnTo>
                              <a:lnTo>
                                <a:pt x="664" y="228"/>
                              </a:lnTo>
                              <a:lnTo>
                                <a:pt x="0" y="228"/>
                              </a:lnTo>
                              <a:lnTo>
                                <a:pt x="0" y="76"/>
                              </a:lnTo>
                            </a:path>
                          </a:pathLst>
                        </a:custGeom>
                        <a:solidFill>
                          <a:srgbClr val="5B6770"/>
                        </a:solid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shape w14:anchorId="310E38B8" id="Forma3" o:spid="_x0000_s1026" style="position:absolute;margin-left:108.4pt;margin-top:12.1pt;width:42.05pt;height:17.5pt;rotation:180;z-index:2518149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coordsize="887,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S/VGgIAAO8EAAAOAAAAZHJzL2Uyb0RvYy54bWysVNuO2yAQfa/Uf0C8N3Z8ixXFWbVdpS9V&#10;u9LufgDBOLbETcDGyd93wCHrTdVqVdUPMDCHw8wZxpu7k+DoyIwdlGzwcpFixCRV7SAPDX5+2n2q&#10;MbKOyJZwJVmDz8ziu+3HD5tRr1mmesVbZhCQSLsedYN75/Q6SSztmSB2oTST4OyUEcTB0hyS1pAR&#10;2AVPsjStklGZVhtFmbWwez858Tbwdx2j7mfXWeYQbzDE5sJowrj3Y7LdkPXBEN0P9BIG+YcoBBkk&#10;XHqluieOoBcz/EYlBmqUVZ1bUCUS1XUDZSEHyGaZ3mTz2BPNQi4gjtVXmez/o6U/jg8GDW2Ds2KJ&#10;kSQCirTzcudem1HbNUAe9YO5rCyYPtFTZwQyCgRdpnXqv5A/ZIROQd7zVV52cojCZpkXaV5iRMGV&#10;wVcG+ZOJy3PSF+u+MSW8TY7frZuq00aL9NGiJxlNAzW+ra7BCKq7n6qrifPnPKk30djgul5h1Dc4&#10;T6sQtVBH9qQCwr2Gv6o8AcT36uZyDquqAiNI5gqM7jjrwBZhMd3ojfOEqusqkC3L7HJt9Mf5LVue&#10;lu/CZVn9Vxx0RajHe1A3iYI0XtGg0VVl2JzX0So+tLuBc6+uNYf9V27QkUA7ll+q1Spq8gbGZQD/&#10;8WReVOXn4pLV7CRcPR1lofOnF5L4Nzy9Wm/tVXsOjznsQ1eF6C9/AN+28zXY8//U9hcAAAD//wMA&#10;UEsDBBQABgAIAAAAIQA/KH7/4QAAAAkBAAAPAAAAZHJzL2Rvd25yZXYueG1sTI/BTsMwEETvSPyD&#10;tUjcqFMXGhriVKgIofZARIs4u/GSBOJ1iN02/D3LCW472tHMm3w5uk4ccQitJw3TSQICqfK2pVrD&#10;6+7x6hZEiIas6Tyhhm8MsCzOz3KTWX+iFzxuYy04hEJmNDQx9pmUoWrQmTDxPRL/3v3gTGQ51NIO&#10;5sThrpMqSebSmZa4oTE9rhqsPrcHp+HtY72brZ++SkXpqnwu03TzUKZaX16M93cgIo7xzwy/+IwO&#10;BTPt/YFsEJ0GNZ0zeuTjWoFgwyxJFiD2Gm4WCmSRy/8Lih8AAAD//wMAUEsBAi0AFAAGAAgAAAAh&#10;ALaDOJL+AAAA4QEAABMAAAAAAAAAAAAAAAAAAAAAAFtDb250ZW50X1R5cGVzXS54bWxQSwECLQAU&#10;AAYACAAAACEAOP0h/9YAAACUAQAACwAAAAAAAAAAAAAAAAAvAQAAX3JlbHMvLnJlbHNQSwECLQAU&#10;AAYACAAAACEA720v1RoCAADvBAAADgAAAAAAAAAAAAAAAAAuAgAAZHJzL2Uyb0RvYy54bWxQSwEC&#10;LQAUAAYACAAAACEAPyh+/+EAAAAJAQAADwAAAAAAAAAAAAAAAAB0BAAAZHJzL2Rvd25yZXYueG1s&#10;UEsFBgAAAAAEAAQA8wAAAIIFAAAAAA==&#10;" path="m,76r664,l664,,886,152,664,305r,-77l,228,,76e" fillcolor="#5b6770" strokecolor="#3465a4">
                <v:path arrowok="t"/>
              </v:shape>
            </w:pict>
          </mc:Fallback>
        </mc:AlternateContent>
      </w:r>
    </w:p>
    <w:p w14:paraId="5B84F813" w14:textId="472F6BDE" w:rsidR="009568B0" w:rsidRPr="00A07BE9" w:rsidRDefault="00BF5F8C" w:rsidP="009568B0">
      <w:pPr>
        <w:spacing w:after="0" w:line="240" w:lineRule="auto"/>
        <w:jc w:val="center"/>
        <w:rPr>
          <w:rFonts w:ascii="Open Sans" w:eastAsia="NSimSun" w:hAnsi="Open Sans" w:cs="Arial"/>
          <w:kern w:val="2"/>
          <w:sz w:val="24"/>
          <w:szCs w:val="24"/>
          <w:lang w:eastAsia="zh-CN" w:bidi="hi-IN"/>
        </w:rPr>
      </w:pPr>
      <w:r w:rsidRPr="00A07BE9">
        <w:rPr>
          <w:rFonts w:ascii="Open Sans" w:eastAsia="NSimSun" w:hAnsi="Open Sans" w:cs="Arial"/>
          <w:noProof/>
          <w:kern w:val="2"/>
          <w:sz w:val="24"/>
          <w:szCs w:val="24"/>
          <w:lang w:eastAsia="es-ES"/>
        </w:rPr>
        <mc:AlternateContent>
          <mc:Choice Requires="wps">
            <w:drawing>
              <wp:anchor distT="0" distB="0" distL="0" distR="0" simplePos="0" relativeHeight="251813888" behindDoc="0" locked="0" layoutInCell="1" allowOverlap="1" wp14:anchorId="788BF887" wp14:editId="4CB7213A">
                <wp:simplePos x="0" y="0"/>
                <wp:positionH relativeFrom="column">
                  <wp:posOffset>3625215</wp:posOffset>
                </wp:positionH>
                <wp:positionV relativeFrom="paragraph">
                  <wp:posOffset>8255</wp:posOffset>
                </wp:positionV>
                <wp:extent cx="400050" cy="180975"/>
                <wp:effectExtent l="0" t="0" r="19050" b="28575"/>
                <wp:wrapNone/>
                <wp:docPr id="240" name="Forma3"/>
                <wp:cNvGraphicFramePr/>
                <a:graphic xmlns:a="http://schemas.openxmlformats.org/drawingml/2006/main">
                  <a:graphicData uri="http://schemas.microsoft.com/office/word/2010/wordprocessingShape">
                    <wps:wsp>
                      <wps:cNvSpPr/>
                      <wps:spPr>
                        <a:xfrm>
                          <a:off x="0" y="0"/>
                          <a:ext cx="400050" cy="180975"/>
                        </a:xfrm>
                        <a:custGeom>
                          <a:avLst/>
                          <a:gdLst/>
                          <a:ahLst/>
                          <a:cxnLst/>
                          <a:rect l="0" t="0" r="r" b="b"/>
                          <a:pathLst>
                            <a:path w="887" h="306">
                              <a:moveTo>
                                <a:pt x="0" y="76"/>
                              </a:moveTo>
                              <a:lnTo>
                                <a:pt x="664" y="76"/>
                              </a:lnTo>
                              <a:lnTo>
                                <a:pt x="664" y="0"/>
                              </a:lnTo>
                              <a:lnTo>
                                <a:pt x="886" y="152"/>
                              </a:lnTo>
                              <a:lnTo>
                                <a:pt x="664" y="305"/>
                              </a:lnTo>
                              <a:lnTo>
                                <a:pt x="664" y="228"/>
                              </a:lnTo>
                              <a:lnTo>
                                <a:pt x="0" y="228"/>
                              </a:lnTo>
                              <a:lnTo>
                                <a:pt x="0" y="76"/>
                              </a:lnTo>
                            </a:path>
                          </a:pathLst>
                        </a:custGeom>
                        <a:solidFill>
                          <a:srgbClr val="5B6770"/>
                        </a:solid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shape w14:anchorId="4F47D5E9" id="Forma3" o:spid="_x0000_s1026" style="position:absolute;margin-left:285.45pt;margin-top:.65pt;width:31.5pt;height:14.25pt;z-index:2518138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coordsize="887,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yyMEwIAAOAEAAAOAAAAZHJzL2Uyb0RvYy54bWysVNuO2yAQfa/Uf0C8N3Yc32rFWbVdpS9V&#10;u9JuP4BgHFvCgICNk7/vgE1u1VZV1RcYmJnjOWcGrx+OA0cHpk0vRY2XixgjJqhserGv8c+X7YcS&#10;I2OJaAiXgtX4xAx+2Lx/tx5VxRLZSd4wjQBEmGpUNe6sVVUUGdqxgZiFVEyAs5V6IBaOeh81moyA&#10;PvAoieM8GqVulJaUGQO3j5MTbzx+2zJqf7StYRbxGkNt1q/arzu3Rps1qfaaqK6ncxnkH6oYSC/g&#10;o2eoR2IJetX9b1BDT7U0srULKodItm1PmecAbJbxHZvnjijmuYA4Rp1lMv8Pln4/PGnUNzVOUtBH&#10;kAGatHVyr5w2ozIVhDyrJz2fDJiO6LHVg9uBAjp6PU9nPdnRIgqXaRzHGaBScC3L+GOROczokkxf&#10;jf3KpAcih2/GTu1ogkW6YNGjCKaGpt63U2ME7dxN7VTEujxXnTPRWOOyLDDqaryKc9+mQR7Yi/QR&#10;9lJ+kc/1XdxcXIfleYoRkDkHBnfYlUcLYX68gG7whn2KKsvcgy2zZP5s8If9Fm0VB/mCP+y3cUlS&#10;/hEPGgIU/i7qjihwcYr6Hp5VhsvrPhrJ+2bbc+7UNXq/+8I1OhB4f9nnvCiCJjdhXPjgNzNXaZ59&#10;SmdWV5leW5fK/FOfJiRyQzuNqbN2sjn56fX38Ix89fOTd+/0+gz29Y9p8wsAAP//AwBQSwMEFAAG&#10;AAgAAAAhAOMZ0YbgAAAACAEAAA8AAABkcnMvZG93bnJldi54bWxMj0FLw0AQhe+C/2EZwZvdmGBN&#10;YzZFBUFbwVpFPG6zYxKanY3ZbZv46x1P9vj4Hm++yeeDbcUee984UnA5iUAglc40VCl4f3u4SEH4&#10;oMno1hEqGNHDvDg9yXVm3IFecb8OleAR8plWUIfQZVL6skar/cR1SMy+XG914NhX0vT6wOO2lXEU&#10;TaXVDfGFWnd4X2O5Xe+sAvNR3aWPz59jH7/8PI3b5SL9Xi2UOj8bbm9ABBzCfxn+9FkdCnbauB0Z&#10;L1oFV9fRjKsMEhDMp0nCeaMgnqUgi1weP1D8AgAA//8DAFBLAQItABQABgAIAAAAIQC2gziS/gAA&#10;AOEBAAATAAAAAAAAAAAAAAAAAAAAAABbQ29udGVudF9UeXBlc10ueG1sUEsBAi0AFAAGAAgAAAAh&#10;ADj9If/WAAAAlAEAAAsAAAAAAAAAAAAAAAAALwEAAF9yZWxzLy5yZWxzUEsBAi0AFAAGAAgAAAAh&#10;ABEPLIwTAgAA4AQAAA4AAAAAAAAAAAAAAAAALgIAAGRycy9lMm9Eb2MueG1sUEsBAi0AFAAGAAgA&#10;AAAhAOMZ0YbgAAAACAEAAA8AAAAAAAAAAAAAAAAAbQQAAGRycy9kb3ducmV2LnhtbFBLBQYAAAAA&#10;BAAEAPMAAAB6BQAAAAA=&#10;" path="m,76r664,l664,,886,152,664,305r,-77l,228,,76e" fillcolor="#5b6770" strokecolor="#3465a4">
                <v:path arrowok="t"/>
              </v:shape>
            </w:pict>
          </mc:Fallback>
        </mc:AlternateContent>
      </w:r>
    </w:p>
    <w:p w14:paraId="172DCB1E" w14:textId="2D19D026" w:rsidR="009568B0" w:rsidRPr="00A07BE9" w:rsidRDefault="009568B0" w:rsidP="009568B0">
      <w:pPr>
        <w:spacing w:after="0" w:line="240" w:lineRule="auto"/>
        <w:jc w:val="center"/>
        <w:rPr>
          <w:rFonts w:ascii="Open Sans" w:eastAsia="NSimSun" w:hAnsi="Open Sans" w:cs="Arial"/>
          <w:kern w:val="2"/>
          <w:sz w:val="24"/>
          <w:szCs w:val="24"/>
          <w:lang w:eastAsia="zh-CN" w:bidi="hi-IN"/>
        </w:rPr>
      </w:pPr>
    </w:p>
    <w:p w14:paraId="52D60C0C" w14:textId="5252FC53" w:rsidR="009568B0" w:rsidRPr="00A07BE9" w:rsidRDefault="00BF5F8C" w:rsidP="009568B0">
      <w:pPr>
        <w:spacing w:after="0" w:line="240" w:lineRule="auto"/>
        <w:jc w:val="center"/>
        <w:rPr>
          <w:rFonts w:ascii="Open Sans" w:eastAsia="NSimSun" w:hAnsi="Open Sans" w:cs="Arial"/>
          <w:kern w:val="2"/>
          <w:sz w:val="24"/>
          <w:szCs w:val="24"/>
          <w:lang w:eastAsia="zh-CN" w:bidi="hi-IN"/>
        </w:rPr>
      </w:pPr>
      <w:r w:rsidRPr="00A07BE9">
        <w:rPr>
          <w:rFonts w:ascii="Open Sans" w:eastAsia="NSimSun" w:hAnsi="Open Sans" w:cs="Arial"/>
          <w:noProof/>
          <w:kern w:val="2"/>
          <w:sz w:val="24"/>
          <w:szCs w:val="24"/>
          <w:lang w:eastAsia="es-ES"/>
        </w:rPr>
        <mc:AlternateContent>
          <mc:Choice Requires="wps">
            <w:drawing>
              <wp:anchor distT="0" distB="0" distL="0" distR="0" simplePos="0" relativeHeight="251826176" behindDoc="0" locked="0" layoutInCell="1" allowOverlap="1" wp14:anchorId="073E8AA1" wp14:editId="28337B99">
                <wp:simplePos x="0" y="0"/>
                <wp:positionH relativeFrom="margin">
                  <wp:align>center</wp:align>
                </wp:positionH>
                <wp:positionV relativeFrom="paragraph">
                  <wp:posOffset>140335</wp:posOffset>
                </wp:positionV>
                <wp:extent cx="209550" cy="304800"/>
                <wp:effectExtent l="0" t="0" r="19050" b="19050"/>
                <wp:wrapNone/>
                <wp:docPr id="63" name="Forma7"/>
                <wp:cNvGraphicFramePr/>
                <a:graphic xmlns:a="http://schemas.openxmlformats.org/drawingml/2006/main">
                  <a:graphicData uri="http://schemas.microsoft.com/office/word/2010/wordprocessingShape">
                    <wps:wsp>
                      <wps:cNvSpPr/>
                      <wps:spPr>
                        <a:xfrm>
                          <a:off x="0" y="0"/>
                          <a:ext cx="209550" cy="304800"/>
                        </a:xfrm>
                        <a:custGeom>
                          <a:avLst/>
                          <a:gdLst/>
                          <a:ahLst/>
                          <a:cxnLst/>
                          <a:rect l="0" t="0" r="r" b="b"/>
                          <a:pathLst>
                            <a:path w="269" h="411">
                              <a:moveTo>
                                <a:pt x="67" y="0"/>
                              </a:moveTo>
                              <a:lnTo>
                                <a:pt x="67" y="307"/>
                              </a:lnTo>
                              <a:lnTo>
                                <a:pt x="0" y="307"/>
                              </a:lnTo>
                              <a:lnTo>
                                <a:pt x="134" y="410"/>
                              </a:lnTo>
                              <a:lnTo>
                                <a:pt x="268" y="307"/>
                              </a:lnTo>
                              <a:lnTo>
                                <a:pt x="201" y="307"/>
                              </a:lnTo>
                              <a:lnTo>
                                <a:pt x="201" y="0"/>
                              </a:lnTo>
                              <a:lnTo>
                                <a:pt x="67" y="0"/>
                              </a:lnTo>
                            </a:path>
                          </a:pathLst>
                        </a:custGeom>
                        <a:solidFill>
                          <a:srgbClr val="5B6770"/>
                        </a:solid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shape w14:anchorId="026DAA09" id="Forma7" o:spid="_x0000_s1026" style="position:absolute;margin-left:0;margin-top:11.05pt;width:16.5pt;height:24pt;z-index:251826176;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margin;mso-height-relative:margin;v-text-anchor:top" coordsize="26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0m3DQIAAN8EAAAOAAAAZHJzL2Uyb0RvYy54bWysVFFv2yAQfp+0/4B4X2zHjtNasattVfYy&#10;bZXa/QCCcYyEAQGNnX+/A4c0y7Zqm/YCB3f3cffdHZu7aRDowIzlStY4W6QYMUlVy+W+xt+etu9u&#10;MLKOyJYIJVmNj8ziu+btm82oK7ZUvRItMwhApK1GXePeOV0liaU9G4hdKM0kKDtlBuLgaPZJa8gI&#10;6INIlmlaJqMyrTaKMmvh9n5W4ibgdx2j7mvXWeaQqDHE5sJqwrrza9JsSLU3RPecnsIg/xDFQLiE&#10;R89Q98QR9Gz4T1ADp0ZZ1bkFVUOiuo5TFnKAbLL0KpvHnmgWcgFyrD7TZP8fLP1yeDCItzUuc4wk&#10;GaBGW8/22lMzaluBxaN+MKeTBdHnOXVm8DtkgKZA5/FMJ5sconC5TG9XKyCdgipPi5s00J28ONNn&#10;6z4xFYDI4bN1czXaKJE+SnSSUTRQ0+tqGoygmru5mpo47+ej8yIaIZLyFqO+xkWWhSoN6sCeVLBw&#10;PvxyjVGMH+J7UQv5C7M8DeSAYVTHXQc0SDlk/LpVlhfBrsgiLREl7jPasoQR+gM86J+/snv91StG&#10;5pAgY89oszkJgWWQL+toleDtlgvh2bVmv/soDDoQGL/Vh3K9jq/+YCZkMP6tZ16Uq/eFry48duEJ&#10;p9mVhUmfOyTxTTu3qZd2qj2G7g33MEUB5DTxfkwvzyBf/kvNdwAAAP//AwBQSwMEFAAGAAgAAAAh&#10;AMpZo7HbAAAABQEAAA8AAABkcnMvZG93bnJldi54bWxMj8FOwzAQRO9I/IO1SNyok1SiIc2mQrQV&#10;J5BaEGcn3sYR8TqK3Sb8PeZEj6MZzbwpN7PtxYVG3zlGSBcJCOLG6Y5bhM+P/UMOwgfFWvWOCeGH&#10;PGyq25tSFdpNfKDLMbQilrAvFIIJYSik9I0hq/zCDcTRO7nRqhDl2Eo9qimW215mSfIoreo4Lhg1&#10;0Iuh5vt4tghPu9dt/vU20TbfzWSmfd0e3leI93fz8xpEoDn8h+EPP6JDFZlqd2btRY8QjwSELEtB&#10;RHe5jLpGWCUpyKqU1/TVLwAAAP//AwBQSwECLQAUAAYACAAAACEAtoM4kv4AAADhAQAAEwAAAAAA&#10;AAAAAAAAAAAAAAAAW0NvbnRlbnRfVHlwZXNdLnhtbFBLAQItABQABgAIAAAAIQA4/SH/1gAAAJQB&#10;AAALAAAAAAAAAAAAAAAAAC8BAABfcmVscy8ucmVsc1BLAQItABQABgAIAAAAIQCz20m3DQIAAN8E&#10;AAAOAAAAAAAAAAAAAAAAAC4CAABkcnMvZTJvRG9jLnhtbFBLAQItABQABgAIAAAAIQDKWaOx2wAA&#10;AAUBAAAPAAAAAAAAAAAAAAAAAGcEAABkcnMvZG93bnJldi54bWxQSwUGAAAAAAQABADzAAAAbwUA&#10;AAAA&#10;" path="m67,r,307l,307,134,410,268,307r-67,l201,,67,e" fillcolor="#5b6770" strokecolor="#3465a4">
                <v:path arrowok="t"/>
                <w10:wrap anchorx="margin"/>
              </v:shape>
            </w:pict>
          </mc:Fallback>
        </mc:AlternateContent>
      </w:r>
    </w:p>
    <w:p w14:paraId="78991381" w14:textId="18B673DB" w:rsidR="009568B0" w:rsidRPr="00A07BE9" w:rsidRDefault="009568B0" w:rsidP="009568B0">
      <w:pPr>
        <w:spacing w:after="0" w:line="240" w:lineRule="auto"/>
        <w:jc w:val="center"/>
        <w:rPr>
          <w:rFonts w:ascii="Open Sans" w:eastAsia="NSimSun" w:hAnsi="Open Sans" w:cs="Arial"/>
          <w:kern w:val="2"/>
          <w:sz w:val="24"/>
          <w:szCs w:val="24"/>
          <w:lang w:eastAsia="zh-CN" w:bidi="hi-IN"/>
        </w:rPr>
      </w:pPr>
    </w:p>
    <w:p w14:paraId="238E3254" w14:textId="5B06A109" w:rsidR="009568B0" w:rsidRPr="00A07BE9" w:rsidRDefault="00BF5F8C" w:rsidP="009568B0">
      <w:pPr>
        <w:spacing w:after="0" w:line="240" w:lineRule="auto"/>
        <w:jc w:val="center"/>
        <w:rPr>
          <w:rFonts w:ascii="Open Sans" w:eastAsia="NSimSun" w:hAnsi="Open Sans" w:cs="Arial"/>
          <w:kern w:val="2"/>
          <w:sz w:val="24"/>
          <w:szCs w:val="24"/>
          <w:lang w:eastAsia="zh-CN" w:bidi="hi-IN"/>
        </w:rPr>
      </w:pPr>
      <w:r w:rsidRPr="00A07BE9">
        <w:rPr>
          <w:rFonts w:ascii="Open Sans" w:eastAsia="NSimSun" w:hAnsi="Open Sans" w:cs="Arial"/>
          <w:noProof/>
          <w:kern w:val="2"/>
          <w:sz w:val="24"/>
          <w:szCs w:val="24"/>
          <w:lang w:eastAsia="es-ES"/>
        </w:rPr>
        <mc:AlternateContent>
          <mc:Choice Requires="wps">
            <w:drawing>
              <wp:anchor distT="0" distB="0" distL="0" distR="0" simplePos="0" relativeHeight="251815936" behindDoc="0" locked="0" layoutInCell="1" allowOverlap="1" wp14:anchorId="3F964546" wp14:editId="605635FD">
                <wp:simplePos x="0" y="0"/>
                <wp:positionH relativeFrom="margin">
                  <wp:align>center</wp:align>
                </wp:positionH>
                <wp:positionV relativeFrom="paragraph">
                  <wp:posOffset>20955</wp:posOffset>
                </wp:positionV>
                <wp:extent cx="4219575" cy="1095375"/>
                <wp:effectExtent l="0" t="0" r="28575" b="28575"/>
                <wp:wrapNone/>
                <wp:docPr id="242" name="Forma1"/>
                <wp:cNvGraphicFramePr/>
                <a:graphic xmlns:a="http://schemas.openxmlformats.org/drawingml/2006/main">
                  <a:graphicData uri="http://schemas.microsoft.com/office/word/2010/wordprocessingShape">
                    <wps:wsp>
                      <wps:cNvSpPr/>
                      <wps:spPr>
                        <a:xfrm>
                          <a:off x="0" y="0"/>
                          <a:ext cx="4219575" cy="1095375"/>
                        </a:xfrm>
                        <a:custGeom>
                          <a:avLst/>
                          <a:gdLst/>
                          <a:ahLst/>
                          <a:cxnLst/>
                          <a:rect l="0" t="0" r="r" b="b"/>
                          <a:pathLst>
                            <a:path w="6597" h="1382">
                              <a:moveTo>
                                <a:pt x="230" y="0"/>
                              </a:moveTo>
                              <a:lnTo>
                                <a:pt x="230" y="0"/>
                              </a:lnTo>
                              <a:cubicBezTo>
                                <a:pt x="190" y="0"/>
                                <a:pt x="150" y="11"/>
                                <a:pt x="115" y="31"/>
                              </a:cubicBezTo>
                              <a:cubicBezTo>
                                <a:pt x="80" y="51"/>
                                <a:pt x="51" y="80"/>
                                <a:pt x="31" y="115"/>
                              </a:cubicBezTo>
                              <a:cubicBezTo>
                                <a:pt x="11" y="150"/>
                                <a:pt x="0" y="190"/>
                                <a:pt x="0" y="230"/>
                              </a:cubicBezTo>
                              <a:lnTo>
                                <a:pt x="0" y="1150"/>
                              </a:lnTo>
                              <a:lnTo>
                                <a:pt x="0" y="1151"/>
                              </a:lnTo>
                              <a:cubicBezTo>
                                <a:pt x="0" y="1191"/>
                                <a:pt x="11" y="1231"/>
                                <a:pt x="31" y="1266"/>
                              </a:cubicBezTo>
                              <a:cubicBezTo>
                                <a:pt x="51" y="1301"/>
                                <a:pt x="80" y="1330"/>
                                <a:pt x="115" y="1350"/>
                              </a:cubicBezTo>
                              <a:cubicBezTo>
                                <a:pt x="150" y="1370"/>
                                <a:pt x="190" y="1381"/>
                                <a:pt x="230" y="1381"/>
                              </a:cubicBezTo>
                              <a:lnTo>
                                <a:pt x="6365" y="1381"/>
                              </a:lnTo>
                              <a:lnTo>
                                <a:pt x="6366" y="1381"/>
                              </a:lnTo>
                              <a:cubicBezTo>
                                <a:pt x="6406" y="1381"/>
                                <a:pt x="6446" y="1370"/>
                                <a:pt x="6481" y="1350"/>
                              </a:cubicBezTo>
                              <a:cubicBezTo>
                                <a:pt x="6516" y="1330"/>
                                <a:pt x="6545" y="1301"/>
                                <a:pt x="6565" y="1266"/>
                              </a:cubicBezTo>
                              <a:cubicBezTo>
                                <a:pt x="6585" y="1231"/>
                                <a:pt x="6596" y="1191"/>
                                <a:pt x="6596" y="1151"/>
                              </a:cubicBezTo>
                              <a:lnTo>
                                <a:pt x="6595" y="230"/>
                              </a:lnTo>
                              <a:lnTo>
                                <a:pt x="6596" y="230"/>
                              </a:lnTo>
                              <a:lnTo>
                                <a:pt x="6596" y="230"/>
                              </a:lnTo>
                              <a:cubicBezTo>
                                <a:pt x="6596" y="190"/>
                                <a:pt x="6585" y="150"/>
                                <a:pt x="6565" y="115"/>
                              </a:cubicBezTo>
                              <a:cubicBezTo>
                                <a:pt x="6545" y="80"/>
                                <a:pt x="6516" y="51"/>
                                <a:pt x="6481" y="31"/>
                              </a:cubicBezTo>
                              <a:cubicBezTo>
                                <a:pt x="6446" y="11"/>
                                <a:pt x="6406" y="0"/>
                                <a:pt x="6366" y="0"/>
                              </a:cubicBezTo>
                              <a:lnTo>
                                <a:pt x="230" y="0"/>
                              </a:lnTo>
                            </a:path>
                          </a:pathLst>
                        </a:custGeom>
                        <a:solidFill>
                          <a:srgbClr val="EC8F89"/>
                        </a:solidFill>
                        <a:ln>
                          <a:solidFill>
                            <a:srgbClr val="3465A4"/>
                          </a:solidFill>
                        </a:ln>
                        <a:effectLst/>
                      </wps:spPr>
                      <wps:txbx>
                        <w:txbxContent>
                          <w:p w14:paraId="4BB87D3A" w14:textId="77777777" w:rsidR="000F0D13" w:rsidRPr="006F5661" w:rsidRDefault="000F0D13" w:rsidP="006F5661">
                            <w:pPr>
                              <w:spacing w:after="0"/>
                              <w:jc w:val="center"/>
                              <w:rPr>
                                <w:rFonts w:ascii="Open Sans" w:hAnsi="Open Sans" w:cs="Open Sans"/>
                              </w:rPr>
                            </w:pPr>
                            <w:r w:rsidRPr="006F5661">
                              <w:rPr>
                                <w:rFonts w:ascii="Open Sans" w:hAnsi="Open Sans" w:cs="Open Sans"/>
                                <w:b/>
                                <w:bCs/>
                                <w:color w:val="FFFFFF"/>
                                <w:sz w:val="16"/>
                                <w:szCs w:val="16"/>
                                <w:u w:val="single"/>
                              </w:rPr>
                              <w:t>ACTUACIONES EN LA FASE DE ANÁLISIS</w:t>
                            </w:r>
                          </w:p>
                          <w:p w14:paraId="7FA8F99A" w14:textId="068027F1" w:rsidR="000F0D13" w:rsidRPr="006F5661" w:rsidRDefault="000F0D13" w:rsidP="006F5661">
                            <w:pPr>
                              <w:spacing w:after="0"/>
                              <w:jc w:val="center"/>
                              <w:rPr>
                                <w:rFonts w:ascii="Open Sans" w:hAnsi="Open Sans" w:cs="Open Sans"/>
                              </w:rPr>
                            </w:pPr>
                            <w:r w:rsidRPr="006F5661">
                              <w:rPr>
                                <w:rFonts w:ascii="Open Sans" w:hAnsi="Open Sans" w:cs="Open Sans"/>
                                <w:color w:val="FFFFFF"/>
                                <w:sz w:val="16"/>
                                <w:szCs w:val="16"/>
                              </w:rPr>
                              <w:t xml:space="preserve">Las actuaciones en la fase de análisis se circunscriben a la realización de </w:t>
                            </w:r>
                          </w:p>
                          <w:p w14:paraId="107C797E" w14:textId="77777777" w:rsidR="000F0D13" w:rsidRPr="006F5661" w:rsidRDefault="000F0D13" w:rsidP="006F5661">
                            <w:pPr>
                              <w:spacing w:after="0"/>
                              <w:jc w:val="center"/>
                              <w:rPr>
                                <w:rFonts w:ascii="Open Sans" w:hAnsi="Open Sans" w:cs="Open Sans"/>
                              </w:rPr>
                            </w:pPr>
                            <w:r w:rsidRPr="006F5661">
                              <w:rPr>
                                <w:rFonts w:ascii="Open Sans" w:hAnsi="Open Sans" w:cs="Open Sans"/>
                                <w:color w:val="FFFFFF"/>
                                <w:sz w:val="16"/>
                                <w:szCs w:val="16"/>
                              </w:rPr>
                              <w:t xml:space="preserve">requerimientos de información y documentación a efectos de comprobar </w:t>
                            </w:r>
                          </w:p>
                          <w:p w14:paraId="124D83A9" w14:textId="77777777" w:rsidR="000F0D13" w:rsidRPr="006F5661" w:rsidRDefault="000F0D13" w:rsidP="006F5661">
                            <w:pPr>
                              <w:spacing w:after="0"/>
                              <w:jc w:val="center"/>
                              <w:rPr>
                                <w:rFonts w:ascii="Open Sans" w:hAnsi="Open Sans" w:cs="Open Sans"/>
                              </w:rPr>
                            </w:pPr>
                            <w:r w:rsidRPr="006F5661">
                              <w:rPr>
                                <w:rFonts w:ascii="Open Sans" w:hAnsi="Open Sans" w:cs="Open Sans"/>
                                <w:color w:val="FFFFFF"/>
                                <w:sz w:val="16"/>
                                <w:szCs w:val="16"/>
                              </w:rPr>
                              <w:t xml:space="preserve">lo manifestado en la denuncia y a la obtención de posibles </w:t>
                            </w:r>
                          </w:p>
                          <w:p w14:paraId="42C0964D" w14:textId="77777777" w:rsidR="000F0D13" w:rsidRPr="006F5661" w:rsidRDefault="000F0D13" w:rsidP="006F5661">
                            <w:pPr>
                              <w:spacing w:after="0"/>
                              <w:jc w:val="center"/>
                              <w:rPr>
                                <w:rFonts w:ascii="Open Sans" w:hAnsi="Open Sans" w:cs="Open Sans"/>
                              </w:rPr>
                            </w:pPr>
                            <w:r w:rsidRPr="006F5661">
                              <w:rPr>
                                <w:rFonts w:ascii="Open Sans" w:hAnsi="Open Sans" w:cs="Open Sans"/>
                                <w:color w:val="FFFFFF"/>
                                <w:sz w:val="16"/>
                                <w:szCs w:val="16"/>
                              </w:rPr>
                              <w:t xml:space="preserve">indicios de fraude o mala praxis. Adicionalmente pueden formalizarse </w:t>
                            </w:r>
                          </w:p>
                          <w:p w14:paraId="7152F2BE" w14:textId="77777777" w:rsidR="000F0D13" w:rsidRDefault="000F0D13" w:rsidP="006F5661">
                            <w:pPr>
                              <w:spacing w:after="0"/>
                              <w:jc w:val="center"/>
                            </w:pPr>
                            <w:r w:rsidRPr="006F5661">
                              <w:rPr>
                                <w:rFonts w:ascii="Open Sans" w:hAnsi="Open Sans" w:cs="Open Sans"/>
                                <w:color w:val="FFFFFF"/>
                                <w:sz w:val="16"/>
                                <w:szCs w:val="16"/>
                              </w:rPr>
                              <w:t>entrevistas con las personas intervinientes o conocedoras de los hechos</w:t>
                            </w:r>
                            <w:r>
                              <w:rPr>
                                <w:color w:val="FFFFFF"/>
                                <w:sz w:val="16"/>
                                <w:szCs w:val="16"/>
                              </w:rPr>
                              <w:t>.</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3F964546" id="_x0000_s1048" style="position:absolute;left:0;text-align:left;margin-left:0;margin-top:1.65pt;width:332.25pt;height:86.25pt;z-index:251815936;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margin;mso-height-relative:margin;v-text-anchor:middle" coordsize="6597,138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0fYSQMAACcKAAAOAAAAZHJzL2Uyb0RvYy54bWysVttu2zAMfR+wfzD8vjq+NgmaFF27DgOG&#10;rUC7D1BkOTZgW56kXLqvHyWZdtSk27LtxZZE6pA8pERdXe+b2tsyISveLvzwYuJ7rKU8r9r1wv/2&#10;dP9u6ntSkTYnNW/Zwn9m0r9evn1ztevmLOIlr3MmPABp5XzXLfxSqW4eBJKWrCHygnesBWHBRUMU&#10;TMU6yAXZAXpTB9FkkgU7LvJOcMqkhNU7K/SXBr8oGFVfi0Iy5dULH3xT5ivMd6W/wfKKzNeCdGVF&#10;ezfIX3jRkKoFowPUHVHE24jqCKqpqOCSF+qC8ibgRVFRZmKAaMLJi2geS9IxEwuQI7uBJvn/YOmX&#10;7WP3IICGXSfnEoY6in0hGv0H/7y9Iet5IIvtlUdhMYnCWXqZ+h4FWTiZpTFMACcYt9ONVB8ZN1Bk&#10;+1kqy3aOI1LiiO5bHArI2ctsCd+DbK1stjqi9D7tnx56u4WfpbNL3yvBj3gamTw0fMueuNFROoQo&#10;huxjEODiKK/bX+mhlG5WFX3PfhzqhrMDTHDGGApTuxiGvbd2NQSiwHxsVsG+i+fOLNDU4qQODsw0&#10;DMgMlVYTQPViCDYs/y6cO+u97LeAswdAvecQ1tGi5u8UOPJjYTF0Cwthohj/L9SQDRSfchUxZw4R&#10;QK+JObKMIvtIRZRlJ909ZaDnNIwnjoWe/zC2kaMFzbKxHA9BuqDurKcbiyK+dLjFCoKydWxjteL6&#10;UcEgYRY+izN0yuK8yjxoZr37R5qnHM+SiauPNGRJggI3pCwB4LMJytIQ4Vy6szTB0Nz0ZCnGfE6u&#10;s3Taw70oHLhBegdCt9AOBPYo/i4X6cxaGE8MJgv/fdLQ4j8onkwZ4uriOjjHY+juoR+JPOP+GNLi&#10;3kRDGt1ba6iJM66/scCckzEUpBsblvWfXFJ4uFDXpgXSqruJ6V9DhzG5HnuY5HWV31d1rfuKFOvV&#10;bS28LYGnxYfb6f101l85jlrdGuVXd8ZJlt4kxzvNEdZbmXnF2O4YjE1aj9R+tfeqHLpbpAH00orn&#10;zw/C28GLZuHL7xsimO/Vn1p4MsBFqnAgcLDCAWlpyeFhRJUwDbTlNxvFi0r3bGPWIvcTeI0YpvqX&#10;k37uHM6N1vi+W/4EAAD//wMAUEsDBBQABgAIAAAAIQDD4eeK3gAAAAYBAAAPAAAAZHJzL2Rvd25y&#10;ZXYueG1sTI/NTsMwEITvSLyDtUjcqENK0yqNU6Hw1wOVSqGc3XibBOJ1FLtteHuWEz2OZnbm22wx&#10;2FYcsfeNIwW3owgEUulMQ5WCj/enmxkIHzQZ3TpCBT/oYZFfXmQ6Ne5Eb3jchEpwCflUK6hD6FIp&#10;fVmj1X7kOiT29q63OrDsK2l6feJy28o4ihJpdUO8UOsOixrL783BMsbL42rpCveaPKzjoviS2+fP&#10;eKvU9dVwPwcRcAj/YfjD5xvImWnnDmS8aBXwI0HBeAyCzSS5m4DYcWo6mYHMM3mOn/8CAAD//wMA&#10;UEsBAi0AFAAGAAgAAAAhALaDOJL+AAAA4QEAABMAAAAAAAAAAAAAAAAAAAAAAFtDb250ZW50X1R5&#10;cGVzXS54bWxQSwECLQAUAAYACAAAACEAOP0h/9YAAACUAQAACwAAAAAAAAAAAAAAAAAvAQAAX3Jl&#10;bHMvLnJlbHNQSwECLQAUAAYACAAAACEAKS9H2EkDAAAnCgAADgAAAAAAAAAAAAAAAAAuAgAAZHJz&#10;L2Uyb0RvYy54bWxQSwECLQAUAAYACAAAACEAw+Hnit4AAAAGAQAADwAAAAAAAAAAAAAAAACjBQAA&#10;ZHJzL2Rvd25yZXYueG1sUEsFBgAAAAAEAAQA8wAAAK4GAAAAAA==&#10;" adj="-11796480,,5400" path="m230,r,c190,,150,11,115,31,80,51,51,80,31,115,11,150,,190,,230r,920l,1151v,40,11,80,31,115c51,1301,80,1330,115,1350v35,20,75,31,115,31l6365,1381r1,c6406,1381,6446,1370,6481,1350v35,-20,64,-49,84,-84c6585,1231,6596,1191,6596,1151r-1,-921l6596,230r,c6596,190,6585,150,6565,115,6545,80,6516,51,6481,31,6446,11,6406,,6366,l230,e" fillcolor="#ec8f89" strokecolor="#3465a4">
                <v:stroke joinstyle="miter"/>
                <v:formulas/>
                <v:path arrowok="t" o:connecttype="custom" textboxrect="0,0,6597,1382"/>
                <v:textbox inset="0,0,0,0">
                  <w:txbxContent>
                    <w:p w14:paraId="4BB87D3A" w14:textId="77777777" w:rsidR="000F0D13" w:rsidRPr="006F5661" w:rsidRDefault="000F0D13" w:rsidP="006F5661">
                      <w:pPr>
                        <w:spacing w:after="0"/>
                        <w:jc w:val="center"/>
                        <w:rPr>
                          <w:rFonts w:ascii="Open Sans" w:hAnsi="Open Sans" w:cs="Open Sans"/>
                        </w:rPr>
                      </w:pPr>
                      <w:r w:rsidRPr="006F5661">
                        <w:rPr>
                          <w:rFonts w:ascii="Open Sans" w:hAnsi="Open Sans" w:cs="Open Sans"/>
                          <w:b/>
                          <w:bCs/>
                          <w:color w:val="FFFFFF"/>
                          <w:sz w:val="16"/>
                          <w:szCs w:val="16"/>
                          <w:u w:val="single"/>
                        </w:rPr>
                        <w:t>ACTUACIONES EN LA FASE DE ANÁLISIS</w:t>
                      </w:r>
                    </w:p>
                    <w:p w14:paraId="7FA8F99A" w14:textId="068027F1" w:rsidR="000F0D13" w:rsidRPr="006F5661" w:rsidRDefault="000F0D13" w:rsidP="006F5661">
                      <w:pPr>
                        <w:spacing w:after="0"/>
                        <w:jc w:val="center"/>
                        <w:rPr>
                          <w:rFonts w:ascii="Open Sans" w:hAnsi="Open Sans" w:cs="Open Sans"/>
                        </w:rPr>
                      </w:pPr>
                      <w:r w:rsidRPr="006F5661">
                        <w:rPr>
                          <w:rFonts w:ascii="Open Sans" w:hAnsi="Open Sans" w:cs="Open Sans"/>
                          <w:color w:val="FFFFFF"/>
                          <w:sz w:val="16"/>
                          <w:szCs w:val="16"/>
                        </w:rPr>
                        <w:t xml:space="preserve">Las actuaciones en la fase de análisis se circunscriben a la realización de </w:t>
                      </w:r>
                    </w:p>
                    <w:p w14:paraId="107C797E" w14:textId="77777777" w:rsidR="000F0D13" w:rsidRPr="006F5661" w:rsidRDefault="000F0D13" w:rsidP="006F5661">
                      <w:pPr>
                        <w:spacing w:after="0"/>
                        <w:jc w:val="center"/>
                        <w:rPr>
                          <w:rFonts w:ascii="Open Sans" w:hAnsi="Open Sans" w:cs="Open Sans"/>
                        </w:rPr>
                      </w:pPr>
                      <w:r w:rsidRPr="006F5661">
                        <w:rPr>
                          <w:rFonts w:ascii="Open Sans" w:hAnsi="Open Sans" w:cs="Open Sans"/>
                          <w:color w:val="FFFFFF"/>
                          <w:sz w:val="16"/>
                          <w:szCs w:val="16"/>
                        </w:rPr>
                        <w:t xml:space="preserve">requerimientos de información y documentación a efectos de comprobar </w:t>
                      </w:r>
                    </w:p>
                    <w:p w14:paraId="124D83A9" w14:textId="77777777" w:rsidR="000F0D13" w:rsidRPr="006F5661" w:rsidRDefault="000F0D13" w:rsidP="006F5661">
                      <w:pPr>
                        <w:spacing w:after="0"/>
                        <w:jc w:val="center"/>
                        <w:rPr>
                          <w:rFonts w:ascii="Open Sans" w:hAnsi="Open Sans" w:cs="Open Sans"/>
                        </w:rPr>
                      </w:pPr>
                      <w:r w:rsidRPr="006F5661">
                        <w:rPr>
                          <w:rFonts w:ascii="Open Sans" w:hAnsi="Open Sans" w:cs="Open Sans"/>
                          <w:color w:val="FFFFFF"/>
                          <w:sz w:val="16"/>
                          <w:szCs w:val="16"/>
                        </w:rPr>
                        <w:t xml:space="preserve">lo manifestado en la denuncia y a la obtención de posibles </w:t>
                      </w:r>
                    </w:p>
                    <w:p w14:paraId="42C0964D" w14:textId="77777777" w:rsidR="000F0D13" w:rsidRPr="006F5661" w:rsidRDefault="000F0D13" w:rsidP="006F5661">
                      <w:pPr>
                        <w:spacing w:after="0"/>
                        <w:jc w:val="center"/>
                        <w:rPr>
                          <w:rFonts w:ascii="Open Sans" w:hAnsi="Open Sans" w:cs="Open Sans"/>
                        </w:rPr>
                      </w:pPr>
                      <w:r w:rsidRPr="006F5661">
                        <w:rPr>
                          <w:rFonts w:ascii="Open Sans" w:hAnsi="Open Sans" w:cs="Open Sans"/>
                          <w:color w:val="FFFFFF"/>
                          <w:sz w:val="16"/>
                          <w:szCs w:val="16"/>
                        </w:rPr>
                        <w:t xml:space="preserve">indicios de fraude o mala praxis. Adicionalmente pueden formalizarse </w:t>
                      </w:r>
                    </w:p>
                    <w:p w14:paraId="7152F2BE" w14:textId="77777777" w:rsidR="000F0D13" w:rsidRDefault="000F0D13" w:rsidP="006F5661">
                      <w:pPr>
                        <w:spacing w:after="0"/>
                        <w:jc w:val="center"/>
                      </w:pPr>
                      <w:r w:rsidRPr="006F5661">
                        <w:rPr>
                          <w:rFonts w:ascii="Open Sans" w:hAnsi="Open Sans" w:cs="Open Sans"/>
                          <w:color w:val="FFFFFF"/>
                          <w:sz w:val="16"/>
                          <w:szCs w:val="16"/>
                        </w:rPr>
                        <w:t>entrevistas con las personas intervinientes o conocedoras de los hechos</w:t>
                      </w:r>
                      <w:r>
                        <w:rPr>
                          <w:color w:val="FFFFFF"/>
                          <w:sz w:val="16"/>
                          <w:szCs w:val="16"/>
                        </w:rPr>
                        <w:t>.</w:t>
                      </w:r>
                    </w:p>
                  </w:txbxContent>
                </v:textbox>
                <w10:wrap anchorx="margin"/>
              </v:shape>
            </w:pict>
          </mc:Fallback>
        </mc:AlternateContent>
      </w:r>
    </w:p>
    <w:p w14:paraId="212D7ABD" w14:textId="7B72DC6B" w:rsidR="009568B0" w:rsidRPr="00A07BE9" w:rsidRDefault="009568B0" w:rsidP="009568B0">
      <w:pPr>
        <w:spacing w:after="0" w:line="240" w:lineRule="auto"/>
        <w:jc w:val="center"/>
        <w:rPr>
          <w:rFonts w:ascii="Open Sans" w:eastAsia="NSimSun" w:hAnsi="Open Sans" w:cs="Arial"/>
          <w:kern w:val="2"/>
          <w:sz w:val="24"/>
          <w:szCs w:val="24"/>
          <w:lang w:eastAsia="zh-CN" w:bidi="hi-IN"/>
        </w:rPr>
      </w:pPr>
    </w:p>
    <w:p w14:paraId="68CA5D4E" w14:textId="68774987" w:rsidR="009568B0" w:rsidRPr="00A07BE9" w:rsidRDefault="009568B0" w:rsidP="009568B0">
      <w:pPr>
        <w:spacing w:after="0" w:line="240" w:lineRule="auto"/>
        <w:jc w:val="center"/>
        <w:rPr>
          <w:rFonts w:ascii="Open Sans" w:eastAsia="NSimSun" w:hAnsi="Open Sans" w:cs="Arial"/>
          <w:kern w:val="2"/>
          <w:sz w:val="20"/>
          <w:szCs w:val="20"/>
          <w:lang w:eastAsia="zh-CN" w:bidi="hi-IN"/>
        </w:rPr>
      </w:pPr>
    </w:p>
    <w:p w14:paraId="366A5F77" w14:textId="47FEBFA5" w:rsidR="009568B0" w:rsidRPr="00A07BE9" w:rsidRDefault="009568B0" w:rsidP="009568B0">
      <w:pPr>
        <w:spacing w:after="0" w:line="240" w:lineRule="auto"/>
        <w:jc w:val="both"/>
        <w:rPr>
          <w:rFonts w:ascii="Open Sans" w:eastAsia="NSimSun" w:hAnsi="Open Sans" w:cs="Arial"/>
          <w:kern w:val="2"/>
          <w:sz w:val="20"/>
          <w:szCs w:val="20"/>
          <w:lang w:eastAsia="zh-CN" w:bidi="hi-IN"/>
        </w:rPr>
      </w:pPr>
    </w:p>
    <w:p w14:paraId="29DD21D0" w14:textId="00D3B294" w:rsidR="009568B0" w:rsidRPr="00A07BE9" w:rsidRDefault="009568B0" w:rsidP="009568B0">
      <w:pPr>
        <w:spacing w:after="0" w:line="240" w:lineRule="auto"/>
        <w:jc w:val="both"/>
        <w:rPr>
          <w:rFonts w:ascii="Open Sans" w:eastAsia="NSimSun" w:hAnsi="Open Sans" w:cs="Arial"/>
          <w:kern w:val="2"/>
          <w:sz w:val="20"/>
          <w:szCs w:val="20"/>
          <w:lang w:eastAsia="zh-CN" w:bidi="hi-IN"/>
        </w:rPr>
      </w:pPr>
    </w:p>
    <w:p w14:paraId="2366EA47" w14:textId="32D23507" w:rsidR="009568B0" w:rsidRPr="00A07BE9" w:rsidRDefault="001900B6" w:rsidP="009568B0">
      <w:pPr>
        <w:spacing w:after="200" w:line="276" w:lineRule="auto"/>
        <w:rPr>
          <w:rFonts w:ascii="Open Sans" w:eastAsia="NSimSun" w:hAnsi="Open Sans" w:cs="Arial"/>
          <w:i/>
          <w:iCs/>
          <w:kern w:val="2"/>
          <w:sz w:val="16"/>
          <w:szCs w:val="16"/>
          <w:lang w:eastAsia="zh-CN" w:bidi="hi-IN"/>
        </w:rPr>
      </w:pPr>
      <w:r w:rsidRPr="00A07BE9">
        <w:rPr>
          <w:rFonts w:ascii="Open Sans" w:eastAsia="NSimSun" w:hAnsi="Open Sans" w:cs="Arial"/>
          <w:noProof/>
          <w:kern w:val="2"/>
          <w:sz w:val="20"/>
          <w:szCs w:val="20"/>
          <w:lang w:eastAsia="es-ES"/>
        </w:rPr>
        <mc:AlternateContent>
          <mc:Choice Requires="wps">
            <w:drawing>
              <wp:anchor distT="0" distB="0" distL="0" distR="0" simplePos="0" relativeHeight="251816960" behindDoc="0" locked="0" layoutInCell="1" allowOverlap="1" wp14:anchorId="4FFD08AB" wp14:editId="344FDB7D">
                <wp:simplePos x="0" y="0"/>
                <wp:positionH relativeFrom="column">
                  <wp:posOffset>-251999</wp:posOffset>
                </wp:positionH>
                <wp:positionV relativeFrom="paragraph">
                  <wp:posOffset>564767</wp:posOffset>
                </wp:positionV>
                <wp:extent cx="1683433" cy="1078301"/>
                <wp:effectExtent l="0" t="0" r="12065" b="26670"/>
                <wp:wrapNone/>
                <wp:docPr id="247" name="Forma1"/>
                <wp:cNvGraphicFramePr/>
                <a:graphic xmlns:a="http://schemas.openxmlformats.org/drawingml/2006/main">
                  <a:graphicData uri="http://schemas.microsoft.com/office/word/2010/wordprocessingShape">
                    <wps:wsp>
                      <wps:cNvSpPr/>
                      <wps:spPr>
                        <a:xfrm>
                          <a:off x="0" y="0"/>
                          <a:ext cx="1683433" cy="1078301"/>
                        </a:xfrm>
                        <a:custGeom>
                          <a:avLst/>
                          <a:gdLst/>
                          <a:ahLst/>
                          <a:cxnLst/>
                          <a:rect l="0" t="0" r="r" b="b"/>
                          <a:pathLst>
                            <a:path w="2840" h="1912">
                              <a:moveTo>
                                <a:pt x="318" y="0"/>
                              </a:moveTo>
                              <a:lnTo>
                                <a:pt x="319" y="0"/>
                              </a:lnTo>
                              <a:cubicBezTo>
                                <a:pt x="263" y="0"/>
                                <a:pt x="208" y="15"/>
                                <a:pt x="159" y="43"/>
                              </a:cubicBezTo>
                              <a:cubicBezTo>
                                <a:pt x="111" y="71"/>
                                <a:pt x="71" y="111"/>
                                <a:pt x="43" y="159"/>
                              </a:cubicBezTo>
                              <a:cubicBezTo>
                                <a:pt x="15" y="208"/>
                                <a:pt x="0" y="263"/>
                                <a:pt x="0" y="319"/>
                              </a:cubicBezTo>
                              <a:lnTo>
                                <a:pt x="0" y="1592"/>
                              </a:lnTo>
                              <a:lnTo>
                                <a:pt x="0" y="1593"/>
                              </a:lnTo>
                              <a:cubicBezTo>
                                <a:pt x="0" y="1648"/>
                                <a:pt x="15" y="1703"/>
                                <a:pt x="43" y="1752"/>
                              </a:cubicBezTo>
                              <a:cubicBezTo>
                                <a:pt x="71" y="1800"/>
                                <a:pt x="111" y="1840"/>
                                <a:pt x="159" y="1868"/>
                              </a:cubicBezTo>
                              <a:cubicBezTo>
                                <a:pt x="208" y="1896"/>
                                <a:pt x="263" y="1911"/>
                                <a:pt x="319" y="1911"/>
                              </a:cubicBezTo>
                              <a:lnTo>
                                <a:pt x="2520" y="1910"/>
                              </a:lnTo>
                              <a:lnTo>
                                <a:pt x="2521" y="1911"/>
                              </a:lnTo>
                              <a:cubicBezTo>
                                <a:pt x="2576" y="1911"/>
                                <a:pt x="2631" y="1896"/>
                                <a:pt x="2680" y="1868"/>
                              </a:cubicBezTo>
                              <a:cubicBezTo>
                                <a:pt x="2728" y="1840"/>
                                <a:pt x="2768" y="1800"/>
                                <a:pt x="2796" y="1752"/>
                              </a:cubicBezTo>
                              <a:cubicBezTo>
                                <a:pt x="2824" y="1703"/>
                                <a:pt x="2839" y="1648"/>
                                <a:pt x="2839" y="1593"/>
                              </a:cubicBezTo>
                              <a:lnTo>
                                <a:pt x="2839" y="318"/>
                              </a:lnTo>
                              <a:lnTo>
                                <a:pt x="2839" y="319"/>
                              </a:lnTo>
                              <a:lnTo>
                                <a:pt x="2839" y="319"/>
                              </a:lnTo>
                              <a:cubicBezTo>
                                <a:pt x="2839" y="263"/>
                                <a:pt x="2824" y="208"/>
                                <a:pt x="2796" y="159"/>
                              </a:cubicBezTo>
                              <a:cubicBezTo>
                                <a:pt x="2768" y="111"/>
                                <a:pt x="2728" y="71"/>
                                <a:pt x="2680" y="43"/>
                              </a:cubicBezTo>
                              <a:cubicBezTo>
                                <a:pt x="2631" y="15"/>
                                <a:pt x="2576" y="0"/>
                                <a:pt x="2521" y="0"/>
                              </a:cubicBezTo>
                              <a:lnTo>
                                <a:pt x="318" y="0"/>
                              </a:lnTo>
                            </a:path>
                          </a:pathLst>
                        </a:custGeom>
                        <a:solidFill>
                          <a:srgbClr val="FFA6A6"/>
                        </a:solidFill>
                        <a:ln>
                          <a:solidFill>
                            <a:srgbClr val="3465A4"/>
                          </a:solidFill>
                        </a:ln>
                        <a:effectLst/>
                      </wps:spPr>
                      <wps:txbx>
                        <w:txbxContent>
                          <w:p w14:paraId="5E2E9735" w14:textId="77777777" w:rsidR="000F0D13" w:rsidRPr="00AC2ACC" w:rsidRDefault="000F0D13" w:rsidP="006F5661">
                            <w:pPr>
                              <w:spacing w:after="0"/>
                              <w:jc w:val="center"/>
                              <w:rPr>
                                <w:rFonts w:ascii="Open Sans" w:hAnsi="Open Sans" w:cs="Open Sans"/>
                              </w:rPr>
                            </w:pPr>
                            <w:r w:rsidRPr="00AC2ACC">
                              <w:rPr>
                                <w:rFonts w:ascii="Open Sans" w:hAnsi="Open Sans" w:cs="Open Sans"/>
                                <w:sz w:val="16"/>
                                <w:szCs w:val="16"/>
                              </w:rPr>
                              <w:t>Si de las actuaciones no se detectan</w:t>
                            </w:r>
                          </w:p>
                          <w:p w14:paraId="3C6BBB99" w14:textId="77777777" w:rsidR="000F0D13" w:rsidRPr="00AC2ACC" w:rsidRDefault="000F0D13" w:rsidP="006F5661">
                            <w:pPr>
                              <w:spacing w:after="0"/>
                              <w:jc w:val="center"/>
                              <w:rPr>
                                <w:rFonts w:ascii="Open Sans" w:hAnsi="Open Sans" w:cs="Open Sans"/>
                              </w:rPr>
                            </w:pPr>
                            <w:r w:rsidRPr="00AC2ACC">
                              <w:rPr>
                                <w:rFonts w:ascii="Open Sans" w:hAnsi="Open Sans" w:cs="Open Sans"/>
                                <w:sz w:val="16"/>
                                <w:szCs w:val="16"/>
                              </w:rPr>
                              <w:t>indicios de fraude o mala praxis</w:t>
                            </w:r>
                          </w:p>
                          <w:p w14:paraId="0C08B347" w14:textId="77777777" w:rsidR="000F0D13" w:rsidRPr="00AC2ACC" w:rsidRDefault="000F0D13" w:rsidP="006F5661">
                            <w:pPr>
                              <w:spacing w:after="0"/>
                              <w:jc w:val="center"/>
                              <w:rPr>
                                <w:rFonts w:ascii="Open Sans" w:hAnsi="Open Sans" w:cs="Open Sans"/>
                              </w:rPr>
                            </w:pPr>
                            <w:r w:rsidRPr="00AC2ACC">
                              <w:rPr>
                                <w:rFonts w:ascii="Open Sans" w:hAnsi="Open Sans" w:cs="Open Sans"/>
                                <w:sz w:val="16"/>
                                <w:szCs w:val="16"/>
                              </w:rPr>
                              <w:t>se procede a la</w:t>
                            </w:r>
                          </w:p>
                          <w:p w14:paraId="44D26457" w14:textId="77777777" w:rsidR="000F0D13" w:rsidRPr="00AC2ACC" w:rsidRDefault="000F0D13" w:rsidP="006F5661">
                            <w:pPr>
                              <w:spacing w:after="0"/>
                              <w:jc w:val="center"/>
                              <w:rPr>
                                <w:rFonts w:ascii="Open Sans" w:hAnsi="Open Sans" w:cs="Open Sans"/>
                                <w:sz w:val="16"/>
                                <w:szCs w:val="16"/>
                              </w:rPr>
                            </w:pPr>
                          </w:p>
                          <w:p w14:paraId="415C0332" w14:textId="0095B4EC" w:rsidR="000F0D13" w:rsidRPr="00AC2ACC" w:rsidRDefault="000F0D13" w:rsidP="006F5661">
                            <w:pPr>
                              <w:spacing w:after="0"/>
                              <w:jc w:val="center"/>
                              <w:rPr>
                                <w:rFonts w:ascii="Open Sans" w:hAnsi="Open Sans" w:cs="Open Sans"/>
                              </w:rPr>
                            </w:pPr>
                            <w:r w:rsidRPr="00AC2ACC">
                              <w:rPr>
                                <w:rFonts w:ascii="Open Sans" w:hAnsi="Open Sans" w:cs="Open Sans"/>
                                <w:b/>
                                <w:bCs/>
                                <w:sz w:val="16"/>
                                <w:szCs w:val="16"/>
                                <w:u w:val="single"/>
                              </w:rPr>
                              <w:t>FINALIZACIÓN Y ARCHIVO</w:t>
                            </w:r>
                            <w:r>
                              <w:rPr>
                                <w:rFonts w:ascii="Open Sans" w:hAnsi="Open Sans" w:cs="Open Sans"/>
                                <w:b/>
                                <w:bCs/>
                                <w:sz w:val="16"/>
                                <w:szCs w:val="16"/>
                                <w:u w:val="single"/>
                              </w:rPr>
                              <w:t xml:space="preserve"> DE LAS ACTUACIONES</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4FFD08AB" id="_x0000_s1049" style="position:absolute;margin-left:-19.85pt;margin-top:44.45pt;width:132.55pt;height:84.9pt;z-index:25181696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2840,191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BM5bgMAACsKAAAOAAAAZHJzL2Uyb0RvYy54bWysVluP0zwQfUfiP0R5Z5M4TZpW20ULaBES&#10;4kOC7we4jrONlMTBdi/Lr2d8maZOF6FFvCS+jI/PnJmxffv21HfRgUvVimETZzdpHPGBibodHjfx&#10;/98f3lRxpDQdatqJgW/iJ67it3evX90exzUnYie6mssIQAa1Po6beKf1uE4SxXa8p+pGjHyAyUbI&#10;nmroyseklvQI6H2XkDQtk6OQ9SgF40rB6Ac3Gd9Z/KbhTP/XNIrrqNvEwE3br7Tfrfkmd7d0/Sjp&#10;uGuZp0H/gkVP2wE2PUN9oJpGe9leQfUtk0KJRt8w0SeiaVrGrQ/gTZbOvPm2oyO3voA4ajzLpP4d&#10;LPty+DZ+lSDDcVRrBU3jxamRvfkDv+hkxXo6i8VPOmIwmJVVvsjzOGIwl6XLKk8zI2cyLWd7pT9y&#10;YaHo4bPSTu0aW3SHLXYasCkhZvNoyTiCaG1dtEaqzTrDzzSj4yYm1QKCuwMeq4zYOPTiwL8La6ON&#10;C3kGiYhOAMVpvhtCu1Vgh7Nsv23ZO/7z0paU4D1iAhm7EUndRlnh2drRrHCwi9xLFOKFPQeUZZlF&#10;X1pVER56ZkszacV0tgBrR2EXF4EQMOx5+MIuMXQvgEBFQDeOXQ3m2fPgqJCDdQDgLvFMcBr/MzPU&#10;A6efo+oxy0VAFQS2Pi/TgCxKsSyQQQgZ9hwbFLVK/YHgJfIRyEx2XeiBwcyq0jKCdApRw54DO+dF&#10;tSovwTCJIHODkBq5rX9+/GoTVMzDF8TLtMosWbBHC/yfLX0OTcho8SzxYlkGTDAVgbkHunKp8lxe&#10;JNCS+MqZyU2WILOVYhYfsgQpXQ68INikIgu/KswcUuVe8lmmTRPFCvM1VAr18wojkDl0XD2iAf6v&#10;DLG20AD/fzQMiczMZ4V8dn1W9ZOQLzhAprCEiUswjuHBRUqfFC84AqcMCw5TghkZVCUpiEtHTP9Q&#10;mVDQ+XXgZqFmzI1i77DzLWMLb7rHlOja+qHtOnO3KPm4fd/J6EDhefHwcF/e29qGJYFZN1jj367M&#10;F2Vxv/CpcrHS1rBZyu1Lxt2QyXRRm5Y+bU9RW8OhbVPTDG1F/fRVRkd41Wxi9WNPJY+j7tMAzwao&#10;S40NiY0tNujAdgIeR0xLe4kO4n6vRdOae9tu65B9B14kVin/ejJPnsu+tZreeHe/AAAA//8DAFBL&#10;AwQUAAYACAAAACEAXSR2dN8AAAAKAQAADwAAAGRycy9kb3ducmV2LnhtbEyPwU7DMAyG70i8Q2Qk&#10;LtOW0nZbV5pOgMQDMLhwyxqvKTRO1WRdeXvMid1s+dPv76/2s+vFhGPoPCl4WCUgkBpvOmoVfLy/&#10;LgsQIWoyuveECn4wwL6+val0afyF3nA6xFZwCIVSK7AxDqWUobHodFj5AYlvJz86HXkdW2lGfeFw&#10;18s0STbS6Y74g9UDvlhsvg9npyD7okWfdDbmbZbnfvE8bKbTp1L3d/PTI4iIc/yH4U+f1aFmp6M/&#10;kwmiV7DMdltGFRTFDgQDabrOQRx5WBdbkHUlryvUvwAAAP//AwBQSwECLQAUAAYACAAAACEAtoM4&#10;kv4AAADhAQAAEwAAAAAAAAAAAAAAAAAAAAAAW0NvbnRlbnRfVHlwZXNdLnhtbFBLAQItABQABgAI&#10;AAAAIQA4/SH/1gAAAJQBAAALAAAAAAAAAAAAAAAAAC8BAABfcmVscy8ucmVsc1BLAQItABQABgAI&#10;AAAAIQBneBM5bgMAACsKAAAOAAAAAAAAAAAAAAAAAC4CAABkcnMvZTJvRG9jLnhtbFBLAQItABQA&#10;BgAIAAAAIQBdJHZ03wAAAAoBAAAPAAAAAAAAAAAAAAAAAMgFAABkcnMvZG93bnJldi54bWxQSwUG&#10;AAAAAAQABADzAAAA1AYAAAAA&#10;" adj="-11796480,,5400" path="m318,r1,c263,,208,15,159,43,111,71,71,111,43,159,15,208,,263,,319l,1592r,1c,1648,15,1703,43,1752v28,48,68,88,116,116c208,1896,263,1911,319,1911r2201,-1l2521,1911v55,,110,-15,159,-43c2728,1840,2768,1800,2796,1752v28,-49,43,-104,43,-159l2839,318r,1l2839,319v,-56,-15,-111,-43,-160c2768,111,2728,71,2680,43,2631,15,2576,,2521,l318,e" fillcolor="#ffa6a6" strokecolor="#3465a4">
                <v:stroke joinstyle="miter"/>
                <v:formulas/>
                <v:path arrowok="t" o:connecttype="custom" textboxrect="0,0,2840,1912"/>
                <v:textbox inset="0,0,0,0">
                  <w:txbxContent>
                    <w:p w14:paraId="5E2E9735" w14:textId="77777777" w:rsidR="000F0D13" w:rsidRPr="00AC2ACC" w:rsidRDefault="000F0D13" w:rsidP="006F5661">
                      <w:pPr>
                        <w:spacing w:after="0"/>
                        <w:jc w:val="center"/>
                        <w:rPr>
                          <w:rFonts w:ascii="Open Sans" w:hAnsi="Open Sans" w:cs="Open Sans"/>
                        </w:rPr>
                      </w:pPr>
                      <w:r w:rsidRPr="00AC2ACC">
                        <w:rPr>
                          <w:rFonts w:ascii="Open Sans" w:hAnsi="Open Sans" w:cs="Open Sans"/>
                          <w:sz w:val="16"/>
                          <w:szCs w:val="16"/>
                        </w:rPr>
                        <w:t>Si de las actuaciones no se detectan</w:t>
                      </w:r>
                    </w:p>
                    <w:p w14:paraId="3C6BBB99" w14:textId="77777777" w:rsidR="000F0D13" w:rsidRPr="00AC2ACC" w:rsidRDefault="000F0D13" w:rsidP="006F5661">
                      <w:pPr>
                        <w:spacing w:after="0"/>
                        <w:jc w:val="center"/>
                        <w:rPr>
                          <w:rFonts w:ascii="Open Sans" w:hAnsi="Open Sans" w:cs="Open Sans"/>
                        </w:rPr>
                      </w:pPr>
                      <w:r w:rsidRPr="00AC2ACC">
                        <w:rPr>
                          <w:rFonts w:ascii="Open Sans" w:hAnsi="Open Sans" w:cs="Open Sans"/>
                          <w:sz w:val="16"/>
                          <w:szCs w:val="16"/>
                        </w:rPr>
                        <w:t>indicios de fraude o mala praxis</w:t>
                      </w:r>
                    </w:p>
                    <w:p w14:paraId="0C08B347" w14:textId="77777777" w:rsidR="000F0D13" w:rsidRPr="00AC2ACC" w:rsidRDefault="000F0D13" w:rsidP="006F5661">
                      <w:pPr>
                        <w:spacing w:after="0"/>
                        <w:jc w:val="center"/>
                        <w:rPr>
                          <w:rFonts w:ascii="Open Sans" w:hAnsi="Open Sans" w:cs="Open Sans"/>
                        </w:rPr>
                      </w:pPr>
                      <w:r w:rsidRPr="00AC2ACC">
                        <w:rPr>
                          <w:rFonts w:ascii="Open Sans" w:hAnsi="Open Sans" w:cs="Open Sans"/>
                          <w:sz w:val="16"/>
                          <w:szCs w:val="16"/>
                        </w:rPr>
                        <w:t>se procede a la</w:t>
                      </w:r>
                    </w:p>
                    <w:p w14:paraId="44D26457" w14:textId="77777777" w:rsidR="000F0D13" w:rsidRPr="00AC2ACC" w:rsidRDefault="000F0D13" w:rsidP="006F5661">
                      <w:pPr>
                        <w:spacing w:after="0"/>
                        <w:jc w:val="center"/>
                        <w:rPr>
                          <w:rFonts w:ascii="Open Sans" w:hAnsi="Open Sans" w:cs="Open Sans"/>
                          <w:sz w:val="16"/>
                          <w:szCs w:val="16"/>
                        </w:rPr>
                      </w:pPr>
                    </w:p>
                    <w:p w14:paraId="415C0332" w14:textId="0095B4EC" w:rsidR="000F0D13" w:rsidRPr="00AC2ACC" w:rsidRDefault="000F0D13" w:rsidP="006F5661">
                      <w:pPr>
                        <w:spacing w:after="0"/>
                        <w:jc w:val="center"/>
                        <w:rPr>
                          <w:rFonts w:ascii="Open Sans" w:hAnsi="Open Sans" w:cs="Open Sans"/>
                        </w:rPr>
                      </w:pPr>
                      <w:r w:rsidRPr="00AC2ACC">
                        <w:rPr>
                          <w:rFonts w:ascii="Open Sans" w:hAnsi="Open Sans" w:cs="Open Sans"/>
                          <w:b/>
                          <w:bCs/>
                          <w:sz w:val="16"/>
                          <w:szCs w:val="16"/>
                          <w:u w:val="single"/>
                        </w:rPr>
                        <w:t>FINALIZACIÓN Y ARCHIVO</w:t>
                      </w:r>
                      <w:r>
                        <w:rPr>
                          <w:rFonts w:ascii="Open Sans" w:hAnsi="Open Sans" w:cs="Open Sans"/>
                          <w:b/>
                          <w:bCs/>
                          <w:sz w:val="16"/>
                          <w:szCs w:val="16"/>
                          <w:u w:val="single"/>
                        </w:rPr>
                        <w:t xml:space="preserve"> DE LAS ACTUACIONES</w:t>
                      </w:r>
                    </w:p>
                  </w:txbxContent>
                </v:textbox>
              </v:shape>
            </w:pict>
          </mc:Fallback>
        </mc:AlternateContent>
      </w:r>
      <w:r w:rsidR="00BB7F2B" w:rsidRPr="00A07BE9">
        <w:rPr>
          <w:rFonts w:ascii="Open Sans" w:eastAsia="NSimSun" w:hAnsi="Open Sans" w:cs="Arial"/>
          <w:noProof/>
          <w:kern w:val="2"/>
          <w:sz w:val="24"/>
          <w:szCs w:val="24"/>
          <w:lang w:eastAsia="es-ES"/>
        </w:rPr>
        <mc:AlternateContent>
          <mc:Choice Requires="wps">
            <w:drawing>
              <wp:anchor distT="0" distB="0" distL="0" distR="0" simplePos="0" relativeHeight="251825152" behindDoc="0" locked="0" layoutInCell="1" allowOverlap="1" wp14:anchorId="4F09E1F2" wp14:editId="3AE6646E">
                <wp:simplePos x="0" y="0"/>
                <wp:positionH relativeFrom="column">
                  <wp:posOffset>4476407</wp:posOffset>
                </wp:positionH>
                <wp:positionV relativeFrom="paragraph">
                  <wp:posOffset>138432</wp:posOffset>
                </wp:positionV>
                <wp:extent cx="166388" cy="482837"/>
                <wp:effectExtent l="133350" t="0" r="100330" b="0"/>
                <wp:wrapNone/>
                <wp:docPr id="62" name="Forma7"/>
                <wp:cNvGraphicFramePr/>
                <a:graphic xmlns:a="http://schemas.openxmlformats.org/drawingml/2006/main">
                  <a:graphicData uri="http://schemas.microsoft.com/office/word/2010/wordprocessingShape">
                    <wps:wsp>
                      <wps:cNvSpPr/>
                      <wps:spPr>
                        <a:xfrm rot="18900000">
                          <a:off x="0" y="0"/>
                          <a:ext cx="166388" cy="482837"/>
                        </a:xfrm>
                        <a:custGeom>
                          <a:avLst/>
                          <a:gdLst/>
                          <a:ahLst/>
                          <a:cxnLst/>
                          <a:rect l="0" t="0" r="r" b="b"/>
                          <a:pathLst>
                            <a:path w="268" h="555">
                              <a:moveTo>
                                <a:pt x="67" y="0"/>
                              </a:moveTo>
                              <a:lnTo>
                                <a:pt x="67" y="414"/>
                              </a:lnTo>
                              <a:lnTo>
                                <a:pt x="0" y="414"/>
                              </a:lnTo>
                              <a:lnTo>
                                <a:pt x="134" y="554"/>
                              </a:lnTo>
                              <a:lnTo>
                                <a:pt x="267" y="414"/>
                              </a:lnTo>
                              <a:lnTo>
                                <a:pt x="201" y="414"/>
                              </a:lnTo>
                              <a:lnTo>
                                <a:pt x="201" y="0"/>
                              </a:lnTo>
                              <a:lnTo>
                                <a:pt x="67" y="0"/>
                              </a:lnTo>
                            </a:path>
                          </a:pathLst>
                        </a:custGeom>
                        <a:solidFill>
                          <a:srgbClr val="5B6770"/>
                        </a:solid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shape w14:anchorId="6D5A10E5" id="Forma7" o:spid="_x0000_s1026" style="position:absolute;margin-left:352.45pt;margin-top:10.9pt;width:13.1pt;height:38pt;rotation:-45;z-index:25182515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coordsize="268,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suHFAIAAO4EAAAOAAAAZHJzL2Uyb0RvYy54bWysVMtu2zAQvBfoPxC813pYkhXBctA2cC9F&#10;GyDpB9AUZQngCyQj2X/fJWU5rtskRVEf6CW5HM7MLrW+PQiOBmZsr2SNk0WMEZNUNb3c1/jH4/ZD&#10;iZF1RDaEK8lqfGQW327ev1uPumKp6hRvmEEAIm016hp3zukqiiztmCB2oTSTsNkqI4iDqdlHjSEj&#10;oAsepXFcRKMyjTaKMmth9W7axJuA37aMuu9ta5lDvMbAzYXRhHHnx2izJtXeEN319ESD/AMLQXoJ&#10;l56h7ogj6Mn0v0GJnhplVesWVIlItW1PWdAAapL4Ss1DRzQLWsAcq8822f8HS78N9wb1TY2LFCNJ&#10;BNRo691eeWtGbSvIeND35jSzEHqdh9YIZBT4mZQ3sf8F+SAIHYK7x7O77OAQhcWkKJYltAOFraxM&#10;y2W4IpqwPCZ9su4LU8LHZPhq3VScZo5IN0f0IOfQQImvi2swguLupuJq4vw5D+pDNNY4LYBGV+M8&#10;zwNroQb2qEKG8/SLFUYzf+D3vM3lH9KyJPM3QeK8Pf/rgAZt5xW/kZUss5CX56+jpSdyb+FBO/3V&#10;vXNeeAovarhyZBII2d7RIP3sMixe1tEq3jfbnnPvrjX73Wdu0EDgNeafitVqvvWXNC5D8osnl1mR&#10;f5xdujgZ2PujLDz8qUMi38NT1/pop5pjaOawDo8qsD99APyrvZxDfPmZ2vwEAAD//wMAUEsDBBQA&#10;BgAIAAAAIQDN08Rm3QAAAAkBAAAPAAAAZHJzL2Rvd25yZXYueG1sTI/LTsMwEEX3SPyDNUjsqJOC&#10;SJrGqQpVPoAWEEs3niYR8TiK3Tz+nmEFy9Ec3XtuvpttJ0YcfOtIQbyKQCBVzrRUK3g/lQ8pCB80&#10;Gd05QgULetgVtze5zoyb6A3HY6gFh5DPtIImhD6T0lcNWu1Xrkfi38UNVgc+h1qaQU8cbju5jqJn&#10;aXVL3NDoHl8brL6PV6ugxFEeSre8UJWOX8vH53SQ5V6p+7t5vwURcA5/MPzqszoU7HR2VzJedAqS&#10;6GnDqIJ1zBMYSB7jGMRZwSZJQRa5/L+g+AEAAP//AwBQSwECLQAUAAYACAAAACEAtoM4kv4AAADh&#10;AQAAEwAAAAAAAAAAAAAAAAAAAAAAW0NvbnRlbnRfVHlwZXNdLnhtbFBLAQItABQABgAIAAAAIQA4&#10;/SH/1gAAAJQBAAALAAAAAAAAAAAAAAAAAC8BAABfcmVscy8ucmVsc1BLAQItABQABgAIAAAAIQAS&#10;PsuHFAIAAO4EAAAOAAAAAAAAAAAAAAAAAC4CAABkcnMvZTJvRG9jLnhtbFBLAQItABQABgAIAAAA&#10;IQDN08Rm3QAAAAkBAAAPAAAAAAAAAAAAAAAAAG4EAABkcnMvZG93bnJldi54bWxQSwUGAAAAAAQA&#10;BADzAAAAeAUAAAAA&#10;" path="m67,r,414l,414,134,554,267,414r-66,l201,,67,e" fillcolor="#5b6770" strokecolor="#3465a4">
                <v:path arrowok="t"/>
              </v:shape>
            </w:pict>
          </mc:Fallback>
        </mc:AlternateContent>
      </w:r>
      <w:r w:rsidR="00BB7F2B" w:rsidRPr="00A07BE9">
        <w:rPr>
          <w:rFonts w:ascii="Open Sans" w:eastAsia="NSimSun" w:hAnsi="Open Sans" w:cs="Arial"/>
          <w:noProof/>
          <w:kern w:val="2"/>
          <w:sz w:val="24"/>
          <w:szCs w:val="24"/>
          <w:lang w:eastAsia="es-ES"/>
        </w:rPr>
        <mc:AlternateContent>
          <mc:Choice Requires="wps">
            <w:drawing>
              <wp:anchor distT="0" distB="0" distL="0" distR="0" simplePos="0" relativeHeight="251821056" behindDoc="0" locked="0" layoutInCell="1" allowOverlap="1" wp14:anchorId="044B1770" wp14:editId="0DA6DF43">
                <wp:simplePos x="0" y="0"/>
                <wp:positionH relativeFrom="column">
                  <wp:posOffset>704486</wp:posOffset>
                </wp:positionH>
                <wp:positionV relativeFrom="paragraph">
                  <wp:posOffset>144019</wp:posOffset>
                </wp:positionV>
                <wp:extent cx="199959" cy="451683"/>
                <wp:effectExtent l="76200" t="0" r="67310" b="0"/>
                <wp:wrapNone/>
                <wp:docPr id="244" name="Forma7"/>
                <wp:cNvGraphicFramePr/>
                <a:graphic xmlns:a="http://schemas.openxmlformats.org/drawingml/2006/main">
                  <a:graphicData uri="http://schemas.microsoft.com/office/word/2010/wordprocessingShape">
                    <wps:wsp>
                      <wps:cNvSpPr/>
                      <wps:spPr>
                        <a:xfrm rot="2358376">
                          <a:off x="0" y="0"/>
                          <a:ext cx="199959" cy="451683"/>
                        </a:xfrm>
                        <a:custGeom>
                          <a:avLst/>
                          <a:gdLst/>
                          <a:ahLst/>
                          <a:cxnLst/>
                          <a:rect l="0" t="0" r="r" b="b"/>
                          <a:pathLst>
                            <a:path w="268" h="555">
                              <a:moveTo>
                                <a:pt x="67" y="0"/>
                              </a:moveTo>
                              <a:lnTo>
                                <a:pt x="67" y="414"/>
                              </a:lnTo>
                              <a:lnTo>
                                <a:pt x="0" y="414"/>
                              </a:lnTo>
                              <a:lnTo>
                                <a:pt x="134" y="554"/>
                              </a:lnTo>
                              <a:lnTo>
                                <a:pt x="267" y="414"/>
                              </a:lnTo>
                              <a:lnTo>
                                <a:pt x="201" y="414"/>
                              </a:lnTo>
                              <a:lnTo>
                                <a:pt x="201" y="0"/>
                              </a:lnTo>
                              <a:lnTo>
                                <a:pt x="67" y="0"/>
                              </a:lnTo>
                            </a:path>
                          </a:pathLst>
                        </a:custGeom>
                        <a:solidFill>
                          <a:srgbClr val="5B6770"/>
                        </a:solid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shape w14:anchorId="16AD7A3B" id="Forma7" o:spid="_x0000_s1026" style="position:absolute;margin-left:55.45pt;margin-top:11.35pt;width:15.75pt;height:35.55pt;rotation:2575975fd;z-index:25182105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coordsize="268,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XJ5GQIAAO4EAAAOAAAAZHJzL2Uyb0RvYy54bWysVNuO2yAQfa/Uf0C8N46vSaw4q7ar9KVq&#10;V9rtBxCMY0vcBGyc/H0HHLJpetmq6gsemOFw5syM13dHwdGBGTso2eB0NseISaraQe4b/O1p+26J&#10;kXVEtoQryRp8Yhbfbd6+WY+6ZpnqFW+ZQQAibT3qBvfO6TpJLO2ZIHamNJPg7JQRxMHW7JPWkBHQ&#10;BU+y+bxKRmVabRRl1sLp/eTEm4DfdYy6r11nmUO8wcDNhdWEdefXZLMm9d4Q3Q/0TIP8AwtBBgmP&#10;XqDuiSPo2Qw/QYmBGmVV52ZUiUR13UBZyAGySec32Tz2RLOQC4hj9UUm+/9g6ZfDg0FD2+CsKDCS&#10;RECRtl7uhddm1LaGkEf9YM47C6ZP9NgZgYwCQbO8XOaLKqQPCaFjUPd0UZcdHaJwmK5Wq3KFEQVX&#10;UabVMvcvJBOUh6TP1n1iSnibHD5bNxWnjRbpo0WPMpoGSnxbXIMRFHc3FVcT5+95UG+iERhX0JV9&#10;g8uyDKyFOrAnFSKcp18tMIr8gd+Lm8tfhBVpcU4kuuNXBzRoO5/xK1FpDvJDXFn+GS07k3sND9rp&#10;r96NcWEUINnIPX6nHG4UmZwQ7RUNNbyoDIfXdbSKD+124Nyra81+95EbdCAwjeWHarGIr/4QxmUI&#10;/u3NvKjK91Glq5uBvb/KwuBPHZL4Fp6a1ls71Z5CL4dzGKrA/vwD8FN7vQf7+je1+Q4AAP//AwBQ&#10;SwMEFAAGAAgAAAAhAIjEvHvhAAAACQEAAA8AAABkcnMvZG93bnJldi54bWxMj8FOwzAQRO9I/Qdr&#10;K3GjTkIFSYhTIRAHJNRCWyFxc+MlSWuvo9hpU74e9wTH0T7NvC0Wo9HsiL1rLQmIZxEwpMqqlmoB&#10;283LTQrMeUlKakso4IwOFuXkqpC5sif6wOPa1yyUkMulgMb7LufcVQ0a6Wa2Qwq3b9sb6UPsa656&#10;eQrlRvMkiu64kS2FhUZ2+NRgdVgPRsDr+3P2uXr7yparevmTxtoM570R4no6Pj4A8zj6Pxgu+kEd&#10;yuC0swMpx3TIcZQFVECS3AO7APNkDmwnILtNgZcF//9B+QsAAP//AwBQSwECLQAUAAYACAAAACEA&#10;toM4kv4AAADhAQAAEwAAAAAAAAAAAAAAAAAAAAAAW0NvbnRlbnRfVHlwZXNdLnhtbFBLAQItABQA&#10;BgAIAAAAIQA4/SH/1gAAAJQBAAALAAAAAAAAAAAAAAAAAC8BAABfcmVscy8ucmVsc1BLAQItABQA&#10;BgAIAAAAIQAx8XJ5GQIAAO4EAAAOAAAAAAAAAAAAAAAAAC4CAABkcnMvZTJvRG9jLnhtbFBLAQIt&#10;ABQABgAIAAAAIQCIxLx74QAAAAkBAAAPAAAAAAAAAAAAAAAAAHMEAABkcnMvZG93bnJldi54bWxQ&#10;SwUGAAAAAAQABADzAAAAgQUAAAAA&#10;" path="m67,r,414l,414,134,554,267,414r-66,l201,,67,e" fillcolor="#5b6770" strokecolor="#3465a4">
                <v:path arrowok="t"/>
              </v:shape>
            </w:pict>
          </mc:Fallback>
        </mc:AlternateContent>
      </w:r>
      <w:r w:rsidR="00BB7F2B" w:rsidRPr="00A07BE9">
        <w:rPr>
          <w:rFonts w:ascii="Open Sans" w:eastAsia="NSimSun" w:hAnsi="Open Sans" w:cs="Arial"/>
          <w:noProof/>
          <w:kern w:val="2"/>
          <w:sz w:val="20"/>
          <w:szCs w:val="20"/>
          <w:lang w:eastAsia="es-ES"/>
        </w:rPr>
        <mc:AlternateContent>
          <mc:Choice Requires="wps">
            <w:drawing>
              <wp:anchor distT="0" distB="0" distL="0" distR="0" simplePos="0" relativeHeight="251819008" behindDoc="0" locked="0" layoutInCell="1" allowOverlap="1" wp14:anchorId="22506D0F" wp14:editId="67C766BD">
                <wp:simplePos x="0" y="0"/>
                <wp:positionH relativeFrom="column">
                  <wp:posOffset>3987165</wp:posOffset>
                </wp:positionH>
                <wp:positionV relativeFrom="paragraph">
                  <wp:posOffset>563245</wp:posOffset>
                </wp:positionV>
                <wp:extent cx="1800225" cy="952500"/>
                <wp:effectExtent l="0" t="0" r="28575" b="19050"/>
                <wp:wrapNone/>
                <wp:docPr id="246" name="Forma1"/>
                <wp:cNvGraphicFramePr/>
                <a:graphic xmlns:a="http://schemas.openxmlformats.org/drawingml/2006/main">
                  <a:graphicData uri="http://schemas.microsoft.com/office/word/2010/wordprocessingShape">
                    <wps:wsp>
                      <wps:cNvSpPr/>
                      <wps:spPr>
                        <a:xfrm>
                          <a:off x="0" y="0"/>
                          <a:ext cx="1800225" cy="952500"/>
                        </a:xfrm>
                        <a:custGeom>
                          <a:avLst/>
                          <a:gdLst/>
                          <a:ahLst/>
                          <a:cxnLst/>
                          <a:rect l="0" t="0" r="r" b="b"/>
                          <a:pathLst>
                            <a:path w="3020" h="1521">
                              <a:moveTo>
                                <a:pt x="253" y="0"/>
                              </a:moveTo>
                              <a:lnTo>
                                <a:pt x="253" y="0"/>
                              </a:lnTo>
                              <a:cubicBezTo>
                                <a:pt x="209" y="0"/>
                                <a:pt x="165" y="12"/>
                                <a:pt x="127" y="34"/>
                              </a:cubicBezTo>
                              <a:cubicBezTo>
                                <a:pt x="88" y="56"/>
                                <a:pt x="56" y="88"/>
                                <a:pt x="34" y="127"/>
                              </a:cubicBezTo>
                              <a:cubicBezTo>
                                <a:pt x="12" y="165"/>
                                <a:pt x="0" y="209"/>
                                <a:pt x="0" y="253"/>
                              </a:cubicBezTo>
                              <a:lnTo>
                                <a:pt x="0" y="1266"/>
                              </a:lnTo>
                              <a:lnTo>
                                <a:pt x="0" y="1267"/>
                              </a:lnTo>
                              <a:cubicBezTo>
                                <a:pt x="0" y="1311"/>
                                <a:pt x="12" y="1355"/>
                                <a:pt x="34" y="1393"/>
                              </a:cubicBezTo>
                              <a:cubicBezTo>
                                <a:pt x="56" y="1432"/>
                                <a:pt x="88" y="1464"/>
                                <a:pt x="127" y="1486"/>
                              </a:cubicBezTo>
                              <a:cubicBezTo>
                                <a:pt x="165" y="1508"/>
                                <a:pt x="209" y="1520"/>
                                <a:pt x="253" y="1520"/>
                              </a:cubicBezTo>
                              <a:lnTo>
                                <a:pt x="2765" y="1520"/>
                              </a:lnTo>
                              <a:lnTo>
                                <a:pt x="2766" y="1520"/>
                              </a:lnTo>
                              <a:cubicBezTo>
                                <a:pt x="2810" y="1520"/>
                                <a:pt x="2854" y="1508"/>
                                <a:pt x="2892" y="1486"/>
                              </a:cubicBezTo>
                              <a:cubicBezTo>
                                <a:pt x="2931" y="1464"/>
                                <a:pt x="2963" y="1432"/>
                                <a:pt x="2985" y="1393"/>
                              </a:cubicBezTo>
                              <a:cubicBezTo>
                                <a:pt x="3007" y="1355"/>
                                <a:pt x="3019" y="1311"/>
                                <a:pt x="3019" y="1267"/>
                              </a:cubicBezTo>
                              <a:lnTo>
                                <a:pt x="3018" y="253"/>
                              </a:lnTo>
                              <a:lnTo>
                                <a:pt x="3019" y="253"/>
                              </a:lnTo>
                              <a:lnTo>
                                <a:pt x="3019" y="253"/>
                              </a:lnTo>
                              <a:cubicBezTo>
                                <a:pt x="3019" y="209"/>
                                <a:pt x="3007" y="165"/>
                                <a:pt x="2985" y="127"/>
                              </a:cubicBezTo>
                              <a:cubicBezTo>
                                <a:pt x="2963" y="88"/>
                                <a:pt x="2931" y="56"/>
                                <a:pt x="2892" y="34"/>
                              </a:cubicBezTo>
                              <a:cubicBezTo>
                                <a:pt x="2854" y="12"/>
                                <a:pt x="2810" y="0"/>
                                <a:pt x="2766" y="0"/>
                              </a:cubicBezTo>
                              <a:lnTo>
                                <a:pt x="253" y="0"/>
                              </a:lnTo>
                            </a:path>
                          </a:pathLst>
                        </a:custGeom>
                        <a:solidFill>
                          <a:srgbClr val="FFA6A6"/>
                        </a:solidFill>
                        <a:ln>
                          <a:solidFill>
                            <a:srgbClr val="3465A4"/>
                          </a:solidFill>
                        </a:ln>
                        <a:effectLst/>
                      </wps:spPr>
                      <wps:txbx>
                        <w:txbxContent>
                          <w:p w14:paraId="27D9235B" w14:textId="77777777" w:rsidR="000F0D13" w:rsidRPr="00AC2ACC" w:rsidRDefault="000F0D13" w:rsidP="00BF5F8C">
                            <w:pPr>
                              <w:spacing w:after="0"/>
                              <w:jc w:val="center"/>
                              <w:rPr>
                                <w:rFonts w:ascii="Open Sans" w:hAnsi="Open Sans" w:cs="Open Sans"/>
                              </w:rPr>
                            </w:pPr>
                            <w:r w:rsidRPr="00AC2ACC">
                              <w:rPr>
                                <w:rFonts w:ascii="Open Sans" w:hAnsi="Open Sans" w:cs="Open Sans"/>
                                <w:sz w:val="16"/>
                                <w:szCs w:val="16"/>
                              </w:rPr>
                              <w:t>Si de las actuaciones se detectan</w:t>
                            </w:r>
                          </w:p>
                          <w:p w14:paraId="502E11BB" w14:textId="77777777" w:rsidR="000F0D13" w:rsidRPr="00AC2ACC" w:rsidRDefault="000F0D13" w:rsidP="006F5661">
                            <w:pPr>
                              <w:spacing w:after="0"/>
                              <w:jc w:val="center"/>
                              <w:rPr>
                                <w:rFonts w:ascii="Open Sans" w:hAnsi="Open Sans" w:cs="Open Sans"/>
                              </w:rPr>
                            </w:pPr>
                            <w:r w:rsidRPr="00AC2ACC">
                              <w:rPr>
                                <w:rFonts w:ascii="Open Sans" w:hAnsi="Open Sans" w:cs="Open Sans"/>
                                <w:sz w:val="16"/>
                                <w:szCs w:val="16"/>
                              </w:rPr>
                              <w:t>indicios de fraude o corrupción</w:t>
                            </w:r>
                          </w:p>
                          <w:p w14:paraId="126B0B34" w14:textId="77777777" w:rsidR="000F0D13" w:rsidRPr="00AC2ACC" w:rsidRDefault="000F0D13" w:rsidP="006F5661">
                            <w:pPr>
                              <w:spacing w:after="0"/>
                              <w:jc w:val="center"/>
                              <w:rPr>
                                <w:rFonts w:ascii="Open Sans" w:hAnsi="Open Sans" w:cs="Open Sans"/>
                              </w:rPr>
                            </w:pPr>
                            <w:r w:rsidRPr="00AC2ACC">
                              <w:rPr>
                                <w:rFonts w:ascii="Open Sans" w:hAnsi="Open Sans" w:cs="Open Sans"/>
                                <w:sz w:val="16"/>
                                <w:szCs w:val="16"/>
                              </w:rPr>
                              <w:t>se procede a la</w:t>
                            </w:r>
                          </w:p>
                          <w:p w14:paraId="2E4312A2" w14:textId="77777777" w:rsidR="000F0D13" w:rsidRPr="00AC2ACC" w:rsidRDefault="000F0D13" w:rsidP="006F5661">
                            <w:pPr>
                              <w:spacing w:after="0"/>
                              <w:jc w:val="center"/>
                              <w:rPr>
                                <w:rFonts w:ascii="Open Sans" w:hAnsi="Open Sans" w:cs="Open Sans"/>
                              </w:rPr>
                            </w:pPr>
                            <w:r w:rsidRPr="00AC2ACC">
                              <w:rPr>
                                <w:rFonts w:ascii="Open Sans" w:hAnsi="Open Sans" w:cs="Open Sans"/>
                                <w:b/>
                                <w:bCs/>
                                <w:sz w:val="16"/>
                                <w:szCs w:val="16"/>
                                <w:u w:val="single"/>
                              </w:rPr>
                              <w:t>INICIACIÓN DE LA INVESTIGACIÓN</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22506D0F" id="_x0000_s1050" style="position:absolute;margin-left:313.95pt;margin-top:44.35pt;width:141.75pt;height:75pt;z-index:25181900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3020,15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SPhYgMAACYKAAAOAAAAZHJzL2Uyb0RvYy54bWysVtuOmzAQfa/Uf0C8dwETCIk2WaWtUlWq&#10;2pV2+wGOMQEJMLWdy/brO7YxxGxa7bZ9AV/GxzNnbr69Oze1d6RcVKxd+dFN6Hu0JSyv2v3K//64&#10;fZf5npC4zXHNWrryn6jw79Zv39yeuiVFrGR1TrkHIK1YnrqVX0rZLYNAkJI2WNywjrawWTDeYAlT&#10;vg9yjk+A3tQBCsM0ODGed5wRKgSsfjSb/lrjFwUl8ltRCCq9euWDblJ/uf7u1DdY3+LlnuOurEiv&#10;Bv4LLRpctXDpAPURS+wdePUMqqkIZ4IV8oawJmBFURGqbQBronBizUOJO6ptAXJEN9Ak/h8s+Xp8&#10;6O450HDqxFLAUFlxLnij/qCfd9ZkPQ1k0bP0CCxGWRgilPgegb1FgpJQsxmMp8lByE+UaSR8/CKk&#10;ITu3I1zaETm3dsjBZVNncd8DZ+2Mszos1Tmlnhp6p5Ufhwh8W4JOCYq0Gxp2pI9My0hlAUpi37M2&#10;gIrjft3+Sc7uksOuIu/pT0c2XIyYoIy+KEqBEbgoQr22ZhXN9Wo8U6twv4vnzgxQBokDOEl6iQMz&#10;tQh7mkojCaDmxvmLwUE7fQSUvQACDgEcgVnPF4G/a5pbfowmBiBCqVYazLTb9j8Rswrb7Ws89Jhx&#10;FF1qZQ2IE8cCS0W8uK7utQt6TqNZ7Lis5z+apdpng397T0azzBrpgrozY/AQFEnoeE5Rrf2QQPxe&#10;cG6jFcLZ5pQLawkz8Ghug26UtxL2P0iaCLpAthLuDb18FvX8TzXMkj7qpiZliz62XkMQWsSRYWJC&#10;N1qkJnGn7kGLrE+01/g6DkOTiNE0cMKod8Uk0OJhA6U2XF2mLH+GMZA3iat8aDLGCtj/IGhu/AdB&#10;V5EprpvHo+lu0o9EQmRfS/FrlwxucSvR4Ea3aiEbE68of2gIMCcrkQ1IN1/mUHFUIr0oWyatwLgF&#10;ipXqJro4Dx1GF+qxhwlWV/m2qmvVVwTf7z7U3DtieFlst5t0Y+uBI1a3Wvi3J+NZmmxsV7g4qYun&#10;Okr1I8Z0x2Ds0Wokz7uzV+VQsjWAWtqx/Omeeyd40Kx88eOAOfW9+nMLLwZIZGkH3A52doBbUjJ4&#10;FxHJdQNt2eYgWVGpnq2vNcj9BB4jmqn+4aReO5dzLTU+79a/AAAA//8DAFBLAwQUAAYACAAAACEA&#10;kM4uiOAAAAAKAQAADwAAAGRycy9kb3ducmV2LnhtbEyPTU+DQBCG7yb+h82YeDF2+WgKRYZGa3qw&#10;N1HjdQsroOwsYZeC/97xpMeZefLO8+a7xfTirEfXWUIIVwEITZWtO2oQXl8OtykI5xXVqrekEb61&#10;g11xeZGrrLYzPetz6RvBIeQyhdB6P2RSuqrVRrmVHTTx7cOORnkex0bWo5o53PQyCoKNNKoj/tCq&#10;Qe9bXX2Vk0F4uEnejvv3Mqan6fPwWE4UrucY8fpqub8D4fXi/2D41Wd1KNjpZCeqnegRNlGyZRQh&#10;TRMQDGzDcA3ihBDFvJFFLv9XKH4AAAD//wMAUEsBAi0AFAAGAAgAAAAhALaDOJL+AAAA4QEAABMA&#10;AAAAAAAAAAAAAAAAAAAAAFtDb250ZW50X1R5cGVzXS54bWxQSwECLQAUAAYACAAAACEAOP0h/9YA&#10;AACUAQAACwAAAAAAAAAAAAAAAAAvAQAAX3JlbHMvLnJlbHNQSwECLQAUAAYACAAAACEAcREj4WID&#10;AAAmCgAADgAAAAAAAAAAAAAAAAAuAgAAZHJzL2Uyb0RvYy54bWxQSwECLQAUAAYACAAAACEAkM4u&#10;iOAAAAAKAQAADwAAAAAAAAAAAAAAAAC8BQAAZHJzL2Rvd25yZXYueG1sUEsFBgAAAAAEAAQA8wAA&#10;AMkGAAAAAA==&#10;" adj="-11796480,,5400" path="m253,r,c209,,165,12,127,34,88,56,56,88,34,127,12,165,,209,,253l,1266r,1c,1311,12,1355,34,1393v22,39,54,71,93,93c165,1508,209,1520,253,1520r2512,l2766,1520v44,,88,-12,126,-34c2931,1464,2963,1432,2985,1393v22,-38,34,-82,34,-126l3018,253r1,l3019,253v,-44,-12,-88,-34,-126c2963,88,2931,56,2892,34,2854,12,2810,,2766,l253,e" fillcolor="#ffa6a6" strokecolor="#3465a4">
                <v:stroke joinstyle="miter"/>
                <v:formulas/>
                <v:path arrowok="t" o:connecttype="custom" textboxrect="0,0,3020,1521"/>
                <v:textbox inset="0,0,0,0">
                  <w:txbxContent>
                    <w:p w14:paraId="27D9235B" w14:textId="77777777" w:rsidR="000F0D13" w:rsidRPr="00AC2ACC" w:rsidRDefault="000F0D13" w:rsidP="00BF5F8C">
                      <w:pPr>
                        <w:spacing w:after="0"/>
                        <w:jc w:val="center"/>
                        <w:rPr>
                          <w:rFonts w:ascii="Open Sans" w:hAnsi="Open Sans" w:cs="Open Sans"/>
                        </w:rPr>
                      </w:pPr>
                      <w:r w:rsidRPr="00AC2ACC">
                        <w:rPr>
                          <w:rFonts w:ascii="Open Sans" w:hAnsi="Open Sans" w:cs="Open Sans"/>
                          <w:sz w:val="16"/>
                          <w:szCs w:val="16"/>
                        </w:rPr>
                        <w:t>Si de las actuaciones se detectan</w:t>
                      </w:r>
                    </w:p>
                    <w:p w14:paraId="502E11BB" w14:textId="77777777" w:rsidR="000F0D13" w:rsidRPr="00AC2ACC" w:rsidRDefault="000F0D13" w:rsidP="006F5661">
                      <w:pPr>
                        <w:spacing w:after="0"/>
                        <w:jc w:val="center"/>
                        <w:rPr>
                          <w:rFonts w:ascii="Open Sans" w:hAnsi="Open Sans" w:cs="Open Sans"/>
                        </w:rPr>
                      </w:pPr>
                      <w:r w:rsidRPr="00AC2ACC">
                        <w:rPr>
                          <w:rFonts w:ascii="Open Sans" w:hAnsi="Open Sans" w:cs="Open Sans"/>
                          <w:sz w:val="16"/>
                          <w:szCs w:val="16"/>
                        </w:rPr>
                        <w:t>indicios de fraude o corrupción</w:t>
                      </w:r>
                    </w:p>
                    <w:p w14:paraId="126B0B34" w14:textId="77777777" w:rsidR="000F0D13" w:rsidRPr="00AC2ACC" w:rsidRDefault="000F0D13" w:rsidP="006F5661">
                      <w:pPr>
                        <w:spacing w:after="0"/>
                        <w:jc w:val="center"/>
                        <w:rPr>
                          <w:rFonts w:ascii="Open Sans" w:hAnsi="Open Sans" w:cs="Open Sans"/>
                        </w:rPr>
                      </w:pPr>
                      <w:r w:rsidRPr="00AC2ACC">
                        <w:rPr>
                          <w:rFonts w:ascii="Open Sans" w:hAnsi="Open Sans" w:cs="Open Sans"/>
                          <w:sz w:val="16"/>
                          <w:szCs w:val="16"/>
                        </w:rPr>
                        <w:t>se procede a la</w:t>
                      </w:r>
                    </w:p>
                    <w:p w14:paraId="2E4312A2" w14:textId="77777777" w:rsidR="000F0D13" w:rsidRPr="00AC2ACC" w:rsidRDefault="000F0D13" w:rsidP="006F5661">
                      <w:pPr>
                        <w:spacing w:after="0"/>
                        <w:jc w:val="center"/>
                        <w:rPr>
                          <w:rFonts w:ascii="Open Sans" w:hAnsi="Open Sans" w:cs="Open Sans"/>
                        </w:rPr>
                      </w:pPr>
                      <w:r w:rsidRPr="00AC2ACC">
                        <w:rPr>
                          <w:rFonts w:ascii="Open Sans" w:hAnsi="Open Sans" w:cs="Open Sans"/>
                          <w:b/>
                          <w:bCs/>
                          <w:sz w:val="16"/>
                          <w:szCs w:val="16"/>
                          <w:u w:val="single"/>
                        </w:rPr>
                        <w:t>INICIACIÓN DE LA INVESTIGACIÓN</w:t>
                      </w:r>
                    </w:p>
                  </w:txbxContent>
                </v:textbox>
              </v:shape>
            </w:pict>
          </mc:Fallback>
        </mc:AlternateContent>
      </w:r>
      <w:r w:rsidR="00BF5F8C" w:rsidRPr="00A07BE9">
        <w:rPr>
          <w:rFonts w:ascii="Open Sans" w:eastAsia="NSimSun" w:hAnsi="Open Sans" w:cs="Arial"/>
          <w:noProof/>
          <w:kern w:val="2"/>
          <w:sz w:val="24"/>
          <w:szCs w:val="24"/>
          <w:lang w:eastAsia="es-ES"/>
        </w:rPr>
        <mc:AlternateContent>
          <mc:Choice Requires="wps">
            <w:drawing>
              <wp:anchor distT="0" distB="0" distL="0" distR="0" simplePos="0" relativeHeight="251820032" behindDoc="0" locked="0" layoutInCell="1" allowOverlap="1" wp14:anchorId="445FFA1B" wp14:editId="24CAA329">
                <wp:simplePos x="0" y="0"/>
                <wp:positionH relativeFrom="margin">
                  <wp:posOffset>2625090</wp:posOffset>
                </wp:positionH>
                <wp:positionV relativeFrom="paragraph">
                  <wp:posOffset>237490</wp:posOffset>
                </wp:positionV>
                <wp:extent cx="247650" cy="357169"/>
                <wp:effectExtent l="0" t="0" r="19050" b="24130"/>
                <wp:wrapNone/>
                <wp:docPr id="243" name="Forma7"/>
                <wp:cNvGraphicFramePr/>
                <a:graphic xmlns:a="http://schemas.openxmlformats.org/drawingml/2006/main">
                  <a:graphicData uri="http://schemas.microsoft.com/office/word/2010/wordprocessingShape">
                    <wps:wsp>
                      <wps:cNvSpPr/>
                      <wps:spPr>
                        <a:xfrm>
                          <a:off x="0" y="0"/>
                          <a:ext cx="247650" cy="357169"/>
                        </a:xfrm>
                        <a:custGeom>
                          <a:avLst/>
                          <a:gdLst/>
                          <a:ahLst/>
                          <a:cxnLst/>
                          <a:rect l="0" t="0" r="r" b="b"/>
                          <a:pathLst>
                            <a:path w="269" h="411">
                              <a:moveTo>
                                <a:pt x="67" y="0"/>
                              </a:moveTo>
                              <a:lnTo>
                                <a:pt x="67" y="307"/>
                              </a:lnTo>
                              <a:lnTo>
                                <a:pt x="0" y="307"/>
                              </a:lnTo>
                              <a:lnTo>
                                <a:pt x="134" y="410"/>
                              </a:lnTo>
                              <a:lnTo>
                                <a:pt x="268" y="307"/>
                              </a:lnTo>
                              <a:lnTo>
                                <a:pt x="201" y="307"/>
                              </a:lnTo>
                              <a:lnTo>
                                <a:pt x="201" y="0"/>
                              </a:lnTo>
                              <a:lnTo>
                                <a:pt x="67" y="0"/>
                              </a:lnTo>
                            </a:path>
                          </a:pathLst>
                        </a:custGeom>
                        <a:solidFill>
                          <a:srgbClr val="5B6770"/>
                        </a:solid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shape w14:anchorId="3F56A237" id="Forma7" o:spid="_x0000_s1026" style="position:absolute;margin-left:206.7pt;margin-top:18.7pt;width:19.5pt;height:28.1pt;z-index:251820032;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coordsize="26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FThCAIAAOAEAAAOAAAAZHJzL2Uyb0RvYy54bWysVNuO2yAQfa/Uf0C8N77G3lpxVm1X6UvV&#10;rrTbDyAYx0gYELC28/cdcJxN025v6gseYOZw5syMN7dTL9DAjOVK1jhZxRgxSVXD5aHGXx93b24w&#10;so7IhgglWY2PzOLb7etXm1FXLFWdEg0zCECkrUZd4845XUWRpR3riV0pzSRctsr0xMHWHKLGkBHQ&#10;exGlcVxEozKNNooya+H0br7E24Dftoy6L21rmUOixsDNhdWEde/XaLsh1cEQ3XF6okH+gUVPuIRH&#10;z1B3xBH0ZPgPUD2nRlnVuhVVfaTallMWcoBskvgqm4eOaBZyAXGsPstk/x8s/TzcG8SbGqd5hpEk&#10;PRRp5+UuvTajthW4POh7c9pZMH2iU2t6/4UU0BT0PJ71ZJNDFA7TvCzWoDqFq2xdJsVbjxk9B9Mn&#10;6z4yFYDI8Mm6uRzNYpFusegkF9NAUa/LaTCCcu7ncmrifJxn5000AhN4GnU1zpMklKlXA3tUwcN5&#10;+kWJ0cIf+D1fC/kTtywO4oDjcr18dUCDlH3Gv/FKsjz45UlowxfR0gJm6A/woIH+yu/Xr14pMicI&#10;HL2ioYZnleHwso5WCd7suBBeXWsO+w/CoIHA/K3fF2W5vPqdm5DB+cXILC/W7/JT81xEBs18KAuj&#10;PndI5Jt2blNv7VVzDN0bzmGMAvvTyPs5vdyDfflj2n4DAAD//wMAUEsDBBQABgAIAAAAIQBsZhcW&#10;3gAAAAkBAAAPAAAAZHJzL2Rvd25yZXYueG1sTI/BTsMwDIbvSLxDZCRuLN1atq40nRDbxGlIG2jn&#10;tDFtReNUTbaWt8ec4GRb/vT7c76ZbCeuOPjWkYL5LAKBVDnTUq3g433/kILwQZPRnSNU8I0eNsXt&#10;Ta4z40Y64vUUasEh5DOtoAmhz6T0VYNW+5nrkXj36QarA49DLc2gRw63nVxE0VJa3RJfaHSPLw1W&#10;X6eLVbDevW7T82HEbbqbsBn3ZX18Wyl1fzc9P4EIOIU/GH71WR0KdirdhYwXnYJkHieMKohXXBlI&#10;HhfclJweL0EWufz/QfEDAAD//wMAUEsBAi0AFAAGAAgAAAAhALaDOJL+AAAA4QEAABMAAAAAAAAA&#10;AAAAAAAAAAAAAFtDb250ZW50X1R5cGVzXS54bWxQSwECLQAUAAYACAAAACEAOP0h/9YAAACUAQAA&#10;CwAAAAAAAAAAAAAAAAAvAQAAX3JlbHMvLnJlbHNQSwECLQAUAAYACAAAACEAKPBU4QgCAADgBAAA&#10;DgAAAAAAAAAAAAAAAAAuAgAAZHJzL2Uyb0RvYy54bWxQSwECLQAUAAYACAAAACEAbGYXFt4AAAAJ&#10;AQAADwAAAAAAAAAAAAAAAABiBAAAZHJzL2Rvd25yZXYueG1sUEsFBgAAAAAEAAQA8wAAAG0FAAAA&#10;AA==&#10;" path="m67,r,307l,307,134,410,268,307r-67,l201,,67,e" fillcolor="#5b6770" strokecolor="#3465a4">
                <v:path arrowok="t"/>
                <w10:wrap anchorx="margin"/>
              </v:shape>
            </w:pict>
          </mc:Fallback>
        </mc:AlternateContent>
      </w:r>
      <w:r w:rsidR="00BF5F8C" w:rsidRPr="00A07BE9">
        <w:rPr>
          <w:rFonts w:ascii="Open Sans" w:eastAsia="NSimSun" w:hAnsi="Open Sans" w:cs="Arial"/>
          <w:noProof/>
          <w:kern w:val="2"/>
          <w:sz w:val="20"/>
          <w:szCs w:val="20"/>
          <w:lang w:eastAsia="es-ES"/>
        </w:rPr>
        <mc:AlternateContent>
          <mc:Choice Requires="wps">
            <w:drawing>
              <wp:anchor distT="0" distB="0" distL="0" distR="0" simplePos="0" relativeHeight="251817984" behindDoc="0" locked="0" layoutInCell="1" allowOverlap="1" wp14:anchorId="7D9B81E3" wp14:editId="78F1B186">
                <wp:simplePos x="0" y="0"/>
                <wp:positionH relativeFrom="margin">
                  <wp:posOffset>1814195</wp:posOffset>
                </wp:positionH>
                <wp:positionV relativeFrom="paragraph">
                  <wp:posOffset>563245</wp:posOffset>
                </wp:positionV>
                <wp:extent cx="2057400" cy="1438275"/>
                <wp:effectExtent l="0" t="0" r="19050" b="28575"/>
                <wp:wrapNone/>
                <wp:docPr id="245" name="Forma1"/>
                <wp:cNvGraphicFramePr/>
                <a:graphic xmlns:a="http://schemas.openxmlformats.org/drawingml/2006/main">
                  <a:graphicData uri="http://schemas.microsoft.com/office/word/2010/wordprocessingShape">
                    <wps:wsp>
                      <wps:cNvSpPr/>
                      <wps:spPr>
                        <a:xfrm>
                          <a:off x="0" y="0"/>
                          <a:ext cx="2057400" cy="1438275"/>
                        </a:xfrm>
                        <a:custGeom>
                          <a:avLst/>
                          <a:gdLst/>
                          <a:ahLst/>
                          <a:cxnLst/>
                          <a:rect l="0" t="0" r="r" b="b"/>
                          <a:pathLst>
                            <a:path w="3020" h="2660">
                              <a:moveTo>
                                <a:pt x="443" y="0"/>
                              </a:moveTo>
                              <a:lnTo>
                                <a:pt x="443" y="0"/>
                              </a:lnTo>
                              <a:cubicBezTo>
                                <a:pt x="365" y="0"/>
                                <a:pt x="289" y="20"/>
                                <a:pt x="222" y="59"/>
                              </a:cubicBezTo>
                              <a:cubicBezTo>
                                <a:pt x="154" y="98"/>
                                <a:pt x="98" y="154"/>
                                <a:pt x="59" y="222"/>
                              </a:cubicBezTo>
                              <a:cubicBezTo>
                                <a:pt x="20" y="289"/>
                                <a:pt x="0" y="365"/>
                                <a:pt x="0" y="443"/>
                              </a:cubicBezTo>
                              <a:lnTo>
                                <a:pt x="0" y="2215"/>
                              </a:lnTo>
                              <a:lnTo>
                                <a:pt x="0" y="2216"/>
                              </a:lnTo>
                              <a:cubicBezTo>
                                <a:pt x="0" y="2294"/>
                                <a:pt x="20" y="2370"/>
                                <a:pt x="59" y="2437"/>
                              </a:cubicBezTo>
                              <a:cubicBezTo>
                                <a:pt x="98" y="2505"/>
                                <a:pt x="154" y="2561"/>
                                <a:pt x="222" y="2600"/>
                              </a:cubicBezTo>
                              <a:cubicBezTo>
                                <a:pt x="289" y="2639"/>
                                <a:pt x="365" y="2659"/>
                                <a:pt x="443" y="2659"/>
                              </a:cubicBezTo>
                              <a:lnTo>
                                <a:pt x="2575" y="2659"/>
                              </a:lnTo>
                              <a:lnTo>
                                <a:pt x="2576" y="2659"/>
                              </a:lnTo>
                              <a:cubicBezTo>
                                <a:pt x="2654" y="2659"/>
                                <a:pt x="2730" y="2639"/>
                                <a:pt x="2797" y="2600"/>
                              </a:cubicBezTo>
                              <a:cubicBezTo>
                                <a:pt x="2865" y="2561"/>
                                <a:pt x="2921" y="2505"/>
                                <a:pt x="2960" y="2437"/>
                              </a:cubicBezTo>
                              <a:cubicBezTo>
                                <a:pt x="2999" y="2370"/>
                                <a:pt x="3019" y="2294"/>
                                <a:pt x="3019" y="2216"/>
                              </a:cubicBezTo>
                              <a:lnTo>
                                <a:pt x="3019" y="443"/>
                              </a:lnTo>
                              <a:lnTo>
                                <a:pt x="3019" y="443"/>
                              </a:lnTo>
                              <a:lnTo>
                                <a:pt x="3019" y="443"/>
                              </a:lnTo>
                              <a:cubicBezTo>
                                <a:pt x="3019" y="365"/>
                                <a:pt x="2999" y="289"/>
                                <a:pt x="2960" y="222"/>
                              </a:cubicBezTo>
                              <a:cubicBezTo>
                                <a:pt x="2921" y="154"/>
                                <a:pt x="2865" y="98"/>
                                <a:pt x="2797" y="59"/>
                              </a:cubicBezTo>
                              <a:cubicBezTo>
                                <a:pt x="2730" y="20"/>
                                <a:pt x="2654" y="0"/>
                                <a:pt x="2576" y="0"/>
                              </a:cubicBezTo>
                              <a:lnTo>
                                <a:pt x="443" y="0"/>
                              </a:lnTo>
                            </a:path>
                          </a:pathLst>
                        </a:custGeom>
                        <a:solidFill>
                          <a:srgbClr val="FFA6A6"/>
                        </a:solidFill>
                        <a:ln>
                          <a:solidFill>
                            <a:srgbClr val="3465A4"/>
                          </a:solidFill>
                        </a:ln>
                        <a:effectLst/>
                      </wps:spPr>
                      <wps:txbx>
                        <w:txbxContent>
                          <w:p w14:paraId="16375D02" w14:textId="77777777" w:rsidR="000F0D13" w:rsidRPr="006F5661" w:rsidRDefault="000F0D13" w:rsidP="006F5661">
                            <w:pPr>
                              <w:spacing w:after="0"/>
                              <w:jc w:val="center"/>
                              <w:rPr>
                                <w:rFonts w:ascii="Open Sans" w:hAnsi="Open Sans" w:cs="Open Sans"/>
                              </w:rPr>
                            </w:pPr>
                            <w:r w:rsidRPr="006F5661">
                              <w:rPr>
                                <w:rFonts w:ascii="Open Sans" w:hAnsi="Open Sans" w:cs="Open Sans"/>
                                <w:sz w:val="16"/>
                                <w:szCs w:val="16"/>
                              </w:rPr>
                              <w:t>Si de las actuaciones se detectan</w:t>
                            </w:r>
                          </w:p>
                          <w:p w14:paraId="64F7E479" w14:textId="77777777" w:rsidR="000F0D13" w:rsidRPr="006F5661" w:rsidRDefault="000F0D13" w:rsidP="006F5661">
                            <w:pPr>
                              <w:spacing w:after="0"/>
                              <w:jc w:val="center"/>
                              <w:rPr>
                                <w:rFonts w:ascii="Open Sans" w:hAnsi="Open Sans" w:cs="Open Sans"/>
                              </w:rPr>
                            </w:pPr>
                            <w:r w:rsidRPr="006F5661">
                              <w:rPr>
                                <w:rFonts w:ascii="Open Sans" w:hAnsi="Open Sans" w:cs="Open Sans"/>
                                <w:sz w:val="16"/>
                                <w:szCs w:val="16"/>
                              </w:rPr>
                              <w:t>indicios de mala praxis, PERO</w:t>
                            </w:r>
                          </w:p>
                          <w:p w14:paraId="1504F27E" w14:textId="77777777" w:rsidR="000F0D13" w:rsidRPr="006F5661" w:rsidRDefault="000F0D13" w:rsidP="006F5661">
                            <w:pPr>
                              <w:spacing w:after="0"/>
                              <w:jc w:val="center"/>
                              <w:rPr>
                                <w:rFonts w:ascii="Open Sans" w:hAnsi="Open Sans" w:cs="Open Sans"/>
                              </w:rPr>
                            </w:pPr>
                            <w:r w:rsidRPr="006F5661">
                              <w:rPr>
                                <w:rFonts w:ascii="Open Sans" w:hAnsi="Open Sans" w:cs="Open Sans"/>
                                <w:sz w:val="16"/>
                                <w:szCs w:val="16"/>
                              </w:rPr>
                              <w:t>no constitutivos de fraude o corrupción</w:t>
                            </w:r>
                          </w:p>
                          <w:p w14:paraId="79D77AE6" w14:textId="77777777" w:rsidR="000F0D13" w:rsidRPr="006F5661" w:rsidRDefault="000F0D13" w:rsidP="006F5661">
                            <w:pPr>
                              <w:spacing w:after="0"/>
                              <w:jc w:val="center"/>
                              <w:rPr>
                                <w:rFonts w:ascii="Open Sans" w:hAnsi="Open Sans" w:cs="Open Sans"/>
                              </w:rPr>
                            </w:pPr>
                            <w:r w:rsidRPr="006F5661">
                              <w:rPr>
                                <w:rFonts w:ascii="Open Sans" w:hAnsi="Open Sans" w:cs="Open Sans"/>
                                <w:sz w:val="16"/>
                                <w:szCs w:val="16"/>
                              </w:rPr>
                              <w:t>se procede a la</w:t>
                            </w:r>
                          </w:p>
                          <w:p w14:paraId="41A49AAE" w14:textId="5201C447" w:rsidR="000F0D13" w:rsidRPr="006F5661" w:rsidRDefault="000F0D13" w:rsidP="006F5661">
                            <w:pPr>
                              <w:spacing w:after="0"/>
                              <w:jc w:val="center"/>
                              <w:rPr>
                                <w:rFonts w:ascii="Open Sans" w:hAnsi="Open Sans" w:cs="Open Sans"/>
                              </w:rPr>
                            </w:pPr>
                            <w:r w:rsidRPr="006F5661">
                              <w:rPr>
                                <w:rFonts w:ascii="Open Sans" w:hAnsi="Open Sans" w:cs="Open Sans"/>
                                <w:b/>
                                <w:bCs/>
                                <w:sz w:val="16"/>
                                <w:szCs w:val="16"/>
                                <w:u w:val="single"/>
                              </w:rPr>
                              <w:t>FINALIZACIÓN Y ARCHIVO DE LAS ACTUACIONES</w:t>
                            </w:r>
                          </w:p>
                          <w:p w14:paraId="3755301E" w14:textId="5D285FEC" w:rsidR="000F0D13" w:rsidRPr="006F5661" w:rsidRDefault="000F0D13" w:rsidP="006F5661">
                            <w:pPr>
                              <w:spacing w:after="0"/>
                              <w:jc w:val="center"/>
                              <w:rPr>
                                <w:rFonts w:ascii="Open Sans" w:hAnsi="Open Sans" w:cs="Open Sans"/>
                              </w:rPr>
                            </w:pPr>
                            <w:r w:rsidRPr="006F5661">
                              <w:rPr>
                                <w:rFonts w:ascii="Open Sans" w:hAnsi="Open Sans" w:cs="Open Sans"/>
                                <w:b/>
                                <w:bCs/>
                                <w:sz w:val="16"/>
                                <w:szCs w:val="16"/>
                                <w:u w:val="single"/>
                              </w:rPr>
                              <w:t>CON RECOMENDACIONES</w:t>
                            </w:r>
                          </w:p>
                          <w:p w14:paraId="5A23BB66" w14:textId="77777777" w:rsidR="000F0D13" w:rsidRPr="00D81371" w:rsidRDefault="000F0D13" w:rsidP="006F5661">
                            <w:pPr>
                              <w:spacing w:after="0"/>
                              <w:jc w:val="center"/>
                            </w:pPr>
                            <w:r w:rsidRPr="00D81371">
                              <w:rPr>
                                <w:rFonts w:ascii="Open Sans" w:hAnsi="Open Sans" w:cs="Open Sans"/>
                                <w:sz w:val="16"/>
                                <w:szCs w:val="16"/>
                              </w:rPr>
                              <w:t>de mejora para la organización</w:t>
                            </w:r>
                            <w:r w:rsidRPr="00D81371">
                              <w:rPr>
                                <w:sz w:val="16"/>
                                <w:szCs w:val="16"/>
                              </w:rPr>
                              <w:t>.</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7D9B81E3" id="_x0000_s1051" style="position:absolute;margin-left:142.85pt;margin-top:44.35pt;width:162pt;height:113.25pt;z-index:25181798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middle" coordsize="3020,26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xJjWgMAACsKAAAOAAAAZHJzL2Uyb0RvYy54bWysVm1vmzAQ/j5p/wHxfQVMICFqUmWbOk2a&#10;tkrtfoBjTIMEmNnOS/frdzYcxDSd1KpfwL47P7577s729c2prrwDl6oUzcqPrkLf4w0Tedk8rvzf&#10;D7efFr6nNG1yWomGr/wnrvyb9ccP18d2yYnYiSrn0gOQRi2P7crfad0ug0CxHa+puhItb0BZCFlT&#10;DVP5GOSSHgG9rgIShmlwFDJvpWBcKZB+7ZT+2uIXBWf6V1Eorr1q5YNv2n6l/W7NN1hf0+WjpO2u&#10;ZL0b9A1e1LRsYNMB6ivV1NvL8hlUXTIplCj0FRN1IIqiZNzGANFE4SSa+x1tuY0FyFHtQJN6P1j2&#10;83Df3kmg4diqpYKhieJUyNr8wT/vZMl6GsjiJ+0xEJIwmc9C4JSBLprFCzJPDJ3BuJztlf7GhYWi&#10;hx9Kd2znOKI7HLFTg0MJOZtmS/oeZGvbZaul2qwz/pmhd1z5cUjAkR04laahzUMtDvxBWBttQpjN&#10;Yt/DIMDFUV81/7NDLdtvS/aZ/z23jdNkxARn7EZkkVkhOGSj7aWEWGmS9RS5eO6sWxIlM7skW5wD&#10;wcyEYZRn8ABrpAR2ASmE5wK6s94jIMwsAXfPgDqhCeyZ0DB4CRwZ6mB7VBJhLaAa/xOztMdE9SVX&#10;ETNzYjYZNwHEc4dppGIWzy+6e2mDnlSShE7cmAGSpNE5H4Zmu3UK5X+Jkkt7DHWRxg7jWEQk7WoD&#10;6wgLFuXPkoqM9elMoPs6p4YaQwv8D5bpS5YXHU/7QkRP0EMyj/sUTEIi82z+FoL6dnpGd0aiDm6S&#10;H5JBs9uYX5NskmV9t0wqJw4jbCO30s4UEdary5TL8GA/tgwa4L9LxXsYuo5McCeNPIbudv1I5GsO&#10;EEzL5Cwiiz6P7sE1FMVQnq7n7qwv1aHCnBaHQuyORleazLu6vtyTLvPYXWjbaaHHzI1iT9DhlrGN&#10;N95jSlRlfltWlblblHzcfqmkd6DwvLi93aQbrA/HrGqs8Ysr41mabOzhBpudrYRZt5Tbl0x3Qwbj&#10;RW1G+rQ9eWUOB6E9u4xoK/KnO+kd4VWz8tWfPZXc96rvDTwboF80DiQOtjigDdsJeBwxLe0l2ojN&#10;XouiNPe23bZD7ifwIrFM9a8n8+Q5n1ur8Y23/gcAAP//AwBQSwMEFAAGAAgAAAAhANOrY8TeAAAA&#10;CgEAAA8AAABkcnMvZG93bnJldi54bWxMj01PwzAMhu9I/IfISNxYskJHKXUnQOII0laYdkyb0FTL&#10;R9VkW/n3mBOcbMuPXj+u1rOz7KSnOASPsFwIYNp3QQ2+R/hoXm8KYDFJr6QNXiN86wjr+vKikqUK&#10;Z7/Rp23qGYX4WEoEk9JYch47o52MizBqT7uvMDmZaJx6riZ5pnBneSbEijs5eLpg5KhfjO4O26ND&#10;yD+7tjFvz6IRIe7cYdiLd3uHeH01Pz0CS3pOfzD86pM61OTUhqNXkVmErMjvCUUoCqoErMQDNS3C&#10;7TLPgNcV//9C/QMAAP//AwBQSwECLQAUAAYACAAAACEAtoM4kv4AAADhAQAAEwAAAAAAAAAAAAAA&#10;AAAAAAAAW0NvbnRlbnRfVHlwZXNdLnhtbFBLAQItABQABgAIAAAAIQA4/SH/1gAAAJQBAAALAAAA&#10;AAAAAAAAAAAAAC8BAABfcmVscy8ucmVsc1BLAQItABQABgAIAAAAIQBYLxJjWgMAACsKAAAOAAAA&#10;AAAAAAAAAAAAAC4CAABkcnMvZTJvRG9jLnhtbFBLAQItABQABgAIAAAAIQDTq2PE3gAAAAoBAAAP&#10;AAAAAAAAAAAAAAAAALQFAABkcnMvZG93bnJldi54bWxQSwUGAAAAAAQABADzAAAAvwYAAAAA&#10;" adj="-11796480,,5400" path="m443,r,c365,,289,20,222,59,154,98,98,154,59,222,20,289,,365,,443l,2215r,1c,2294,20,2370,59,2437v39,68,95,124,163,163c289,2639,365,2659,443,2659r2132,l2576,2659v78,,154,-20,221,-59c2865,2561,2921,2505,2960,2437v39,-67,59,-143,59,-221l3019,443r,l3019,443v,-78,-20,-154,-59,-221c2921,154,2865,98,2797,59,2730,20,2654,,2576,l443,e" fillcolor="#ffa6a6" strokecolor="#3465a4">
                <v:stroke joinstyle="miter"/>
                <v:formulas/>
                <v:path arrowok="t" o:connecttype="custom" textboxrect="0,0,3020,2660"/>
                <v:textbox inset="0,0,0,0">
                  <w:txbxContent>
                    <w:p w14:paraId="16375D02" w14:textId="77777777" w:rsidR="000F0D13" w:rsidRPr="006F5661" w:rsidRDefault="000F0D13" w:rsidP="006F5661">
                      <w:pPr>
                        <w:spacing w:after="0"/>
                        <w:jc w:val="center"/>
                        <w:rPr>
                          <w:rFonts w:ascii="Open Sans" w:hAnsi="Open Sans" w:cs="Open Sans"/>
                        </w:rPr>
                      </w:pPr>
                      <w:r w:rsidRPr="006F5661">
                        <w:rPr>
                          <w:rFonts w:ascii="Open Sans" w:hAnsi="Open Sans" w:cs="Open Sans"/>
                          <w:sz w:val="16"/>
                          <w:szCs w:val="16"/>
                        </w:rPr>
                        <w:t>Si de las actuaciones se detectan</w:t>
                      </w:r>
                    </w:p>
                    <w:p w14:paraId="64F7E479" w14:textId="77777777" w:rsidR="000F0D13" w:rsidRPr="006F5661" w:rsidRDefault="000F0D13" w:rsidP="006F5661">
                      <w:pPr>
                        <w:spacing w:after="0"/>
                        <w:jc w:val="center"/>
                        <w:rPr>
                          <w:rFonts w:ascii="Open Sans" w:hAnsi="Open Sans" w:cs="Open Sans"/>
                        </w:rPr>
                      </w:pPr>
                      <w:r w:rsidRPr="006F5661">
                        <w:rPr>
                          <w:rFonts w:ascii="Open Sans" w:hAnsi="Open Sans" w:cs="Open Sans"/>
                          <w:sz w:val="16"/>
                          <w:szCs w:val="16"/>
                        </w:rPr>
                        <w:t>indicios de mala praxis, PERO</w:t>
                      </w:r>
                    </w:p>
                    <w:p w14:paraId="1504F27E" w14:textId="77777777" w:rsidR="000F0D13" w:rsidRPr="006F5661" w:rsidRDefault="000F0D13" w:rsidP="006F5661">
                      <w:pPr>
                        <w:spacing w:after="0"/>
                        <w:jc w:val="center"/>
                        <w:rPr>
                          <w:rFonts w:ascii="Open Sans" w:hAnsi="Open Sans" w:cs="Open Sans"/>
                        </w:rPr>
                      </w:pPr>
                      <w:r w:rsidRPr="006F5661">
                        <w:rPr>
                          <w:rFonts w:ascii="Open Sans" w:hAnsi="Open Sans" w:cs="Open Sans"/>
                          <w:sz w:val="16"/>
                          <w:szCs w:val="16"/>
                        </w:rPr>
                        <w:t>no constitutivos de fraude o corrupción</w:t>
                      </w:r>
                    </w:p>
                    <w:p w14:paraId="79D77AE6" w14:textId="77777777" w:rsidR="000F0D13" w:rsidRPr="006F5661" w:rsidRDefault="000F0D13" w:rsidP="006F5661">
                      <w:pPr>
                        <w:spacing w:after="0"/>
                        <w:jc w:val="center"/>
                        <w:rPr>
                          <w:rFonts w:ascii="Open Sans" w:hAnsi="Open Sans" w:cs="Open Sans"/>
                        </w:rPr>
                      </w:pPr>
                      <w:r w:rsidRPr="006F5661">
                        <w:rPr>
                          <w:rFonts w:ascii="Open Sans" w:hAnsi="Open Sans" w:cs="Open Sans"/>
                          <w:sz w:val="16"/>
                          <w:szCs w:val="16"/>
                        </w:rPr>
                        <w:t>se procede a la</w:t>
                      </w:r>
                    </w:p>
                    <w:p w14:paraId="41A49AAE" w14:textId="5201C447" w:rsidR="000F0D13" w:rsidRPr="006F5661" w:rsidRDefault="000F0D13" w:rsidP="006F5661">
                      <w:pPr>
                        <w:spacing w:after="0"/>
                        <w:jc w:val="center"/>
                        <w:rPr>
                          <w:rFonts w:ascii="Open Sans" w:hAnsi="Open Sans" w:cs="Open Sans"/>
                        </w:rPr>
                      </w:pPr>
                      <w:r w:rsidRPr="006F5661">
                        <w:rPr>
                          <w:rFonts w:ascii="Open Sans" w:hAnsi="Open Sans" w:cs="Open Sans"/>
                          <w:b/>
                          <w:bCs/>
                          <w:sz w:val="16"/>
                          <w:szCs w:val="16"/>
                          <w:u w:val="single"/>
                        </w:rPr>
                        <w:t>FINALIZACIÓN Y ARCHIVO DE LAS ACTUACIONES</w:t>
                      </w:r>
                    </w:p>
                    <w:p w14:paraId="3755301E" w14:textId="5D285FEC" w:rsidR="000F0D13" w:rsidRPr="006F5661" w:rsidRDefault="000F0D13" w:rsidP="006F5661">
                      <w:pPr>
                        <w:spacing w:after="0"/>
                        <w:jc w:val="center"/>
                        <w:rPr>
                          <w:rFonts w:ascii="Open Sans" w:hAnsi="Open Sans" w:cs="Open Sans"/>
                        </w:rPr>
                      </w:pPr>
                      <w:r w:rsidRPr="006F5661">
                        <w:rPr>
                          <w:rFonts w:ascii="Open Sans" w:hAnsi="Open Sans" w:cs="Open Sans"/>
                          <w:b/>
                          <w:bCs/>
                          <w:sz w:val="16"/>
                          <w:szCs w:val="16"/>
                          <w:u w:val="single"/>
                        </w:rPr>
                        <w:t>CON RECOMENDACIONES</w:t>
                      </w:r>
                    </w:p>
                    <w:p w14:paraId="5A23BB66" w14:textId="77777777" w:rsidR="000F0D13" w:rsidRPr="00D81371" w:rsidRDefault="000F0D13" w:rsidP="006F5661">
                      <w:pPr>
                        <w:spacing w:after="0"/>
                        <w:jc w:val="center"/>
                      </w:pPr>
                      <w:r w:rsidRPr="00D81371">
                        <w:rPr>
                          <w:rFonts w:ascii="Open Sans" w:hAnsi="Open Sans" w:cs="Open Sans"/>
                          <w:sz w:val="16"/>
                          <w:szCs w:val="16"/>
                        </w:rPr>
                        <w:t>de mejora para la organización</w:t>
                      </w:r>
                      <w:r w:rsidRPr="00D81371">
                        <w:rPr>
                          <w:sz w:val="16"/>
                          <w:szCs w:val="16"/>
                        </w:rPr>
                        <w:t>.</w:t>
                      </w:r>
                    </w:p>
                  </w:txbxContent>
                </v:textbox>
                <w10:wrap anchorx="margin"/>
              </v:shape>
            </w:pict>
          </mc:Fallback>
        </mc:AlternateContent>
      </w:r>
      <w:r w:rsidR="009568B0" w:rsidRPr="00A07BE9">
        <w:rPr>
          <w:rFonts w:ascii="Open Sans" w:eastAsia="NSimSun" w:hAnsi="Open Sans" w:cs="Arial"/>
          <w:i/>
          <w:iCs/>
          <w:kern w:val="2"/>
          <w:sz w:val="16"/>
          <w:szCs w:val="16"/>
          <w:lang w:eastAsia="zh-CN" w:bidi="hi-IN"/>
        </w:rPr>
        <w:br w:type="page"/>
      </w:r>
    </w:p>
    <w:p w14:paraId="3E3664BC" w14:textId="77777777" w:rsidR="009568B0" w:rsidRPr="00A07BE9" w:rsidRDefault="009568B0" w:rsidP="009568B0">
      <w:pPr>
        <w:spacing w:after="0" w:line="276" w:lineRule="auto"/>
        <w:jc w:val="center"/>
        <w:rPr>
          <w:rFonts w:ascii="Open Sans" w:eastAsia="NSimSun" w:hAnsi="Open Sans" w:cs="Arial"/>
          <w:b/>
          <w:color w:val="9D2235"/>
          <w:kern w:val="2"/>
          <w:sz w:val="20"/>
          <w:szCs w:val="20"/>
          <w:u w:val="single"/>
          <w:lang w:eastAsia="zh-CN" w:bidi="hi-IN"/>
        </w:rPr>
      </w:pPr>
      <w:r w:rsidRPr="00A07BE9">
        <w:rPr>
          <w:rFonts w:ascii="Open Sans" w:eastAsia="NSimSun" w:hAnsi="Open Sans" w:cs="Arial"/>
          <w:b/>
          <w:color w:val="9D2235"/>
          <w:kern w:val="2"/>
          <w:sz w:val="20"/>
          <w:szCs w:val="20"/>
          <w:u w:val="single"/>
          <w:lang w:eastAsia="zh-CN" w:bidi="hi-IN"/>
        </w:rPr>
        <w:lastRenderedPageBreak/>
        <w:t>DIAGRAMA DE FLUJOS DE LA FASE DE INVESTIGACIÓN</w:t>
      </w:r>
    </w:p>
    <w:p w14:paraId="47C349F4" w14:textId="4CF50BBA" w:rsidR="009568B0" w:rsidRPr="00A07BE9" w:rsidRDefault="00AC2ACC" w:rsidP="009568B0">
      <w:pPr>
        <w:spacing w:after="0" w:line="240" w:lineRule="auto"/>
        <w:jc w:val="both"/>
        <w:rPr>
          <w:rFonts w:ascii="Open Sans" w:eastAsia="NSimSun" w:hAnsi="Open Sans" w:cs="Arial"/>
          <w:i/>
          <w:iCs/>
          <w:kern w:val="2"/>
          <w:sz w:val="16"/>
          <w:szCs w:val="16"/>
          <w:lang w:eastAsia="zh-CN" w:bidi="hi-IN"/>
        </w:rPr>
      </w:pPr>
      <w:r w:rsidRPr="00A07BE9">
        <w:rPr>
          <w:rFonts w:ascii="Open Sans" w:eastAsia="NSimSun" w:hAnsi="Open Sans" w:cs="Arial"/>
          <w:noProof/>
          <w:kern w:val="2"/>
          <w:sz w:val="20"/>
          <w:szCs w:val="20"/>
          <w:lang w:eastAsia="es-ES"/>
        </w:rPr>
        <mc:AlternateContent>
          <mc:Choice Requires="wps">
            <w:drawing>
              <wp:anchor distT="0" distB="0" distL="0" distR="0" simplePos="0" relativeHeight="251829248" behindDoc="0" locked="0" layoutInCell="1" allowOverlap="1" wp14:anchorId="44C30B60" wp14:editId="0A0136B6">
                <wp:simplePos x="0" y="0"/>
                <wp:positionH relativeFrom="column">
                  <wp:posOffset>1729740</wp:posOffset>
                </wp:positionH>
                <wp:positionV relativeFrom="paragraph">
                  <wp:posOffset>130810</wp:posOffset>
                </wp:positionV>
                <wp:extent cx="1840865" cy="714375"/>
                <wp:effectExtent l="0" t="0" r="26035" b="28575"/>
                <wp:wrapNone/>
                <wp:docPr id="66" name="Forma1"/>
                <wp:cNvGraphicFramePr/>
                <a:graphic xmlns:a="http://schemas.openxmlformats.org/drawingml/2006/main">
                  <a:graphicData uri="http://schemas.microsoft.com/office/word/2010/wordprocessingShape">
                    <wps:wsp>
                      <wps:cNvSpPr/>
                      <wps:spPr>
                        <a:xfrm>
                          <a:off x="0" y="0"/>
                          <a:ext cx="1840865" cy="714375"/>
                        </a:xfrm>
                        <a:custGeom>
                          <a:avLst/>
                          <a:gdLst/>
                          <a:ahLst/>
                          <a:cxnLst/>
                          <a:rect l="0" t="0" r="r" b="b"/>
                          <a:pathLst>
                            <a:path w="3020" h="1521">
                              <a:moveTo>
                                <a:pt x="253" y="0"/>
                              </a:moveTo>
                              <a:lnTo>
                                <a:pt x="253" y="0"/>
                              </a:lnTo>
                              <a:cubicBezTo>
                                <a:pt x="209" y="0"/>
                                <a:pt x="165" y="12"/>
                                <a:pt x="127" y="34"/>
                              </a:cubicBezTo>
                              <a:cubicBezTo>
                                <a:pt x="88" y="56"/>
                                <a:pt x="56" y="88"/>
                                <a:pt x="34" y="127"/>
                              </a:cubicBezTo>
                              <a:cubicBezTo>
                                <a:pt x="12" y="165"/>
                                <a:pt x="0" y="209"/>
                                <a:pt x="0" y="253"/>
                              </a:cubicBezTo>
                              <a:lnTo>
                                <a:pt x="0" y="1266"/>
                              </a:lnTo>
                              <a:lnTo>
                                <a:pt x="0" y="1267"/>
                              </a:lnTo>
                              <a:cubicBezTo>
                                <a:pt x="0" y="1311"/>
                                <a:pt x="12" y="1355"/>
                                <a:pt x="34" y="1393"/>
                              </a:cubicBezTo>
                              <a:cubicBezTo>
                                <a:pt x="56" y="1432"/>
                                <a:pt x="88" y="1464"/>
                                <a:pt x="127" y="1486"/>
                              </a:cubicBezTo>
                              <a:cubicBezTo>
                                <a:pt x="165" y="1508"/>
                                <a:pt x="209" y="1520"/>
                                <a:pt x="253" y="1520"/>
                              </a:cubicBezTo>
                              <a:lnTo>
                                <a:pt x="2765" y="1520"/>
                              </a:lnTo>
                              <a:lnTo>
                                <a:pt x="2766" y="1520"/>
                              </a:lnTo>
                              <a:cubicBezTo>
                                <a:pt x="2810" y="1520"/>
                                <a:pt x="2854" y="1508"/>
                                <a:pt x="2892" y="1486"/>
                              </a:cubicBezTo>
                              <a:cubicBezTo>
                                <a:pt x="2931" y="1464"/>
                                <a:pt x="2963" y="1432"/>
                                <a:pt x="2985" y="1393"/>
                              </a:cubicBezTo>
                              <a:cubicBezTo>
                                <a:pt x="3007" y="1355"/>
                                <a:pt x="3019" y="1311"/>
                                <a:pt x="3019" y="1267"/>
                              </a:cubicBezTo>
                              <a:lnTo>
                                <a:pt x="3018" y="253"/>
                              </a:lnTo>
                              <a:lnTo>
                                <a:pt x="3019" y="253"/>
                              </a:lnTo>
                              <a:lnTo>
                                <a:pt x="3019" y="253"/>
                              </a:lnTo>
                              <a:cubicBezTo>
                                <a:pt x="3019" y="209"/>
                                <a:pt x="3007" y="165"/>
                                <a:pt x="2985" y="127"/>
                              </a:cubicBezTo>
                              <a:cubicBezTo>
                                <a:pt x="2963" y="88"/>
                                <a:pt x="2931" y="56"/>
                                <a:pt x="2892" y="34"/>
                              </a:cubicBezTo>
                              <a:cubicBezTo>
                                <a:pt x="2854" y="12"/>
                                <a:pt x="2810" y="0"/>
                                <a:pt x="2766" y="0"/>
                              </a:cubicBezTo>
                              <a:lnTo>
                                <a:pt x="253" y="0"/>
                              </a:lnTo>
                            </a:path>
                          </a:pathLst>
                        </a:custGeom>
                        <a:solidFill>
                          <a:srgbClr val="FFA6A6"/>
                        </a:solidFill>
                        <a:ln>
                          <a:solidFill>
                            <a:srgbClr val="3465A4"/>
                          </a:solidFill>
                        </a:ln>
                        <a:effectLst/>
                      </wps:spPr>
                      <wps:txbx>
                        <w:txbxContent>
                          <w:p w14:paraId="70052CEA" w14:textId="77777777" w:rsidR="000F0D13" w:rsidRPr="00D56217" w:rsidRDefault="000F0D13" w:rsidP="00D56217">
                            <w:pPr>
                              <w:spacing w:after="0"/>
                              <w:jc w:val="center"/>
                              <w:rPr>
                                <w:rFonts w:ascii="Open Sans" w:hAnsi="Open Sans"/>
                              </w:rPr>
                            </w:pPr>
                            <w:r w:rsidRPr="00D56217">
                              <w:rPr>
                                <w:rFonts w:ascii="Open Sans" w:hAnsi="Open Sans"/>
                                <w:color w:val="FFFFFF"/>
                                <w:sz w:val="16"/>
                                <w:szCs w:val="16"/>
                              </w:rPr>
                              <w:t>Si de las actuaciones se detectan</w:t>
                            </w:r>
                          </w:p>
                          <w:p w14:paraId="11991250" w14:textId="77777777" w:rsidR="000F0D13" w:rsidRPr="00D56217" w:rsidRDefault="000F0D13" w:rsidP="00D56217">
                            <w:pPr>
                              <w:spacing w:after="0"/>
                              <w:jc w:val="center"/>
                              <w:rPr>
                                <w:rFonts w:ascii="Open Sans" w:hAnsi="Open Sans"/>
                              </w:rPr>
                            </w:pPr>
                            <w:r w:rsidRPr="00D56217">
                              <w:rPr>
                                <w:rFonts w:ascii="Open Sans" w:hAnsi="Open Sans"/>
                                <w:color w:val="FFFFFF"/>
                                <w:sz w:val="16"/>
                                <w:szCs w:val="16"/>
                              </w:rPr>
                              <w:t>indicios de fraude o corrupción</w:t>
                            </w:r>
                          </w:p>
                          <w:p w14:paraId="5D316322" w14:textId="6FCFBB67" w:rsidR="000F0D13" w:rsidRPr="00D56217" w:rsidRDefault="000F0D13" w:rsidP="00D56217">
                            <w:pPr>
                              <w:spacing w:after="0"/>
                              <w:jc w:val="center"/>
                              <w:rPr>
                                <w:rFonts w:ascii="Open Sans" w:hAnsi="Open Sans"/>
                              </w:rPr>
                            </w:pPr>
                            <w:r w:rsidRPr="00D56217">
                              <w:rPr>
                                <w:rFonts w:ascii="Open Sans" w:hAnsi="Open Sans"/>
                                <w:color w:val="FFFFFF"/>
                                <w:sz w:val="16"/>
                                <w:szCs w:val="16"/>
                              </w:rPr>
                              <w:t>se procede a la</w:t>
                            </w:r>
                          </w:p>
                          <w:p w14:paraId="4AB4F7E0" w14:textId="77777777" w:rsidR="000F0D13" w:rsidRPr="00D56217" w:rsidRDefault="000F0D13" w:rsidP="00D56217">
                            <w:pPr>
                              <w:spacing w:after="0"/>
                              <w:jc w:val="center"/>
                              <w:rPr>
                                <w:rFonts w:ascii="Open Sans" w:hAnsi="Open Sans"/>
                              </w:rPr>
                            </w:pPr>
                            <w:r w:rsidRPr="00D56217">
                              <w:rPr>
                                <w:rFonts w:ascii="Open Sans" w:hAnsi="Open Sans"/>
                                <w:b/>
                                <w:bCs/>
                                <w:color w:val="FFFFFF"/>
                                <w:sz w:val="16"/>
                                <w:szCs w:val="16"/>
                                <w:u w:val="single"/>
                              </w:rPr>
                              <w:t>INICIACIÓN DE LA INVESTIGACIÓN</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44C30B60" id="_x0000_s1052" style="position:absolute;left:0;text-align:left;margin-left:136.2pt;margin-top:10.3pt;width:144.95pt;height:56.25pt;z-index:25182924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3020,15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Z80XwMAACYKAAAOAAAAZHJzL2Uyb0RvYy54bWysVl1vmzAUfZ+0/4B4XwETCImaVNmqTpOm&#10;rVK7H+AYE5AAM9v56H79rm0MMc22dtsL+OP6+Nxz77V9fXNqau9AuahYu/Kjq9D3aEtYXrW7lf/t&#10;8e5d5ntC4jbHNWvpyn+iwr9Zv31zfeyWFLGS1TnlHoC0YnnsVn4pZbcMAkFK2mBxxTrawmTBeIMl&#10;dPkuyDk+AnpTBygM0+DIeN5xRqgQMHprJv21xi8KSuTXohBUevXKB25Sf7n+btU3WF/j5Y7jrqxI&#10;TwP/BYsGVy1sOkDdYom9Pa+eQTUV4UywQl4R1gSsKCpCtQ/gTRROvHkocUe1LyCO6AaZxP+DJV8O&#10;D909BxmOnVgKaCovTgVv1B/4eSct1tMgFj1Jj8BglM3CLE18j8DcPJrF80SpGYyryV7Ij5RpJHz4&#10;LKQRO7ctXNoWObW2ySFk02Bx34NgbU2wOizVOkVPNb3jyo9DBLEtgVOCIh2Ghh3oI9M2UnmAktj3&#10;rA9AcZyv29/Z2Vmy31bkPf3h2IaLERPI6I0ipQhsFKGerRlFcz0az3qJXDy3Z4AyKBzASdJzHOip&#10;QZjTUhpLADU7zl8MDuz0EiB7BgQaAjgCt54Pgn4wCMq5XK0+hokBiFCqSYOxnbb/iZklbKddbMc4&#10;jqJzVtaBOHE8sFLEi8t0L23QawoJ7ISs1z+apTpmQ3z7SEazzDrpgro948OQFEnoRE5JreOQQP6e&#10;aW6zFdJZj/9BdjS3STfaW0nt3xABS5NBZ8jW4hJxlEV9TKcMs6TPuqlL2aLPrdcIhBZxZJSYyI0W&#10;qSncaXjQIusL7TWxjsPQFGI0TZww6kMxSbR4mECpTVdXKaufURjsTeGqGJqKsQb2PxiaHf/B0CUy&#10;xXXreHTdLfpRSMjsSyV+aZMhLO5JNITRPbWQzYlXHH9oSDCnKoeEdOvFpvWLqmVyFZiwQImp20Qf&#10;ccMNo+tuvMMEq6v8rqprda8Ivtt+qLl3wPCyuLvbpBt7HjhmdauNf7kynqXJxt4KZyv14amWUv2I&#10;MbdjMN7RqiVP25NX5XBk663V0JblT/fcO8KDZuWL73vMqe/Vn1p4MUAhS9vgtrG1DdySksG7iEiu&#10;L9CWbfaSFZW6s/W2BrnvwGNEK9U/nNRr57yvrcbn3fonAAAA//8DAFBLAwQUAAYACAAAACEAZjgt&#10;E98AAAAKAQAADwAAAGRycy9kb3ducmV2LnhtbEyPwU6EMBCG7ya+QzMmXoxboCtrkLLRNXtwb6LG&#10;axdGQOmU0LLg2zue9DaT+fLP9+fbxfbihKPvHGmIVxEIpMrVHTUaXl/217cgfDBUm94RavhGD9vi&#10;/Cw3We1mesZTGRrBIeQzo6ENYcik9FWL1viVG5D49uFGawKvYyPr0cwcbnuZRFEqremIP7RmwF2L&#10;1Vc5WQ0PV5u3w+69VPQ0fe4fy4ni9ay0vrxY7u9ABFzCHwy/+qwOBTsd3US1F72GZJOsGeUhSkEw&#10;cJMmCsSRSaVikEUu/1cofgAAAP//AwBQSwECLQAUAAYACAAAACEAtoM4kv4AAADhAQAAEwAAAAAA&#10;AAAAAAAAAAAAAAAAW0NvbnRlbnRfVHlwZXNdLnhtbFBLAQItABQABgAIAAAAIQA4/SH/1gAAAJQB&#10;AAALAAAAAAAAAAAAAAAAAC8BAABfcmVscy8ucmVsc1BLAQItABQABgAIAAAAIQBA2Z80XwMAACYK&#10;AAAOAAAAAAAAAAAAAAAAAC4CAABkcnMvZTJvRG9jLnhtbFBLAQItABQABgAIAAAAIQBmOC0T3wAA&#10;AAoBAAAPAAAAAAAAAAAAAAAAALkFAABkcnMvZG93bnJldi54bWxQSwUGAAAAAAQABADzAAAAxQYA&#10;AAAA&#10;" adj="-11796480,,5400" path="m253,r,c209,,165,12,127,34,88,56,56,88,34,127,12,165,,209,,253l,1266r,1c,1311,12,1355,34,1393v22,39,54,71,93,93c165,1508,209,1520,253,1520r2512,l2766,1520v44,,88,-12,126,-34c2931,1464,2963,1432,2985,1393v22,-38,34,-82,34,-126l3018,253r1,l3019,253v,-44,-12,-88,-34,-126c2963,88,2931,56,2892,34,2854,12,2810,,2766,l253,e" fillcolor="#ffa6a6" strokecolor="#3465a4">
                <v:stroke joinstyle="miter"/>
                <v:formulas/>
                <v:path arrowok="t" o:connecttype="custom" textboxrect="0,0,3020,1521"/>
                <v:textbox inset="0,0,0,0">
                  <w:txbxContent>
                    <w:p w14:paraId="70052CEA" w14:textId="77777777" w:rsidR="000F0D13" w:rsidRPr="00D56217" w:rsidRDefault="000F0D13" w:rsidP="00D56217">
                      <w:pPr>
                        <w:spacing w:after="0"/>
                        <w:jc w:val="center"/>
                        <w:rPr>
                          <w:rFonts w:ascii="Open Sans" w:hAnsi="Open Sans"/>
                        </w:rPr>
                      </w:pPr>
                      <w:r w:rsidRPr="00D56217">
                        <w:rPr>
                          <w:rFonts w:ascii="Open Sans" w:hAnsi="Open Sans"/>
                          <w:color w:val="FFFFFF"/>
                          <w:sz w:val="16"/>
                          <w:szCs w:val="16"/>
                        </w:rPr>
                        <w:t>Si de las actuaciones se detectan</w:t>
                      </w:r>
                    </w:p>
                    <w:p w14:paraId="11991250" w14:textId="77777777" w:rsidR="000F0D13" w:rsidRPr="00D56217" w:rsidRDefault="000F0D13" w:rsidP="00D56217">
                      <w:pPr>
                        <w:spacing w:after="0"/>
                        <w:jc w:val="center"/>
                        <w:rPr>
                          <w:rFonts w:ascii="Open Sans" w:hAnsi="Open Sans"/>
                        </w:rPr>
                      </w:pPr>
                      <w:r w:rsidRPr="00D56217">
                        <w:rPr>
                          <w:rFonts w:ascii="Open Sans" w:hAnsi="Open Sans"/>
                          <w:color w:val="FFFFFF"/>
                          <w:sz w:val="16"/>
                          <w:szCs w:val="16"/>
                        </w:rPr>
                        <w:t>indicios de fraude o corrupción</w:t>
                      </w:r>
                    </w:p>
                    <w:p w14:paraId="5D316322" w14:textId="6FCFBB67" w:rsidR="000F0D13" w:rsidRPr="00D56217" w:rsidRDefault="000F0D13" w:rsidP="00D56217">
                      <w:pPr>
                        <w:spacing w:after="0"/>
                        <w:jc w:val="center"/>
                        <w:rPr>
                          <w:rFonts w:ascii="Open Sans" w:hAnsi="Open Sans"/>
                        </w:rPr>
                      </w:pPr>
                      <w:r w:rsidRPr="00D56217">
                        <w:rPr>
                          <w:rFonts w:ascii="Open Sans" w:hAnsi="Open Sans"/>
                          <w:color w:val="FFFFFF"/>
                          <w:sz w:val="16"/>
                          <w:szCs w:val="16"/>
                        </w:rPr>
                        <w:t>se procede a la</w:t>
                      </w:r>
                    </w:p>
                    <w:p w14:paraId="4AB4F7E0" w14:textId="77777777" w:rsidR="000F0D13" w:rsidRPr="00D56217" w:rsidRDefault="000F0D13" w:rsidP="00D56217">
                      <w:pPr>
                        <w:spacing w:after="0"/>
                        <w:jc w:val="center"/>
                        <w:rPr>
                          <w:rFonts w:ascii="Open Sans" w:hAnsi="Open Sans"/>
                        </w:rPr>
                      </w:pPr>
                      <w:r w:rsidRPr="00D56217">
                        <w:rPr>
                          <w:rFonts w:ascii="Open Sans" w:hAnsi="Open Sans"/>
                          <w:b/>
                          <w:bCs/>
                          <w:color w:val="FFFFFF"/>
                          <w:sz w:val="16"/>
                          <w:szCs w:val="16"/>
                          <w:u w:val="single"/>
                        </w:rPr>
                        <w:t>INICIACIÓN DE LA INVESTIGACIÓN</w:t>
                      </w:r>
                    </w:p>
                  </w:txbxContent>
                </v:textbox>
              </v:shape>
            </w:pict>
          </mc:Fallback>
        </mc:AlternateContent>
      </w:r>
    </w:p>
    <w:p w14:paraId="29F8DE53" w14:textId="77777777" w:rsidR="009568B0" w:rsidRPr="00A07BE9" w:rsidRDefault="009568B0" w:rsidP="009568B0">
      <w:pPr>
        <w:spacing w:after="0" w:line="240" w:lineRule="auto"/>
        <w:jc w:val="both"/>
        <w:rPr>
          <w:rFonts w:ascii="Open Sans" w:eastAsia="NSimSun" w:hAnsi="Open Sans" w:cs="Arial"/>
          <w:i/>
          <w:iCs/>
          <w:kern w:val="2"/>
          <w:sz w:val="16"/>
          <w:szCs w:val="16"/>
          <w:lang w:eastAsia="zh-CN" w:bidi="hi-IN"/>
        </w:rPr>
      </w:pPr>
    </w:p>
    <w:p w14:paraId="4B75D0F8" w14:textId="77777777" w:rsidR="009568B0" w:rsidRPr="00A07BE9" w:rsidRDefault="009568B0" w:rsidP="009568B0">
      <w:pPr>
        <w:spacing w:after="0" w:line="240" w:lineRule="auto"/>
        <w:jc w:val="both"/>
        <w:rPr>
          <w:rFonts w:ascii="Open Sans" w:eastAsia="NSimSun" w:hAnsi="Open Sans" w:cs="Arial"/>
          <w:i/>
          <w:iCs/>
          <w:kern w:val="2"/>
          <w:sz w:val="16"/>
          <w:szCs w:val="16"/>
          <w:lang w:eastAsia="zh-CN" w:bidi="hi-IN"/>
        </w:rPr>
      </w:pPr>
    </w:p>
    <w:p w14:paraId="01DEAA7E" w14:textId="77777777" w:rsidR="009568B0" w:rsidRPr="00A07BE9" w:rsidRDefault="009568B0" w:rsidP="009568B0">
      <w:pPr>
        <w:spacing w:after="0" w:line="240" w:lineRule="auto"/>
        <w:jc w:val="both"/>
        <w:rPr>
          <w:rFonts w:ascii="Open Sans" w:eastAsia="NSimSun" w:hAnsi="Open Sans" w:cs="Arial"/>
          <w:i/>
          <w:iCs/>
          <w:kern w:val="2"/>
          <w:sz w:val="16"/>
          <w:szCs w:val="16"/>
          <w:lang w:eastAsia="zh-CN" w:bidi="hi-IN"/>
        </w:rPr>
      </w:pPr>
    </w:p>
    <w:p w14:paraId="563F4291" w14:textId="7C0AFF67" w:rsidR="009568B0" w:rsidRPr="00A07BE9" w:rsidRDefault="009568B0" w:rsidP="009568B0">
      <w:pPr>
        <w:spacing w:after="0" w:line="240" w:lineRule="auto"/>
        <w:rPr>
          <w:rFonts w:ascii="Open Sans" w:eastAsia="NSimSun" w:hAnsi="Open Sans" w:cs="Arial"/>
          <w:i/>
          <w:iCs/>
          <w:kern w:val="2"/>
          <w:sz w:val="16"/>
          <w:szCs w:val="16"/>
          <w:lang w:eastAsia="zh-CN" w:bidi="hi-IN"/>
        </w:rPr>
      </w:pPr>
    </w:p>
    <w:p w14:paraId="53E9A79E" w14:textId="63167071" w:rsidR="009568B0" w:rsidRPr="00A07BE9" w:rsidRDefault="004C557F" w:rsidP="009568B0">
      <w:pPr>
        <w:spacing w:after="0" w:line="240" w:lineRule="auto"/>
        <w:jc w:val="center"/>
        <w:rPr>
          <w:rFonts w:ascii="Open Sans" w:eastAsia="NSimSun" w:hAnsi="Open Sans" w:cs="Arial"/>
          <w:kern w:val="2"/>
          <w:sz w:val="24"/>
          <w:szCs w:val="24"/>
          <w:lang w:eastAsia="zh-CN" w:bidi="hi-IN"/>
        </w:rPr>
      </w:pPr>
      <w:r w:rsidRPr="00A07BE9">
        <w:rPr>
          <w:rFonts w:ascii="Open Sans" w:eastAsia="NSimSun" w:hAnsi="Open Sans" w:cs="Arial"/>
          <w:noProof/>
          <w:kern w:val="2"/>
          <w:sz w:val="24"/>
          <w:szCs w:val="24"/>
          <w:lang w:eastAsia="es-ES"/>
        </w:rPr>
        <mc:AlternateContent>
          <mc:Choice Requires="wps">
            <w:drawing>
              <wp:anchor distT="0" distB="0" distL="0" distR="0" simplePos="0" relativeHeight="251830272" behindDoc="0" locked="0" layoutInCell="1" allowOverlap="1" wp14:anchorId="30C1A6F2" wp14:editId="1872104B">
                <wp:simplePos x="0" y="0"/>
                <wp:positionH relativeFrom="column">
                  <wp:posOffset>2583180</wp:posOffset>
                </wp:positionH>
                <wp:positionV relativeFrom="paragraph">
                  <wp:posOffset>113665</wp:posOffset>
                </wp:positionV>
                <wp:extent cx="170180" cy="260350"/>
                <wp:effectExtent l="0" t="0" r="20320" b="25400"/>
                <wp:wrapNone/>
                <wp:docPr id="67" name="Forma7"/>
                <wp:cNvGraphicFramePr/>
                <a:graphic xmlns:a="http://schemas.openxmlformats.org/drawingml/2006/main">
                  <a:graphicData uri="http://schemas.microsoft.com/office/word/2010/wordprocessingShape">
                    <wps:wsp>
                      <wps:cNvSpPr/>
                      <wps:spPr>
                        <a:xfrm>
                          <a:off x="0" y="0"/>
                          <a:ext cx="170180" cy="260350"/>
                        </a:xfrm>
                        <a:custGeom>
                          <a:avLst/>
                          <a:gdLst/>
                          <a:ahLst/>
                          <a:cxnLst/>
                          <a:rect l="0" t="0" r="r" b="b"/>
                          <a:pathLst>
                            <a:path w="269" h="411">
                              <a:moveTo>
                                <a:pt x="67" y="0"/>
                              </a:moveTo>
                              <a:lnTo>
                                <a:pt x="67" y="307"/>
                              </a:lnTo>
                              <a:lnTo>
                                <a:pt x="0" y="307"/>
                              </a:lnTo>
                              <a:lnTo>
                                <a:pt x="134" y="410"/>
                              </a:lnTo>
                              <a:lnTo>
                                <a:pt x="268" y="307"/>
                              </a:lnTo>
                              <a:lnTo>
                                <a:pt x="201" y="307"/>
                              </a:lnTo>
                              <a:lnTo>
                                <a:pt x="201" y="0"/>
                              </a:lnTo>
                              <a:lnTo>
                                <a:pt x="67" y="0"/>
                              </a:lnTo>
                            </a:path>
                          </a:pathLst>
                        </a:custGeom>
                        <a:solidFill>
                          <a:srgbClr val="5B6770"/>
                        </a:solidFill>
                        <a:ln>
                          <a:solidFill>
                            <a:srgbClr val="3465A4"/>
                          </a:solidFill>
                        </a:ln>
                        <a:effectLst/>
                      </wps:spPr>
                      <wps:bodyPr/>
                    </wps:wsp>
                  </a:graphicData>
                </a:graphic>
              </wp:anchor>
            </w:drawing>
          </mc:Choice>
          <mc:Fallback>
            <w:pict>
              <v:shape w14:anchorId="30C892BC" id="Forma7" o:spid="_x0000_s1026" style="position:absolute;margin-left:203.4pt;margin-top:8.95pt;width:13.4pt;height:20.5pt;z-index:251830272;visibility:visible;mso-wrap-style:square;mso-wrap-distance-left:0;mso-wrap-distance-top:0;mso-wrap-distance-right:0;mso-wrap-distance-bottom:0;mso-position-horizontal:absolute;mso-position-horizontal-relative:text;mso-position-vertical:absolute;mso-position-vertical-relative:text;v-text-anchor:top" coordsize="26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ylJCgIAAN8EAAAOAAAAZHJzL2Uyb0RvYy54bWysVM1u2zAMvg/YOwi6L7YTx+mM2MW2IrsM&#10;W4F2D6DIcixAlgRJtZ23HyVHaZr9D7tYlEh+JD+S3t5OvUADM5YrWeFskWLEJFUNl4cKf33cvbnB&#10;yDoiGyKUZBU+Motv69evtqMu2VJ1SjTMIACRthx1hTvndJkklnasJ3ahNJOgbJXpiYOrOSSNISOg&#10;9yJZpmmRjMo02ijKrIXXu1mJ64Dftoy6L21rmUOiwpCbC18Tvnv/TeotKQ+G6I7TUxrkH7LoCZcQ&#10;9Ax1RxxBT4Z/B9VzapRVrVtQ1SeqbTlloQaoJkuvqnnoiGahFiDH6jNN9v/B0s/DvUG8qXCxwUiS&#10;Hnq082xvPDWjtiVYPOh7c7pZEH2dU2t6f0IFaAp0Hs90sskhCo/ZJs1ugHQKqmWRrtaB7uTZmT5Z&#10;95GpAESGT9bN3WiiRLoo0UlG0UBPr7tpMIJu7uduauK8n8/Oi2j00d9i1FU4z7LQpV4N7FEFC+fT&#10;97XH/CG/Z7WQPzBbpYEcMIzqeOqABiUD2O+sslUe7PIs0hJR4jmjLQtYoT/Ag/n5K7tfR71iZE4J&#10;KvaM1tuTEFgG+bKPVgne7LgQnl1rDvsPwqCBwPqt3xebTYz6wkzIYPxTz1VerN/lvrsQ7MITbrMr&#10;C5s+T0jih3YeUy/tVXMM0xveYYsCyGnj/Zpe3kG+/C/V3wAAAP//AwBQSwMEFAAGAAgAAAAhAE2B&#10;2R3eAAAACQEAAA8AAABkcnMvZG93bnJldi54bWxMj8FOwzAQRO9I/IO1SNyoAy1pEuJUiLbiBFIL&#10;4uzESxwRr6PYbcLfs5zgOJrRzJtyM7tenHEMnScFt4sEBFLjTUetgve3/U0GIkRNRveeUME3BthU&#10;lxelLoyf6IDnY2wFl1AotAIb41BIGRqLToeFH5DY+/Sj05Hl2Eoz6onLXS/vkiSVTnfEC1YP+GSx&#10;+TqenIJ897zNPl4m3Ga7Ge20r9vD61qp66v58QFExDn+heEXn9GhYqban8gE0StYJSmjRzbWOQgO&#10;rJbLFESt4D7LQVal/P+g+gEAAP//AwBQSwECLQAUAAYACAAAACEAtoM4kv4AAADhAQAAEwAAAAAA&#10;AAAAAAAAAAAAAAAAW0NvbnRlbnRfVHlwZXNdLnhtbFBLAQItABQABgAIAAAAIQA4/SH/1gAAAJQB&#10;AAALAAAAAAAAAAAAAAAAAC8BAABfcmVscy8ucmVsc1BLAQItABQABgAIAAAAIQB9FylJCgIAAN8E&#10;AAAOAAAAAAAAAAAAAAAAAC4CAABkcnMvZTJvRG9jLnhtbFBLAQItABQABgAIAAAAIQBNgdkd3gAA&#10;AAkBAAAPAAAAAAAAAAAAAAAAAGQEAABkcnMvZG93bnJldi54bWxQSwUGAAAAAAQABADzAAAAbwUA&#10;AAAA&#10;" path="m67,r,307l,307,134,410,268,307r-67,l201,,67,e" fillcolor="#5b6770" strokecolor="#3465a4">
                <v:path arrowok="t"/>
              </v:shape>
            </w:pict>
          </mc:Fallback>
        </mc:AlternateContent>
      </w:r>
    </w:p>
    <w:p w14:paraId="45D03B4E" w14:textId="1F4988EB" w:rsidR="009568B0" w:rsidRPr="00A07BE9" w:rsidRDefault="009568B0" w:rsidP="009568B0">
      <w:pPr>
        <w:spacing w:after="0" w:line="240" w:lineRule="auto"/>
        <w:jc w:val="center"/>
        <w:rPr>
          <w:rFonts w:ascii="Open Sans" w:eastAsia="NSimSun" w:hAnsi="Open Sans" w:cs="Arial"/>
          <w:kern w:val="2"/>
          <w:sz w:val="24"/>
          <w:szCs w:val="24"/>
          <w:lang w:eastAsia="zh-CN" w:bidi="hi-IN"/>
        </w:rPr>
      </w:pPr>
    </w:p>
    <w:p w14:paraId="607FF02F" w14:textId="0BA7AD5E" w:rsidR="009568B0" w:rsidRPr="00A07BE9" w:rsidRDefault="004C557F" w:rsidP="009568B0">
      <w:pPr>
        <w:spacing w:after="0" w:line="240" w:lineRule="auto"/>
        <w:jc w:val="center"/>
        <w:rPr>
          <w:rFonts w:ascii="Open Sans" w:eastAsia="NSimSun" w:hAnsi="Open Sans" w:cs="Arial"/>
          <w:kern w:val="2"/>
          <w:sz w:val="24"/>
          <w:szCs w:val="24"/>
          <w:lang w:eastAsia="zh-CN" w:bidi="hi-IN"/>
        </w:rPr>
      </w:pPr>
      <w:r w:rsidRPr="00A07BE9">
        <w:rPr>
          <w:rFonts w:ascii="Open Sans" w:eastAsia="NSimSun" w:hAnsi="Open Sans" w:cs="Arial"/>
          <w:noProof/>
          <w:kern w:val="2"/>
          <w:sz w:val="24"/>
          <w:szCs w:val="24"/>
          <w:lang w:eastAsia="es-ES"/>
        </w:rPr>
        <mc:AlternateContent>
          <mc:Choice Requires="wps">
            <w:drawing>
              <wp:anchor distT="0" distB="0" distL="0" distR="0" simplePos="0" relativeHeight="251822080" behindDoc="0" locked="0" layoutInCell="1" allowOverlap="1" wp14:anchorId="5EF167E8" wp14:editId="539D1D62">
                <wp:simplePos x="0" y="0"/>
                <wp:positionH relativeFrom="column">
                  <wp:posOffset>215265</wp:posOffset>
                </wp:positionH>
                <wp:positionV relativeFrom="paragraph">
                  <wp:posOffset>5080</wp:posOffset>
                </wp:positionV>
                <wp:extent cx="4924425" cy="1123950"/>
                <wp:effectExtent l="0" t="0" r="28575" b="19050"/>
                <wp:wrapNone/>
                <wp:docPr id="248" name="Forma1"/>
                <wp:cNvGraphicFramePr/>
                <a:graphic xmlns:a="http://schemas.openxmlformats.org/drawingml/2006/main">
                  <a:graphicData uri="http://schemas.microsoft.com/office/word/2010/wordprocessingShape">
                    <wps:wsp>
                      <wps:cNvSpPr/>
                      <wps:spPr>
                        <a:xfrm>
                          <a:off x="0" y="0"/>
                          <a:ext cx="4924425" cy="1123950"/>
                        </a:xfrm>
                        <a:custGeom>
                          <a:avLst/>
                          <a:gdLst/>
                          <a:ahLst/>
                          <a:cxnLst/>
                          <a:rect l="0" t="0" r="r" b="b"/>
                          <a:pathLst>
                            <a:path w="8378" h="1747">
                              <a:moveTo>
                                <a:pt x="291" y="0"/>
                              </a:moveTo>
                              <a:lnTo>
                                <a:pt x="291" y="0"/>
                              </a:lnTo>
                              <a:cubicBezTo>
                                <a:pt x="240" y="0"/>
                                <a:pt x="190" y="13"/>
                                <a:pt x="146" y="39"/>
                              </a:cubicBezTo>
                              <a:cubicBezTo>
                                <a:pt x="101" y="65"/>
                                <a:pt x="65" y="101"/>
                                <a:pt x="39" y="146"/>
                              </a:cubicBezTo>
                              <a:cubicBezTo>
                                <a:pt x="13" y="190"/>
                                <a:pt x="0" y="240"/>
                                <a:pt x="0" y="291"/>
                              </a:cubicBezTo>
                              <a:lnTo>
                                <a:pt x="0" y="1454"/>
                              </a:lnTo>
                              <a:lnTo>
                                <a:pt x="0" y="1455"/>
                              </a:lnTo>
                              <a:cubicBezTo>
                                <a:pt x="0" y="1506"/>
                                <a:pt x="13" y="1556"/>
                                <a:pt x="39" y="1601"/>
                              </a:cubicBezTo>
                              <a:cubicBezTo>
                                <a:pt x="65" y="1645"/>
                                <a:pt x="101" y="1681"/>
                                <a:pt x="146" y="1707"/>
                              </a:cubicBezTo>
                              <a:cubicBezTo>
                                <a:pt x="190" y="1733"/>
                                <a:pt x="240" y="1746"/>
                                <a:pt x="291" y="1746"/>
                              </a:cubicBezTo>
                              <a:lnTo>
                                <a:pt x="8086" y="1745"/>
                              </a:lnTo>
                              <a:lnTo>
                                <a:pt x="8086" y="1746"/>
                              </a:lnTo>
                              <a:cubicBezTo>
                                <a:pt x="8137" y="1746"/>
                                <a:pt x="8187" y="1733"/>
                                <a:pt x="8232" y="1707"/>
                              </a:cubicBezTo>
                              <a:cubicBezTo>
                                <a:pt x="8276" y="1681"/>
                                <a:pt x="8312" y="1645"/>
                                <a:pt x="8338" y="1601"/>
                              </a:cubicBezTo>
                              <a:cubicBezTo>
                                <a:pt x="8364" y="1556"/>
                                <a:pt x="8377" y="1506"/>
                                <a:pt x="8377" y="1455"/>
                              </a:cubicBezTo>
                              <a:lnTo>
                                <a:pt x="8377" y="291"/>
                              </a:lnTo>
                              <a:lnTo>
                                <a:pt x="8377" y="291"/>
                              </a:lnTo>
                              <a:lnTo>
                                <a:pt x="8377" y="291"/>
                              </a:lnTo>
                              <a:cubicBezTo>
                                <a:pt x="8377" y="240"/>
                                <a:pt x="8364" y="190"/>
                                <a:pt x="8338" y="146"/>
                              </a:cubicBezTo>
                              <a:cubicBezTo>
                                <a:pt x="8312" y="101"/>
                                <a:pt x="8276" y="65"/>
                                <a:pt x="8232" y="39"/>
                              </a:cubicBezTo>
                              <a:cubicBezTo>
                                <a:pt x="8187" y="13"/>
                                <a:pt x="8137" y="0"/>
                                <a:pt x="8086" y="0"/>
                              </a:cubicBezTo>
                              <a:lnTo>
                                <a:pt x="291" y="0"/>
                              </a:lnTo>
                            </a:path>
                          </a:pathLst>
                        </a:custGeom>
                        <a:solidFill>
                          <a:srgbClr val="EC8F89"/>
                        </a:solidFill>
                        <a:ln>
                          <a:solidFill>
                            <a:srgbClr val="3465A4"/>
                          </a:solidFill>
                        </a:ln>
                        <a:effectLst/>
                      </wps:spPr>
                      <wps:txbx>
                        <w:txbxContent>
                          <w:p w14:paraId="1B963521" w14:textId="77777777" w:rsidR="000F0D13" w:rsidRPr="00D56217" w:rsidRDefault="000F0D13" w:rsidP="00D56217">
                            <w:pPr>
                              <w:spacing w:after="0"/>
                              <w:jc w:val="center"/>
                              <w:rPr>
                                <w:rFonts w:ascii="Open Sans" w:hAnsi="Open Sans" w:cs="Open Sans"/>
                              </w:rPr>
                            </w:pPr>
                            <w:r w:rsidRPr="00D56217">
                              <w:rPr>
                                <w:rFonts w:ascii="Open Sans" w:hAnsi="Open Sans" w:cs="Open Sans"/>
                                <w:b/>
                                <w:bCs/>
                                <w:color w:val="FFFFFF"/>
                                <w:sz w:val="16"/>
                                <w:szCs w:val="16"/>
                                <w:u w:val="single"/>
                              </w:rPr>
                              <w:t>ACTUACIONES EN LA FASE DE INVESTIGACIÓN</w:t>
                            </w:r>
                          </w:p>
                          <w:p w14:paraId="6C80E3EA" w14:textId="42D24B54" w:rsidR="000F0D13" w:rsidRPr="00D56217" w:rsidRDefault="000F0D13" w:rsidP="00D56217">
                            <w:pPr>
                              <w:spacing w:after="0"/>
                              <w:jc w:val="center"/>
                              <w:rPr>
                                <w:rFonts w:ascii="Open Sans" w:hAnsi="Open Sans" w:cs="Open Sans"/>
                              </w:rPr>
                            </w:pPr>
                            <w:r w:rsidRPr="00D56217">
                              <w:rPr>
                                <w:rFonts w:ascii="Open Sans" w:hAnsi="Open Sans" w:cs="Open Sans"/>
                                <w:color w:val="FFFFFF"/>
                                <w:sz w:val="16"/>
                                <w:szCs w:val="16"/>
                              </w:rPr>
                              <w:t xml:space="preserve">Las actuaciones en la fase de investigación se dirigen a la realización de nuevos requerimientos </w:t>
                            </w:r>
                          </w:p>
                          <w:p w14:paraId="27B4794D" w14:textId="77777777" w:rsidR="000F0D13" w:rsidRPr="00D56217" w:rsidRDefault="000F0D13" w:rsidP="00D56217">
                            <w:pPr>
                              <w:spacing w:after="0"/>
                              <w:jc w:val="center"/>
                              <w:rPr>
                                <w:rFonts w:ascii="Open Sans" w:hAnsi="Open Sans" w:cs="Open Sans"/>
                              </w:rPr>
                            </w:pPr>
                            <w:r w:rsidRPr="00D56217">
                              <w:rPr>
                                <w:rFonts w:ascii="Open Sans" w:hAnsi="Open Sans" w:cs="Open Sans"/>
                                <w:color w:val="FFFFFF"/>
                                <w:sz w:val="16"/>
                                <w:szCs w:val="16"/>
                              </w:rPr>
                              <w:t>de información y documentación a efectos de la fijación y constatación de los hechos ocurridos y de las</w:t>
                            </w:r>
                          </w:p>
                          <w:p w14:paraId="519E4B06" w14:textId="77777777" w:rsidR="000F0D13" w:rsidRPr="00D56217" w:rsidRDefault="000F0D13" w:rsidP="00D56217">
                            <w:pPr>
                              <w:spacing w:after="0"/>
                              <w:jc w:val="center"/>
                              <w:rPr>
                                <w:rFonts w:ascii="Open Sans" w:hAnsi="Open Sans" w:cs="Open Sans"/>
                              </w:rPr>
                            </w:pPr>
                            <w:r w:rsidRPr="00D56217">
                              <w:rPr>
                                <w:rFonts w:ascii="Open Sans" w:hAnsi="Open Sans" w:cs="Open Sans"/>
                                <w:color w:val="FFFFFF"/>
                                <w:sz w:val="16"/>
                                <w:szCs w:val="16"/>
                              </w:rPr>
                              <w:t xml:space="preserve">posibles responsabilidades que de ellos se pudieren derivar. Asimismo, puede acordarse la realización </w:t>
                            </w:r>
                          </w:p>
                          <w:p w14:paraId="40B10D08" w14:textId="77777777" w:rsidR="000F0D13" w:rsidRPr="00D56217" w:rsidRDefault="000F0D13" w:rsidP="00D56217">
                            <w:pPr>
                              <w:spacing w:after="0"/>
                              <w:jc w:val="center"/>
                              <w:rPr>
                                <w:rFonts w:ascii="Open Sans" w:hAnsi="Open Sans" w:cs="Open Sans"/>
                              </w:rPr>
                            </w:pPr>
                            <w:r w:rsidRPr="00D56217">
                              <w:rPr>
                                <w:rFonts w:ascii="Open Sans" w:hAnsi="Open Sans" w:cs="Open Sans"/>
                                <w:color w:val="FFFFFF"/>
                                <w:sz w:val="16"/>
                                <w:szCs w:val="16"/>
                              </w:rPr>
                              <w:t xml:space="preserve">de cualesquiera de las diligencias que la Ley 11/2016 contempla (personación en dependencias </w:t>
                            </w:r>
                          </w:p>
                          <w:p w14:paraId="634DBC4D" w14:textId="0D19C207" w:rsidR="000F0D13" w:rsidRPr="00D56217" w:rsidRDefault="000F0D13" w:rsidP="00D56217">
                            <w:pPr>
                              <w:spacing w:after="0"/>
                              <w:jc w:val="center"/>
                              <w:rPr>
                                <w:rFonts w:ascii="Open Sans" w:hAnsi="Open Sans" w:cs="Open Sans"/>
                              </w:rPr>
                            </w:pPr>
                            <w:r w:rsidRPr="00D56217">
                              <w:rPr>
                                <w:rFonts w:ascii="Open Sans" w:hAnsi="Open Sans" w:cs="Open Sans"/>
                                <w:color w:val="FFFFFF"/>
                                <w:sz w:val="16"/>
                                <w:szCs w:val="16"/>
                              </w:rPr>
                              <w:t xml:space="preserve">administrativas, examen de registros y archivos, realización de entrevistas personales, acceso a </w:t>
                            </w:r>
                          </w:p>
                          <w:p w14:paraId="383DD25B" w14:textId="77777777" w:rsidR="000F0D13" w:rsidRPr="00D56217" w:rsidRDefault="000F0D13" w:rsidP="00D56217">
                            <w:pPr>
                              <w:spacing w:after="0"/>
                              <w:jc w:val="center"/>
                              <w:rPr>
                                <w:rFonts w:ascii="Open Sans" w:hAnsi="Open Sans" w:cs="Open Sans"/>
                              </w:rPr>
                            </w:pPr>
                            <w:r w:rsidRPr="00D56217">
                              <w:rPr>
                                <w:rFonts w:ascii="Open Sans" w:hAnsi="Open Sans" w:cs="Open Sans"/>
                                <w:color w:val="FFFFFF"/>
                                <w:sz w:val="16"/>
                                <w:szCs w:val="16"/>
                              </w:rPr>
                              <w:t>información de cuentas corrientes bancarias, etc.)</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5EF167E8" id="_x0000_s1053" style="position:absolute;left:0;text-align:left;margin-left:16.95pt;margin-top:.4pt;width:387.75pt;height:88.5pt;z-index:25182208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8378,174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nnRUgMAACsKAAAOAAAAZHJzL2Uyb0RvYy54bWysVttu3CAQfa/Uf7D83vh+2VV2ozRpqkpV&#10;GynpB7AY71qyjQvsJf36DmDsxXGqpMqLDcxwmDkzzHB5dWpq50AYr2i7coML33VIi2lRtduV++vx&#10;7lPuOlygtkA1bcnKfSLcvVp//HB57JYkpDtaF4Q5ANLy5bFbuTshuqXncbwjDeIXtCMtCEvKGiRg&#10;yrZewdAR0JvaC30/9Y6UFR2jmHAOq7da6K4VflkSLH6WJSfCqVcu2CbUl6nvRn699SVabhnqdhXu&#10;zUD/YUWDqhYOHaBukUDOnlXPoJoKM8ppKS4wbTxalhUmygfwJvAn3jzsUEeUL0AO7waa+PvB4h+H&#10;h+6eAQ3Hji85DKUXp5I18g/2OSdF1tNAFjkJB8NivAjjOExcB4MsCMJokSg6vXE73nPxlVAFhQ7f&#10;udBsF2aEdmaET60ZMojZNFrMdSBaGx2tDgm5T9onh85x5eZRBnm2AzuyOFNxaOiBPFKlI6QL4SJw&#10;HeMEmDjK6/ZfekaK95sKfyZ/LN0YMspggjHqoGChF4Oot1avxqlSjRZyFc638exZD+Rri9PkHAhm&#10;8sgAhIpMrQuwahVOeTV8pLeAuWdA2vYQHHu+CAzOgRuGtCW983ES98pGbP4TNeUc8GHEc0z0mImv&#10;vBuI7h1IEmvZUJFqhl5FtSE1jS2uJcmK1jS32A76YAaZn81SMufEkBdZZGWG5FodkungGfdMwkJG&#10;zwfVMKYJzf1cZxjoTzl9WdMgG405w/MgymYtzIPcCGyX8jAK+x1vICgPs96DCd15FPRwk/jkUQS3&#10;Xt6GtwQ7j9JY75pkDhSR3p9Jpo2CODHc2kwZ/vpYGCAZQ31ljIL5v5+ibcgU177Io+v2rR+JfCHX&#10;5g8xYbFr0RBHu3ANSfGGEjhmmHVlhoy0qtRwA0wXso22mTe3y+hqKRQL2VFUgR66jKogYx/jtK6K&#10;u6quZW/hbLu5qZlzQPC8+HKT3+WmvltqdauUX9wZxWlybQrm2U5VF+VWol4yukN6Y6OWI3HanJyq&#10;gA6napFc2tDi6Z45R3jVrFz+e48YcZ36WwvPBqg1wgyYGWzMALV4R+FxhAVTTbSl13tBy0r2bXWs&#10;Ru4n8CJRTPWvJ/nkOZ8rrfGNt/4LAAD//wMAUEsDBBQABgAIAAAAIQAJF1Iw3QAAAAcBAAAPAAAA&#10;ZHJzL2Rvd25yZXYueG1sTI7BTsJAFEX3JvzD5Jm4kylibKmdEjVhJSEBhLgcOs+22HlTOwMUv97H&#10;Cpc39+Tek01724gjdr52pGA0jEAgFc7UVCr4WM/uExA+aDK6cYQKzuhhmg9uMp0ad6IlHlehFDxC&#10;PtUKqhDaVEpfVGi1H7oWibsv11kdOHalNJ0+8bht5EMUPUmra+KHSrf4VmHxvTpY/l0s5rPi9Yyf&#10;o3j+077L/Xa9+VXq7rZ/eQYRsA9XGC76rA45O+3cgYwXjYLxeMKkAvbnNokmjyB2jMVxAjLP5H//&#10;/A8AAP//AwBQSwECLQAUAAYACAAAACEAtoM4kv4AAADhAQAAEwAAAAAAAAAAAAAAAAAAAAAAW0Nv&#10;bnRlbnRfVHlwZXNdLnhtbFBLAQItABQABgAIAAAAIQA4/SH/1gAAAJQBAAALAAAAAAAAAAAAAAAA&#10;AC8BAABfcmVscy8ucmVsc1BLAQItABQABgAIAAAAIQBE9nnRUgMAACsKAAAOAAAAAAAAAAAAAAAA&#10;AC4CAABkcnMvZTJvRG9jLnhtbFBLAQItABQABgAIAAAAIQAJF1Iw3QAAAAcBAAAPAAAAAAAAAAAA&#10;AAAAAKwFAABkcnMvZG93bnJldi54bWxQSwUGAAAAAAQABADzAAAAtgYAAAAA&#10;" adj="-11796480,,5400" path="m291,r,c240,,190,13,146,39,101,65,65,101,39,146,13,190,,240,,291l,1454r,1c,1506,13,1556,39,1601v26,44,62,80,107,106c190,1733,240,1746,291,1746r7795,-1l8086,1746v51,,101,-13,146,-39c8276,1681,8312,1645,8338,1601v26,-45,39,-95,39,-146l8377,291r,l8377,291v,-51,-13,-101,-39,-145c8312,101,8276,65,8232,39,8187,13,8137,,8086,l291,e" fillcolor="#ec8f89" strokecolor="#3465a4">
                <v:stroke joinstyle="miter"/>
                <v:formulas/>
                <v:path arrowok="t" o:connecttype="custom" textboxrect="0,0,8378,1747"/>
                <v:textbox inset="0,0,0,0">
                  <w:txbxContent>
                    <w:p w14:paraId="1B963521" w14:textId="77777777" w:rsidR="000F0D13" w:rsidRPr="00D56217" w:rsidRDefault="000F0D13" w:rsidP="00D56217">
                      <w:pPr>
                        <w:spacing w:after="0"/>
                        <w:jc w:val="center"/>
                        <w:rPr>
                          <w:rFonts w:ascii="Open Sans" w:hAnsi="Open Sans" w:cs="Open Sans"/>
                        </w:rPr>
                      </w:pPr>
                      <w:r w:rsidRPr="00D56217">
                        <w:rPr>
                          <w:rFonts w:ascii="Open Sans" w:hAnsi="Open Sans" w:cs="Open Sans"/>
                          <w:b/>
                          <w:bCs/>
                          <w:color w:val="FFFFFF"/>
                          <w:sz w:val="16"/>
                          <w:szCs w:val="16"/>
                          <w:u w:val="single"/>
                        </w:rPr>
                        <w:t>ACTUACIONES EN LA FASE DE INVESTIGACIÓN</w:t>
                      </w:r>
                    </w:p>
                    <w:p w14:paraId="6C80E3EA" w14:textId="42D24B54" w:rsidR="000F0D13" w:rsidRPr="00D56217" w:rsidRDefault="000F0D13" w:rsidP="00D56217">
                      <w:pPr>
                        <w:spacing w:after="0"/>
                        <w:jc w:val="center"/>
                        <w:rPr>
                          <w:rFonts w:ascii="Open Sans" w:hAnsi="Open Sans" w:cs="Open Sans"/>
                        </w:rPr>
                      </w:pPr>
                      <w:r w:rsidRPr="00D56217">
                        <w:rPr>
                          <w:rFonts w:ascii="Open Sans" w:hAnsi="Open Sans" w:cs="Open Sans"/>
                          <w:color w:val="FFFFFF"/>
                          <w:sz w:val="16"/>
                          <w:szCs w:val="16"/>
                        </w:rPr>
                        <w:t xml:space="preserve">Las actuaciones en la fase de investigación se dirigen a la realización de nuevos requerimientos </w:t>
                      </w:r>
                    </w:p>
                    <w:p w14:paraId="27B4794D" w14:textId="77777777" w:rsidR="000F0D13" w:rsidRPr="00D56217" w:rsidRDefault="000F0D13" w:rsidP="00D56217">
                      <w:pPr>
                        <w:spacing w:after="0"/>
                        <w:jc w:val="center"/>
                        <w:rPr>
                          <w:rFonts w:ascii="Open Sans" w:hAnsi="Open Sans" w:cs="Open Sans"/>
                        </w:rPr>
                      </w:pPr>
                      <w:r w:rsidRPr="00D56217">
                        <w:rPr>
                          <w:rFonts w:ascii="Open Sans" w:hAnsi="Open Sans" w:cs="Open Sans"/>
                          <w:color w:val="FFFFFF"/>
                          <w:sz w:val="16"/>
                          <w:szCs w:val="16"/>
                        </w:rPr>
                        <w:t>de información y documentación a efectos de la fijación y constatación de los hechos ocurridos y de las</w:t>
                      </w:r>
                    </w:p>
                    <w:p w14:paraId="519E4B06" w14:textId="77777777" w:rsidR="000F0D13" w:rsidRPr="00D56217" w:rsidRDefault="000F0D13" w:rsidP="00D56217">
                      <w:pPr>
                        <w:spacing w:after="0"/>
                        <w:jc w:val="center"/>
                        <w:rPr>
                          <w:rFonts w:ascii="Open Sans" w:hAnsi="Open Sans" w:cs="Open Sans"/>
                        </w:rPr>
                      </w:pPr>
                      <w:r w:rsidRPr="00D56217">
                        <w:rPr>
                          <w:rFonts w:ascii="Open Sans" w:hAnsi="Open Sans" w:cs="Open Sans"/>
                          <w:color w:val="FFFFFF"/>
                          <w:sz w:val="16"/>
                          <w:szCs w:val="16"/>
                        </w:rPr>
                        <w:t xml:space="preserve">posibles responsabilidades que de ellos se pudieren derivar. Asimismo, puede acordarse la realización </w:t>
                      </w:r>
                    </w:p>
                    <w:p w14:paraId="40B10D08" w14:textId="77777777" w:rsidR="000F0D13" w:rsidRPr="00D56217" w:rsidRDefault="000F0D13" w:rsidP="00D56217">
                      <w:pPr>
                        <w:spacing w:after="0"/>
                        <w:jc w:val="center"/>
                        <w:rPr>
                          <w:rFonts w:ascii="Open Sans" w:hAnsi="Open Sans" w:cs="Open Sans"/>
                        </w:rPr>
                      </w:pPr>
                      <w:r w:rsidRPr="00D56217">
                        <w:rPr>
                          <w:rFonts w:ascii="Open Sans" w:hAnsi="Open Sans" w:cs="Open Sans"/>
                          <w:color w:val="FFFFFF"/>
                          <w:sz w:val="16"/>
                          <w:szCs w:val="16"/>
                        </w:rPr>
                        <w:t xml:space="preserve">de cualesquiera de las diligencias que la Ley 11/2016 contempla (personación en dependencias </w:t>
                      </w:r>
                    </w:p>
                    <w:p w14:paraId="634DBC4D" w14:textId="0D19C207" w:rsidR="000F0D13" w:rsidRPr="00D56217" w:rsidRDefault="000F0D13" w:rsidP="00D56217">
                      <w:pPr>
                        <w:spacing w:after="0"/>
                        <w:jc w:val="center"/>
                        <w:rPr>
                          <w:rFonts w:ascii="Open Sans" w:hAnsi="Open Sans" w:cs="Open Sans"/>
                        </w:rPr>
                      </w:pPr>
                      <w:r w:rsidRPr="00D56217">
                        <w:rPr>
                          <w:rFonts w:ascii="Open Sans" w:hAnsi="Open Sans" w:cs="Open Sans"/>
                          <w:color w:val="FFFFFF"/>
                          <w:sz w:val="16"/>
                          <w:szCs w:val="16"/>
                        </w:rPr>
                        <w:t xml:space="preserve">administrativas, examen de registros y archivos, realización de entrevistas personales, acceso a </w:t>
                      </w:r>
                    </w:p>
                    <w:p w14:paraId="383DD25B" w14:textId="77777777" w:rsidR="000F0D13" w:rsidRPr="00D56217" w:rsidRDefault="000F0D13" w:rsidP="00D56217">
                      <w:pPr>
                        <w:spacing w:after="0"/>
                        <w:jc w:val="center"/>
                        <w:rPr>
                          <w:rFonts w:ascii="Open Sans" w:hAnsi="Open Sans" w:cs="Open Sans"/>
                        </w:rPr>
                      </w:pPr>
                      <w:r w:rsidRPr="00D56217">
                        <w:rPr>
                          <w:rFonts w:ascii="Open Sans" w:hAnsi="Open Sans" w:cs="Open Sans"/>
                          <w:color w:val="FFFFFF"/>
                          <w:sz w:val="16"/>
                          <w:szCs w:val="16"/>
                        </w:rPr>
                        <w:t>información de cuentas corrientes bancarias, etc.)</w:t>
                      </w:r>
                    </w:p>
                  </w:txbxContent>
                </v:textbox>
              </v:shape>
            </w:pict>
          </mc:Fallback>
        </mc:AlternateContent>
      </w:r>
    </w:p>
    <w:p w14:paraId="272E148A" w14:textId="392CEDB3" w:rsidR="009568B0" w:rsidRPr="00A07BE9" w:rsidRDefault="009568B0" w:rsidP="009568B0">
      <w:pPr>
        <w:spacing w:after="0" w:line="240" w:lineRule="auto"/>
        <w:jc w:val="center"/>
        <w:rPr>
          <w:rFonts w:ascii="Open Sans" w:eastAsia="NSimSun" w:hAnsi="Open Sans" w:cs="Arial"/>
          <w:kern w:val="2"/>
          <w:sz w:val="24"/>
          <w:szCs w:val="24"/>
          <w:lang w:eastAsia="zh-CN" w:bidi="hi-IN"/>
        </w:rPr>
      </w:pPr>
    </w:p>
    <w:p w14:paraId="2DD6C754" w14:textId="77777777" w:rsidR="009568B0" w:rsidRPr="00A07BE9" w:rsidRDefault="009568B0" w:rsidP="009568B0">
      <w:pPr>
        <w:spacing w:after="0" w:line="240" w:lineRule="auto"/>
        <w:jc w:val="center"/>
        <w:rPr>
          <w:rFonts w:ascii="Open Sans" w:eastAsia="NSimSun" w:hAnsi="Open Sans" w:cs="Arial"/>
          <w:kern w:val="2"/>
          <w:sz w:val="24"/>
          <w:szCs w:val="24"/>
          <w:lang w:eastAsia="zh-CN" w:bidi="hi-IN"/>
        </w:rPr>
      </w:pPr>
    </w:p>
    <w:p w14:paraId="23A9A926" w14:textId="77777777" w:rsidR="009568B0" w:rsidRPr="00A07BE9" w:rsidRDefault="009568B0" w:rsidP="009568B0">
      <w:pPr>
        <w:spacing w:after="0" w:line="240" w:lineRule="auto"/>
        <w:jc w:val="center"/>
        <w:rPr>
          <w:rFonts w:ascii="Open Sans" w:eastAsia="NSimSun" w:hAnsi="Open Sans" w:cs="Arial"/>
          <w:kern w:val="2"/>
          <w:sz w:val="24"/>
          <w:szCs w:val="24"/>
          <w:lang w:eastAsia="zh-CN" w:bidi="hi-IN"/>
        </w:rPr>
      </w:pPr>
    </w:p>
    <w:p w14:paraId="3ECAE328" w14:textId="43D22187" w:rsidR="009568B0" w:rsidRPr="00A07BE9" w:rsidRDefault="009568B0" w:rsidP="009568B0">
      <w:pPr>
        <w:spacing w:after="0" w:line="240" w:lineRule="auto"/>
        <w:jc w:val="center"/>
        <w:rPr>
          <w:rFonts w:ascii="Open Sans" w:eastAsia="NSimSun" w:hAnsi="Open Sans" w:cs="Arial"/>
          <w:kern w:val="2"/>
          <w:sz w:val="24"/>
          <w:szCs w:val="24"/>
          <w:lang w:eastAsia="zh-CN" w:bidi="hi-IN"/>
        </w:rPr>
      </w:pPr>
    </w:p>
    <w:p w14:paraId="087952E5" w14:textId="15720CE2" w:rsidR="009568B0" w:rsidRPr="00A07BE9" w:rsidRDefault="004C557F" w:rsidP="009568B0">
      <w:pPr>
        <w:spacing w:after="0" w:line="240" w:lineRule="auto"/>
        <w:jc w:val="center"/>
        <w:rPr>
          <w:rFonts w:ascii="Open Sans" w:eastAsia="NSimSun" w:hAnsi="Open Sans" w:cs="Arial"/>
          <w:kern w:val="2"/>
          <w:sz w:val="24"/>
          <w:szCs w:val="24"/>
          <w:lang w:eastAsia="zh-CN" w:bidi="hi-IN"/>
        </w:rPr>
      </w:pPr>
      <w:r w:rsidRPr="00A07BE9">
        <w:rPr>
          <w:rFonts w:ascii="Open Sans" w:eastAsia="NSimSun" w:hAnsi="Open Sans" w:cs="Arial"/>
          <w:noProof/>
          <w:kern w:val="2"/>
          <w:sz w:val="24"/>
          <w:szCs w:val="24"/>
          <w:lang w:eastAsia="es-ES"/>
        </w:rPr>
        <mc:AlternateContent>
          <mc:Choice Requires="wps">
            <w:drawing>
              <wp:anchor distT="0" distB="0" distL="0" distR="0" simplePos="0" relativeHeight="251831296" behindDoc="0" locked="0" layoutInCell="1" allowOverlap="1" wp14:anchorId="2BB42CEF" wp14:editId="5365081A">
                <wp:simplePos x="0" y="0"/>
                <wp:positionH relativeFrom="margin">
                  <wp:align>center</wp:align>
                </wp:positionH>
                <wp:positionV relativeFrom="paragraph">
                  <wp:posOffset>86995</wp:posOffset>
                </wp:positionV>
                <wp:extent cx="170180" cy="260350"/>
                <wp:effectExtent l="0" t="0" r="20320" b="25400"/>
                <wp:wrapNone/>
                <wp:docPr id="68" name="Forma7"/>
                <wp:cNvGraphicFramePr/>
                <a:graphic xmlns:a="http://schemas.openxmlformats.org/drawingml/2006/main">
                  <a:graphicData uri="http://schemas.microsoft.com/office/word/2010/wordprocessingShape">
                    <wps:wsp>
                      <wps:cNvSpPr/>
                      <wps:spPr>
                        <a:xfrm>
                          <a:off x="0" y="0"/>
                          <a:ext cx="170180" cy="260350"/>
                        </a:xfrm>
                        <a:custGeom>
                          <a:avLst/>
                          <a:gdLst/>
                          <a:ahLst/>
                          <a:cxnLst/>
                          <a:rect l="0" t="0" r="r" b="b"/>
                          <a:pathLst>
                            <a:path w="269" h="411">
                              <a:moveTo>
                                <a:pt x="67" y="0"/>
                              </a:moveTo>
                              <a:lnTo>
                                <a:pt x="67" y="307"/>
                              </a:lnTo>
                              <a:lnTo>
                                <a:pt x="0" y="307"/>
                              </a:lnTo>
                              <a:lnTo>
                                <a:pt x="134" y="410"/>
                              </a:lnTo>
                              <a:lnTo>
                                <a:pt x="268" y="307"/>
                              </a:lnTo>
                              <a:lnTo>
                                <a:pt x="201" y="307"/>
                              </a:lnTo>
                              <a:lnTo>
                                <a:pt x="201" y="0"/>
                              </a:lnTo>
                              <a:lnTo>
                                <a:pt x="67" y="0"/>
                              </a:lnTo>
                            </a:path>
                          </a:pathLst>
                        </a:custGeom>
                        <a:solidFill>
                          <a:srgbClr val="5B6770"/>
                        </a:solidFill>
                        <a:ln>
                          <a:solidFill>
                            <a:srgbClr val="3465A4"/>
                          </a:solidFill>
                        </a:ln>
                        <a:effectLst/>
                      </wps:spPr>
                      <wps:bodyPr/>
                    </wps:wsp>
                  </a:graphicData>
                </a:graphic>
              </wp:anchor>
            </w:drawing>
          </mc:Choice>
          <mc:Fallback>
            <w:pict>
              <v:shape w14:anchorId="773B3C05" id="Forma7" o:spid="_x0000_s1026" style="position:absolute;margin-left:0;margin-top:6.85pt;width:13.4pt;height:20.5pt;z-index:251831296;visibility:visible;mso-wrap-style:square;mso-wrap-distance-left:0;mso-wrap-distance-top:0;mso-wrap-distance-right:0;mso-wrap-distance-bottom:0;mso-position-horizontal:center;mso-position-horizontal-relative:margin;mso-position-vertical:absolute;mso-position-vertical-relative:text;v-text-anchor:top" coordsize="26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tgxCgIAAN8EAAAOAAAAZHJzL2Uyb0RvYy54bWysVNuO2yAQfa/Uf0C8N7YTx9lasVdtV+lL&#10;1a602w8gGMdIGBCwtvP3HXDIZtN71RczwMyZmXMYb2+nXqCBGcuVrHC2SDFikqqGy0OFvz7u3txg&#10;ZB2RDRFKsgofmcW39etX21GXbKk6JRpmEIBIW466wp1zukwSSzvWE7tQmkm4bJXpiYOtOSSNISOg&#10;9yJZpmmRjMo02ijKrIXTu/kS1wG/bRl1X9rWModEhaE2F74mfPf+m9RbUh4M0R2npzLIP1TREy4h&#10;6RnqjjiCngz/Dqrn1CirWregqk9U23LKQg/QTZZedfPQEc1CL0CO1Wea7P+DpZ+He4N4U+EClJKk&#10;B412nu2Np2bUtgSPB31vTjsLpu9zak3vV+gATYHO45lONjlE4TDbpNkNkE7halmkq3WgO3kOpk/W&#10;fWQqAJHhk3WzGk20SBctOsloGtD0Wk2DEai5n9XUxPk4X5030eizv8Woq3CeZUGlXg3sUQUP58sv&#10;NhjF+qG+52shf+C2SgM54Biv46oDGrQMYL/zylZ58MuzSEtEieuMtvTC/AEevJ+/8vt11itG5pKg&#10;Y89ovT0ZgWWwL3W0SvBmx4Xw7Fpz2H8QBg0Exm/9vthsYtYXbkIG559GrvJi/S736kKyi0jYzaEs&#10;TPr8QhL/aOdn6q29ao7h9YZzmKIAcpp4P6aXe7Av/0v1NwAAAP//AwBQSwMEFAAGAAgAAAAhALwv&#10;dyPbAAAABQEAAA8AAABkcnMvZG93bnJldi54bWxMj8FOwzAQRO9I/IO1SNyoQ4EmTeNUiLbiRKW2&#10;iLMTL3FEvI5itwl/z3KC4+ysZt4U68l14oJDaD0puJ8lIJBqb1pqFLyfdncZiBA1Gd15QgXfGGBd&#10;Xl8VOjd+pANejrERHEIh1wpsjH0uZagtOh1mvkdi79MPTkeWQyPNoEcOd52cJ8lCOt0SN1jd44vF&#10;+ut4dgqW29dN9vE24ibbTmjHXdUc9qlStzfT8wpExCn+PcMvPqNDyUyVP5MJolPAQyJfH1IQ7M4X&#10;vKNS8PSYgiwL+Z++/AEAAP//AwBQSwECLQAUAAYACAAAACEAtoM4kv4AAADhAQAAEwAAAAAAAAAA&#10;AAAAAAAAAAAAW0NvbnRlbnRfVHlwZXNdLnhtbFBLAQItABQABgAIAAAAIQA4/SH/1gAAAJQBAAAL&#10;AAAAAAAAAAAAAAAAAC8BAABfcmVscy8ucmVsc1BLAQItABQABgAIAAAAIQDT8tgxCgIAAN8EAAAO&#10;AAAAAAAAAAAAAAAAAC4CAABkcnMvZTJvRG9jLnhtbFBLAQItABQABgAIAAAAIQC8L3cj2wAAAAUB&#10;AAAPAAAAAAAAAAAAAAAAAGQEAABkcnMvZG93bnJldi54bWxQSwUGAAAAAAQABADzAAAAbAUAAAAA&#10;" path="m67,r,307l,307,134,410,268,307r-67,l201,,67,e" fillcolor="#5b6770" strokecolor="#3465a4">
                <v:path arrowok="t"/>
                <w10:wrap anchorx="margin"/>
              </v:shape>
            </w:pict>
          </mc:Fallback>
        </mc:AlternateContent>
      </w:r>
    </w:p>
    <w:p w14:paraId="316DDB1B" w14:textId="47AD12CF" w:rsidR="009568B0" w:rsidRPr="00A07BE9" w:rsidRDefault="004C557F" w:rsidP="009568B0">
      <w:pPr>
        <w:spacing w:after="0" w:line="240" w:lineRule="auto"/>
        <w:jc w:val="center"/>
        <w:rPr>
          <w:rFonts w:ascii="Open Sans" w:eastAsia="NSimSun" w:hAnsi="Open Sans" w:cs="Arial"/>
          <w:kern w:val="2"/>
          <w:sz w:val="24"/>
          <w:szCs w:val="24"/>
          <w:lang w:eastAsia="zh-CN" w:bidi="hi-IN"/>
        </w:rPr>
      </w:pPr>
      <w:r w:rsidRPr="00A07BE9">
        <w:rPr>
          <w:rFonts w:ascii="Open Sans" w:eastAsia="NSimSun" w:hAnsi="Open Sans" w:cs="Arial"/>
          <w:noProof/>
          <w:kern w:val="2"/>
          <w:sz w:val="24"/>
          <w:szCs w:val="24"/>
          <w:lang w:eastAsia="es-ES"/>
        </w:rPr>
        <mc:AlternateContent>
          <mc:Choice Requires="wps">
            <w:drawing>
              <wp:anchor distT="0" distB="0" distL="0" distR="0" simplePos="0" relativeHeight="251824128" behindDoc="0" locked="0" layoutInCell="1" allowOverlap="1" wp14:anchorId="5B50B877" wp14:editId="55B76058">
                <wp:simplePos x="0" y="0"/>
                <wp:positionH relativeFrom="margin">
                  <wp:align>center</wp:align>
                </wp:positionH>
                <wp:positionV relativeFrom="paragraph">
                  <wp:posOffset>169545</wp:posOffset>
                </wp:positionV>
                <wp:extent cx="2031365" cy="876300"/>
                <wp:effectExtent l="0" t="0" r="26035" b="19050"/>
                <wp:wrapNone/>
                <wp:docPr id="249" name="Forma1"/>
                <wp:cNvGraphicFramePr/>
                <a:graphic xmlns:a="http://schemas.openxmlformats.org/drawingml/2006/main">
                  <a:graphicData uri="http://schemas.microsoft.com/office/word/2010/wordprocessingShape">
                    <wps:wsp>
                      <wps:cNvSpPr/>
                      <wps:spPr>
                        <a:xfrm>
                          <a:off x="0" y="0"/>
                          <a:ext cx="2031365" cy="876300"/>
                        </a:xfrm>
                        <a:custGeom>
                          <a:avLst/>
                          <a:gdLst/>
                          <a:ahLst/>
                          <a:cxnLst/>
                          <a:rect l="0" t="0" r="r" b="b"/>
                          <a:pathLst>
                            <a:path w="3412" h="1672">
                              <a:moveTo>
                                <a:pt x="278" y="0"/>
                              </a:moveTo>
                              <a:lnTo>
                                <a:pt x="279" y="0"/>
                              </a:lnTo>
                              <a:cubicBezTo>
                                <a:pt x="230" y="0"/>
                                <a:pt x="182" y="13"/>
                                <a:pt x="139" y="37"/>
                              </a:cubicBezTo>
                              <a:cubicBezTo>
                                <a:pt x="97" y="62"/>
                                <a:pt x="62" y="97"/>
                                <a:pt x="37" y="139"/>
                              </a:cubicBezTo>
                              <a:cubicBezTo>
                                <a:pt x="13" y="182"/>
                                <a:pt x="0" y="230"/>
                                <a:pt x="0" y="279"/>
                              </a:cubicBezTo>
                              <a:lnTo>
                                <a:pt x="0" y="1392"/>
                              </a:lnTo>
                              <a:lnTo>
                                <a:pt x="0" y="1393"/>
                              </a:lnTo>
                              <a:cubicBezTo>
                                <a:pt x="0" y="1441"/>
                                <a:pt x="13" y="1489"/>
                                <a:pt x="37" y="1532"/>
                              </a:cubicBezTo>
                              <a:cubicBezTo>
                                <a:pt x="62" y="1574"/>
                                <a:pt x="97" y="1609"/>
                                <a:pt x="139" y="1634"/>
                              </a:cubicBezTo>
                              <a:cubicBezTo>
                                <a:pt x="182" y="1658"/>
                                <a:pt x="230" y="1671"/>
                                <a:pt x="279" y="1671"/>
                              </a:cubicBezTo>
                              <a:lnTo>
                                <a:pt x="3132" y="1671"/>
                              </a:lnTo>
                              <a:lnTo>
                                <a:pt x="3133" y="1671"/>
                              </a:lnTo>
                              <a:cubicBezTo>
                                <a:pt x="3181" y="1671"/>
                                <a:pt x="3229" y="1658"/>
                                <a:pt x="3272" y="1634"/>
                              </a:cubicBezTo>
                              <a:cubicBezTo>
                                <a:pt x="3314" y="1609"/>
                                <a:pt x="3349" y="1574"/>
                                <a:pt x="3374" y="1532"/>
                              </a:cubicBezTo>
                              <a:cubicBezTo>
                                <a:pt x="3398" y="1489"/>
                                <a:pt x="3411" y="1441"/>
                                <a:pt x="3411" y="1393"/>
                              </a:cubicBezTo>
                              <a:lnTo>
                                <a:pt x="3411" y="278"/>
                              </a:lnTo>
                              <a:lnTo>
                                <a:pt x="3411" y="279"/>
                              </a:lnTo>
                              <a:lnTo>
                                <a:pt x="3411" y="279"/>
                              </a:lnTo>
                              <a:cubicBezTo>
                                <a:pt x="3411" y="230"/>
                                <a:pt x="3398" y="182"/>
                                <a:pt x="3374" y="139"/>
                              </a:cubicBezTo>
                              <a:cubicBezTo>
                                <a:pt x="3349" y="97"/>
                                <a:pt x="3314" y="62"/>
                                <a:pt x="3272" y="37"/>
                              </a:cubicBezTo>
                              <a:cubicBezTo>
                                <a:pt x="3229" y="13"/>
                                <a:pt x="3181" y="0"/>
                                <a:pt x="3133" y="0"/>
                              </a:cubicBezTo>
                              <a:lnTo>
                                <a:pt x="278" y="0"/>
                              </a:lnTo>
                            </a:path>
                          </a:pathLst>
                        </a:custGeom>
                        <a:solidFill>
                          <a:srgbClr val="FFA6A6"/>
                        </a:solidFill>
                        <a:ln>
                          <a:solidFill>
                            <a:srgbClr val="3465A4"/>
                          </a:solidFill>
                        </a:ln>
                        <a:effectLst/>
                      </wps:spPr>
                      <wps:txbx>
                        <w:txbxContent>
                          <w:p w14:paraId="36BBB49E" w14:textId="77777777" w:rsidR="000F0D13" w:rsidRPr="00D56217" w:rsidRDefault="000F0D13" w:rsidP="00D56217">
                            <w:pPr>
                              <w:spacing w:after="0"/>
                              <w:jc w:val="center"/>
                              <w:rPr>
                                <w:rFonts w:ascii="Open Sans" w:hAnsi="Open Sans" w:cs="Open Sans"/>
                              </w:rPr>
                            </w:pPr>
                            <w:r w:rsidRPr="00D56217">
                              <w:rPr>
                                <w:rFonts w:ascii="Open Sans" w:hAnsi="Open Sans" w:cs="Open Sans"/>
                                <w:color w:val="FFFFFF"/>
                                <w:sz w:val="16"/>
                                <w:szCs w:val="16"/>
                              </w:rPr>
                              <w:t xml:space="preserve">Las actuaciones se practican en un </w:t>
                            </w:r>
                          </w:p>
                          <w:p w14:paraId="5A0CD6C8" w14:textId="77777777" w:rsidR="000F0D13" w:rsidRPr="00D56217" w:rsidRDefault="000F0D13" w:rsidP="00D56217">
                            <w:pPr>
                              <w:spacing w:after="0"/>
                              <w:jc w:val="center"/>
                              <w:rPr>
                                <w:rFonts w:ascii="Open Sans" w:hAnsi="Open Sans" w:cs="Open Sans"/>
                              </w:rPr>
                            </w:pPr>
                            <w:r w:rsidRPr="00D56217">
                              <w:rPr>
                                <w:rFonts w:ascii="Open Sans" w:hAnsi="Open Sans" w:cs="Open Sans"/>
                                <w:color w:val="FFFFFF"/>
                                <w:sz w:val="16"/>
                                <w:szCs w:val="16"/>
                              </w:rPr>
                              <w:t>periodo de SEIS MESES, ampliables,</w:t>
                            </w:r>
                          </w:p>
                          <w:p w14:paraId="39989824" w14:textId="77777777" w:rsidR="000F0D13" w:rsidRPr="00D56217" w:rsidRDefault="000F0D13" w:rsidP="00D56217">
                            <w:pPr>
                              <w:spacing w:after="0"/>
                              <w:jc w:val="center"/>
                              <w:rPr>
                                <w:rFonts w:ascii="Open Sans" w:hAnsi="Open Sans" w:cs="Open Sans"/>
                              </w:rPr>
                            </w:pPr>
                            <w:r w:rsidRPr="00D56217">
                              <w:rPr>
                                <w:rFonts w:ascii="Open Sans" w:hAnsi="Open Sans" w:cs="Open Sans"/>
                                <w:color w:val="FFFFFF"/>
                                <w:sz w:val="16"/>
                                <w:szCs w:val="16"/>
                              </w:rPr>
                              <w:t xml:space="preserve">y concluyen con la emisión de un </w:t>
                            </w:r>
                          </w:p>
                          <w:p w14:paraId="04203AC4" w14:textId="0AC6413F" w:rsidR="000F0D13" w:rsidRPr="00D56217" w:rsidRDefault="000F0D13" w:rsidP="00D56217">
                            <w:pPr>
                              <w:spacing w:after="0"/>
                              <w:jc w:val="center"/>
                              <w:rPr>
                                <w:rFonts w:ascii="Open Sans" w:hAnsi="Open Sans" w:cs="Open Sans"/>
                              </w:rPr>
                            </w:pPr>
                            <w:r w:rsidRPr="00D56217">
                              <w:rPr>
                                <w:rFonts w:ascii="Open Sans" w:hAnsi="Open Sans" w:cs="Open Sans"/>
                                <w:b/>
                                <w:bCs/>
                                <w:color w:val="FFFFFF"/>
                                <w:sz w:val="16"/>
                                <w:szCs w:val="16"/>
                                <w:u w:val="single"/>
                              </w:rPr>
                              <w:t>INFORME PROVISIONAL</w:t>
                            </w:r>
                          </w:p>
                          <w:p w14:paraId="637B2F2B" w14:textId="77777777" w:rsidR="000F0D13" w:rsidRDefault="000F0D13" w:rsidP="00D56217">
                            <w:pPr>
                              <w:spacing w:after="0"/>
                              <w:jc w:val="center"/>
                            </w:pPr>
                            <w:r>
                              <w:rPr>
                                <w:color w:val="FFFFFF"/>
                                <w:sz w:val="16"/>
                                <w:szCs w:val="16"/>
                              </w:rPr>
                              <w:t>que recoge el resultado de las mismas</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5B50B877" id="_x0000_s1054" style="position:absolute;left:0;text-align:left;margin-left:0;margin-top:13.35pt;width:159.95pt;height:69pt;z-index:251824128;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margin;mso-height-relative:margin;v-text-anchor:middle" coordsize="3412,167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tyOZQMAACYKAAAOAAAAZHJzL2Uyb0RvYy54bWysVttu2zAMfR+wfzD8vjq2HOeCJkW2IsOA&#10;YSvQ7gMUWU4M2JYnKZfu60fdbMvpsHbYi60LdUgeUqRu7y51FZwoFyVrVmF8MwkD2hCWl81+Ff54&#10;2n6Yh4GQuMlxxRq6Cp+pCO/W79/dntslTdiBVTnlAYA0YnluV+FBynYZRYIcaI3FDWtpA5sF4zWW&#10;MOX7KOf4DOh1FSWTSRadGc9bzggVAlbvzWa41vhFQYn8XhSCyqBahWCb1F+uvzv1jda3eLnnuD2U&#10;xJqB/8GKGpcNKO2g7rHEwZGXV1B1STgTrJA3hNURK4qSUO0DeBNPRt48HnBLtS9Ajmg7msT/gyXf&#10;To/tAwcazq1YChgqLy4Fr9Uf7Asumqznjix6kQGBxWSCYpRNw4DA3nyWoYlmM+pPk6OQnynTSPj0&#10;VUhDdu5G+OBG5NK4IYeQjYPFwwCCtTPBarFU55R5ahicVyFK4yQMDpB/2SzRYajZiT4xLSOVB8kM&#10;8tD5ACb2+1Xjyy08ObdLjruSfKS/PFkECeUwwRitKJ6DJbAYI2utWUUGFs3UKuj38fyZAVrMNE6W&#10;DHFgpsBhT1NpJAHUaFy8Ghys00fA2AGQcScBt64XZy+DO36MJQYgRgsNC266bfcfiWmOBmIv8WAx&#10;0zQeWuUcSOfaLse+o2KKnAU+pD8z1lhO4+ksHWqw/MfZxNMAzhnqMqTFXxXLLimy6XyoQ1Gt45DN&#10;PO8SYHu4fqXE5xPuoU06izOg9ErSRv5a8iVuUDyPPUs6opPEmei7hBK4gcb2NxCEUJzaUz7dCKVW&#10;zyg8CEG4tJ63xBqhhakD8Thx0tg6Oko0KC12Ay1cuvpMjRh28qrimLvuBNzf3tpe0F0tJ+D+fxX0&#10;DRmL+/e4d92/9D2RkNnGYB/Wn1klLiyjSuTC6FetLifeUP5Ql2BeIe0S0qtRcAFMWrsO5Nvs8zlu&#10;BWYXrozqJro4dx1G37u+hwlWlfm2rCrVVwTf7z5VPDhheFlst5tsk1n6PLGq0cJ/PInSbLpxlWRw&#10;Ul9hdZTqR4zpjlHfo9VIXnaXoMyhu+lUU0s7lj8/8OAMD5pVKH4eMadhUH1p4MUApUa6AXeDnRvg&#10;hhwYvIuI5LqBNmxzlKwoVc/Wag2yncBjRDNlH07qtTOca6n+ebf+DQAA//8DAFBLAwQUAAYACAAA&#10;ACEA2qe/rt4AAAAHAQAADwAAAGRycy9kb3ducmV2LnhtbEyPwU7DMBBE70j8g7VIvSDqtJSUhDhV&#10;VQlx6AVaPsCNt0lEvI5sp0n5epYTHEczmnlTbCbbiQv60DpSsJgnIJAqZ1qqFXweXx+eQYSoyejO&#10;ESq4YoBNeXtT6Ny4kT7wcoi14BIKuVbQxNjnUoaqQavD3PVI7J2dtzqy9LU0Xo9cbju5TJJUWt0S&#10;LzS6x12D1ddhsArOe1rtj+/t/Tc9ZW+Dq32ajF6p2d20fQERcYp/YfjFZ3QomenkBjJBdAr4SFSw&#10;TNcg2H1cZBmIE8fS1RpkWcj//OUPAAAA//8DAFBLAQItABQABgAIAAAAIQC2gziS/gAAAOEBAAAT&#10;AAAAAAAAAAAAAAAAAAAAAABbQ29udGVudF9UeXBlc10ueG1sUEsBAi0AFAAGAAgAAAAhADj9If/W&#10;AAAAlAEAAAsAAAAAAAAAAAAAAAAALwEAAF9yZWxzLy5yZWxzUEsBAi0AFAAGAAgAAAAhAPly3I5l&#10;AwAAJgoAAA4AAAAAAAAAAAAAAAAALgIAAGRycy9lMm9Eb2MueG1sUEsBAi0AFAAGAAgAAAAhANqn&#10;v67eAAAABwEAAA8AAAAAAAAAAAAAAAAAvwUAAGRycy9kb3ducmV2LnhtbFBLBQYAAAAABAAEAPMA&#10;AADKBgAAAAA=&#10;" adj="-11796480,,5400" path="m278,r1,c230,,182,13,139,37,97,62,62,97,37,139,13,182,,230,,279l,1392r,1c,1441,13,1489,37,1532v25,42,60,77,102,102c182,1658,230,1671,279,1671r2853,l3133,1671v48,,96,-13,139,-37c3314,1609,3349,1574,3374,1532v24,-43,37,-91,37,-139l3411,278r,1l3411,279v,-49,-13,-97,-37,-140c3349,97,3314,62,3272,37,3229,13,3181,,3133,l278,e" fillcolor="#ffa6a6" strokecolor="#3465a4">
                <v:stroke joinstyle="miter"/>
                <v:formulas/>
                <v:path arrowok="t" o:connecttype="custom" textboxrect="0,0,3412,1672"/>
                <v:textbox inset="0,0,0,0">
                  <w:txbxContent>
                    <w:p w14:paraId="36BBB49E" w14:textId="77777777" w:rsidR="000F0D13" w:rsidRPr="00D56217" w:rsidRDefault="000F0D13" w:rsidP="00D56217">
                      <w:pPr>
                        <w:spacing w:after="0"/>
                        <w:jc w:val="center"/>
                        <w:rPr>
                          <w:rFonts w:ascii="Open Sans" w:hAnsi="Open Sans" w:cs="Open Sans"/>
                        </w:rPr>
                      </w:pPr>
                      <w:r w:rsidRPr="00D56217">
                        <w:rPr>
                          <w:rFonts w:ascii="Open Sans" w:hAnsi="Open Sans" w:cs="Open Sans"/>
                          <w:color w:val="FFFFFF"/>
                          <w:sz w:val="16"/>
                          <w:szCs w:val="16"/>
                        </w:rPr>
                        <w:t xml:space="preserve">Las actuaciones se practican en un </w:t>
                      </w:r>
                    </w:p>
                    <w:p w14:paraId="5A0CD6C8" w14:textId="77777777" w:rsidR="000F0D13" w:rsidRPr="00D56217" w:rsidRDefault="000F0D13" w:rsidP="00D56217">
                      <w:pPr>
                        <w:spacing w:after="0"/>
                        <w:jc w:val="center"/>
                        <w:rPr>
                          <w:rFonts w:ascii="Open Sans" w:hAnsi="Open Sans" w:cs="Open Sans"/>
                        </w:rPr>
                      </w:pPr>
                      <w:r w:rsidRPr="00D56217">
                        <w:rPr>
                          <w:rFonts w:ascii="Open Sans" w:hAnsi="Open Sans" w:cs="Open Sans"/>
                          <w:color w:val="FFFFFF"/>
                          <w:sz w:val="16"/>
                          <w:szCs w:val="16"/>
                        </w:rPr>
                        <w:t>periodo de SEIS MESES, ampliables,</w:t>
                      </w:r>
                    </w:p>
                    <w:p w14:paraId="39989824" w14:textId="77777777" w:rsidR="000F0D13" w:rsidRPr="00D56217" w:rsidRDefault="000F0D13" w:rsidP="00D56217">
                      <w:pPr>
                        <w:spacing w:after="0"/>
                        <w:jc w:val="center"/>
                        <w:rPr>
                          <w:rFonts w:ascii="Open Sans" w:hAnsi="Open Sans" w:cs="Open Sans"/>
                        </w:rPr>
                      </w:pPr>
                      <w:r w:rsidRPr="00D56217">
                        <w:rPr>
                          <w:rFonts w:ascii="Open Sans" w:hAnsi="Open Sans" w:cs="Open Sans"/>
                          <w:color w:val="FFFFFF"/>
                          <w:sz w:val="16"/>
                          <w:szCs w:val="16"/>
                        </w:rPr>
                        <w:t xml:space="preserve">y concluyen con la emisión de un </w:t>
                      </w:r>
                    </w:p>
                    <w:p w14:paraId="04203AC4" w14:textId="0AC6413F" w:rsidR="000F0D13" w:rsidRPr="00D56217" w:rsidRDefault="000F0D13" w:rsidP="00D56217">
                      <w:pPr>
                        <w:spacing w:after="0"/>
                        <w:jc w:val="center"/>
                        <w:rPr>
                          <w:rFonts w:ascii="Open Sans" w:hAnsi="Open Sans" w:cs="Open Sans"/>
                        </w:rPr>
                      </w:pPr>
                      <w:r w:rsidRPr="00D56217">
                        <w:rPr>
                          <w:rFonts w:ascii="Open Sans" w:hAnsi="Open Sans" w:cs="Open Sans"/>
                          <w:b/>
                          <w:bCs/>
                          <w:color w:val="FFFFFF"/>
                          <w:sz w:val="16"/>
                          <w:szCs w:val="16"/>
                          <w:u w:val="single"/>
                        </w:rPr>
                        <w:t>INFORME PROVISIONAL</w:t>
                      </w:r>
                    </w:p>
                    <w:p w14:paraId="637B2F2B" w14:textId="77777777" w:rsidR="000F0D13" w:rsidRDefault="000F0D13" w:rsidP="00D56217">
                      <w:pPr>
                        <w:spacing w:after="0"/>
                        <w:jc w:val="center"/>
                      </w:pPr>
                      <w:r>
                        <w:rPr>
                          <w:color w:val="FFFFFF"/>
                          <w:sz w:val="16"/>
                          <w:szCs w:val="16"/>
                        </w:rPr>
                        <w:t>que recoge el resultado de las mismas</w:t>
                      </w:r>
                    </w:p>
                  </w:txbxContent>
                </v:textbox>
                <w10:wrap anchorx="margin"/>
              </v:shape>
            </w:pict>
          </mc:Fallback>
        </mc:AlternateContent>
      </w:r>
    </w:p>
    <w:p w14:paraId="5E7B7253" w14:textId="78C20E57" w:rsidR="009568B0" w:rsidRPr="00A07BE9" w:rsidRDefault="009568B0" w:rsidP="009568B0">
      <w:pPr>
        <w:spacing w:after="0" w:line="240" w:lineRule="auto"/>
        <w:jc w:val="center"/>
        <w:rPr>
          <w:rFonts w:ascii="Open Sans" w:eastAsia="NSimSun" w:hAnsi="Open Sans" w:cs="Arial"/>
          <w:kern w:val="2"/>
          <w:sz w:val="24"/>
          <w:szCs w:val="24"/>
          <w:lang w:eastAsia="zh-CN" w:bidi="hi-IN"/>
        </w:rPr>
      </w:pPr>
    </w:p>
    <w:p w14:paraId="40DDB9FC" w14:textId="77777777" w:rsidR="009568B0" w:rsidRPr="00A07BE9" w:rsidRDefault="009568B0" w:rsidP="009568B0">
      <w:pPr>
        <w:spacing w:after="0" w:line="240" w:lineRule="auto"/>
        <w:jc w:val="center"/>
        <w:rPr>
          <w:rFonts w:ascii="Open Sans" w:eastAsia="NSimSun" w:hAnsi="Open Sans" w:cs="Arial"/>
          <w:kern w:val="2"/>
          <w:sz w:val="24"/>
          <w:szCs w:val="24"/>
          <w:lang w:eastAsia="zh-CN" w:bidi="hi-IN"/>
        </w:rPr>
      </w:pPr>
    </w:p>
    <w:p w14:paraId="1534DE9A" w14:textId="77777777" w:rsidR="009568B0" w:rsidRPr="00A07BE9" w:rsidRDefault="009568B0" w:rsidP="009568B0">
      <w:pPr>
        <w:spacing w:after="0" w:line="240" w:lineRule="auto"/>
        <w:jc w:val="center"/>
        <w:rPr>
          <w:rFonts w:ascii="Open Sans" w:eastAsia="NSimSun" w:hAnsi="Open Sans" w:cs="Arial"/>
          <w:kern w:val="2"/>
          <w:sz w:val="24"/>
          <w:szCs w:val="24"/>
          <w:lang w:eastAsia="zh-CN" w:bidi="hi-IN"/>
        </w:rPr>
      </w:pPr>
    </w:p>
    <w:p w14:paraId="284C7C8F" w14:textId="55EAC6BD" w:rsidR="009568B0" w:rsidRPr="00A07BE9" w:rsidRDefault="009568B0" w:rsidP="009568B0">
      <w:pPr>
        <w:spacing w:after="0" w:line="240" w:lineRule="auto"/>
        <w:jc w:val="center"/>
        <w:rPr>
          <w:rFonts w:ascii="Open Sans" w:eastAsia="NSimSun" w:hAnsi="Open Sans" w:cs="Arial"/>
          <w:kern w:val="2"/>
          <w:sz w:val="24"/>
          <w:szCs w:val="24"/>
          <w:lang w:eastAsia="zh-CN" w:bidi="hi-IN"/>
        </w:rPr>
      </w:pPr>
    </w:p>
    <w:p w14:paraId="19533FC9" w14:textId="5169E743" w:rsidR="009568B0" w:rsidRPr="00A07BE9" w:rsidRDefault="004C557F" w:rsidP="009568B0">
      <w:pPr>
        <w:spacing w:after="0" w:line="240" w:lineRule="auto"/>
        <w:jc w:val="center"/>
        <w:rPr>
          <w:rFonts w:ascii="Open Sans" w:eastAsia="NSimSun" w:hAnsi="Open Sans" w:cs="Arial"/>
          <w:kern w:val="2"/>
          <w:sz w:val="24"/>
          <w:szCs w:val="24"/>
          <w:lang w:eastAsia="zh-CN" w:bidi="hi-IN"/>
        </w:rPr>
      </w:pPr>
      <w:r w:rsidRPr="00A07BE9">
        <w:rPr>
          <w:rFonts w:ascii="Open Sans" w:eastAsia="NSimSun" w:hAnsi="Open Sans" w:cs="Arial"/>
          <w:noProof/>
          <w:kern w:val="2"/>
          <w:sz w:val="24"/>
          <w:szCs w:val="24"/>
          <w:lang w:eastAsia="es-ES"/>
        </w:rPr>
        <mc:AlternateContent>
          <mc:Choice Requires="wps">
            <w:drawing>
              <wp:anchor distT="0" distB="0" distL="0" distR="0" simplePos="0" relativeHeight="251832320" behindDoc="0" locked="0" layoutInCell="1" allowOverlap="1" wp14:anchorId="19D41C42" wp14:editId="66D9DEC3">
                <wp:simplePos x="0" y="0"/>
                <wp:positionH relativeFrom="margin">
                  <wp:align>center</wp:align>
                </wp:positionH>
                <wp:positionV relativeFrom="paragraph">
                  <wp:posOffset>3175</wp:posOffset>
                </wp:positionV>
                <wp:extent cx="170180" cy="260350"/>
                <wp:effectExtent l="0" t="0" r="20320" b="25400"/>
                <wp:wrapNone/>
                <wp:docPr id="69" name="Forma7"/>
                <wp:cNvGraphicFramePr/>
                <a:graphic xmlns:a="http://schemas.openxmlformats.org/drawingml/2006/main">
                  <a:graphicData uri="http://schemas.microsoft.com/office/word/2010/wordprocessingShape">
                    <wps:wsp>
                      <wps:cNvSpPr/>
                      <wps:spPr>
                        <a:xfrm>
                          <a:off x="0" y="0"/>
                          <a:ext cx="170180" cy="260350"/>
                        </a:xfrm>
                        <a:custGeom>
                          <a:avLst/>
                          <a:gdLst/>
                          <a:ahLst/>
                          <a:cxnLst/>
                          <a:rect l="0" t="0" r="r" b="b"/>
                          <a:pathLst>
                            <a:path w="269" h="411">
                              <a:moveTo>
                                <a:pt x="67" y="0"/>
                              </a:moveTo>
                              <a:lnTo>
                                <a:pt x="67" y="307"/>
                              </a:lnTo>
                              <a:lnTo>
                                <a:pt x="0" y="307"/>
                              </a:lnTo>
                              <a:lnTo>
                                <a:pt x="134" y="410"/>
                              </a:lnTo>
                              <a:lnTo>
                                <a:pt x="268" y="307"/>
                              </a:lnTo>
                              <a:lnTo>
                                <a:pt x="201" y="307"/>
                              </a:lnTo>
                              <a:lnTo>
                                <a:pt x="201" y="0"/>
                              </a:lnTo>
                              <a:lnTo>
                                <a:pt x="67" y="0"/>
                              </a:lnTo>
                            </a:path>
                          </a:pathLst>
                        </a:custGeom>
                        <a:solidFill>
                          <a:srgbClr val="5B6770"/>
                        </a:solidFill>
                        <a:ln>
                          <a:solidFill>
                            <a:srgbClr val="3465A4"/>
                          </a:solidFill>
                        </a:ln>
                        <a:effectLst/>
                      </wps:spPr>
                      <wps:bodyPr/>
                    </wps:wsp>
                  </a:graphicData>
                </a:graphic>
              </wp:anchor>
            </w:drawing>
          </mc:Choice>
          <mc:Fallback>
            <w:pict>
              <v:shape w14:anchorId="45AEC1CB" id="Forma7" o:spid="_x0000_s1026" style="position:absolute;margin-left:0;margin-top:.25pt;width:13.4pt;height:20.5pt;z-index:251832320;visibility:visible;mso-wrap-style:square;mso-wrap-distance-left:0;mso-wrap-distance-top:0;mso-wrap-distance-right:0;mso-wrap-distance-bottom:0;mso-position-horizontal:center;mso-position-horizontal-relative:margin;mso-position-vertical:absolute;mso-position-vertical-relative:text;v-text-anchor:top" coordsize="26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DjGCwIAAN8EAAAOAAAAZHJzL2Uyb0RvYy54bWysVM1u2zAMvg/YOwi6L7YTx+mM2MW2IrsM&#10;W4F2D6DIcixAlgRJtZ23HyVHaZr9D7tYlEh+JD+S3t5OvUADM5YrWeFskWLEJFUNl4cKf33cvbnB&#10;yDoiGyKUZBU+Motv69evtqMu2VJ1SjTMIACRthx1hTvndJkklnasJ3ahNJOgbJXpiYOrOSSNISOg&#10;9yJZpmmRjMo02ijKrIXXu1mJ64Dftoy6L21rmUOiwpCbC18Tvnv/TeotKQ+G6I7TUxrkH7LoCZcQ&#10;9Ax1RxxBT4Z/B9VzapRVrVtQ1SeqbTlloQaoJkuvqnnoiGahFiDH6jNN9v/B0s/DvUG8qXDxFiNJ&#10;eujRzrO98dSM2pZg8aDvzelmQfR1Tq3p/QkVoCnQeTzTySaHKDxmmzS7AdIpqJZFuloHupNnZ/pk&#10;3UemAhAZPlk3d6OJEumiRCcZRQM9ve6mwQi6uZ+7qYnzfj47L6LRR4fiugrnWRa61KuBPapg4Xz6&#10;xQajmD/k96wW8gdmqzSQA4ZRHU8d0KBkAPudVbbKg12eRVoiSjxntGUBK/QHeDA/f2X366hXjMwp&#10;QcWe0Xp7EgLLIF/20SrBmx0XwrNrzWH/QRg0EFi/9ftis4lRX5gJGYx/6rnKi/W73HcXgl14wm12&#10;ZWHT5wlJ/NDOY+qlvWqOYXrDO2xRADltvF/TyzvIl/+l+hsAAAD//wMAUEsDBBQABgAIAAAAIQD2&#10;ORQC2gAAAAMBAAAPAAAAZHJzL2Rvd25yZXYueG1sTI/BTsMwEETvSPyDtUjcqNOKljRkUyHaihNI&#10;LahnJ1niiHgdxW4T/p7lBMfRjGbe5JvJdepCQ2g9I8xnCSjiytctNwgf7/u7FFSIhmvTeSaEbwqw&#10;Ka6vcpPVfuQDXY6xUVLCITMINsY+0zpUlpwJM98Ti/fpB2eiyKHR9WBGKXedXiTJSjvTsixY09Oz&#10;perreHYI693LNj29jrRNdxPZcV82h7cHxNub6ekRVKQp/oXhF1/QoRCm0p+5DqpDkCMRYQlKvMVK&#10;XpQI9/Ml6CLX/9mLHwAAAP//AwBQSwECLQAUAAYACAAAACEAtoM4kv4AAADhAQAAEwAAAAAAAAAA&#10;AAAAAAAAAAAAW0NvbnRlbnRfVHlwZXNdLnhtbFBLAQItABQABgAIAAAAIQA4/SH/1gAAAJQBAAAL&#10;AAAAAAAAAAAAAAAAAC8BAABfcmVscy8ucmVsc1BLAQItABQABgAIAAAAIQDYSDjGCwIAAN8EAAAO&#10;AAAAAAAAAAAAAAAAAC4CAABkcnMvZTJvRG9jLnhtbFBLAQItABQABgAIAAAAIQD2ORQC2gAAAAMB&#10;AAAPAAAAAAAAAAAAAAAAAGUEAABkcnMvZG93bnJldi54bWxQSwUGAAAAAAQABADzAAAAbAUAAAAA&#10;" path="m67,r,307l,307,134,410,268,307r-67,l201,,67,e" fillcolor="#5b6770" strokecolor="#3465a4">
                <v:path arrowok="t"/>
                <w10:wrap anchorx="margin"/>
              </v:shape>
            </w:pict>
          </mc:Fallback>
        </mc:AlternateContent>
      </w:r>
    </w:p>
    <w:p w14:paraId="29C2C096" w14:textId="77BC08D0" w:rsidR="009568B0" w:rsidRPr="00A07BE9" w:rsidRDefault="004C557F" w:rsidP="009568B0">
      <w:pPr>
        <w:spacing w:after="0" w:line="240" w:lineRule="auto"/>
        <w:jc w:val="center"/>
        <w:rPr>
          <w:rFonts w:ascii="Open Sans" w:eastAsia="NSimSun" w:hAnsi="Open Sans" w:cs="Arial"/>
          <w:kern w:val="2"/>
          <w:sz w:val="24"/>
          <w:szCs w:val="24"/>
          <w:lang w:eastAsia="zh-CN" w:bidi="hi-IN"/>
        </w:rPr>
      </w:pPr>
      <w:r w:rsidRPr="00A07BE9">
        <w:rPr>
          <w:rFonts w:ascii="Open Sans" w:eastAsia="NSimSun" w:hAnsi="Open Sans" w:cs="Arial"/>
          <w:noProof/>
          <w:kern w:val="2"/>
          <w:sz w:val="24"/>
          <w:szCs w:val="24"/>
          <w:lang w:eastAsia="es-ES"/>
        </w:rPr>
        <mc:AlternateContent>
          <mc:Choice Requires="wps">
            <w:drawing>
              <wp:anchor distT="0" distB="0" distL="0" distR="0" simplePos="0" relativeHeight="251823104" behindDoc="0" locked="0" layoutInCell="1" allowOverlap="1" wp14:anchorId="14C45ED8" wp14:editId="3CCFB10C">
                <wp:simplePos x="0" y="0"/>
                <wp:positionH relativeFrom="column">
                  <wp:posOffset>1710690</wp:posOffset>
                </wp:positionH>
                <wp:positionV relativeFrom="paragraph">
                  <wp:posOffset>86360</wp:posOffset>
                </wp:positionV>
                <wp:extent cx="1981200" cy="800100"/>
                <wp:effectExtent l="0" t="0" r="19050" b="19050"/>
                <wp:wrapNone/>
                <wp:docPr id="61" name="Forma1"/>
                <wp:cNvGraphicFramePr/>
                <a:graphic xmlns:a="http://schemas.openxmlformats.org/drawingml/2006/main">
                  <a:graphicData uri="http://schemas.microsoft.com/office/word/2010/wordprocessingShape">
                    <wps:wsp>
                      <wps:cNvSpPr/>
                      <wps:spPr>
                        <a:xfrm>
                          <a:off x="0" y="0"/>
                          <a:ext cx="1981200" cy="800100"/>
                        </a:xfrm>
                        <a:custGeom>
                          <a:avLst/>
                          <a:gdLst/>
                          <a:ahLst/>
                          <a:cxnLst/>
                          <a:rect l="0" t="0" r="r" b="b"/>
                          <a:pathLst>
                            <a:path w="3540" h="1747">
                              <a:moveTo>
                                <a:pt x="291" y="0"/>
                              </a:moveTo>
                              <a:lnTo>
                                <a:pt x="291" y="0"/>
                              </a:lnTo>
                              <a:cubicBezTo>
                                <a:pt x="240" y="0"/>
                                <a:pt x="190" y="13"/>
                                <a:pt x="146" y="39"/>
                              </a:cubicBezTo>
                              <a:cubicBezTo>
                                <a:pt x="101" y="65"/>
                                <a:pt x="65" y="101"/>
                                <a:pt x="39" y="146"/>
                              </a:cubicBezTo>
                              <a:cubicBezTo>
                                <a:pt x="13" y="190"/>
                                <a:pt x="0" y="240"/>
                                <a:pt x="0" y="291"/>
                              </a:cubicBezTo>
                              <a:lnTo>
                                <a:pt x="0" y="1454"/>
                              </a:lnTo>
                              <a:lnTo>
                                <a:pt x="0" y="1455"/>
                              </a:lnTo>
                              <a:cubicBezTo>
                                <a:pt x="0" y="1506"/>
                                <a:pt x="13" y="1556"/>
                                <a:pt x="39" y="1601"/>
                              </a:cubicBezTo>
                              <a:cubicBezTo>
                                <a:pt x="65" y="1645"/>
                                <a:pt x="101" y="1681"/>
                                <a:pt x="146" y="1707"/>
                              </a:cubicBezTo>
                              <a:cubicBezTo>
                                <a:pt x="190" y="1733"/>
                                <a:pt x="240" y="1746"/>
                                <a:pt x="291" y="1746"/>
                              </a:cubicBezTo>
                              <a:lnTo>
                                <a:pt x="3248" y="1745"/>
                              </a:lnTo>
                              <a:lnTo>
                                <a:pt x="3248" y="1746"/>
                              </a:lnTo>
                              <a:cubicBezTo>
                                <a:pt x="3299" y="1746"/>
                                <a:pt x="3349" y="1733"/>
                                <a:pt x="3394" y="1707"/>
                              </a:cubicBezTo>
                              <a:cubicBezTo>
                                <a:pt x="3438" y="1681"/>
                                <a:pt x="3474" y="1645"/>
                                <a:pt x="3500" y="1601"/>
                              </a:cubicBezTo>
                              <a:cubicBezTo>
                                <a:pt x="3526" y="1556"/>
                                <a:pt x="3539" y="1506"/>
                                <a:pt x="3539" y="1455"/>
                              </a:cubicBezTo>
                              <a:lnTo>
                                <a:pt x="3539" y="291"/>
                              </a:lnTo>
                              <a:lnTo>
                                <a:pt x="3539" y="291"/>
                              </a:lnTo>
                              <a:lnTo>
                                <a:pt x="3539" y="291"/>
                              </a:lnTo>
                              <a:cubicBezTo>
                                <a:pt x="3539" y="240"/>
                                <a:pt x="3526" y="190"/>
                                <a:pt x="3500" y="146"/>
                              </a:cubicBezTo>
                              <a:cubicBezTo>
                                <a:pt x="3474" y="101"/>
                                <a:pt x="3438" y="65"/>
                                <a:pt x="3394" y="39"/>
                              </a:cubicBezTo>
                              <a:cubicBezTo>
                                <a:pt x="3349" y="13"/>
                                <a:pt x="3299" y="0"/>
                                <a:pt x="3248" y="0"/>
                              </a:cubicBezTo>
                              <a:lnTo>
                                <a:pt x="291" y="0"/>
                              </a:lnTo>
                            </a:path>
                          </a:pathLst>
                        </a:custGeom>
                        <a:solidFill>
                          <a:srgbClr val="F3DED7"/>
                        </a:solidFill>
                        <a:ln>
                          <a:solidFill>
                            <a:srgbClr val="3465A4"/>
                          </a:solidFill>
                        </a:ln>
                        <a:effectLst/>
                      </wps:spPr>
                      <wps:txbx>
                        <w:txbxContent>
                          <w:p w14:paraId="07CD66C8" w14:textId="77777777" w:rsidR="000F0D13" w:rsidRPr="00D56217" w:rsidRDefault="000F0D13" w:rsidP="00D56217">
                            <w:pPr>
                              <w:spacing w:after="0"/>
                              <w:jc w:val="center"/>
                              <w:rPr>
                                <w:rFonts w:ascii="Open Sans" w:hAnsi="Open Sans" w:cs="Open Sans"/>
                              </w:rPr>
                            </w:pPr>
                            <w:r w:rsidRPr="00D56217">
                              <w:rPr>
                                <w:rFonts w:ascii="Open Sans" w:hAnsi="Open Sans" w:cs="Open Sans"/>
                                <w:sz w:val="16"/>
                                <w:szCs w:val="16"/>
                              </w:rPr>
                              <w:t>El informe provisional se traslada a la</w:t>
                            </w:r>
                          </w:p>
                          <w:p w14:paraId="2D62BF63" w14:textId="6BB46364" w:rsidR="000F0D13" w:rsidRPr="00D56217" w:rsidRDefault="000F0D13" w:rsidP="00D56217">
                            <w:pPr>
                              <w:spacing w:after="0"/>
                              <w:jc w:val="center"/>
                              <w:rPr>
                                <w:rFonts w:ascii="Open Sans" w:hAnsi="Open Sans" w:cs="Open Sans"/>
                              </w:rPr>
                            </w:pPr>
                            <w:r w:rsidRPr="00D56217">
                              <w:rPr>
                                <w:rFonts w:ascii="Open Sans" w:hAnsi="Open Sans" w:cs="Open Sans"/>
                                <w:sz w:val="16"/>
                                <w:szCs w:val="16"/>
                              </w:rPr>
                              <w:t xml:space="preserve">entidad denunciada en un </w:t>
                            </w:r>
                          </w:p>
                          <w:p w14:paraId="197D48FF" w14:textId="2B90C3CD" w:rsidR="000F0D13" w:rsidRPr="00D56217" w:rsidRDefault="000F0D13" w:rsidP="00D56217">
                            <w:pPr>
                              <w:spacing w:after="0"/>
                              <w:jc w:val="center"/>
                              <w:rPr>
                                <w:rFonts w:ascii="Open Sans" w:hAnsi="Open Sans" w:cs="Open Sans"/>
                              </w:rPr>
                            </w:pPr>
                            <w:r w:rsidRPr="00D56217">
                              <w:rPr>
                                <w:rFonts w:ascii="Open Sans" w:hAnsi="Open Sans" w:cs="Open Sans"/>
                                <w:b/>
                                <w:bCs/>
                                <w:sz w:val="16"/>
                                <w:szCs w:val="16"/>
                                <w:u w:val="single"/>
                              </w:rPr>
                              <w:t>TRÁMITE DE AUDIENCIA</w:t>
                            </w:r>
                          </w:p>
                          <w:p w14:paraId="766612DC" w14:textId="77777777" w:rsidR="000F0D13" w:rsidRPr="00D56217" w:rsidRDefault="000F0D13" w:rsidP="00D56217">
                            <w:pPr>
                              <w:spacing w:after="0"/>
                              <w:jc w:val="center"/>
                              <w:rPr>
                                <w:rFonts w:ascii="Open Sans" w:hAnsi="Open Sans" w:cs="Open Sans"/>
                              </w:rPr>
                            </w:pPr>
                            <w:r w:rsidRPr="00D56217">
                              <w:rPr>
                                <w:rFonts w:ascii="Open Sans" w:hAnsi="Open Sans" w:cs="Open Sans"/>
                                <w:sz w:val="16"/>
                                <w:szCs w:val="16"/>
                              </w:rPr>
                              <w:t>concediendo un plazo para alegaciones</w:t>
                            </w:r>
                            <w:r w:rsidRPr="00D56217">
                              <w:rPr>
                                <w:rFonts w:ascii="Open Sans" w:hAnsi="Open Sans" w:cs="Open Sans"/>
                                <w:color w:val="FFFFFF"/>
                                <w:sz w:val="16"/>
                                <w:szCs w:val="16"/>
                              </w:rPr>
                              <w:t>.</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14C45ED8" id="_x0000_s1055" style="position:absolute;left:0;text-align:left;margin-left:134.7pt;margin-top:6.8pt;width:156pt;height:63pt;z-index:2518231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3540,174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v4hVAMAACoKAAAOAAAAZHJzL2Uyb0RvYy54bWysVttu2zAMfR+wfzD8vtqO7NzQpNiWdRgw&#10;bAXafYAiy4kB2/Ik5dJ9/SjJdCI3HdqhL7YkUtThIUXq+uZYV8GeS1WKZhEmV3EY8IaJvGw2i/DX&#10;w+2HaRgoTZucVqLhi/CRq/Bm+f7d9aGd85HYiirnMgAjjZof2kW41bqdR5FiW15TdSVa3oCwELKm&#10;GqZyE+WSHsB6XUWjOB5HByHzVgrGlYLVlROGS2u/KDjTP4tCcR1UixCwafuV9rs232h5TecbSdtt&#10;yToY9D9Q1LRs4NDe1IpqGuxk+cRUXTIplCj0FRN1JIqiZNz6AN4k8cCb+y1tufUFyFFtT5N6O7Ps&#10;x/6+vZNAw6FVcwVD48WxkLX5A77gaMl67MniRx0wWExm0wQiEAYMZNMY0Fs2o9NutlP6KxfWEt1/&#10;V9qRneOIbnHEjg0OJYRsGCwZBhCstQtWS7XZZ+CZYXBYhCRLAccWME3SiQ1DLfb8QVgdbTwYzZIw&#10;QB8A4kleNf/SQynbrUv2if/xdM2haBPA2IOSmVtMSIfWraZjq0pmZhXO9+35s85Q7BCPs3NDMDNH&#10;JiC0ZDpdMGtX4ZQXmyduC8A9M+Swj8Cxp4vA4CXjyJBD0jmfZmmnjGL8D9Ssc8AHii8x0dnMYutd&#10;T3TnQJZ5y0jF2DH0IqqR1HHqcW1ItrSOpx7bSRfMZBJPLlJyyYk+LybEywzDtT1k4oKH7mHCQkZf&#10;Dioy1mXAKIVCazJj4pw44/R5TbSMGpeAk9Gsy64BQkJSFPguETJLOyyvIIikpPNgQDdJJ525QXxI&#10;ZqqP8fk1wSbZyN3FZJg5GebOINNIL0gzzFefKeSviwXqmxi6K4MK+H87RR/I0K5/kU+u+7f+ROQz&#10;uXbxkD4sg1qEcfQLV58UryiBpwzzrkyfkV6VIngDsAv5oH3m8XahrpPCnTEdxRbovsvYCnLqY0pU&#10;ZX5bVpXpLUpu1p8rGewpvC5uyerLCguCp1Y1VvnZnSQdZx+xYJ7ttHfYbOX2IeM6ZHTq02akj+tj&#10;UOamw5lcM0trkT/eyeAAj5pFqH7vqORhUH1r4NUA90XjQOJgjQPasK2AtxHT0jbRRnzcaVGUpm/b&#10;Y53lbgIPEstU93gyL57zudU6PfGWfwEAAP//AwBQSwMEFAAGAAgAAAAhAIFBZXjfAAAACgEAAA8A&#10;AABkcnMvZG93bnJldi54bWxMj8FOwzAQRO9I/IO1SNyo00KjJMSpUBESBxCicODoxNs4Il5HsZum&#10;fD3bExx35ml2ptzMrhcTjqHzpGC5SEAgNd501Cr4/Hi6yUCEqMno3hMqOGGATXV5UerC+CO947SL&#10;reAQCoVWYGMcCilDY9HpsPADEnt7Pzod+RxbaUZ95HDXy1WSpNLpjviD1QNuLTbfu4NT8OOf12+W&#10;6scx306nrPnKXuP+Ranrq/nhHkTEOf7BcK7P1aHiTrU/kAmiV7BK8ztG2bhNQTCwzpYs1GchT0FW&#10;pfw/ofoFAAD//wMAUEsBAi0AFAAGAAgAAAAhALaDOJL+AAAA4QEAABMAAAAAAAAAAAAAAAAAAAAA&#10;AFtDb250ZW50X1R5cGVzXS54bWxQSwECLQAUAAYACAAAACEAOP0h/9YAAACUAQAACwAAAAAAAAAA&#10;AAAAAAAvAQAAX3JlbHMvLnJlbHNQSwECLQAUAAYACAAAACEAJQb+IVQDAAAqCgAADgAAAAAAAAAA&#10;AAAAAAAuAgAAZHJzL2Uyb0RvYy54bWxQSwECLQAUAAYACAAAACEAgUFleN8AAAAKAQAADwAAAAAA&#10;AAAAAAAAAACuBQAAZHJzL2Rvd25yZXYueG1sUEsFBgAAAAAEAAQA8wAAALoGAAAAAA==&#10;" adj="-11796480,,5400" path="m291,r,c240,,190,13,146,39,101,65,65,101,39,146,13,190,,240,,291l,1454r,1c,1506,13,1556,39,1601v26,44,62,80,107,106c190,1733,240,1746,291,1746r2957,-1l3248,1746v51,,101,-13,146,-39c3438,1681,3474,1645,3500,1601v26,-45,39,-95,39,-146l3539,291r,l3539,291v,-51,-13,-101,-39,-145c3474,101,3438,65,3394,39,3349,13,3299,,3248,l291,e" fillcolor="#f3ded7" strokecolor="#3465a4">
                <v:stroke joinstyle="miter"/>
                <v:formulas/>
                <v:path arrowok="t" o:connecttype="custom" textboxrect="0,0,3540,1747"/>
                <v:textbox inset="0,0,0,0">
                  <w:txbxContent>
                    <w:p w14:paraId="07CD66C8" w14:textId="77777777" w:rsidR="000F0D13" w:rsidRPr="00D56217" w:rsidRDefault="000F0D13" w:rsidP="00D56217">
                      <w:pPr>
                        <w:spacing w:after="0"/>
                        <w:jc w:val="center"/>
                        <w:rPr>
                          <w:rFonts w:ascii="Open Sans" w:hAnsi="Open Sans" w:cs="Open Sans"/>
                        </w:rPr>
                      </w:pPr>
                      <w:r w:rsidRPr="00D56217">
                        <w:rPr>
                          <w:rFonts w:ascii="Open Sans" w:hAnsi="Open Sans" w:cs="Open Sans"/>
                          <w:sz w:val="16"/>
                          <w:szCs w:val="16"/>
                        </w:rPr>
                        <w:t>El informe provisional se traslada a la</w:t>
                      </w:r>
                    </w:p>
                    <w:p w14:paraId="2D62BF63" w14:textId="6BB46364" w:rsidR="000F0D13" w:rsidRPr="00D56217" w:rsidRDefault="000F0D13" w:rsidP="00D56217">
                      <w:pPr>
                        <w:spacing w:after="0"/>
                        <w:jc w:val="center"/>
                        <w:rPr>
                          <w:rFonts w:ascii="Open Sans" w:hAnsi="Open Sans" w:cs="Open Sans"/>
                        </w:rPr>
                      </w:pPr>
                      <w:r w:rsidRPr="00D56217">
                        <w:rPr>
                          <w:rFonts w:ascii="Open Sans" w:hAnsi="Open Sans" w:cs="Open Sans"/>
                          <w:sz w:val="16"/>
                          <w:szCs w:val="16"/>
                        </w:rPr>
                        <w:t xml:space="preserve">entidad denunciada en un </w:t>
                      </w:r>
                    </w:p>
                    <w:p w14:paraId="197D48FF" w14:textId="2B90C3CD" w:rsidR="000F0D13" w:rsidRPr="00D56217" w:rsidRDefault="000F0D13" w:rsidP="00D56217">
                      <w:pPr>
                        <w:spacing w:after="0"/>
                        <w:jc w:val="center"/>
                        <w:rPr>
                          <w:rFonts w:ascii="Open Sans" w:hAnsi="Open Sans" w:cs="Open Sans"/>
                        </w:rPr>
                      </w:pPr>
                      <w:r w:rsidRPr="00D56217">
                        <w:rPr>
                          <w:rFonts w:ascii="Open Sans" w:hAnsi="Open Sans" w:cs="Open Sans"/>
                          <w:b/>
                          <w:bCs/>
                          <w:sz w:val="16"/>
                          <w:szCs w:val="16"/>
                          <w:u w:val="single"/>
                        </w:rPr>
                        <w:t>TRÁMITE DE AUDIENCIA</w:t>
                      </w:r>
                    </w:p>
                    <w:p w14:paraId="766612DC" w14:textId="77777777" w:rsidR="000F0D13" w:rsidRPr="00D56217" w:rsidRDefault="000F0D13" w:rsidP="00D56217">
                      <w:pPr>
                        <w:spacing w:after="0"/>
                        <w:jc w:val="center"/>
                        <w:rPr>
                          <w:rFonts w:ascii="Open Sans" w:hAnsi="Open Sans" w:cs="Open Sans"/>
                        </w:rPr>
                      </w:pPr>
                      <w:r w:rsidRPr="00D56217">
                        <w:rPr>
                          <w:rFonts w:ascii="Open Sans" w:hAnsi="Open Sans" w:cs="Open Sans"/>
                          <w:sz w:val="16"/>
                          <w:szCs w:val="16"/>
                        </w:rPr>
                        <w:t>concediendo un plazo para alegaciones</w:t>
                      </w:r>
                      <w:r w:rsidRPr="00D56217">
                        <w:rPr>
                          <w:rFonts w:ascii="Open Sans" w:hAnsi="Open Sans" w:cs="Open Sans"/>
                          <w:color w:val="FFFFFF"/>
                          <w:sz w:val="16"/>
                          <w:szCs w:val="16"/>
                        </w:rPr>
                        <w:t>.</w:t>
                      </w:r>
                    </w:p>
                  </w:txbxContent>
                </v:textbox>
              </v:shape>
            </w:pict>
          </mc:Fallback>
        </mc:AlternateContent>
      </w:r>
    </w:p>
    <w:p w14:paraId="2F6307AB" w14:textId="367F6C48" w:rsidR="009568B0" w:rsidRPr="00A07BE9" w:rsidRDefault="009568B0" w:rsidP="009568B0">
      <w:pPr>
        <w:spacing w:after="0" w:line="240" w:lineRule="auto"/>
        <w:jc w:val="center"/>
        <w:rPr>
          <w:rFonts w:ascii="Open Sans" w:eastAsia="NSimSun" w:hAnsi="Open Sans" w:cs="Arial"/>
          <w:kern w:val="2"/>
          <w:sz w:val="24"/>
          <w:szCs w:val="24"/>
          <w:lang w:eastAsia="zh-CN" w:bidi="hi-IN"/>
        </w:rPr>
      </w:pPr>
    </w:p>
    <w:p w14:paraId="052A0869" w14:textId="6FCBC7C7" w:rsidR="009568B0" w:rsidRPr="00A07BE9" w:rsidRDefault="009568B0" w:rsidP="009568B0">
      <w:pPr>
        <w:spacing w:after="0" w:line="240" w:lineRule="auto"/>
        <w:jc w:val="center"/>
        <w:rPr>
          <w:rFonts w:ascii="Open Sans" w:eastAsia="NSimSun" w:hAnsi="Open Sans" w:cs="Arial"/>
          <w:kern w:val="2"/>
          <w:sz w:val="24"/>
          <w:szCs w:val="24"/>
          <w:lang w:eastAsia="zh-CN" w:bidi="hi-IN"/>
        </w:rPr>
      </w:pPr>
    </w:p>
    <w:p w14:paraId="38915D17" w14:textId="77777777" w:rsidR="009568B0" w:rsidRPr="00A07BE9" w:rsidRDefault="009568B0" w:rsidP="009568B0">
      <w:pPr>
        <w:spacing w:after="0" w:line="240" w:lineRule="auto"/>
        <w:jc w:val="center"/>
        <w:rPr>
          <w:rFonts w:ascii="Open Sans" w:eastAsia="NSimSun" w:hAnsi="Open Sans" w:cs="Arial"/>
          <w:kern w:val="2"/>
          <w:sz w:val="24"/>
          <w:szCs w:val="24"/>
          <w:lang w:eastAsia="zh-CN" w:bidi="hi-IN"/>
        </w:rPr>
      </w:pPr>
    </w:p>
    <w:p w14:paraId="3BAD16FE" w14:textId="078D2965" w:rsidR="009568B0" w:rsidRPr="00A07BE9" w:rsidRDefault="004C557F" w:rsidP="009568B0">
      <w:pPr>
        <w:spacing w:after="0" w:line="240" w:lineRule="auto"/>
        <w:jc w:val="center"/>
        <w:rPr>
          <w:rFonts w:ascii="Open Sans" w:eastAsia="NSimSun" w:hAnsi="Open Sans" w:cs="Arial"/>
          <w:kern w:val="2"/>
          <w:sz w:val="20"/>
          <w:szCs w:val="20"/>
          <w:lang w:eastAsia="zh-CN" w:bidi="hi-IN"/>
        </w:rPr>
      </w:pPr>
      <w:r w:rsidRPr="00A07BE9">
        <w:rPr>
          <w:rFonts w:ascii="Open Sans" w:eastAsia="NSimSun" w:hAnsi="Open Sans" w:cs="Arial"/>
          <w:noProof/>
          <w:kern w:val="2"/>
          <w:sz w:val="24"/>
          <w:szCs w:val="24"/>
          <w:lang w:eastAsia="es-ES"/>
        </w:rPr>
        <mc:AlternateContent>
          <mc:Choice Requires="wps">
            <w:drawing>
              <wp:anchor distT="0" distB="0" distL="0" distR="0" simplePos="0" relativeHeight="251837440" behindDoc="0" locked="0" layoutInCell="1" allowOverlap="1" wp14:anchorId="7B2836D9" wp14:editId="1515DDE0">
                <wp:simplePos x="0" y="0"/>
                <wp:positionH relativeFrom="column">
                  <wp:posOffset>2637790</wp:posOffset>
                </wp:positionH>
                <wp:positionV relativeFrom="paragraph">
                  <wp:posOffset>99695</wp:posOffset>
                </wp:positionV>
                <wp:extent cx="170180" cy="260350"/>
                <wp:effectExtent l="0" t="0" r="20320" b="25400"/>
                <wp:wrapNone/>
                <wp:docPr id="78" name="Forma7"/>
                <wp:cNvGraphicFramePr/>
                <a:graphic xmlns:a="http://schemas.openxmlformats.org/drawingml/2006/main">
                  <a:graphicData uri="http://schemas.microsoft.com/office/word/2010/wordprocessingShape">
                    <wps:wsp>
                      <wps:cNvSpPr/>
                      <wps:spPr>
                        <a:xfrm>
                          <a:off x="0" y="0"/>
                          <a:ext cx="170180" cy="260350"/>
                        </a:xfrm>
                        <a:custGeom>
                          <a:avLst/>
                          <a:gdLst/>
                          <a:ahLst/>
                          <a:cxnLst/>
                          <a:rect l="0" t="0" r="r" b="b"/>
                          <a:pathLst>
                            <a:path w="269" h="411">
                              <a:moveTo>
                                <a:pt x="67" y="0"/>
                              </a:moveTo>
                              <a:lnTo>
                                <a:pt x="67" y="307"/>
                              </a:lnTo>
                              <a:lnTo>
                                <a:pt x="0" y="307"/>
                              </a:lnTo>
                              <a:lnTo>
                                <a:pt x="134" y="410"/>
                              </a:lnTo>
                              <a:lnTo>
                                <a:pt x="268" y="307"/>
                              </a:lnTo>
                              <a:lnTo>
                                <a:pt x="201" y="307"/>
                              </a:lnTo>
                              <a:lnTo>
                                <a:pt x="201" y="0"/>
                              </a:lnTo>
                              <a:lnTo>
                                <a:pt x="67" y="0"/>
                              </a:lnTo>
                            </a:path>
                          </a:pathLst>
                        </a:custGeom>
                        <a:solidFill>
                          <a:srgbClr val="5B6770"/>
                        </a:solidFill>
                        <a:ln>
                          <a:solidFill>
                            <a:srgbClr val="3465A4"/>
                          </a:solidFill>
                        </a:ln>
                        <a:effectLst/>
                      </wps:spPr>
                      <wps:bodyPr/>
                    </wps:wsp>
                  </a:graphicData>
                </a:graphic>
              </wp:anchor>
            </w:drawing>
          </mc:Choice>
          <mc:Fallback>
            <w:pict>
              <v:shape w14:anchorId="7BAA7498" id="Forma7" o:spid="_x0000_s1026" style="position:absolute;margin-left:207.7pt;margin-top:7.85pt;width:13.4pt;height:20.5pt;z-index:251837440;visibility:visible;mso-wrap-style:square;mso-wrap-distance-left:0;mso-wrap-distance-top:0;mso-wrap-distance-right:0;mso-wrap-distance-bottom:0;mso-position-horizontal:absolute;mso-position-horizontal-relative:text;mso-position-vertical:absolute;mso-position-vertical-relative:text;v-text-anchor:top" coordsize="26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2mCgIAAN8EAAAOAAAAZHJzL2Uyb0RvYy54bWysVNuO2yAQfa/Uf0C8N7YTx95asVdtV+lL&#10;1a602w8gGMdIGBCwdvL3HXDIZtN71RczwMyZmXMYb24Pg0AjM5YrWeNskWLEJFUtl/saf33cvrnB&#10;yDoiWyKUZDU+Motvm9evNpOu2FL1SrTMIACRtpp0jXvndJUklvZsIHahNJNw2SkzEAdbs09aQyZA&#10;H0SyTNMimZRptVGUWQund/MlbgJ+1zHqvnSdZQ6JGkNtLnxN+O78N2k2pNobontOT2WQf6hiIFxC&#10;0jPUHXEEPRn+HdTAqVFWdW5B1ZCoruOUhR6gmyy96uahJ5qFXoAcq8802f8HSz+P9wbxtsYlKCXJ&#10;ABptPdulp2bStgKPB31vTjsLpu/z0JnBr9ABOgQ6j2c62cEhCodZmWY3QDqFq2WRrtaB7uQ5mD5Z&#10;95GpAETGT9bNarTRIn206EFG04Cm12oajEDN3aymJs7H+eq8iSaf/S1GfY3zLAsqDWpkjyp4OF9+&#10;UWIU64f6nq+F/IHbKg3kgGO8jqsOaNAygP3OK1vlwS/PIi0RJa4z2rIAYf4AD97PX/n9OusVI3NJ&#10;0LFntNmcjMAy2Jc6WiV4u+VCeHat2e8+CINGAuO3fl+UZcz6wk3I4PzTyFVerN/lXl1IdhEJuzmU&#10;hUmfX0jiH+38TL21U+0xvN5wDlMUQE4T78f0cg/25X+p+QYAAP//AwBQSwMEFAAGAAgAAAAhACvs&#10;rQPeAAAACQEAAA8AAABkcnMvZG93bnJldi54bWxMj0FPg0AQhe8m/ofNmHizSwkURJbG2DaeNGk1&#10;nhcYWSI7S9htwX/veNLj5H1575tyu9hBXHDyvSMF61UEAqlxbU+dgve3w10OwgdNrR4coYJv9LCt&#10;rq9KXbRupiNeTqETXEK+0ApMCGMhpW8MWu1XbkTi7NNNVgc+p062k5653A4yjqKNtLonXjB6xCeD&#10;zdfpbBXc7593+cfLjLt8v6CZD3V3fM2Uur1ZHh9ABFzCHwy/+qwOFTvV7kytF4OCZJ0mjHKQZiAY&#10;SJI4BlErSDcZyKqU/z+ofgAAAP//AwBQSwECLQAUAAYACAAAACEAtoM4kv4AAADhAQAAEwAAAAAA&#10;AAAAAAAAAAAAAAAAW0NvbnRlbnRfVHlwZXNdLnhtbFBLAQItABQABgAIAAAAIQA4/SH/1gAAAJQB&#10;AAALAAAAAAAAAAAAAAAAAC8BAABfcmVscy8ucmVsc1BLAQItABQABgAIAAAAIQDhy/2mCgIAAN8E&#10;AAAOAAAAAAAAAAAAAAAAAC4CAABkcnMvZTJvRG9jLnhtbFBLAQItABQABgAIAAAAIQAr7K0D3gAA&#10;AAkBAAAPAAAAAAAAAAAAAAAAAGQEAABkcnMvZG93bnJldi54bWxQSwUGAAAAAAQABADzAAAAbwUA&#10;AAAA&#10;" path="m67,r,307l,307,134,410,268,307r-67,l201,,67,e" fillcolor="#5b6770" strokecolor="#3465a4">
                <v:path arrowok="t"/>
              </v:shape>
            </w:pict>
          </mc:Fallback>
        </mc:AlternateContent>
      </w:r>
    </w:p>
    <w:p w14:paraId="7A57EDBB" w14:textId="57C2B1AF" w:rsidR="009568B0" w:rsidRPr="00A07BE9" w:rsidRDefault="009568B0" w:rsidP="009568B0">
      <w:pPr>
        <w:spacing w:after="0" w:line="240" w:lineRule="auto"/>
        <w:jc w:val="both"/>
        <w:rPr>
          <w:rFonts w:ascii="Open Sans" w:eastAsia="NSimSun" w:hAnsi="Open Sans" w:cs="Arial"/>
          <w:kern w:val="2"/>
          <w:sz w:val="20"/>
          <w:szCs w:val="20"/>
          <w:lang w:eastAsia="zh-CN" w:bidi="hi-IN"/>
        </w:rPr>
      </w:pPr>
    </w:p>
    <w:p w14:paraId="1A480883" w14:textId="0F452FF3" w:rsidR="009568B0" w:rsidRPr="00A07BE9" w:rsidRDefault="004C557F" w:rsidP="009568B0">
      <w:pPr>
        <w:spacing w:after="0" w:line="240" w:lineRule="auto"/>
        <w:jc w:val="both"/>
        <w:rPr>
          <w:rFonts w:ascii="Open Sans" w:eastAsia="NSimSun" w:hAnsi="Open Sans" w:cs="Arial"/>
          <w:kern w:val="2"/>
          <w:sz w:val="20"/>
          <w:szCs w:val="20"/>
          <w:lang w:eastAsia="zh-CN" w:bidi="hi-IN"/>
        </w:rPr>
      </w:pPr>
      <w:r w:rsidRPr="00A07BE9">
        <w:rPr>
          <w:rFonts w:ascii="Open Sans" w:eastAsia="NSimSun" w:hAnsi="Open Sans" w:cs="Arial"/>
          <w:noProof/>
          <w:kern w:val="2"/>
          <w:sz w:val="20"/>
          <w:szCs w:val="20"/>
          <w:lang w:eastAsia="es-ES"/>
        </w:rPr>
        <mc:AlternateContent>
          <mc:Choice Requires="wps">
            <w:drawing>
              <wp:anchor distT="0" distB="0" distL="0" distR="0" simplePos="0" relativeHeight="251833344" behindDoc="0" locked="0" layoutInCell="1" allowOverlap="1" wp14:anchorId="69BD16E4" wp14:editId="7738BC2A">
                <wp:simplePos x="0" y="0"/>
                <wp:positionH relativeFrom="column">
                  <wp:posOffset>1653540</wp:posOffset>
                </wp:positionH>
                <wp:positionV relativeFrom="paragraph">
                  <wp:posOffset>43815</wp:posOffset>
                </wp:positionV>
                <wp:extent cx="2143125" cy="1047750"/>
                <wp:effectExtent l="0" t="0" r="28575" b="19050"/>
                <wp:wrapNone/>
                <wp:docPr id="71" name="Forma1"/>
                <wp:cNvGraphicFramePr/>
                <a:graphic xmlns:a="http://schemas.openxmlformats.org/drawingml/2006/main">
                  <a:graphicData uri="http://schemas.microsoft.com/office/word/2010/wordprocessingShape">
                    <wps:wsp>
                      <wps:cNvSpPr/>
                      <wps:spPr>
                        <a:xfrm>
                          <a:off x="0" y="0"/>
                          <a:ext cx="2143125" cy="1047750"/>
                        </a:xfrm>
                        <a:custGeom>
                          <a:avLst/>
                          <a:gdLst/>
                          <a:ahLst/>
                          <a:cxnLst/>
                          <a:rect l="0" t="0" r="r" b="b"/>
                          <a:pathLst>
                            <a:path w="3412" h="1935">
                              <a:moveTo>
                                <a:pt x="322" y="0"/>
                              </a:moveTo>
                              <a:lnTo>
                                <a:pt x="322" y="0"/>
                              </a:lnTo>
                              <a:cubicBezTo>
                                <a:pt x="266" y="0"/>
                                <a:pt x="210" y="15"/>
                                <a:pt x="161" y="43"/>
                              </a:cubicBezTo>
                              <a:cubicBezTo>
                                <a:pt x="112" y="71"/>
                                <a:pt x="71" y="112"/>
                                <a:pt x="43" y="161"/>
                              </a:cubicBezTo>
                              <a:cubicBezTo>
                                <a:pt x="15" y="210"/>
                                <a:pt x="0" y="266"/>
                                <a:pt x="0" y="322"/>
                              </a:cubicBezTo>
                              <a:lnTo>
                                <a:pt x="0" y="1611"/>
                              </a:lnTo>
                              <a:lnTo>
                                <a:pt x="0" y="1612"/>
                              </a:lnTo>
                              <a:cubicBezTo>
                                <a:pt x="0" y="1668"/>
                                <a:pt x="15" y="1724"/>
                                <a:pt x="43" y="1773"/>
                              </a:cubicBezTo>
                              <a:cubicBezTo>
                                <a:pt x="71" y="1822"/>
                                <a:pt x="112" y="1863"/>
                                <a:pt x="161" y="1891"/>
                              </a:cubicBezTo>
                              <a:cubicBezTo>
                                <a:pt x="210" y="1919"/>
                                <a:pt x="266" y="1934"/>
                                <a:pt x="322" y="1934"/>
                              </a:cubicBezTo>
                              <a:lnTo>
                                <a:pt x="3088" y="1934"/>
                              </a:lnTo>
                              <a:lnTo>
                                <a:pt x="3089" y="1934"/>
                              </a:lnTo>
                              <a:cubicBezTo>
                                <a:pt x="3145" y="1934"/>
                                <a:pt x="3201" y="1919"/>
                                <a:pt x="3250" y="1891"/>
                              </a:cubicBezTo>
                              <a:cubicBezTo>
                                <a:pt x="3299" y="1863"/>
                                <a:pt x="3340" y="1822"/>
                                <a:pt x="3368" y="1773"/>
                              </a:cubicBezTo>
                              <a:cubicBezTo>
                                <a:pt x="3396" y="1724"/>
                                <a:pt x="3411" y="1668"/>
                                <a:pt x="3411" y="1612"/>
                              </a:cubicBezTo>
                              <a:lnTo>
                                <a:pt x="3411" y="322"/>
                              </a:lnTo>
                              <a:lnTo>
                                <a:pt x="3411" y="322"/>
                              </a:lnTo>
                              <a:lnTo>
                                <a:pt x="3411" y="322"/>
                              </a:lnTo>
                              <a:cubicBezTo>
                                <a:pt x="3411" y="266"/>
                                <a:pt x="3396" y="210"/>
                                <a:pt x="3368" y="161"/>
                              </a:cubicBezTo>
                              <a:cubicBezTo>
                                <a:pt x="3340" y="112"/>
                                <a:pt x="3299" y="71"/>
                                <a:pt x="3250" y="43"/>
                              </a:cubicBezTo>
                              <a:cubicBezTo>
                                <a:pt x="3201" y="15"/>
                                <a:pt x="3145" y="0"/>
                                <a:pt x="3089" y="0"/>
                              </a:cubicBezTo>
                              <a:lnTo>
                                <a:pt x="322" y="0"/>
                              </a:lnTo>
                            </a:path>
                          </a:pathLst>
                        </a:custGeom>
                        <a:solidFill>
                          <a:srgbClr val="FFA6A6"/>
                        </a:solidFill>
                        <a:ln>
                          <a:solidFill>
                            <a:srgbClr val="3465A4"/>
                          </a:solidFill>
                        </a:ln>
                        <a:effectLst/>
                      </wps:spPr>
                      <wps:txbx>
                        <w:txbxContent>
                          <w:p w14:paraId="25C9EEC9" w14:textId="77777777" w:rsidR="000F0D13" w:rsidRPr="00D56217" w:rsidRDefault="000F0D13" w:rsidP="00D56217">
                            <w:pPr>
                              <w:spacing w:after="0"/>
                              <w:jc w:val="center"/>
                              <w:rPr>
                                <w:rFonts w:ascii="Open Sans" w:hAnsi="Open Sans" w:cs="Open Sans"/>
                              </w:rPr>
                            </w:pPr>
                            <w:r w:rsidRPr="00D56217">
                              <w:rPr>
                                <w:rFonts w:ascii="Open Sans" w:hAnsi="Open Sans" w:cs="Open Sans"/>
                                <w:color w:val="FFFFFF"/>
                                <w:sz w:val="16"/>
                                <w:szCs w:val="16"/>
                              </w:rPr>
                              <w:t xml:space="preserve">Tras la recepción de las alegaciones </w:t>
                            </w:r>
                          </w:p>
                          <w:p w14:paraId="4EDA4D37" w14:textId="77777777" w:rsidR="000F0D13" w:rsidRPr="00D56217" w:rsidRDefault="000F0D13" w:rsidP="00D56217">
                            <w:pPr>
                              <w:spacing w:after="0"/>
                              <w:jc w:val="center"/>
                              <w:rPr>
                                <w:rFonts w:ascii="Open Sans" w:hAnsi="Open Sans" w:cs="Open Sans"/>
                              </w:rPr>
                            </w:pPr>
                            <w:r w:rsidRPr="00D56217">
                              <w:rPr>
                                <w:rFonts w:ascii="Open Sans" w:hAnsi="Open Sans" w:cs="Open Sans"/>
                                <w:color w:val="FFFFFF"/>
                                <w:sz w:val="16"/>
                                <w:szCs w:val="16"/>
                              </w:rPr>
                              <w:t>presentadas por los interesados, se</w:t>
                            </w:r>
                          </w:p>
                          <w:p w14:paraId="27D119AA" w14:textId="77777777" w:rsidR="000F0D13" w:rsidRPr="00D56217" w:rsidRDefault="000F0D13" w:rsidP="00D56217">
                            <w:pPr>
                              <w:spacing w:after="0"/>
                              <w:jc w:val="center"/>
                              <w:rPr>
                                <w:rFonts w:ascii="Open Sans" w:hAnsi="Open Sans" w:cs="Open Sans"/>
                              </w:rPr>
                            </w:pPr>
                            <w:r w:rsidRPr="00D56217">
                              <w:rPr>
                                <w:rFonts w:ascii="Open Sans" w:hAnsi="Open Sans" w:cs="Open Sans"/>
                                <w:color w:val="FFFFFF"/>
                                <w:sz w:val="16"/>
                                <w:szCs w:val="16"/>
                              </w:rPr>
                              <w:t>procede a elaborar, aprobar y comunicar el</w:t>
                            </w:r>
                          </w:p>
                          <w:p w14:paraId="6D889ADA" w14:textId="77777777" w:rsidR="000F0D13" w:rsidRPr="00D56217" w:rsidRDefault="000F0D13" w:rsidP="00D56217">
                            <w:pPr>
                              <w:spacing w:after="0"/>
                              <w:jc w:val="center"/>
                              <w:rPr>
                                <w:rFonts w:ascii="Open Sans" w:hAnsi="Open Sans" w:cs="Open Sans"/>
                              </w:rPr>
                            </w:pPr>
                            <w:r w:rsidRPr="00D56217">
                              <w:rPr>
                                <w:rFonts w:ascii="Open Sans" w:hAnsi="Open Sans" w:cs="Open Sans"/>
                                <w:b/>
                                <w:bCs/>
                                <w:color w:val="FFFFFF"/>
                                <w:sz w:val="16"/>
                                <w:szCs w:val="16"/>
                                <w:u w:val="single"/>
                              </w:rPr>
                              <w:t>INFORME FINAL</w:t>
                            </w:r>
                          </w:p>
                          <w:p w14:paraId="012ACDD7" w14:textId="77777777" w:rsidR="000F0D13" w:rsidRPr="00D56217" w:rsidRDefault="000F0D13" w:rsidP="00D56217">
                            <w:pPr>
                              <w:spacing w:after="0"/>
                              <w:jc w:val="center"/>
                              <w:rPr>
                                <w:rFonts w:ascii="Open Sans" w:hAnsi="Open Sans" w:cs="Open Sans"/>
                              </w:rPr>
                            </w:pPr>
                            <w:r w:rsidRPr="00D56217">
                              <w:rPr>
                                <w:rFonts w:ascii="Open Sans" w:hAnsi="Open Sans" w:cs="Open Sans"/>
                                <w:color w:val="FFFFFF"/>
                                <w:sz w:val="16"/>
                                <w:szCs w:val="16"/>
                              </w:rPr>
                              <w:t xml:space="preserve">que recoge el resultado de toda la actividad </w:t>
                            </w:r>
                          </w:p>
                          <w:p w14:paraId="6227561E" w14:textId="77777777" w:rsidR="000F0D13" w:rsidRDefault="000F0D13" w:rsidP="00D56217">
                            <w:pPr>
                              <w:spacing w:after="0"/>
                              <w:jc w:val="center"/>
                            </w:pPr>
                            <w:r w:rsidRPr="00D56217">
                              <w:rPr>
                                <w:rFonts w:ascii="Open Sans" w:hAnsi="Open Sans" w:cs="Open Sans"/>
                                <w:color w:val="FFFFFF"/>
                                <w:sz w:val="16"/>
                                <w:szCs w:val="16"/>
                              </w:rPr>
                              <w:t>investigadora desplegada por la Agencia</w:t>
                            </w:r>
                            <w:r>
                              <w:rPr>
                                <w:color w:val="FFFFFF"/>
                                <w:sz w:val="16"/>
                                <w:szCs w:val="16"/>
                              </w:rPr>
                              <w:t>.</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69BD16E4" id="_x0000_s1056" style="position:absolute;left:0;text-align:left;margin-left:130.2pt;margin-top:3.45pt;width:168.75pt;height:82.5pt;z-index:25183334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3412,19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TdVQMAACsKAAAOAAAAZHJzL2Uyb0RvYy54bWysVttu2zAMfR+wfzD8vjqyHOeCJkW2ocOA&#10;YSvQ7gMUWY4N2JYnKZfu60dJlm9Jt2boiy1R1BF5SJG6vTuVhXdgQua8WvnoZuJ7rKI8yavdyv/5&#10;dP9h7ntSkSohBa/Yyn9m0r9bv393e6yXLOQZLxImPACp5PJYr/xMqXoZBJJmrCTyhtesgsWUi5Io&#10;mIpdkAhyBPSyCMLJJA6OXCS14JRJCdLPdtFfG/w0ZVT9SFPJlFesfLBNma8w363+ButbstwJUmc5&#10;bcwg/2FFSfIKDm2hPhNFvL3Iz6DKnAoueapuKC8DnqY5ZcYH8AZNRt48ZqRmxhcgR9YtTfLtYOn3&#10;w2P9IICGYy2XEobai1MqSv0H+7yTIeu5JYudlEdBGKIIo3DqexTW0CSazaaGzqDbTvdSfWHcQJHD&#10;N6ks24kbkcyN6KlyQwExG0dL+B5Ea2ujVROl92n79NA7rnwcodD3MrBjgacmDiU/sCdudJR2AYeg&#10;4JwAE7v1ovqbnlul+21OP7Lffd0wjjtMMMYcFCJIM83ItLHWSFGMjDTCWgrnD/GGMwuEtEsANEN9&#10;IJgZdFg0ZFpdgDVSOOXV8BA5QNfm9oCs7dqxM6Fm8BK4Y8ha0jgfI2eJW3b/kZrDdMuXmHCY8bxv&#10;FRBsfJ6FUV/sqJjNXk+1I3VuXXShdBFA89hgtfImmGi+cF4OzR7OrMdtXizQom+vSyLI3IEfLmGd&#10;/CxnHGMWHk/mUGl13jU4oO803L/VXLykeclwjKKG6TMLJ00yjlzCIVQCY8s1BOFw0dg1ohvjyMEN&#10;44MxZITNgSuCjfHCXls0yhwoIo0/8TDTegv22v0rFg6ouzIuBO7fhOINFC+GzOGOLnLr+ujWd0Re&#10;UUC6sAxrURvHYeFqk+KKEoihJ9oAD4ppm5GD0gU3wOaP60JDZkbMj9qBXYW46o5iCnTbZUywuz4m&#10;eZEn93lR6N4ixW77qRDegcDz4v5+E29M4YQtA7WiMsov7sRRPN2Y2z/cCTO7lZmXjO2QQdeo9Uid&#10;ticvT6DDGb+1aMuT5wfhHeFVs/Llrz0RzPeKrxU8G+AiKTcQbrB1A1LRjMPjiCphmmjFN3vF01z3&#10;bXOsRW4m8CIxTDWvJ/3k6c+NVvfGW/8BAAD//wMAUEsDBBQABgAIAAAAIQAFGyLp3QAAAAkBAAAP&#10;AAAAZHJzL2Rvd25yZXYueG1sTI/BTsMwDIbvSLxDZCRuLF23dbQ0ndBgD9ANoR2zxmsrEqdqsq28&#10;PeYEN1v/p9+fy83krLjiGHpPCuazBARS401PrYKPw+7pGUSImoy2nlDBNwbYVPd3pS6Mv1GN131s&#10;BZdQKLSCLsahkDI0HTodZn5A4uzsR6cjr2MrzahvXO6sTJMkk073xBc6PeC2w+Zrf3EKznV7dIva&#10;rrZLOu6MWxzSz/c3pR4fptcXEBGn+AfDrz6rQ8VOJ38hE4RVkGbJklEFWQ6C81W+5uHE4Hqeg6xK&#10;+f+D6gcAAP//AwBQSwECLQAUAAYACAAAACEAtoM4kv4AAADhAQAAEwAAAAAAAAAAAAAAAAAAAAAA&#10;W0NvbnRlbnRfVHlwZXNdLnhtbFBLAQItABQABgAIAAAAIQA4/SH/1gAAAJQBAAALAAAAAAAAAAAA&#10;AAAAAC8BAABfcmVscy8ucmVsc1BLAQItABQABgAIAAAAIQDsb/TdVQMAACsKAAAOAAAAAAAAAAAA&#10;AAAAAC4CAABkcnMvZTJvRG9jLnhtbFBLAQItABQABgAIAAAAIQAFGyLp3QAAAAkBAAAPAAAAAAAA&#10;AAAAAAAAAK8FAABkcnMvZG93bnJldi54bWxQSwUGAAAAAAQABADzAAAAuQYAAAAA&#10;" adj="-11796480,,5400" path="m322,r,c266,,210,15,161,43,112,71,71,112,43,161,15,210,,266,,322l,1611r,1c,1668,15,1724,43,1773v28,49,69,90,118,118c210,1919,266,1934,322,1934r2766,l3089,1934v56,,112,-15,161,-43c3299,1863,3340,1822,3368,1773v28,-49,43,-105,43,-161l3411,322r,l3411,322v,-56,-15,-112,-43,-161c3340,112,3299,71,3250,43,3201,15,3145,,3089,l322,e" fillcolor="#ffa6a6" strokecolor="#3465a4">
                <v:stroke joinstyle="miter"/>
                <v:formulas/>
                <v:path arrowok="t" o:connecttype="custom" textboxrect="0,0,3412,1935"/>
                <v:textbox inset="0,0,0,0">
                  <w:txbxContent>
                    <w:p w14:paraId="25C9EEC9" w14:textId="77777777" w:rsidR="000F0D13" w:rsidRPr="00D56217" w:rsidRDefault="000F0D13" w:rsidP="00D56217">
                      <w:pPr>
                        <w:spacing w:after="0"/>
                        <w:jc w:val="center"/>
                        <w:rPr>
                          <w:rFonts w:ascii="Open Sans" w:hAnsi="Open Sans" w:cs="Open Sans"/>
                        </w:rPr>
                      </w:pPr>
                      <w:r w:rsidRPr="00D56217">
                        <w:rPr>
                          <w:rFonts w:ascii="Open Sans" w:hAnsi="Open Sans" w:cs="Open Sans"/>
                          <w:color w:val="FFFFFF"/>
                          <w:sz w:val="16"/>
                          <w:szCs w:val="16"/>
                        </w:rPr>
                        <w:t xml:space="preserve">Tras la recepción de las alegaciones </w:t>
                      </w:r>
                    </w:p>
                    <w:p w14:paraId="4EDA4D37" w14:textId="77777777" w:rsidR="000F0D13" w:rsidRPr="00D56217" w:rsidRDefault="000F0D13" w:rsidP="00D56217">
                      <w:pPr>
                        <w:spacing w:after="0"/>
                        <w:jc w:val="center"/>
                        <w:rPr>
                          <w:rFonts w:ascii="Open Sans" w:hAnsi="Open Sans" w:cs="Open Sans"/>
                        </w:rPr>
                      </w:pPr>
                      <w:r w:rsidRPr="00D56217">
                        <w:rPr>
                          <w:rFonts w:ascii="Open Sans" w:hAnsi="Open Sans" w:cs="Open Sans"/>
                          <w:color w:val="FFFFFF"/>
                          <w:sz w:val="16"/>
                          <w:szCs w:val="16"/>
                        </w:rPr>
                        <w:t>presentadas por los interesados, se</w:t>
                      </w:r>
                    </w:p>
                    <w:p w14:paraId="27D119AA" w14:textId="77777777" w:rsidR="000F0D13" w:rsidRPr="00D56217" w:rsidRDefault="000F0D13" w:rsidP="00D56217">
                      <w:pPr>
                        <w:spacing w:after="0"/>
                        <w:jc w:val="center"/>
                        <w:rPr>
                          <w:rFonts w:ascii="Open Sans" w:hAnsi="Open Sans" w:cs="Open Sans"/>
                        </w:rPr>
                      </w:pPr>
                      <w:r w:rsidRPr="00D56217">
                        <w:rPr>
                          <w:rFonts w:ascii="Open Sans" w:hAnsi="Open Sans" w:cs="Open Sans"/>
                          <w:color w:val="FFFFFF"/>
                          <w:sz w:val="16"/>
                          <w:szCs w:val="16"/>
                        </w:rPr>
                        <w:t>procede a elaborar, aprobar y comunicar el</w:t>
                      </w:r>
                    </w:p>
                    <w:p w14:paraId="6D889ADA" w14:textId="77777777" w:rsidR="000F0D13" w:rsidRPr="00D56217" w:rsidRDefault="000F0D13" w:rsidP="00D56217">
                      <w:pPr>
                        <w:spacing w:after="0"/>
                        <w:jc w:val="center"/>
                        <w:rPr>
                          <w:rFonts w:ascii="Open Sans" w:hAnsi="Open Sans" w:cs="Open Sans"/>
                        </w:rPr>
                      </w:pPr>
                      <w:r w:rsidRPr="00D56217">
                        <w:rPr>
                          <w:rFonts w:ascii="Open Sans" w:hAnsi="Open Sans" w:cs="Open Sans"/>
                          <w:b/>
                          <w:bCs/>
                          <w:color w:val="FFFFFF"/>
                          <w:sz w:val="16"/>
                          <w:szCs w:val="16"/>
                          <w:u w:val="single"/>
                        </w:rPr>
                        <w:t>INFORME FINAL</w:t>
                      </w:r>
                    </w:p>
                    <w:p w14:paraId="012ACDD7" w14:textId="77777777" w:rsidR="000F0D13" w:rsidRPr="00D56217" w:rsidRDefault="000F0D13" w:rsidP="00D56217">
                      <w:pPr>
                        <w:spacing w:after="0"/>
                        <w:jc w:val="center"/>
                        <w:rPr>
                          <w:rFonts w:ascii="Open Sans" w:hAnsi="Open Sans" w:cs="Open Sans"/>
                        </w:rPr>
                      </w:pPr>
                      <w:r w:rsidRPr="00D56217">
                        <w:rPr>
                          <w:rFonts w:ascii="Open Sans" w:hAnsi="Open Sans" w:cs="Open Sans"/>
                          <w:color w:val="FFFFFF"/>
                          <w:sz w:val="16"/>
                          <w:szCs w:val="16"/>
                        </w:rPr>
                        <w:t xml:space="preserve">que recoge el resultado de toda la actividad </w:t>
                      </w:r>
                    </w:p>
                    <w:p w14:paraId="6227561E" w14:textId="77777777" w:rsidR="000F0D13" w:rsidRDefault="000F0D13" w:rsidP="00D56217">
                      <w:pPr>
                        <w:spacing w:after="0"/>
                        <w:jc w:val="center"/>
                      </w:pPr>
                      <w:r w:rsidRPr="00D56217">
                        <w:rPr>
                          <w:rFonts w:ascii="Open Sans" w:hAnsi="Open Sans" w:cs="Open Sans"/>
                          <w:color w:val="FFFFFF"/>
                          <w:sz w:val="16"/>
                          <w:szCs w:val="16"/>
                        </w:rPr>
                        <w:t>investigadora desplegada por la Agencia</w:t>
                      </w:r>
                      <w:r>
                        <w:rPr>
                          <w:color w:val="FFFFFF"/>
                          <w:sz w:val="16"/>
                          <w:szCs w:val="16"/>
                        </w:rPr>
                        <w:t>.</w:t>
                      </w:r>
                    </w:p>
                  </w:txbxContent>
                </v:textbox>
              </v:shape>
            </w:pict>
          </mc:Fallback>
        </mc:AlternateContent>
      </w:r>
    </w:p>
    <w:p w14:paraId="587B3A84" w14:textId="77777777" w:rsidR="009568B0" w:rsidRPr="00A07BE9" w:rsidRDefault="009568B0" w:rsidP="009568B0">
      <w:pPr>
        <w:spacing w:after="0" w:line="240" w:lineRule="auto"/>
        <w:jc w:val="both"/>
        <w:rPr>
          <w:rFonts w:ascii="Open Sans" w:eastAsia="NSimSun" w:hAnsi="Open Sans" w:cs="Arial"/>
          <w:kern w:val="2"/>
          <w:sz w:val="20"/>
          <w:szCs w:val="20"/>
          <w:lang w:eastAsia="zh-CN" w:bidi="hi-IN"/>
        </w:rPr>
      </w:pPr>
    </w:p>
    <w:p w14:paraId="0A80CB40" w14:textId="66D23CC0" w:rsidR="009568B0" w:rsidRPr="00A07BE9" w:rsidRDefault="00BF5F8C"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noProof/>
          <w:kern w:val="2"/>
          <w:sz w:val="20"/>
          <w:szCs w:val="20"/>
          <w:lang w:eastAsia="es-ES"/>
        </w:rPr>
        <mc:AlternateContent>
          <mc:Choice Requires="wps">
            <w:drawing>
              <wp:anchor distT="0" distB="0" distL="0" distR="0" simplePos="0" relativeHeight="251835392" behindDoc="0" locked="0" layoutInCell="1" allowOverlap="1" wp14:anchorId="2A8207F1" wp14:editId="74757009">
                <wp:simplePos x="0" y="0"/>
                <wp:positionH relativeFrom="column">
                  <wp:posOffset>1758315</wp:posOffset>
                </wp:positionH>
                <wp:positionV relativeFrom="paragraph">
                  <wp:posOffset>1078230</wp:posOffset>
                </wp:positionV>
                <wp:extent cx="1781175" cy="1352550"/>
                <wp:effectExtent l="0" t="0" r="28575" b="19050"/>
                <wp:wrapNone/>
                <wp:docPr id="73" name="Forma1"/>
                <wp:cNvGraphicFramePr/>
                <a:graphic xmlns:a="http://schemas.openxmlformats.org/drawingml/2006/main">
                  <a:graphicData uri="http://schemas.microsoft.com/office/word/2010/wordprocessingShape">
                    <wps:wsp>
                      <wps:cNvSpPr/>
                      <wps:spPr>
                        <a:xfrm>
                          <a:off x="0" y="0"/>
                          <a:ext cx="1781175" cy="1352550"/>
                        </a:xfrm>
                        <a:custGeom>
                          <a:avLst/>
                          <a:gdLst/>
                          <a:ahLst/>
                          <a:cxnLst/>
                          <a:rect l="0" t="0" r="r" b="b"/>
                          <a:pathLst>
                            <a:path w="3020" h="2660">
                              <a:moveTo>
                                <a:pt x="443" y="0"/>
                              </a:moveTo>
                              <a:lnTo>
                                <a:pt x="443" y="0"/>
                              </a:lnTo>
                              <a:cubicBezTo>
                                <a:pt x="365" y="0"/>
                                <a:pt x="289" y="20"/>
                                <a:pt x="222" y="59"/>
                              </a:cubicBezTo>
                              <a:cubicBezTo>
                                <a:pt x="154" y="98"/>
                                <a:pt x="98" y="154"/>
                                <a:pt x="59" y="222"/>
                              </a:cubicBezTo>
                              <a:cubicBezTo>
                                <a:pt x="20" y="289"/>
                                <a:pt x="0" y="365"/>
                                <a:pt x="0" y="443"/>
                              </a:cubicBezTo>
                              <a:lnTo>
                                <a:pt x="0" y="2215"/>
                              </a:lnTo>
                              <a:lnTo>
                                <a:pt x="0" y="2216"/>
                              </a:lnTo>
                              <a:cubicBezTo>
                                <a:pt x="0" y="2294"/>
                                <a:pt x="20" y="2370"/>
                                <a:pt x="59" y="2437"/>
                              </a:cubicBezTo>
                              <a:cubicBezTo>
                                <a:pt x="98" y="2505"/>
                                <a:pt x="154" y="2561"/>
                                <a:pt x="222" y="2600"/>
                              </a:cubicBezTo>
                              <a:cubicBezTo>
                                <a:pt x="289" y="2639"/>
                                <a:pt x="365" y="2659"/>
                                <a:pt x="443" y="2659"/>
                              </a:cubicBezTo>
                              <a:lnTo>
                                <a:pt x="2575" y="2659"/>
                              </a:lnTo>
                              <a:lnTo>
                                <a:pt x="2576" y="2659"/>
                              </a:lnTo>
                              <a:cubicBezTo>
                                <a:pt x="2654" y="2659"/>
                                <a:pt x="2730" y="2639"/>
                                <a:pt x="2797" y="2600"/>
                              </a:cubicBezTo>
                              <a:cubicBezTo>
                                <a:pt x="2865" y="2561"/>
                                <a:pt x="2921" y="2505"/>
                                <a:pt x="2960" y="2437"/>
                              </a:cubicBezTo>
                              <a:cubicBezTo>
                                <a:pt x="2999" y="2370"/>
                                <a:pt x="3019" y="2294"/>
                                <a:pt x="3019" y="2216"/>
                              </a:cubicBezTo>
                              <a:lnTo>
                                <a:pt x="3019" y="443"/>
                              </a:lnTo>
                              <a:lnTo>
                                <a:pt x="3019" y="443"/>
                              </a:lnTo>
                              <a:lnTo>
                                <a:pt x="3019" y="443"/>
                              </a:lnTo>
                              <a:cubicBezTo>
                                <a:pt x="3019" y="365"/>
                                <a:pt x="2999" y="289"/>
                                <a:pt x="2960" y="222"/>
                              </a:cubicBezTo>
                              <a:cubicBezTo>
                                <a:pt x="2921" y="154"/>
                                <a:pt x="2865" y="98"/>
                                <a:pt x="2797" y="59"/>
                              </a:cubicBezTo>
                              <a:cubicBezTo>
                                <a:pt x="2730" y="20"/>
                                <a:pt x="2654" y="0"/>
                                <a:pt x="2576" y="0"/>
                              </a:cubicBezTo>
                              <a:lnTo>
                                <a:pt x="443" y="0"/>
                              </a:lnTo>
                            </a:path>
                          </a:pathLst>
                        </a:custGeom>
                        <a:solidFill>
                          <a:srgbClr val="EABAC2"/>
                        </a:solidFill>
                        <a:ln>
                          <a:solidFill>
                            <a:srgbClr val="3465A4"/>
                          </a:solidFill>
                        </a:ln>
                        <a:effectLst/>
                      </wps:spPr>
                      <wps:txbx>
                        <w:txbxContent>
                          <w:p w14:paraId="5D105AC4" w14:textId="58EE58DF" w:rsidR="000F0D13" w:rsidRPr="00D56217" w:rsidRDefault="000F0D13" w:rsidP="00D56217">
                            <w:pPr>
                              <w:spacing w:after="0"/>
                              <w:jc w:val="center"/>
                              <w:rPr>
                                <w:rFonts w:ascii="Open Sans" w:hAnsi="Open Sans" w:cs="Open Sans"/>
                              </w:rPr>
                            </w:pPr>
                            <w:r>
                              <w:rPr>
                                <w:rFonts w:ascii="Open Sans" w:hAnsi="Open Sans" w:cs="Open Sans"/>
                                <w:sz w:val="16"/>
                                <w:szCs w:val="16"/>
                              </w:rPr>
                              <w:t xml:space="preserve"> </w:t>
                            </w:r>
                            <w:r w:rsidRPr="00D56217">
                              <w:rPr>
                                <w:rFonts w:ascii="Open Sans" w:hAnsi="Open Sans" w:cs="Open Sans"/>
                                <w:sz w:val="16"/>
                                <w:szCs w:val="16"/>
                              </w:rPr>
                              <w:t>Si de las actuaciones se constatan</w:t>
                            </w:r>
                          </w:p>
                          <w:p w14:paraId="5776E86B" w14:textId="77777777" w:rsidR="000F0D13" w:rsidRPr="00D56217" w:rsidRDefault="000F0D13" w:rsidP="00D56217">
                            <w:pPr>
                              <w:spacing w:after="0"/>
                              <w:jc w:val="center"/>
                              <w:rPr>
                                <w:rFonts w:ascii="Open Sans" w:hAnsi="Open Sans" w:cs="Open Sans"/>
                              </w:rPr>
                            </w:pPr>
                            <w:r w:rsidRPr="00D56217">
                              <w:rPr>
                                <w:rFonts w:ascii="Open Sans" w:hAnsi="Open Sans" w:cs="Open Sans"/>
                                <w:sz w:val="16"/>
                                <w:szCs w:val="16"/>
                              </w:rPr>
                              <w:t xml:space="preserve"> mala praxis, PERO</w:t>
                            </w:r>
                          </w:p>
                          <w:p w14:paraId="07BF3B33" w14:textId="77777777" w:rsidR="000F0D13" w:rsidRPr="00D56217" w:rsidRDefault="000F0D13" w:rsidP="00D56217">
                            <w:pPr>
                              <w:spacing w:after="0"/>
                              <w:jc w:val="center"/>
                              <w:rPr>
                                <w:rFonts w:ascii="Open Sans" w:hAnsi="Open Sans" w:cs="Open Sans"/>
                              </w:rPr>
                            </w:pPr>
                            <w:r w:rsidRPr="00D56217">
                              <w:rPr>
                                <w:rFonts w:ascii="Open Sans" w:hAnsi="Open Sans" w:cs="Open Sans"/>
                                <w:sz w:val="16"/>
                                <w:szCs w:val="16"/>
                              </w:rPr>
                              <w:t>no fraude o corrupción</w:t>
                            </w:r>
                          </w:p>
                          <w:p w14:paraId="4E4EBD56" w14:textId="77777777" w:rsidR="000F0D13" w:rsidRPr="00D56217" w:rsidRDefault="000F0D13" w:rsidP="00D56217">
                            <w:pPr>
                              <w:spacing w:after="0"/>
                              <w:jc w:val="center"/>
                              <w:rPr>
                                <w:rFonts w:ascii="Open Sans" w:hAnsi="Open Sans" w:cs="Open Sans"/>
                              </w:rPr>
                            </w:pPr>
                            <w:r w:rsidRPr="00D56217">
                              <w:rPr>
                                <w:rFonts w:ascii="Open Sans" w:hAnsi="Open Sans" w:cs="Open Sans"/>
                                <w:sz w:val="16"/>
                                <w:szCs w:val="16"/>
                              </w:rPr>
                              <w:t>se procede a la</w:t>
                            </w:r>
                          </w:p>
                          <w:p w14:paraId="67DE2DC3" w14:textId="77777777" w:rsidR="000F0D13" w:rsidRPr="00D56217" w:rsidRDefault="000F0D13" w:rsidP="00D56217">
                            <w:pPr>
                              <w:spacing w:after="0"/>
                              <w:jc w:val="center"/>
                              <w:rPr>
                                <w:rFonts w:ascii="Open Sans" w:hAnsi="Open Sans" w:cs="Open Sans"/>
                              </w:rPr>
                            </w:pPr>
                            <w:r w:rsidRPr="00D56217">
                              <w:rPr>
                                <w:rFonts w:ascii="Open Sans" w:hAnsi="Open Sans" w:cs="Open Sans"/>
                                <w:b/>
                                <w:bCs/>
                                <w:sz w:val="16"/>
                                <w:szCs w:val="16"/>
                                <w:u w:val="single"/>
                              </w:rPr>
                              <w:t>FINALIZACIÓN Y ARCHIVO</w:t>
                            </w:r>
                          </w:p>
                          <w:p w14:paraId="6249A6E9" w14:textId="77777777" w:rsidR="000F0D13" w:rsidRPr="00D56217" w:rsidRDefault="000F0D13" w:rsidP="00D56217">
                            <w:pPr>
                              <w:spacing w:after="0"/>
                              <w:jc w:val="center"/>
                              <w:rPr>
                                <w:rFonts w:ascii="Open Sans" w:hAnsi="Open Sans" w:cs="Open Sans"/>
                              </w:rPr>
                            </w:pPr>
                            <w:r w:rsidRPr="00D56217">
                              <w:rPr>
                                <w:rFonts w:ascii="Open Sans" w:hAnsi="Open Sans" w:cs="Open Sans"/>
                                <w:sz w:val="16"/>
                                <w:szCs w:val="16"/>
                              </w:rPr>
                              <w:t>de las actuaciones,</w:t>
                            </w:r>
                          </w:p>
                          <w:p w14:paraId="7D45736A" w14:textId="77777777" w:rsidR="000F0D13" w:rsidRPr="00D56217" w:rsidRDefault="000F0D13" w:rsidP="00D56217">
                            <w:pPr>
                              <w:spacing w:after="0"/>
                              <w:jc w:val="center"/>
                              <w:rPr>
                                <w:rFonts w:ascii="Open Sans" w:hAnsi="Open Sans" w:cs="Open Sans"/>
                              </w:rPr>
                            </w:pPr>
                            <w:r w:rsidRPr="00D56217">
                              <w:rPr>
                                <w:rFonts w:ascii="Open Sans" w:hAnsi="Open Sans" w:cs="Open Sans"/>
                                <w:b/>
                                <w:bCs/>
                                <w:sz w:val="16"/>
                                <w:szCs w:val="16"/>
                                <w:u w:val="single"/>
                              </w:rPr>
                              <w:t>CON RECOMENDACIONES</w:t>
                            </w:r>
                          </w:p>
                          <w:p w14:paraId="2D07F836" w14:textId="77777777" w:rsidR="000F0D13" w:rsidRDefault="000F0D13" w:rsidP="009568B0">
                            <w:pPr>
                              <w:jc w:val="center"/>
                            </w:pPr>
                            <w:r w:rsidRPr="0042258C">
                              <w:rPr>
                                <w:sz w:val="16"/>
                                <w:szCs w:val="16"/>
                              </w:rPr>
                              <w:t>de mejora para la organización.</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2A8207F1" id="_x0000_s1057" style="position:absolute;left:0;text-align:left;margin-left:138.45pt;margin-top:84.9pt;width:140.25pt;height:106.5pt;z-index:25183539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3020,26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o5SUgMAACsKAAAOAAAAZHJzL2Uyb0RvYy54bWysVm1vmzAQ/j5p/wHxfQVMICFqWqXtNk2a&#10;tkrtfoBjTIIEmNnOS/frdzZciGk6rVW/gH13fnz33J3ty+tDXXk7LlUpmoUfXYS+xxsm8rJZL/xf&#10;j18+zXxPadrktBINX/hPXPnXVx8/XO7bOSdiI6qcSw9AGjXftwt/o3U7DwLFNrym6kK0vAFlIWRN&#10;NUzlOsgl3QN6XQUkDNNgL2TeSsG4UiC965T+lcUvCs70z6JQXHvVwgfftP1K+12Zb3B1SedrSdtN&#10;yXo36Bu8qGnZwKZHqDuqqbeV5TOoumRSKFHoCybqQBRFybiNAaKJwlE0DxvachsLkKPaI03q/WDZ&#10;j91Dey+Bhn2r5gqGJopDIWvzB/+8gyXr6UgWP2iPgTCazqJomvgeA10UJyRJLJ3BsJxtlf7KhYWi&#10;u+9Kd2znOKIbHLFDg0MJORtnS/oeZGvVZaul2qwz/pmht1/4cUgguZuFT9I0tHmoxY4/CmujTQiT&#10;Sex7GAS4OOir5l92qGXbVclu+J9T2ziF6BETnLEbkVlmheCQjbaXEmKlSWaksL+L5866JVEysUuy&#10;2SkQzMyWRnkCD7BGSmCX/4U3hJkl4O4JUCc0gT0TGgbPgSNDndc9KoksAgSKavyPzNIeE9XnmEDM&#10;zIkZA4inDtNIxSSennX33AY9qSQJnbgxAyRJo1M+DM2WuzTEindR3VlfAVgXaewwjkVE0q42sI6w&#10;YFH+rGaQsR4+Ma1oEtrjvEg9SabpS5ZnHU/7QkRk9JBM4z4zo5DINJu+haC+nZ7RnZGogxvlh2TQ&#10;7Dbm1ySbZFnfLaPKicMI28ittBNFhPXqMuXm4mg/tAwa4L9L2nsYuo6McEeNPITudv1A5GsOEEzL&#10;6Cwisz6P7sF1LIpXHIFDhTktDoXYHY2uFOv6fE+6zGN3oW2nhZ4xN4o9oI+3jG284R5ToirzL2VV&#10;mbtFyfXqtpLejsLz4vPyZnmLB7BjVjXW+MWV8SRNlvZwg81OVtoeNku5fcl0N2QwXNRmpA+rg1fm&#10;cAfaM8qIViJ/upfeHl41C1/93lLJfa/61sCzAfpF40DiYIUD2rCNgMcR09Jeoo1YbrUoSnNv2207&#10;5H4CLxLLVP96Mk+e07m1Gt54V38BAAD//wMAUEsDBBQABgAIAAAAIQCjx4DV3gAAAAsBAAAPAAAA&#10;ZHJzL2Rvd25yZXYueG1sTI/LTsMwEEX3SPyDNUjsqNNA0zTEqQDBCjYtZO/EQxJhj6PYfeTvGVZ0&#10;ObpHd84tt2dnxRGnMHhSsFwkIJBabwbqFHx9vt3lIELUZLT1hApmDLCtrq9KXRh/oh0e97ETXEKh&#10;0Ar6GMdCytD26HRY+BGJs28/OR35nDppJn3icmdlmiSZdHog/tDrEV96bH/2B6fgeWnnOh27VzQ7&#10;Ozvv3z/qulHq9ub89Agi4jn+w/Cnz+pQsVPjD2SCsArSdbZhlINswxuYWK3WDyAaBfd5moOsSnm5&#10;ofoFAAD//wMAUEsBAi0AFAAGAAgAAAAhALaDOJL+AAAA4QEAABMAAAAAAAAAAAAAAAAAAAAAAFtD&#10;b250ZW50X1R5cGVzXS54bWxQSwECLQAUAAYACAAAACEAOP0h/9YAAACUAQAACwAAAAAAAAAAAAAA&#10;AAAvAQAAX3JlbHMvLnJlbHNQSwECLQAUAAYACAAAACEAXXqOUlIDAAArCgAADgAAAAAAAAAAAAAA&#10;AAAuAgAAZHJzL2Uyb0RvYy54bWxQSwECLQAUAAYACAAAACEAo8eA1d4AAAALAQAADwAAAAAAAAAA&#10;AAAAAACsBQAAZHJzL2Rvd25yZXYueG1sUEsFBgAAAAAEAAQA8wAAALcGAAAAAA==&#10;" adj="-11796480,,5400" path="m443,r,c365,,289,20,222,59,154,98,98,154,59,222,20,289,,365,,443l,2215r,1c,2294,20,2370,59,2437v39,68,95,124,163,163c289,2639,365,2659,443,2659r2132,l2576,2659v78,,154,-20,221,-59c2865,2561,2921,2505,2960,2437v39,-67,59,-143,59,-221l3019,443r,l3019,443v,-78,-20,-154,-59,-221c2921,154,2865,98,2797,59,2730,20,2654,,2576,l443,e" fillcolor="#eabac2" strokecolor="#3465a4">
                <v:stroke joinstyle="miter"/>
                <v:formulas/>
                <v:path arrowok="t" o:connecttype="custom" textboxrect="0,0,3020,2660"/>
                <v:textbox inset="0,0,0,0">
                  <w:txbxContent>
                    <w:p w14:paraId="5D105AC4" w14:textId="58EE58DF" w:rsidR="000F0D13" w:rsidRPr="00D56217" w:rsidRDefault="000F0D13" w:rsidP="00D56217">
                      <w:pPr>
                        <w:spacing w:after="0"/>
                        <w:jc w:val="center"/>
                        <w:rPr>
                          <w:rFonts w:ascii="Open Sans" w:hAnsi="Open Sans" w:cs="Open Sans"/>
                        </w:rPr>
                      </w:pPr>
                      <w:r>
                        <w:rPr>
                          <w:rFonts w:ascii="Open Sans" w:hAnsi="Open Sans" w:cs="Open Sans"/>
                          <w:sz w:val="16"/>
                          <w:szCs w:val="16"/>
                        </w:rPr>
                        <w:t xml:space="preserve"> </w:t>
                      </w:r>
                      <w:r w:rsidRPr="00D56217">
                        <w:rPr>
                          <w:rFonts w:ascii="Open Sans" w:hAnsi="Open Sans" w:cs="Open Sans"/>
                          <w:sz w:val="16"/>
                          <w:szCs w:val="16"/>
                        </w:rPr>
                        <w:t>Si de las actuaciones se constatan</w:t>
                      </w:r>
                    </w:p>
                    <w:p w14:paraId="5776E86B" w14:textId="77777777" w:rsidR="000F0D13" w:rsidRPr="00D56217" w:rsidRDefault="000F0D13" w:rsidP="00D56217">
                      <w:pPr>
                        <w:spacing w:after="0"/>
                        <w:jc w:val="center"/>
                        <w:rPr>
                          <w:rFonts w:ascii="Open Sans" w:hAnsi="Open Sans" w:cs="Open Sans"/>
                        </w:rPr>
                      </w:pPr>
                      <w:r w:rsidRPr="00D56217">
                        <w:rPr>
                          <w:rFonts w:ascii="Open Sans" w:hAnsi="Open Sans" w:cs="Open Sans"/>
                          <w:sz w:val="16"/>
                          <w:szCs w:val="16"/>
                        </w:rPr>
                        <w:t xml:space="preserve"> mala praxis, PERO</w:t>
                      </w:r>
                    </w:p>
                    <w:p w14:paraId="07BF3B33" w14:textId="77777777" w:rsidR="000F0D13" w:rsidRPr="00D56217" w:rsidRDefault="000F0D13" w:rsidP="00D56217">
                      <w:pPr>
                        <w:spacing w:after="0"/>
                        <w:jc w:val="center"/>
                        <w:rPr>
                          <w:rFonts w:ascii="Open Sans" w:hAnsi="Open Sans" w:cs="Open Sans"/>
                        </w:rPr>
                      </w:pPr>
                      <w:r w:rsidRPr="00D56217">
                        <w:rPr>
                          <w:rFonts w:ascii="Open Sans" w:hAnsi="Open Sans" w:cs="Open Sans"/>
                          <w:sz w:val="16"/>
                          <w:szCs w:val="16"/>
                        </w:rPr>
                        <w:t>no fraude o corrupción</w:t>
                      </w:r>
                    </w:p>
                    <w:p w14:paraId="4E4EBD56" w14:textId="77777777" w:rsidR="000F0D13" w:rsidRPr="00D56217" w:rsidRDefault="000F0D13" w:rsidP="00D56217">
                      <w:pPr>
                        <w:spacing w:after="0"/>
                        <w:jc w:val="center"/>
                        <w:rPr>
                          <w:rFonts w:ascii="Open Sans" w:hAnsi="Open Sans" w:cs="Open Sans"/>
                        </w:rPr>
                      </w:pPr>
                      <w:r w:rsidRPr="00D56217">
                        <w:rPr>
                          <w:rFonts w:ascii="Open Sans" w:hAnsi="Open Sans" w:cs="Open Sans"/>
                          <w:sz w:val="16"/>
                          <w:szCs w:val="16"/>
                        </w:rPr>
                        <w:t>se procede a la</w:t>
                      </w:r>
                    </w:p>
                    <w:p w14:paraId="67DE2DC3" w14:textId="77777777" w:rsidR="000F0D13" w:rsidRPr="00D56217" w:rsidRDefault="000F0D13" w:rsidP="00D56217">
                      <w:pPr>
                        <w:spacing w:after="0"/>
                        <w:jc w:val="center"/>
                        <w:rPr>
                          <w:rFonts w:ascii="Open Sans" w:hAnsi="Open Sans" w:cs="Open Sans"/>
                        </w:rPr>
                      </w:pPr>
                      <w:r w:rsidRPr="00D56217">
                        <w:rPr>
                          <w:rFonts w:ascii="Open Sans" w:hAnsi="Open Sans" w:cs="Open Sans"/>
                          <w:b/>
                          <w:bCs/>
                          <w:sz w:val="16"/>
                          <w:szCs w:val="16"/>
                          <w:u w:val="single"/>
                        </w:rPr>
                        <w:t>FINALIZACIÓN Y ARCHIVO</w:t>
                      </w:r>
                    </w:p>
                    <w:p w14:paraId="6249A6E9" w14:textId="77777777" w:rsidR="000F0D13" w:rsidRPr="00D56217" w:rsidRDefault="000F0D13" w:rsidP="00D56217">
                      <w:pPr>
                        <w:spacing w:after="0"/>
                        <w:jc w:val="center"/>
                        <w:rPr>
                          <w:rFonts w:ascii="Open Sans" w:hAnsi="Open Sans" w:cs="Open Sans"/>
                        </w:rPr>
                      </w:pPr>
                      <w:r w:rsidRPr="00D56217">
                        <w:rPr>
                          <w:rFonts w:ascii="Open Sans" w:hAnsi="Open Sans" w:cs="Open Sans"/>
                          <w:sz w:val="16"/>
                          <w:szCs w:val="16"/>
                        </w:rPr>
                        <w:t>de las actuaciones,</w:t>
                      </w:r>
                    </w:p>
                    <w:p w14:paraId="7D45736A" w14:textId="77777777" w:rsidR="000F0D13" w:rsidRPr="00D56217" w:rsidRDefault="000F0D13" w:rsidP="00D56217">
                      <w:pPr>
                        <w:spacing w:after="0"/>
                        <w:jc w:val="center"/>
                        <w:rPr>
                          <w:rFonts w:ascii="Open Sans" w:hAnsi="Open Sans" w:cs="Open Sans"/>
                        </w:rPr>
                      </w:pPr>
                      <w:r w:rsidRPr="00D56217">
                        <w:rPr>
                          <w:rFonts w:ascii="Open Sans" w:hAnsi="Open Sans" w:cs="Open Sans"/>
                          <w:b/>
                          <w:bCs/>
                          <w:sz w:val="16"/>
                          <w:szCs w:val="16"/>
                          <w:u w:val="single"/>
                        </w:rPr>
                        <w:t>CON RECOMENDACIONES</w:t>
                      </w:r>
                    </w:p>
                    <w:p w14:paraId="2D07F836" w14:textId="77777777" w:rsidR="000F0D13" w:rsidRDefault="000F0D13" w:rsidP="009568B0">
                      <w:pPr>
                        <w:jc w:val="center"/>
                      </w:pPr>
                      <w:r w:rsidRPr="0042258C">
                        <w:rPr>
                          <w:sz w:val="16"/>
                          <w:szCs w:val="16"/>
                        </w:rPr>
                        <w:t>de mejora para la organización.</w:t>
                      </w:r>
                    </w:p>
                  </w:txbxContent>
                </v:textbox>
              </v:shape>
            </w:pict>
          </mc:Fallback>
        </mc:AlternateContent>
      </w:r>
      <w:r w:rsidR="004C557F" w:rsidRPr="00A07BE9">
        <w:rPr>
          <w:rFonts w:ascii="Open Sans" w:eastAsia="NSimSun" w:hAnsi="Open Sans" w:cs="Arial"/>
          <w:noProof/>
          <w:kern w:val="2"/>
          <w:sz w:val="20"/>
          <w:szCs w:val="20"/>
          <w:lang w:eastAsia="es-ES"/>
        </w:rPr>
        <mc:AlternateContent>
          <mc:Choice Requires="wps">
            <w:drawing>
              <wp:anchor distT="0" distB="0" distL="0" distR="0" simplePos="0" relativeHeight="251836416" behindDoc="0" locked="0" layoutInCell="1" allowOverlap="1" wp14:anchorId="03AD8FCE" wp14:editId="27AFE4B9">
                <wp:simplePos x="0" y="0"/>
                <wp:positionH relativeFrom="column">
                  <wp:posOffset>3653791</wp:posOffset>
                </wp:positionH>
                <wp:positionV relativeFrom="paragraph">
                  <wp:posOffset>955040</wp:posOffset>
                </wp:positionV>
                <wp:extent cx="2133600" cy="1171575"/>
                <wp:effectExtent l="0" t="0" r="19050" b="28575"/>
                <wp:wrapNone/>
                <wp:docPr id="74" name="Forma1"/>
                <wp:cNvGraphicFramePr/>
                <a:graphic xmlns:a="http://schemas.openxmlformats.org/drawingml/2006/main">
                  <a:graphicData uri="http://schemas.microsoft.com/office/word/2010/wordprocessingShape">
                    <wps:wsp>
                      <wps:cNvSpPr/>
                      <wps:spPr>
                        <a:xfrm>
                          <a:off x="0" y="0"/>
                          <a:ext cx="2133600" cy="1171575"/>
                        </a:xfrm>
                        <a:custGeom>
                          <a:avLst/>
                          <a:gdLst/>
                          <a:ahLst/>
                          <a:cxnLst/>
                          <a:rect l="0" t="0" r="r" b="b"/>
                          <a:pathLst>
                            <a:path w="3305" h="2125">
                              <a:moveTo>
                                <a:pt x="354" y="0"/>
                              </a:moveTo>
                              <a:lnTo>
                                <a:pt x="354" y="0"/>
                              </a:lnTo>
                              <a:cubicBezTo>
                                <a:pt x="292" y="0"/>
                                <a:pt x="231" y="16"/>
                                <a:pt x="177" y="47"/>
                              </a:cubicBezTo>
                              <a:cubicBezTo>
                                <a:pt x="123" y="78"/>
                                <a:pt x="78" y="123"/>
                                <a:pt x="47" y="177"/>
                              </a:cubicBezTo>
                              <a:cubicBezTo>
                                <a:pt x="16" y="231"/>
                                <a:pt x="0" y="292"/>
                                <a:pt x="0" y="354"/>
                              </a:cubicBezTo>
                              <a:lnTo>
                                <a:pt x="0" y="1770"/>
                              </a:lnTo>
                              <a:lnTo>
                                <a:pt x="0" y="1770"/>
                              </a:lnTo>
                              <a:cubicBezTo>
                                <a:pt x="0" y="1832"/>
                                <a:pt x="16" y="1893"/>
                                <a:pt x="47" y="1947"/>
                              </a:cubicBezTo>
                              <a:cubicBezTo>
                                <a:pt x="78" y="2001"/>
                                <a:pt x="123" y="2046"/>
                                <a:pt x="177" y="2077"/>
                              </a:cubicBezTo>
                              <a:cubicBezTo>
                                <a:pt x="231" y="2108"/>
                                <a:pt x="292" y="2124"/>
                                <a:pt x="354" y="2124"/>
                              </a:cubicBezTo>
                              <a:lnTo>
                                <a:pt x="2950" y="2124"/>
                              </a:lnTo>
                              <a:lnTo>
                                <a:pt x="2950" y="2124"/>
                              </a:lnTo>
                              <a:cubicBezTo>
                                <a:pt x="3012" y="2124"/>
                                <a:pt x="3073" y="2108"/>
                                <a:pt x="3127" y="2077"/>
                              </a:cubicBezTo>
                              <a:cubicBezTo>
                                <a:pt x="3181" y="2046"/>
                                <a:pt x="3226" y="2001"/>
                                <a:pt x="3257" y="1947"/>
                              </a:cubicBezTo>
                              <a:cubicBezTo>
                                <a:pt x="3288" y="1893"/>
                                <a:pt x="3304" y="1832"/>
                                <a:pt x="3304" y="1770"/>
                              </a:cubicBezTo>
                              <a:lnTo>
                                <a:pt x="3304" y="354"/>
                              </a:lnTo>
                              <a:lnTo>
                                <a:pt x="3304" y="354"/>
                              </a:lnTo>
                              <a:lnTo>
                                <a:pt x="3304" y="354"/>
                              </a:lnTo>
                              <a:cubicBezTo>
                                <a:pt x="3304" y="292"/>
                                <a:pt x="3288" y="231"/>
                                <a:pt x="3257" y="177"/>
                              </a:cubicBezTo>
                              <a:cubicBezTo>
                                <a:pt x="3226" y="123"/>
                                <a:pt x="3181" y="78"/>
                                <a:pt x="3127" y="47"/>
                              </a:cubicBezTo>
                              <a:cubicBezTo>
                                <a:pt x="3073" y="16"/>
                                <a:pt x="3012" y="0"/>
                                <a:pt x="2950" y="0"/>
                              </a:cubicBezTo>
                              <a:lnTo>
                                <a:pt x="354" y="0"/>
                              </a:lnTo>
                            </a:path>
                          </a:pathLst>
                        </a:custGeom>
                        <a:solidFill>
                          <a:srgbClr val="EABAC2"/>
                        </a:solidFill>
                        <a:ln>
                          <a:solidFill>
                            <a:srgbClr val="3465A4"/>
                          </a:solidFill>
                        </a:ln>
                        <a:effectLst/>
                      </wps:spPr>
                      <wps:txbx>
                        <w:txbxContent>
                          <w:p w14:paraId="463D7A96" w14:textId="77777777" w:rsidR="000F0D13" w:rsidRPr="00D56217" w:rsidRDefault="000F0D13" w:rsidP="000B390D">
                            <w:pPr>
                              <w:spacing w:after="0"/>
                              <w:jc w:val="center"/>
                              <w:rPr>
                                <w:rFonts w:ascii="Open Sans" w:hAnsi="Open Sans" w:cs="Open Sans"/>
                              </w:rPr>
                            </w:pPr>
                            <w:r w:rsidRPr="00D56217">
                              <w:rPr>
                                <w:rFonts w:ascii="Open Sans" w:hAnsi="Open Sans" w:cs="Open Sans"/>
                                <w:sz w:val="16"/>
                                <w:szCs w:val="16"/>
                              </w:rPr>
                              <w:t>Si de las actuaciones se constatan</w:t>
                            </w:r>
                          </w:p>
                          <w:p w14:paraId="3F94AB5A" w14:textId="77777777" w:rsidR="000F0D13" w:rsidRPr="00D56217" w:rsidRDefault="000F0D13" w:rsidP="000B390D">
                            <w:pPr>
                              <w:spacing w:after="0"/>
                              <w:jc w:val="center"/>
                              <w:rPr>
                                <w:rFonts w:ascii="Open Sans" w:hAnsi="Open Sans" w:cs="Open Sans"/>
                              </w:rPr>
                            </w:pPr>
                            <w:r w:rsidRPr="00D56217">
                              <w:rPr>
                                <w:rFonts w:ascii="Open Sans" w:hAnsi="Open Sans" w:cs="Open Sans"/>
                                <w:sz w:val="16"/>
                                <w:szCs w:val="16"/>
                              </w:rPr>
                              <w:t>hechos constitutivos de fraude o corrupción</w:t>
                            </w:r>
                          </w:p>
                          <w:p w14:paraId="457E73E3" w14:textId="77777777" w:rsidR="000F0D13" w:rsidRPr="00D56217" w:rsidRDefault="000F0D13" w:rsidP="000B390D">
                            <w:pPr>
                              <w:spacing w:after="0"/>
                              <w:jc w:val="center"/>
                              <w:rPr>
                                <w:rFonts w:ascii="Open Sans" w:hAnsi="Open Sans" w:cs="Open Sans"/>
                              </w:rPr>
                            </w:pPr>
                            <w:r w:rsidRPr="00D56217">
                              <w:rPr>
                                <w:rFonts w:ascii="Open Sans" w:hAnsi="Open Sans" w:cs="Open Sans"/>
                                <w:sz w:val="16"/>
                                <w:szCs w:val="16"/>
                              </w:rPr>
                              <w:t>susceptibles de generar responsabilidades</w:t>
                            </w:r>
                          </w:p>
                          <w:p w14:paraId="1F309D4A" w14:textId="77777777" w:rsidR="000F0D13" w:rsidRPr="00D56217" w:rsidRDefault="000F0D13" w:rsidP="000B390D">
                            <w:pPr>
                              <w:spacing w:after="0"/>
                              <w:jc w:val="center"/>
                              <w:rPr>
                                <w:rFonts w:ascii="Open Sans" w:hAnsi="Open Sans" w:cs="Open Sans"/>
                              </w:rPr>
                            </w:pPr>
                            <w:r w:rsidRPr="00D56217">
                              <w:rPr>
                                <w:rFonts w:ascii="Open Sans" w:hAnsi="Open Sans" w:cs="Open Sans"/>
                                <w:sz w:val="16"/>
                                <w:szCs w:val="16"/>
                              </w:rPr>
                              <w:t>penales, contables o disciplinarias</w:t>
                            </w:r>
                          </w:p>
                          <w:p w14:paraId="270EE0D9" w14:textId="77777777" w:rsidR="000F0D13" w:rsidRPr="00D56217" w:rsidRDefault="000F0D13" w:rsidP="000B390D">
                            <w:pPr>
                              <w:spacing w:after="0"/>
                              <w:jc w:val="center"/>
                              <w:rPr>
                                <w:rFonts w:ascii="Open Sans" w:hAnsi="Open Sans" w:cs="Open Sans"/>
                              </w:rPr>
                            </w:pPr>
                            <w:r w:rsidRPr="00D56217">
                              <w:rPr>
                                <w:rFonts w:ascii="Open Sans" w:hAnsi="Open Sans" w:cs="Open Sans"/>
                                <w:sz w:val="16"/>
                                <w:szCs w:val="16"/>
                              </w:rPr>
                              <w:t>se procede a la</w:t>
                            </w:r>
                          </w:p>
                          <w:p w14:paraId="79A9E06D" w14:textId="77777777" w:rsidR="000F0D13" w:rsidRPr="00D56217" w:rsidRDefault="000F0D13" w:rsidP="000B390D">
                            <w:pPr>
                              <w:spacing w:after="0"/>
                              <w:jc w:val="center"/>
                              <w:rPr>
                                <w:rFonts w:ascii="Open Sans" w:hAnsi="Open Sans" w:cs="Open Sans"/>
                              </w:rPr>
                            </w:pPr>
                            <w:r w:rsidRPr="00D56217">
                              <w:rPr>
                                <w:rFonts w:ascii="Open Sans" w:hAnsi="Open Sans" w:cs="Open Sans"/>
                                <w:b/>
                                <w:bCs/>
                                <w:sz w:val="16"/>
                                <w:szCs w:val="16"/>
                                <w:u w:val="single"/>
                              </w:rPr>
                              <w:t xml:space="preserve">COMUNICACIÓN Y TRASLADO </w:t>
                            </w:r>
                          </w:p>
                          <w:p w14:paraId="0513A0E6" w14:textId="77777777" w:rsidR="000F0D13" w:rsidRPr="00D56217" w:rsidRDefault="000F0D13" w:rsidP="000B390D">
                            <w:pPr>
                              <w:spacing w:after="0"/>
                              <w:jc w:val="center"/>
                              <w:rPr>
                                <w:rFonts w:ascii="Open Sans" w:hAnsi="Open Sans" w:cs="Open Sans"/>
                              </w:rPr>
                            </w:pPr>
                            <w:r w:rsidRPr="00D56217">
                              <w:rPr>
                                <w:rFonts w:ascii="Open Sans" w:hAnsi="Open Sans" w:cs="Open Sans"/>
                                <w:b/>
                                <w:bCs/>
                                <w:sz w:val="16"/>
                                <w:szCs w:val="16"/>
                                <w:u w:val="single"/>
                              </w:rPr>
                              <w:t>A LOS ORGANISMOS COMPETENTES</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03AD8FCE" id="_x0000_s1058" style="position:absolute;left:0;text-align:left;margin-left:287.7pt;margin-top:75.2pt;width:168pt;height:92.25pt;z-index:25183641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3305,21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MfiSQMAACsKAAAOAAAAZHJzL2Uyb0RvYy54bWysVttunDAQfa/Uf0C8N4C9d2U32iRtValq&#10;IyX9AK8xCxJgansv6dd3bGNYk02qbfsCvoyPZ87cfH1zrMpgz4QseL0Mk6s4DFhNeVrU22X44+nT&#10;h1kYSEXqlJS8ZsvwmcnwZvX+3fWhWTDEc16mTAQAUsvFoVmGuVLNIookzVlF5BVvWA2bGRcVUTAV&#10;2ygV5ADoVRmhOJ5EBy7SRnDKpITVe7sZrgx+ljGqvmeZZCoolyHopsxXmO9Gf6PVNVlsBWnygrZq&#10;kL/QoiJFDZd2UPdEkWAnihdQVUEFlzxTV5RXEc+ygjJjA1iTxANrHnPSMGMLkCObjib5/2Dpt/1j&#10;8yCAhkMjFxKG2opjJir9B/2CoyHruSOLHVVAYRElGE9i4JTCXpJMk/F0rOmM+uN0J9Vnxg0U2X+V&#10;yrKduhHJ3YgeazcU4LOht0QYgLc21lsNUfqc1k8Pg8MyxDgeh0GulUJj44eK79kTNzJKm4DHozBw&#10;RoCK/X5ZvyXnduluU9Bb9utUFs1RjwnKmIsQTsxiMmm1NavJdGpWR9OWIh/Pn1mgBGFzZDo7BYKZ&#10;NkNvGjKtLMCaVbjFesAH9Gct/MQc0eqeAIE7AV0b9mJRM3gO3DFkYS0AmGtSC4h22+7/B7FzqraY&#10;M+xpBQQbm2fzs1TML6C6JRXqiUeG8wCKR2edieIL+HZxgZLYc6gLIohcw6+LIxewbh2o9LnxCUXz&#10;ceu7FudV6t+S9G+wrsJxYsPcadJpGE9thA5Nwgmy8XgRQTiZ2cwZ0o0RamN14B+Mxm3cX+JsjGZt&#10;Dg0iB4qIrRHJINL6jT6sfaZ8X3Tyfco4AfdvqXU3/oOgr8gAd5DInemDrO+JvCCgO7cMalHnR79w&#10;dUFxQV5iF2F+Me0ism3f1ugurl3l8ZkZMD9oB3YXckZ3FNPDui5jEq/vY5KXRfqpKEvdW6TYbu5K&#10;EewJPC8+rm/Xd6ZEwRFPrKyN8Ksn8WgyXrvqenLS5LA+ysxLxnbIqG/UeqSOm2NQpNDhzNV6acPT&#10;5wcRHOBVswzlzx0RLAzKLzU8G6BGKDcQbrBxA1LTnMPjiCphmmjN1zvFs0L3bXOtRW4n8CIxTLWv&#10;J/3kOZ0bqf6Nt/oNAAD//wMAUEsDBBQABgAIAAAAIQCgphqz4AAAAAsBAAAPAAAAZHJzL2Rvd25y&#10;ZXYueG1sTI/BTsMwEETvSPyDtUjcqBPa0DbEqQCpHCgH0tK7m2yd0HgdxU4b/p7lBLdZzdPsTLYa&#10;bSvO2PvGkYJ4EoFAKl3VkFHwuVvfLUD4oKnSrSNU8I0eVvn1VabTyl2owPM2GMEh5FOtoA6hS6X0&#10;ZY1W+4nrkNg7ut7qwGdvZNXrC4fbVt5H0YO0uiH+UOsOX2osT9vBKthYU5y+jkPyRs/NfP1emNf9&#10;/kOp25vx6RFEwDH8wfBbn6tDzp0ObqDKi1ZBMk9mjLKRRCyYWMYxi4OC6XS2BJln8v+G/AcAAP//&#10;AwBQSwECLQAUAAYACAAAACEAtoM4kv4AAADhAQAAEwAAAAAAAAAAAAAAAAAAAAAAW0NvbnRlbnRf&#10;VHlwZXNdLnhtbFBLAQItABQABgAIAAAAIQA4/SH/1gAAAJQBAAALAAAAAAAAAAAAAAAAAC8BAABf&#10;cmVscy8ucmVsc1BLAQItABQABgAIAAAAIQBKkMfiSQMAACsKAAAOAAAAAAAAAAAAAAAAAC4CAABk&#10;cnMvZTJvRG9jLnhtbFBLAQItABQABgAIAAAAIQCgphqz4AAAAAsBAAAPAAAAAAAAAAAAAAAAAKMF&#10;AABkcnMvZG93bnJldi54bWxQSwUGAAAAAAQABADzAAAAsAYAAAAA&#10;" adj="-11796480,,5400" path="m354,r,c292,,231,16,177,47,123,78,78,123,47,177,16,231,,292,,354l,1770r,c,1832,16,1893,47,1947v31,54,76,99,130,130c231,2108,292,2124,354,2124r2596,l2950,2124v62,,123,-16,177,-47c3181,2046,3226,2001,3257,1947v31,-54,47,-115,47,-177l3304,354r,l3304,354v,-62,-16,-123,-47,-177c3226,123,3181,78,3127,47,3073,16,3012,,2950,l354,e" fillcolor="#eabac2" strokecolor="#3465a4">
                <v:stroke joinstyle="miter"/>
                <v:formulas/>
                <v:path arrowok="t" o:connecttype="custom" textboxrect="0,0,3305,2125"/>
                <v:textbox inset="0,0,0,0">
                  <w:txbxContent>
                    <w:p w14:paraId="463D7A96" w14:textId="77777777" w:rsidR="000F0D13" w:rsidRPr="00D56217" w:rsidRDefault="000F0D13" w:rsidP="000B390D">
                      <w:pPr>
                        <w:spacing w:after="0"/>
                        <w:jc w:val="center"/>
                        <w:rPr>
                          <w:rFonts w:ascii="Open Sans" w:hAnsi="Open Sans" w:cs="Open Sans"/>
                        </w:rPr>
                      </w:pPr>
                      <w:r w:rsidRPr="00D56217">
                        <w:rPr>
                          <w:rFonts w:ascii="Open Sans" w:hAnsi="Open Sans" w:cs="Open Sans"/>
                          <w:sz w:val="16"/>
                          <w:szCs w:val="16"/>
                        </w:rPr>
                        <w:t>Si de las actuaciones se constatan</w:t>
                      </w:r>
                    </w:p>
                    <w:p w14:paraId="3F94AB5A" w14:textId="77777777" w:rsidR="000F0D13" w:rsidRPr="00D56217" w:rsidRDefault="000F0D13" w:rsidP="000B390D">
                      <w:pPr>
                        <w:spacing w:after="0"/>
                        <w:jc w:val="center"/>
                        <w:rPr>
                          <w:rFonts w:ascii="Open Sans" w:hAnsi="Open Sans" w:cs="Open Sans"/>
                        </w:rPr>
                      </w:pPr>
                      <w:r w:rsidRPr="00D56217">
                        <w:rPr>
                          <w:rFonts w:ascii="Open Sans" w:hAnsi="Open Sans" w:cs="Open Sans"/>
                          <w:sz w:val="16"/>
                          <w:szCs w:val="16"/>
                        </w:rPr>
                        <w:t>hechos constitutivos de fraude o corrupción</w:t>
                      </w:r>
                    </w:p>
                    <w:p w14:paraId="457E73E3" w14:textId="77777777" w:rsidR="000F0D13" w:rsidRPr="00D56217" w:rsidRDefault="000F0D13" w:rsidP="000B390D">
                      <w:pPr>
                        <w:spacing w:after="0"/>
                        <w:jc w:val="center"/>
                        <w:rPr>
                          <w:rFonts w:ascii="Open Sans" w:hAnsi="Open Sans" w:cs="Open Sans"/>
                        </w:rPr>
                      </w:pPr>
                      <w:r w:rsidRPr="00D56217">
                        <w:rPr>
                          <w:rFonts w:ascii="Open Sans" w:hAnsi="Open Sans" w:cs="Open Sans"/>
                          <w:sz w:val="16"/>
                          <w:szCs w:val="16"/>
                        </w:rPr>
                        <w:t>susceptibles de generar responsabilidades</w:t>
                      </w:r>
                    </w:p>
                    <w:p w14:paraId="1F309D4A" w14:textId="77777777" w:rsidR="000F0D13" w:rsidRPr="00D56217" w:rsidRDefault="000F0D13" w:rsidP="000B390D">
                      <w:pPr>
                        <w:spacing w:after="0"/>
                        <w:jc w:val="center"/>
                        <w:rPr>
                          <w:rFonts w:ascii="Open Sans" w:hAnsi="Open Sans" w:cs="Open Sans"/>
                        </w:rPr>
                      </w:pPr>
                      <w:r w:rsidRPr="00D56217">
                        <w:rPr>
                          <w:rFonts w:ascii="Open Sans" w:hAnsi="Open Sans" w:cs="Open Sans"/>
                          <w:sz w:val="16"/>
                          <w:szCs w:val="16"/>
                        </w:rPr>
                        <w:t>penales, contables o disciplinarias</w:t>
                      </w:r>
                    </w:p>
                    <w:p w14:paraId="270EE0D9" w14:textId="77777777" w:rsidR="000F0D13" w:rsidRPr="00D56217" w:rsidRDefault="000F0D13" w:rsidP="000B390D">
                      <w:pPr>
                        <w:spacing w:after="0"/>
                        <w:jc w:val="center"/>
                        <w:rPr>
                          <w:rFonts w:ascii="Open Sans" w:hAnsi="Open Sans" w:cs="Open Sans"/>
                        </w:rPr>
                      </w:pPr>
                      <w:r w:rsidRPr="00D56217">
                        <w:rPr>
                          <w:rFonts w:ascii="Open Sans" w:hAnsi="Open Sans" w:cs="Open Sans"/>
                          <w:sz w:val="16"/>
                          <w:szCs w:val="16"/>
                        </w:rPr>
                        <w:t>se procede a la</w:t>
                      </w:r>
                    </w:p>
                    <w:p w14:paraId="79A9E06D" w14:textId="77777777" w:rsidR="000F0D13" w:rsidRPr="00D56217" w:rsidRDefault="000F0D13" w:rsidP="000B390D">
                      <w:pPr>
                        <w:spacing w:after="0"/>
                        <w:jc w:val="center"/>
                        <w:rPr>
                          <w:rFonts w:ascii="Open Sans" w:hAnsi="Open Sans" w:cs="Open Sans"/>
                        </w:rPr>
                      </w:pPr>
                      <w:r w:rsidRPr="00D56217">
                        <w:rPr>
                          <w:rFonts w:ascii="Open Sans" w:hAnsi="Open Sans" w:cs="Open Sans"/>
                          <w:b/>
                          <w:bCs/>
                          <w:sz w:val="16"/>
                          <w:szCs w:val="16"/>
                          <w:u w:val="single"/>
                        </w:rPr>
                        <w:t xml:space="preserve">COMUNICACIÓN Y TRASLADO </w:t>
                      </w:r>
                    </w:p>
                    <w:p w14:paraId="0513A0E6" w14:textId="77777777" w:rsidR="000F0D13" w:rsidRPr="00D56217" w:rsidRDefault="000F0D13" w:rsidP="000B390D">
                      <w:pPr>
                        <w:spacing w:after="0"/>
                        <w:jc w:val="center"/>
                        <w:rPr>
                          <w:rFonts w:ascii="Open Sans" w:hAnsi="Open Sans" w:cs="Open Sans"/>
                        </w:rPr>
                      </w:pPr>
                      <w:r w:rsidRPr="00D56217">
                        <w:rPr>
                          <w:rFonts w:ascii="Open Sans" w:hAnsi="Open Sans" w:cs="Open Sans"/>
                          <w:b/>
                          <w:bCs/>
                          <w:sz w:val="16"/>
                          <w:szCs w:val="16"/>
                          <w:u w:val="single"/>
                        </w:rPr>
                        <w:t>A LOS ORGANISMOS COMPETENTES</w:t>
                      </w:r>
                    </w:p>
                  </w:txbxContent>
                </v:textbox>
              </v:shape>
            </w:pict>
          </mc:Fallback>
        </mc:AlternateContent>
      </w:r>
      <w:r w:rsidR="004C557F" w:rsidRPr="00A07BE9">
        <w:rPr>
          <w:rFonts w:ascii="Open Sans" w:eastAsia="NSimSun" w:hAnsi="Open Sans" w:cs="Arial"/>
          <w:noProof/>
          <w:kern w:val="2"/>
          <w:sz w:val="20"/>
          <w:szCs w:val="20"/>
          <w:lang w:eastAsia="es-ES"/>
        </w:rPr>
        <mc:AlternateContent>
          <mc:Choice Requires="wps">
            <w:drawing>
              <wp:anchor distT="0" distB="0" distL="0" distR="0" simplePos="0" relativeHeight="251834368" behindDoc="0" locked="0" layoutInCell="1" allowOverlap="1" wp14:anchorId="175BF18D" wp14:editId="52DA0688">
                <wp:simplePos x="0" y="0"/>
                <wp:positionH relativeFrom="column">
                  <wp:posOffset>120650</wp:posOffset>
                </wp:positionH>
                <wp:positionV relativeFrom="paragraph">
                  <wp:posOffset>964565</wp:posOffset>
                </wp:positionV>
                <wp:extent cx="1562100" cy="1019175"/>
                <wp:effectExtent l="0" t="0" r="19050" b="28575"/>
                <wp:wrapNone/>
                <wp:docPr id="72" name="Forma1"/>
                <wp:cNvGraphicFramePr/>
                <a:graphic xmlns:a="http://schemas.openxmlformats.org/drawingml/2006/main">
                  <a:graphicData uri="http://schemas.microsoft.com/office/word/2010/wordprocessingShape">
                    <wps:wsp>
                      <wps:cNvSpPr/>
                      <wps:spPr>
                        <a:xfrm>
                          <a:off x="0" y="0"/>
                          <a:ext cx="1562100" cy="1019175"/>
                        </a:xfrm>
                        <a:custGeom>
                          <a:avLst/>
                          <a:gdLst/>
                          <a:ahLst/>
                          <a:cxnLst/>
                          <a:rect l="0" t="0" r="r" b="b"/>
                          <a:pathLst>
                            <a:path w="2840" h="1912">
                              <a:moveTo>
                                <a:pt x="318" y="0"/>
                              </a:moveTo>
                              <a:lnTo>
                                <a:pt x="319" y="0"/>
                              </a:lnTo>
                              <a:cubicBezTo>
                                <a:pt x="263" y="0"/>
                                <a:pt x="208" y="15"/>
                                <a:pt x="159" y="43"/>
                              </a:cubicBezTo>
                              <a:cubicBezTo>
                                <a:pt x="111" y="71"/>
                                <a:pt x="71" y="111"/>
                                <a:pt x="43" y="159"/>
                              </a:cubicBezTo>
                              <a:cubicBezTo>
                                <a:pt x="15" y="208"/>
                                <a:pt x="0" y="263"/>
                                <a:pt x="0" y="319"/>
                              </a:cubicBezTo>
                              <a:lnTo>
                                <a:pt x="0" y="1592"/>
                              </a:lnTo>
                              <a:lnTo>
                                <a:pt x="0" y="1593"/>
                              </a:lnTo>
                              <a:cubicBezTo>
                                <a:pt x="0" y="1648"/>
                                <a:pt x="15" y="1703"/>
                                <a:pt x="43" y="1752"/>
                              </a:cubicBezTo>
                              <a:cubicBezTo>
                                <a:pt x="71" y="1800"/>
                                <a:pt x="111" y="1840"/>
                                <a:pt x="159" y="1868"/>
                              </a:cubicBezTo>
                              <a:cubicBezTo>
                                <a:pt x="208" y="1896"/>
                                <a:pt x="263" y="1911"/>
                                <a:pt x="319" y="1911"/>
                              </a:cubicBezTo>
                              <a:lnTo>
                                <a:pt x="2520" y="1910"/>
                              </a:lnTo>
                              <a:lnTo>
                                <a:pt x="2521" y="1911"/>
                              </a:lnTo>
                              <a:cubicBezTo>
                                <a:pt x="2576" y="1911"/>
                                <a:pt x="2631" y="1896"/>
                                <a:pt x="2680" y="1868"/>
                              </a:cubicBezTo>
                              <a:cubicBezTo>
                                <a:pt x="2728" y="1840"/>
                                <a:pt x="2768" y="1800"/>
                                <a:pt x="2796" y="1752"/>
                              </a:cubicBezTo>
                              <a:cubicBezTo>
                                <a:pt x="2824" y="1703"/>
                                <a:pt x="2839" y="1648"/>
                                <a:pt x="2839" y="1593"/>
                              </a:cubicBezTo>
                              <a:lnTo>
                                <a:pt x="2839" y="318"/>
                              </a:lnTo>
                              <a:lnTo>
                                <a:pt x="2839" y="319"/>
                              </a:lnTo>
                              <a:lnTo>
                                <a:pt x="2839" y="319"/>
                              </a:lnTo>
                              <a:cubicBezTo>
                                <a:pt x="2839" y="263"/>
                                <a:pt x="2824" y="208"/>
                                <a:pt x="2796" y="159"/>
                              </a:cubicBezTo>
                              <a:cubicBezTo>
                                <a:pt x="2768" y="111"/>
                                <a:pt x="2728" y="71"/>
                                <a:pt x="2680" y="43"/>
                              </a:cubicBezTo>
                              <a:cubicBezTo>
                                <a:pt x="2631" y="15"/>
                                <a:pt x="2576" y="0"/>
                                <a:pt x="2521" y="0"/>
                              </a:cubicBezTo>
                              <a:lnTo>
                                <a:pt x="318" y="0"/>
                              </a:lnTo>
                            </a:path>
                          </a:pathLst>
                        </a:custGeom>
                        <a:solidFill>
                          <a:srgbClr val="EABAC2"/>
                        </a:solidFill>
                        <a:ln>
                          <a:solidFill>
                            <a:srgbClr val="3465A4"/>
                          </a:solidFill>
                        </a:ln>
                        <a:effectLst/>
                      </wps:spPr>
                      <wps:txbx>
                        <w:txbxContent>
                          <w:p w14:paraId="44EE72EA" w14:textId="77777777" w:rsidR="000F0D13" w:rsidRPr="00D56217" w:rsidRDefault="000F0D13" w:rsidP="00D56217">
                            <w:pPr>
                              <w:spacing w:after="0"/>
                              <w:jc w:val="center"/>
                              <w:rPr>
                                <w:rFonts w:ascii="Open Sans" w:hAnsi="Open Sans" w:cs="Open Sans"/>
                              </w:rPr>
                            </w:pPr>
                            <w:r w:rsidRPr="00D56217">
                              <w:rPr>
                                <w:rFonts w:ascii="Open Sans" w:hAnsi="Open Sans" w:cs="Open Sans"/>
                                <w:sz w:val="16"/>
                                <w:szCs w:val="16"/>
                              </w:rPr>
                              <w:t xml:space="preserve">Si de las actuaciones no se </w:t>
                            </w:r>
                          </w:p>
                          <w:p w14:paraId="0ABB518E" w14:textId="77777777" w:rsidR="000F0D13" w:rsidRPr="00D56217" w:rsidRDefault="000F0D13" w:rsidP="00D56217">
                            <w:pPr>
                              <w:spacing w:after="0"/>
                              <w:jc w:val="center"/>
                              <w:rPr>
                                <w:rFonts w:ascii="Open Sans" w:hAnsi="Open Sans" w:cs="Open Sans"/>
                              </w:rPr>
                            </w:pPr>
                            <w:r w:rsidRPr="00D56217">
                              <w:rPr>
                                <w:rFonts w:ascii="Open Sans" w:hAnsi="Open Sans" w:cs="Open Sans"/>
                                <w:sz w:val="16"/>
                                <w:szCs w:val="16"/>
                              </w:rPr>
                              <w:t>constata fraude o mala praxis</w:t>
                            </w:r>
                          </w:p>
                          <w:p w14:paraId="4F346032" w14:textId="77777777" w:rsidR="000F0D13" w:rsidRPr="00D56217" w:rsidRDefault="000F0D13" w:rsidP="00D56217">
                            <w:pPr>
                              <w:spacing w:after="0"/>
                              <w:jc w:val="center"/>
                              <w:rPr>
                                <w:rFonts w:ascii="Open Sans" w:hAnsi="Open Sans" w:cs="Open Sans"/>
                              </w:rPr>
                            </w:pPr>
                            <w:r w:rsidRPr="00D56217">
                              <w:rPr>
                                <w:rFonts w:ascii="Open Sans" w:hAnsi="Open Sans" w:cs="Open Sans"/>
                                <w:sz w:val="16"/>
                                <w:szCs w:val="16"/>
                              </w:rPr>
                              <w:t>se procede a la</w:t>
                            </w:r>
                          </w:p>
                          <w:p w14:paraId="6FDCA2EA" w14:textId="77777777" w:rsidR="000F0D13" w:rsidRPr="00D56217" w:rsidRDefault="000F0D13" w:rsidP="00D56217">
                            <w:pPr>
                              <w:spacing w:after="0"/>
                              <w:jc w:val="center"/>
                              <w:rPr>
                                <w:rFonts w:ascii="Open Sans" w:hAnsi="Open Sans" w:cs="Open Sans"/>
                              </w:rPr>
                            </w:pPr>
                            <w:r w:rsidRPr="00D56217">
                              <w:rPr>
                                <w:rFonts w:ascii="Open Sans" w:hAnsi="Open Sans" w:cs="Open Sans"/>
                                <w:b/>
                                <w:bCs/>
                                <w:sz w:val="16"/>
                                <w:szCs w:val="16"/>
                                <w:u w:val="single"/>
                              </w:rPr>
                              <w:t>FINALIZACIÓN Y ARCHIVO</w:t>
                            </w:r>
                          </w:p>
                          <w:p w14:paraId="32035E18" w14:textId="77777777" w:rsidR="000F0D13" w:rsidRPr="00D56217" w:rsidRDefault="000F0D13" w:rsidP="00D56217">
                            <w:pPr>
                              <w:spacing w:after="0"/>
                              <w:jc w:val="center"/>
                              <w:rPr>
                                <w:rFonts w:ascii="Open Sans" w:hAnsi="Open Sans" w:cs="Open Sans"/>
                              </w:rPr>
                            </w:pPr>
                            <w:r w:rsidRPr="00D56217">
                              <w:rPr>
                                <w:rFonts w:ascii="Open Sans" w:hAnsi="Open Sans" w:cs="Open Sans"/>
                                <w:sz w:val="16"/>
                                <w:szCs w:val="16"/>
                              </w:rPr>
                              <w:t>de las actuaciones.</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175BF18D" id="_x0000_s1059" style="position:absolute;left:0;text-align:left;margin-left:9.5pt;margin-top:75.95pt;width:123pt;height:80.25pt;z-index:25183436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2840,191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QcyaQMAACsKAAAOAAAAZHJzL2Uyb0RvYy54bWysVttu1DAQfUfiH6K806y9m+xF3aLSAkJC&#10;UKnwAV7H6UZK4mB7L+XrGV9ms86WhyJeEl/GxzNnjj2+fn9sm2QvlK5lt07J1SRNRMdlWXdP6/Tn&#10;j0/vFmmiDetK1shOrNNnodP3N2/fXB/6laByK5tSqARAOr069Ot0a0y/yjLNt6Jl+kr2ooPJSqqW&#10;Geiqp6xU7ADobZPRyaTIDlKVvZJcaA2j934yvXH4VSW4+V5VWpikWafgm3Ff5b4b+81urtnqSbF+&#10;W/PgBvsHL1pWd7DpCeqeGZbsVH0B1dZcSS0rc8Vlm8mqqrlwMUA0ZDKK5nHLeuFiAXJ0f6JJ/z9Y&#10;/m3/2D8ooOHQ65WGpo3iWKnW/sG/5OjIej6RJY4m4TBI8oKSCXDKYY5MyJLMc0tnNiznO20+C+mg&#10;2P6rNp7tEltsiy1+7LCpIGfjbKk0gWxtfLZ6Zuw6659tJod1ShczcGQLfiwJdXlo5V78kM7G2BCm&#10;BISIQYCLw3zTxXbLyA5n+W5T8w/i97ktLaaDLTjjNqITvxFxZOAoyT3sbBooivHingcihDj0OQlh&#10;O3jo2TDspCPT2wKsG4VdfAZiwLgX4HO3xLp7BgQsAroN7GJwSl4GR4Y8rAeAcGnwBKfxPzJDPnD6&#10;JVcDZjGLXAWCXczzSeQsUjHP0YMYMu55b5DUBcj5LG7MALHqOh8PySSLwnkEcopR457f46SLxbI4&#10;B0MRgXKjlFq6XXxh/GITZCzA5zTQtCTOWbBHC/yfLIOGBmS0eNHxfF5EnqCmwfMAdBHSIvjyKoLm&#10;NJycEd10DjQ7Kkb5oXOg0mvgFcmmCzoLq2Ll0MU0UD5S2jCRL1GvMVPIX2AYgeylA7r5eyoGQzxb&#10;iIT/C8SxYezIyHx0kE+hj079QOQrLpAhLbFwKeYxvrhoEUTxiitwUFh0mVJUZHQqaU69HFH+MTMx&#10;oeNy4GchUbaiuIydqow7eEMd07Kpy09109jaotXT5q5RyZ7B8+Lj7YfbO7x0IrOmc8Z/XTmdFfnt&#10;LEjlbKUTjl0q3EvGV8hsKNS2ZY6bY1KXUOGcNO3QRpbPDyo5wKtmnepfO6ZEmjRfOng2wLk02FDY&#10;2GCDdXwr4XHEjXJFtJO3OyOr2tZtt61HDh14kTimwuvJPnnO+85qeOPd/AEAAP//AwBQSwMEFAAG&#10;AAgAAAAhAEyD7zHgAAAACgEAAA8AAABkcnMvZG93bnJldi54bWxMj0FPg0AQhe8m/ofNmHhp7AJK&#10;YylLYxo8GQ9if8CWnQKVnSXslqK/3vFkT5M38/Lme/l2tr2YcPSdIwXxMgKBVDvTUaNg//n68AzC&#10;B01G945QwTd62Ba3N7nOjLvQB05VaASHkM+0gjaEIZPS1y1a7ZduQOLb0Y1WB5ZjI82oLxxue5lE&#10;0Upa3RF/aPWAuxbrr+psFbwtdvK9TH8Wp301YWmPUYVpqdT93fyyARFwDv9m+MNndCiY6eDOZLzo&#10;Wa+5SuCZxmsQbEhWKW8OCh7j5AlkkcvrCsUvAAAA//8DAFBLAQItABQABgAIAAAAIQC2gziS/gAA&#10;AOEBAAATAAAAAAAAAAAAAAAAAAAAAABbQ29udGVudF9UeXBlc10ueG1sUEsBAi0AFAAGAAgAAAAh&#10;ADj9If/WAAAAlAEAAAsAAAAAAAAAAAAAAAAALwEAAF9yZWxzLy5yZWxzUEsBAi0AFAAGAAgAAAAh&#10;ANvJBzJpAwAAKwoAAA4AAAAAAAAAAAAAAAAALgIAAGRycy9lMm9Eb2MueG1sUEsBAi0AFAAGAAgA&#10;AAAhAEyD7zHgAAAACgEAAA8AAAAAAAAAAAAAAAAAwwUAAGRycy9kb3ducmV2LnhtbFBLBQYAAAAA&#10;BAAEAPMAAADQBgAAAAA=&#10;" adj="-11796480,,5400" path="m318,r1,c263,,208,15,159,43,111,71,71,111,43,159,15,208,,263,,319l,1592r,1c,1648,15,1703,43,1752v28,48,68,88,116,116c208,1896,263,1911,319,1911r2201,-1l2521,1911v55,,110,-15,159,-43c2728,1840,2768,1800,2796,1752v28,-49,43,-104,43,-159l2839,318r,1l2839,319v,-56,-15,-111,-43,-160c2768,111,2728,71,2680,43,2631,15,2576,,2521,l318,e" fillcolor="#eabac2" strokecolor="#3465a4">
                <v:stroke joinstyle="miter"/>
                <v:formulas/>
                <v:path arrowok="t" o:connecttype="custom" textboxrect="0,0,2840,1912"/>
                <v:textbox inset="0,0,0,0">
                  <w:txbxContent>
                    <w:p w14:paraId="44EE72EA" w14:textId="77777777" w:rsidR="000F0D13" w:rsidRPr="00D56217" w:rsidRDefault="000F0D13" w:rsidP="00D56217">
                      <w:pPr>
                        <w:spacing w:after="0"/>
                        <w:jc w:val="center"/>
                        <w:rPr>
                          <w:rFonts w:ascii="Open Sans" w:hAnsi="Open Sans" w:cs="Open Sans"/>
                        </w:rPr>
                      </w:pPr>
                      <w:r w:rsidRPr="00D56217">
                        <w:rPr>
                          <w:rFonts w:ascii="Open Sans" w:hAnsi="Open Sans" w:cs="Open Sans"/>
                          <w:sz w:val="16"/>
                          <w:szCs w:val="16"/>
                        </w:rPr>
                        <w:t xml:space="preserve">Si de las actuaciones no se </w:t>
                      </w:r>
                    </w:p>
                    <w:p w14:paraId="0ABB518E" w14:textId="77777777" w:rsidR="000F0D13" w:rsidRPr="00D56217" w:rsidRDefault="000F0D13" w:rsidP="00D56217">
                      <w:pPr>
                        <w:spacing w:after="0"/>
                        <w:jc w:val="center"/>
                        <w:rPr>
                          <w:rFonts w:ascii="Open Sans" w:hAnsi="Open Sans" w:cs="Open Sans"/>
                        </w:rPr>
                      </w:pPr>
                      <w:r w:rsidRPr="00D56217">
                        <w:rPr>
                          <w:rFonts w:ascii="Open Sans" w:hAnsi="Open Sans" w:cs="Open Sans"/>
                          <w:sz w:val="16"/>
                          <w:szCs w:val="16"/>
                        </w:rPr>
                        <w:t>constata fraude o mala praxis</w:t>
                      </w:r>
                    </w:p>
                    <w:p w14:paraId="4F346032" w14:textId="77777777" w:rsidR="000F0D13" w:rsidRPr="00D56217" w:rsidRDefault="000F0D13" w:rsidP="00D56217">
                      <w:pPr>
                        <w:spacing w:after="0"/>
                        <w:jc w:val="center"/>
                        <w:rPr>
                          <w:rFonts w:ascii="Open Sans" w:hAnsi="Open Sans" w:cs="Open Sans"/>
                        </w:rPr>
                      </w:pPr>
                      <w:r w:rsidRPr="00D56217">
                        <w:rPr>
                          <w:rFonts w:ascii="Open Sans" w:hAnsi="Open Sans" w:cs="Open Sans"/>
                          <w:sz w:val="16"/>
                          <w:szCs w:val="16"/>
                        </w:rPr>
                        <w:t>se procede a la</w:t>
                      </w:r>
                    </w:p>
                    <w:p w14:paraId="6FDCA2EA" w14:textId="77777777" w:rsidR="000F0D13" w:rsidRPr="00D56217" w:rsidRDefault="000F0D13" w:rsidP="00D56217">
                      <w:pPr>
                        <w:spacing w:after="0"/>
                        <w:jc w:val="center"/>
                        <w:rPr>
                          <w:rFonts w:ascii="Open Sans" w:hAnsi="Open Sans" w:cs="Open Sans"/>
                        </w:rPr>
                      </w:pPr>
                      <w:r w:rsidRPr="00D56217">
                        <w:rPr>
                          <w:rFonts w:ascii="Open Sans" w:hAnsi="Open Sans" w:cs="Open Sans"/>
                          <w:b/>
                          <w:bCs/>
                          <w:sz w:val="16"/>
                          <w:szCs w:val="16"/>
                          <w:u w:val="single"/>
                        </w:rPr>
                        <w:t>FINALIZACIÓN Y ARCHIVO</w:t>
                      </w:r>
                    </w:p>
                    <w:p w14:paraId="32035E18" w14:textId="77777777" w:rsidR="000F0D13" w:rsidRPr="00D56217" w:rsidRDefault="000F0D13" w:rsidP="00D56217">
                      <w:pPr>
                        <w:spacing w:after="0"/>
                        <w:jc w:val="center"/>
                        <w:rPr>
                          <w:rFonts w:ascii="Open Sans" w:hAnsi="Open Sans" w:cs="Open Sans"/>
                        </w:rPr>
                      </w:pPr>
                      <w:r w:rsidRPr="00D56217">
                        <w:rPr>
                          <w:rFonts w:ascii="Open Sans" w:hAnsi="Open Sans" w:cs="Open Sans"/>
                          <w:sz w:val="16"/>
                          <w:szCs w:val="16"/>
                        </w:rPr>
                        <w:t>de las actuaciones.</w:t>
                      </w:r>
                    </w:p>
                  </w:txbxContent>
                </v:textbox>
              </v:shape>
            </w:pict>
          </mc:Fallback>
        </mc:AlternateContent>
      </w:r>
      <w:r w:rsidR="004C557F" w:rsidRPr="00A07BE9">
        <w:rPr>
          <w:rFonts w:ascii="Open Sans" w:eastAsia="NSimSun" w:hAnsi="Open Sans" w:cs="Arial"/>
          <w:noProof/>
          <w:kern w:val="2"/>
          <w:sz w:val="24"/>
          <w:szCs w:val="24"/>
          <w:lang w:eastAsia="es-ES"/>
        </w:rPr>
        <mc:AlternateContent>
          <mc:Choice Requires="wps">
            <w:drawing>
              <wp:anchor distT="0" distB="0" distL="0" distR="0" simplePos="0" relativeHeight="251840512" behindDoc="0" locked="0" layoutInCell="1" allowOverlap="1" wp14:anchorId="043793FF" wp14:editId="2328D8CC">
                <wp:simplePos x="0" y="0"/>
                <wp:positionH relativeFrom="column">
                  <wp:posOffset>1708150</wp:posOffset>
                </wp:positionH>
                <wp:positionV relativeFrom="paragraph">
                  <wp:posOffset>723265</wp:posOffset>
                </wp:positionV>
                <wp:extent cx="170180" cy="260350"/>
                <wp:effectExtent l="0" t="45085" r="0" b="32385"/>
                <wp:wrapNone/>
                <wp:docPr id="81" name="Forma7"/>
                <wp:cNvGraphicFramePr/>
                <a:graphic xmlns:a="http://schemas.openxmlformats.org/drawingml/2006/main">
                  <a:graphicData uri="http://schemas.microsoft.com/office/word/2010/wordprocessingShape">
                    <wps:wsp>
                      <wps:cNvSpPr/>
                      <wps:spPr>
                        <a:xfrm rot="2700000">
                          <a:off x="0" y="0"/>
                          <a:ext cx="170180" cy="260350"/>
                        </a:xfrm>
                        <a:custGeom>
                          <a:avLst/>
                          <a:gdLst/>
                          <a:ahLst/>
                          <a:cxnLst/>
                          <a:rect l="0" t="0" r="r" b="b"/>
                          <a:pathLst>
                            <a:path w="269" h="411">
                              <a:moveTo>
                                <a:pt x="67" y="0"/>
                              </a:moveTo>
                              <a:lnTo>
                                <a:pt x="67" y="307"/>
                              </a:lnTo>
                              <a:lnTo>
                                <a:pt x="0" y="307"/>
                              </a:lnTo>
                              <a:lnTo>
                                <a:pt x="134" y="410"/>
                              </a:lnTo>
                              <a:lnTo>
                                <a:pt x="268" y="307"/>
                              </a:lnTo>
                              <a:lnTo>
                                <a:pt x="201" y="307"/>
                              </a:lnTo>
                              <a:lnTo>
                                <a:pt x="201" y="0"/>
                              </a:lnTo>
                              <a:lnTo>
                                <a:pt x="67" y="0"/>
                              </a:lnTo>
                            </a:path>
                          </a:pathLst>
                        </a:custGeom>
                        <a:solidFill>
                          <a:srgbClr val="5B6770"/>
                        </a:solidFill>
                        <a:ln>
                          <a:solidFill>
                            <a:srgbClr val="3465A4"/>
                          </a:solidFill>
                        </a:ln>
                        <a:effectLst/>
                      </wps:spPr>
                      <wps:bodyPr/>
                    </wps:wsp>
                  </a:graphicData>
                </a:graphic>
              </wp:anchor>
            </w:drawing>
          </mc:Choice>
          <mc:Fallback>
            <w:pict>
              <v:shape w14:anchorId="49AE24AD" id="Forma7" o:spid="_x0000_s1026" style="position:absolute;margin-left:134.5pt;margin-top:56.95pt;width:13.4pt;height:20.5pt;rotation:45;z-index:251840512;visibility:visible;mso-wrap-style:square;mso-wrap-distance-left:0;mso-wrap-distance-top:0;mso-wrap-distance-right:0;mso-wrap-distance-bottom:0;mso-position-horizontal:absolute;mso-position-horizontal-relative:text;mso-position-vertical:absolute;mso-position-vertical-relative:text;v-text-anchor:top" coordsize="26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lLJFAIAAO0EAAAOAAAAZHJzL2Uyb0RvYy54bWysVNuO0zAQfUfiHyy/01yaJiVqsgJW5QXB&#10;Srt8gOs4TSTfZHuT9O8ZO00p5Y7og3Nsj8/MnJnp7m4SHA3M2F7JCierGCMmqWp6eazw56f9qy1G&#10;1hHZEK4kq/CJWXxXv3yxG3XJUtUp3jCDgETactQV7pzTZRRZ2jFB7EppJuGyVUYQB1tzjBpDRmAX&#10;PErjOI9GZRptFGXWwun9fInrwN+2jLpPbWuZQ7zCEJsLqwnrwa9RvSPl0RDd9fQcBvmHKATpJTi9&#10;UN0TR9Cz6b+jEj01yqrWragSkWrbnrKQA2STxDfZPHZEs5ALiGP1RSb7/2jpx+HBoL6p8DbBSBIB&#10;Ndp7tQsvzahtCRaP+sGcdxagz3NqjUBGgZ5pEftfyB7yQVMQ93QRl00OUThMijjZQgkoXKV5vN4E&#10;8aOZylPSZ+veMyU8JsMH6+baNAsi3YLoJBdooMK3tTUYQW0Pc201cf6dJ/UQjd77a4y6CmdJEqIW&#10;amBPKlg4H35eYLTED/F9vebyB2brOEgFhsv18tWBDVIGst9ZJess2GXJIsvCsnxntjSHgfoDPuim&#10;v7L7tdcbReaQIGOvaL07g6Ay4Os6WsX7Zt9z7tW15nh4xw0aCAzj5m1eFIvXb8y4DMY/fbnO8s2b&#10;zFcXnF29hN38lIW5nzsk8i08N61HB9WcQi+Hc5ipQHKefz+013vA1/9S9RcAAAD//wMAUEsDBBQA&#10;BgAIAAAAIQBViY6U4AAAAAsBAAAPAAAAZHJzL2Rvd25yZXYueG1sTI/BTsMwEETvSPyDtZW4USeh&#10;atoQp0KRCick2sKBmxsvSdR4ncZOG/6e5QTHnXmanck3k+3EBQffOlIQzyMQSJUzLdUK3g/b+xUI&#10;HzQZ3TlCBd/oYVPc3uQ6M+5KO7zsQy04hHymFTQh9JmUvmrQaj93PRJ7X26wOvA51NIM+srhtpNJ&#10;FC2l1S3xh0b3WDZYnfajVfD5vAiH3pTjOrym5wlf0o/yLVXqbjY9PYIIOIU/GH7rc3UouNPRjWS8&#10;6BQky3jNKBtJzKOYeIgSVo6sLNIVyCKX/zcUPwAAAP//AwBQSwECLQAUAAYACAAAACEAtoM4kv4A&#10;AADhAQAAEwAAAAAAAAAAAAAAAAAAAAAAW0NvbnRlbnRfVHlwZXNdLnhtbFBLAQItABQABgAIAAAA&#10;IQA4/SH/1gAAAJQBAAALAAAAAAAAAAAAAAAAAC8BAABfcmVscy8ucmVsc1BLAQItABQABgAIAAAA&#10;IQBCNlLJFAIAAO0EAAAOAAAAAAAAAAAAAAAAAC4CAABkcnMvZTJvRG9jLnhtbFBLAQItABQABgAI&#10;AAAAIQBViY6U4AAAAAsBAAAPAAAAAAAAAAAAAAAAAG4EAABkcnMvZG93bnJldi54bWxQSwUGAAAA&#10;AAQABADzAAAAewUAAAAA&#10;" path="m67,r,307l,307,134,410,268,307r-67,l201,,67,e" fillcolor="#5b6770" strokecolor="#3465a4">
                <v:path arrowok="t"/>
              </v:shape>
            </w:pict>
          </mc:Fallback>
        </mc:AlternateContent>
      </w:r>
      <w:r w:rsidR="004C557F" w:rsidRPr="00A07BE9">
        <w:rPr>
          <w:rFonts w:ascii="Open Sans" w:eastAsia="NSimSun" w:hAnsi="Open Sans" w:cs="Arial"/>
          <w:noProof/>
          <w:kern w:val="2"/>
          <w:sz w:val="24"/>
          <w:szCs w:val="24"/>
          <w:lang w:eastAsia="es-ES"/>
        </w:rPr>
        <mc:AlternateContent>
          <mc:Choice Requires="wps">
            <w:drawing>
              <wp:anchor distT="0" distB="0" distL="0" distR="0" simplePos="0" relativeHeight="251838464" behindDoc="0" locked="0" layoutInCell="1" allowOverlap="1" wp14:anchorId="5459FB79" wp14:editId="603F2CAD">
                <wp:simplePos x="0" y="0"/>
                <wp:positionH relativeFrom="margin">
                  <wp:align>center</wp:align>
                </wp:positionH>
                <wp:positionV relativeFrom="paragraph">
                  <wp:posOffset>763905</wp:posOffset>
                </wp:positionV>
                <wp:extent cx="170180" cy="260350"/>
                <wp:effectExtent l="0" t="0" r="20320" b="25400"/>
                <wp:wrapNone/>
                <wp:docPr id="79" name="Forma7"/>
                <wp:cNvGraphicFramePr/>
                <a:graphic xmlns:a="http://schemas.openxmlformats.org/drawingml/2006/main">
                  <a:graphicData uri="http://schemas.microsoft.com/office/word/2010/wordprocessingShape">
                    <wps:wsp>
                      <wps:cNvSpPr/>
                      <wps:spPr>
                        <a:xfrm>
                          <a:off x="0" y="0"/>
                          <a:ext cx="170180" cy="260350"/>
                        </a:xfrm>
                        <a:custGeom>
                          <a:avLst/>
                          <a:gdLst/>
                          <a:ahLst/>
                          <a:cxnLst/>
                          <a:rect l="0" t="0" r="r" b="b"/>
                          <a:pathLst>
                            <a:path w="269" h="411">
                              <a:moveTo>
                                <a:pt x="67" y="0"/>
                              </a:moveTo>
                              <a:lnTo>
                                <a:pt x="67" y="307"/>
                              </a:lnTo>
                              <a:lnTo>
                                <a:pt x="0" y="307"/>
                              </a:lnTo>
                              <a:lnTo>
                                <a:pt x="134" y="410"/>
                              </a:lnTo>
                              <a:lnTo>
                                <a:pt x="268" y="307"/>
                              </a:lnTo>
                              <a:lnTo>
                                <a:pt x="201" y="307"/>
                              </a:lnTo>
                              <a:lnTo>
                                <a:pt x="201" y="0"/>
                              </a:lnTo>
                              <a:lnTo>
                                <a:pt x="67" y="0"/>
                              </a:lnTo>
                            </a:path>
                          </a:pathLst>
                        </a:custGeom>
                        <a:solidFill>
                          <a:srgbClr val="5B6770"/>
                        </a:solidFill>
                        <a:ln>
                          <a:solidFill>
                            <a:srgbClr val="3465A4"/>
                          </a:solidFill>
                        </a:ln>
                        <a:effectLst/>
                      </wps:spPr>
                      <wps:bodyPr/>
                    </wps:wsp>
                  </a:graphicData>
                </a:graphic>
              </wp:anchor>
            </w:drawing>
          </mc:Choice>
          <mc:Fallback>
            <w:pict>
              <v:shape w14:anchorId="24289F5A" id="Forma7" o:spid="_x0000_s1026" style="position:absolute;margin-left:0;margin-top:60.15pt;width:13.4pt;height:20.5pt;z-index:251838464;visibility:visible;mso-wrap-style:square;mso-wrap-distance-left:0;mso-wrap-distance-top:0;mso-wrap-distance-right:0;mso-wrap-distance-bottom:0;mso-position-horizontal:center;mso-position-horizontal-relative:margin;mso-position-vertical:absolute;mso-position-vertical-relative:text;v-text-anchor:top" coordsize="26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R1RCwIAAN8EAAAOAAAAZHJzL2Uyb0RvYy54bWysVM1u2zAMvg/YOwi6L7YTx+6M2MW2IrsM&#10;W4F2D6DIcixAlgRJtZO3HyVHaZr9D7tYlEh+JD+S3tweBoFGZixXssbZIsWISapaLvc1/vq4fXOD&#10;kXVEtkQoyWp8ZBbfNq9fbSZdsaXqlWiZQQAibTXpGvfO6SpJLO3ZQOxCaSZB2SkzEAdXs09aQyZA&#10;H0SyTNMimZRptVGUWQuvd7MSNwG/6xh1X7rOModEjSE3F74mfHf+mzQbUu0N0T2npzTIP2QxEC4h&#10;6BnqjjiCngz/Dmrg1CirOregakhU13HKQg1QTZZeVfPQE81CLUCO1Wea7P+DpZ/He4N4W+PyLUaS&#10;DNCjrWe79NRM2lZg8aDvzelmQfR1Hjoz+BMqQIdA5/FMJzs4ROExK9PsBkinoFoW6Wod6E6enemT&#10;dR+ZCkBk/GTd3I02SqSPEj3IKBro6XU3DUbQzd3cTU2c9/PZeRFNPjoU19c4z7LQpUGN7FEFC+fT&#10;L0qMYv6Q37NayB+YrdJADhhGdTx1QIOSAex3VtkqD3Z5FmmJKPGc0ZYFrNAf4MH8/JXdr6NeMTKn&#10;BBV7RpvNSQgsg3zZR6sEb7dcCM+uNfvdB2HQSGD91u+LsoxRX5gJGYx/6rnKi/W73HcXgl14wm12&#10;ZWHT5wlJ/NDOY+qlnWqPYXrDO2xRADltvF/TyzvIl/+l5hsAAAD//wMAUEsDBBQABgAIAAAAIQAK&#10;4jcx3AAAAAcBAAAPAAAAZHJzL2Rvd25yZXYueG1sTI/BTsMwEETvSPyDtUjcqNNUCiGNUyHaihNI&#10;LYizE2/jiHgdxW4T/p7lRI87M5p9U25m14sLjqHzpGC5SEAgNd501Cr4/Ng/5CBC1GR07wkV/GCA&#10;TXV7U+rC+IkOeDnGVnAJhUIrsDEOhZShseh0WPgBib2TH52OfI6tNKOeuNz1Mk2STDrdEX+wesAX&#10;i8338ewUPO1et/nX24TbfDejnfZ1e3h/VOr+bn5eg4g4x/8w/OEzOlTMVPszmSB6BTwkspomKxBs&#10;pxkPqVnIliuQVSmv+atfAAAA//8DAFBLAQItABQABgAIAAAAIQC2gziS/gAAAOEBAAATAAAAAAAA&#10;AAAAAAAAAAAAAABbQ29udGVudF9UeXBlc10ueG1sUEsBAi0AFAAGAAgAAAAhADj9If/WAAAAlAEA&#10;AAsAAAAAAAAAAAAAAAAALwEAAF9yZWxzLy5yZWxzUEsBAi0AFAAGAAgAAAAhAOpxHVELAgAA3wQA&#10;AA4AAAAAAAAAAAAAAAAALgIAAGRycy9lMm9Eb2MueG1sUEsBAi0AFAAGAAgAAAAhAAriNzHcAAAA&#10;BwEAAA8AAAAAAAAAAAAAAAAAZQQAAGRycy9kb3ducmV2LnhtbFBLBQYAAAAABAAEAPMAAABuBQAA&#10;AAA=&#10;" path="m67,r,307l,307,134,410,268,307r-67,l201,,67,e" fillcolor="#5b6770" strokecolor="#3465a4">
                <v:path arrowok="t"/>
                <w10:wrap anchorx="margin"/>
              </v:shape>
            </w:pict>
          </mc:Fallback>
        </mc:AlternateContent>
      </w:r>
      <w:r w:rsidR="004C557F" w:rsidRPr="00A07BE9">
        <w:rPr>
          <w:rFonts w:ascii="Open Sans" w:eastAsia="NSimSun" w:hAnsi="Open Sans" w:cs="Arial"/>
          <w:noProof/>
          <w:kern w:val="2"/>
          <w:sz w:val="24"/>
          <w:szCs w:val="24"/>
          <w:lang w:eastAsia="es-ES"/>
        </w:rPr>
        <mc:AlternateContent>
          <mc:Choice Requires="wps">
            <w:drawing>
              <wp:anchor distT="0" distB="0" distL="0" distR="0" simplePos="0" relativeHeight="251839488" behindDoc="0" locked="0" layoutInCell="1" allowOverlap="1" wp14:anchorId="0D2B3198" wp14:editId="406EEE6F">
                <wp:simplePos x="0" y="0"/>
                <wp:positionH relativeFrom="column">
                  <wp:posOffset>3660139</wp:posOffset>
                </wp:positionH>
                <wp:positionV relativeFrom="paragraph">
                  <wp:posOffset>707391</wp:posOffset>
                </wp:positionV>
                <wp:extent cx="170180" cy="260350"/>
                <wp:effectExtent l="57150" t="19050" r="39370" b="0"/>
                <wp:wrapNone/>
                <wp:docPr id="80" name="Forma7"/>
                <wp:cNvGraphicFramePr/>
                <a:graphic xmlns:a="http://schemas.openxmlformats.org/drawingml/2006/main">
                  <a:graphicData uri="http://schemas.microsoft.com/office/word/2010/wordprocessingShape">
                    <wps:wsp>
                      <wps:cNvSpPr/>
                      <wps:spPr>
                        <a:xfrm rot="18900000">
                          <a:off x="0" y="0"/>
                          <a:ext cx="170180" cy="260350"/>
                        </a:xfrm>
                        <a:custGeom>
                          <a:avLst/>
                          <a:gdLst/>
                          <a:ahLst/>
                          <a:cxnLst/>
                          <a:rect l="0" t="0" r="r" b="b"/>
                          <a:pathLst>
                            <a:path w="269" h="411">
                              <a:moveTo>
                                <a:pt x="67" y="0"/>
                              </a:moveTo>
                              <a:lnTo>
                                <a:pt x="67" y="307"/>
                              </a:lnTo>
                              <a:lnTo>
                                <a:pt x="0" y="307"/>
                              </a:lnTo>
                              <a:lnTo>
                                <a:pt x="134" y="410"/>
                              </a:lnTo>
                              <a:lnTo>
                                <a:pt x="268" y="307"/>
                              </a:lnTo>
                              <a:lnTo>
                                <a:pt x="201" y="307"/>
                              </a:lnTo>
                              <a:lnTo>
                                <a:pt x="201" y="0"/>
                              </a:lnTo>
                              <a:lnTo>
                                <a:pt x="67" y="0"/>
                              </a:lnTo>
                            </a:path>
                          </a:pathLst>
                        </a:custGeom>
                        <a:solidFill>
                          <a:srgbClr val="5B6770"/>
                        </a:solidFill>
                        <a:ln>
                          <a:solidFill>
                            <a:srgbClr val="3465A4"/>
                          </a:solidFill>
                        </a:ln>
                        <a:effectLst/>
                      </wps:spPr>
                      <wps:bodyPr/>
                    </wps:wsp>
                  </a:graphicData>
                </a:graphic>
              </wp:anchor>
            </w:drawing>
          </mc:Choice>
          <mc:Fallback>
            <w:pict>
              <v:shape w14:anchorId="433E7CB1" id="Forma7" o:spid="_x0000_s1026" style="position:absolute;margin-left:288.2pt;margin-top:55.7pt;width:13.4pt;height:20.5pt;rotation:-45;z-index:251839488;visibility:visible;mso-wrap-style:square;mso-wrap-distance-left:0;mso-wrap-distance-top:0;mso-wrap-distance-right:0;mso-wrap-distance-bottom:0;mso-position-horizontal:absolute;mso-position-horizontal-relative:text;mso-position-vertical:absolute;mso-position-vertical-relative:text;v-text-anchor:top" coordsize="26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KlfFgIAAO4EAAAOAAAAZHJzL2Uyb0RvYy54bWysVNtu2zAMfR+wfxD0vthOHDs1Yhfbiuxl&#10;2Aq0+wBFlmMDukFSbefvR8lxmmVrd8H8IFMidUgektrejoKjnhnbKVniZBFjxCRVdScPJf72uHu3&#10;wcg6ImvClWQlPjKLb6u3b7aDLthStYrXzCAAkbYYdIlb53QRRZa2TBC7UJpJUDbKCOJgaw5RbcgA&#10;6IJHyzjOokGZWhtFmbVwejcpcRXwm4ZR97VpLHOIlxhic2E1Yd37Naq2pDgYotuOnsIg/xCFIJ0E&#10;p2eoO+IIejLdT1Cio0ZZ1bgFVSJSTdNRFnKAbJL4KpuHlmgWcgFyrD7TZP8fLP3S3xvU1SXeAD2S&#10;CKjRzrOde2oGbQuweND35rSzIPo8x8YIZBTwmWxuYv+F9CEhNAZ2j2d22egQhcMkjxPvhIJqmcWr&#10;dWA/mrA8Jn2y7hNTwsuk/2zdVJx6lkg7S3SUs2igxNfFNRhBcfdTcTVx/p4H9SIavPcbjNoSp0kS&#10;ohaqZ48qWDgffpZjNMcP8T2rufyF2SoOXIHhrJ7/OqBBygD2O6tklQa7NJlpmVHm/4S2zGCi/gAP&#10;2umv7F73esXIFBJk7BmttichsAzyZR2t4l296zj37Fpz2H/kBvUEpnH9Icvz2esPZlwG4xdvrtJs&#10;/T711QVnFzdhN11lYfCnDol8D09d66W9qo+hmcM5DFUAOT0Afmov9yBfPlPVdwAAAP//AwBQSwME&#10;FAAGAAgAAAAhACME07/gAAAACwEAAA8AAABkcnMvZG93bnJldi54bWxMj0FPwzAMhe9I/IfISFwQ&#10;S1u2gkrTaRpCcGWj0rilrWkrEqdKsq38e8wJbrbf0/P3yvVsjTihD6MjBekiAYHUum6kXsH7/vn2&#10;AUSImjptHKGCbwywri4vSl107kxveNrFXnAIhUIrGGKcCilDO6DVYeEmJNY+nbc68up72Xl95nBr&#10;ZJYkubR6JP4w6Am3A7Zfu6NVsDlQUx9eTe23L239kbd7jzdPSl1fzZtHEBHn+GeGX3xGh4qZGnek&#10;LgijYHWfL9nKQprywI48uctANHxZZUuQVSn/d6h+AAAA//8DAFBLAQItABQABgAIAAAAIQC2gziS&#10;/gAAAOEBAAATAAAAAAAAAAAAAAAAAAAAAABbQ29udGVudF9UeXBlc10ueG1sUEsBAi0AFAAGAAgA&#10;AAAhADj9If/WAAAAlAEAAAsAAAAAAAAAAAAAAAAALwEAAF9yZWxzLy5yZWxzUEsBAi0AFAAGAAgA&#10;AAAhABVcqV8WAgAA7gQAAA4AAAAAAAAAAAAAAAAALgIAAGRycy9lMm9Eb2MueG1sUEsBAi0AFAAG&#10;AAgAAAAhACME07/gAAAACwEAAA8AAAAAAAAAAAAAAAAAcAQAAGRycy9kb3ducmV2LnhtbFBLBQYA&#10;AAAABAAEAPMAAAB9BQAAAAA=&#10;" path="m67,r,307l,307,134,410,268,307r-67,l201,,67,e" fillcolor="#5b6770" strokecolor="#3465a4">
                <v:path arrowok="t"/>
              </v:shape>
            </w:pict>
          </mc:Fallback>
        </mc:AlternateContent>
      </w:r>
      <w:r w:rsidR="009568B0" w:rsidRPr="00A07BE9">
        <w:rPr>
          <w:rFonts w:ascii="Open Sans" w:eastAsia="NSimSun" w:hAnsi="Open Sans" w:cs="Arial"/>
          <w:kern w:val="2"/>
          <w:sz w:val="24"/>
          <w:szCs w:val="24"/>
          <w:lang w:eastAsia="zh-CN" w:bidi="hi-IN"/>
        </w:rPr>
        <w:br w:type="page"/>
      </w:r>
      <w:r w:rsidR="009568B0" w:rsidRPr="00A07BE9">
        <w:rPr>
          <w:rFonts w:ascii="Open Sans" w:eastAsia="NSimSun" w:hAnsi="Open Sans" w:cs="Arial"/>
          <w:kern w:val="2"/>
          <w:sz w:val="20"/>
          <w:szCs w:val="20"/>
          <w:lang w:eastAsia="zh-CN" w:bidi="hi-IN"/>
        </w:rPr>
        <w:lastRenderedPageBreak/>
        <w:t xml:space="preserve">Las fases de análisis e investigación se rigen por los criterios de celeridad, economía, simplicidad, eficacia y máxima discreción. En ambas fases del procedimiento se podrán ejercer las potestades a que se refiere el artículo 6.2 de la </w:t>
      </w:r>
      <w:hyperlink r:id="rId89" w:history="1">
        <w:r w:rsidR="004C14BF" w:rsidRPr="00A07BE9">
          <w:rPr>
            <w:rStyle w:val="Hipervnculo"/>
            <w:rFonts w:ascii="Open Sans" w:hAnsi="Open Sans" w:cs="Open Sans"/>
            <w:sz w:val="20"/>
            <w:szCs w:val="20"/>
          </w:rPr>
          <w:t>Ley 11/2016</w:t>
        </w:r>
        <w:r w:rsidR="004C14BF" w:rsidRPr="00A07BE9">
          <w:rPr>
            <w:rStyle w:val="Hipervnculo"/>
            <w:rFonts w:ascii="Open Sans" w:hAnsi="Open Sans" w:cs="Open Sans"/>
            <w:color w:val="auto"/>
            <w:sz w:val="20"/>
            <w:szCs w:val="20"/>
            <w:u w:val="none"/>
          </w:rPr>
          <w:t>, de 28 de noviembre, de la Generalitat</w:t>
        </w:r>
      </w:hyperlink>
      <w:r w:rsidR="009568B0" w:rsidRPr="00A07BE9">
        <w:rPr>
          <w:rFonts w:ascii="Open Sans" w:eastAsia="NSimSun" w:hAnsi="Open Sans" w:cs="Arial"/>
          <w:kern w:val="2"/>
          <w:sz w:val="20"/>
          <w:szCs w:val="20"/>
          <w:lang w:eastAsia="zh-CN" w:bidi="hi-IN"/>
        </w:rPr>
        <w:t xml:space="preserve"> (personación en dependencias administrativas, examen de registros y archivos, realización de entrevistas personales, acceso a información de cuentas corrientes bancarias, etc.)</w:t>
      </w:r>
    </w:p>
    <w:p w14:paraId="0A01FBF1"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092B0E0B" w14:textId="5D392604"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 xml:space="preserve">En el marco del deber de colaboración previsto de forma expresa en el artículo 7 de la </w:t>
      </w:r>
      <w:hyperlink r:id="rId90" w:history="1">
        <w:r w:rsidR="004C14BF" w:rsidRPr="00A07BE9">
          <w:rPr>
            <w:rStyle w:val="Hipervnculo"/>
            <w:rFonts w:ascii="Open Sans" w:hAnsi="Open Sans" w:cs="Open Sans"/>
            <w:sz w:val="20"/>
            <w:szCs w:val="20"/>
          </w:rPr>
          <w:t>Ley 11/2016</w:t>
        </w:r>
        <w:r w:rsidR="004C14BF" w:rsidRPr="00A07BE9">
          <w:rPr>
            <w:rStyle w:val="Hipervnculo"/>
            <w:rFonts w:ascii="Open Sans" w:hAnsi="Open Sans" w:cs="Open Sans"/>
            <w:color w:val="auto"/>
            <w:sz w:val="20"/>
            <w:szCs w:val="20"/>
            <w:u w:val="none"/>
          </w:rPr>
          <w:t>, de 28 de noviembre, de la Generalitat</w:t>
        </w:r>
      </w:hyperlink>
      <w:r w:rsidR="006A2178" w:rsidRPr="00A07BE9">
        <w:rPr>
          <w:rFonts w:ascii="Open Sans" w:eastAsia="NSimSun" w:hAnsi="Open Sans" w:cs="Arial"/>
          <w:kern w:val="2"/>
          <w:sz w:val="20"/>
          <w:szCs w:val="20"/>
          <w:lang w:eastAsia="zh-CN" w:bidi="hi-IN"/>
        </w:rPr>
        <w:t xml:space="preserve">, </w:t>
      </w:r>
      <w:r w:rsidRPr="00A07BE9">
        <w:rPr>
          <w:rFonts w:ascii="Open Sans" w:eastAsia="NSimSun" w:hAnsi="Open Sans" w:cs="Arial"/>
          <w:kern w:val="2"/>
          <w:sz w:val="20"/>
          <w:szCs w:val="20"/>
          <w:lang w:eastAsia="zh-CN" w:bidi="hi-IN"/>
        </w:rPr>
        <w:t>en caso de obstaculizar las tareas necesarias, las personas causantes de la obstrucción podrán incurrir en las responsabilidades legalmente establecidas.</w:t>
      </w:r>
    </w:p>
    <w:p w14:paraId="53C66608"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7D4516EC"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Durante la anualidad 2019 se han aperturado un total de 168 expedientes en la Agencia de Prevención y Lucha contra el Fraude y la Corrupción en la Comunitat Valenciana, a los que cabe añadir los 181 expedientes abiertos en 2018 y los 35 de 2017, lo que supone un total de expedientes abiertos de 384.</w:t>
      </w:r>
    </w:p>
    <w:p w14:paraId="5E8D49A7"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6D4F777D"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El estado de tramitación de los 384 expedientes aperturados es el que se muestra en la siguiente tabla:</w:t>
      </w:r>
    </w:p>
    <w:p w14:paraId="1CA7DEDD"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6F1D7FDA" w14:textId="73945739" w:rsidR="009568B0" w:rsidRPr="00A07BE9" w:rsidRDefault="009568B0" w:rsidP="009568B0">
      <w:pPr>
        <w:spacing w:after="0" w:line="276" w:lineRule="auto"/>
        <w:ind w:right="-285"/>
        <w:rPr>
          <w:rFonts w:ascii="Open Sans" w:eastAsia="NSimSun" w:hAnsi="Open Sans" w:cs="Open Sans"/>
          <w:b/>
          <w:kern w:val="2"/>
          <w:sz w:val="20"/>
          <w:szCs w:val="20"/>
          <w:lang w:eastAsia="zh-CN" w:bidi="hi-IN"/>
        </w:rPr>
      </w:pPr>
      <w:r w:rsidRPr="00A07BE9">
        <w:rPr>
          <w:rFonts w:ascii="Open Sans" w:eastAsia="NSimSun" w:hAnsi="Open Sans" w:cs="Open Sans"/>
          <w:b/>
          <w:color w:val="9D2235"/>
          <w:kern w:val="2"/>
          <w:sz w:val="20"/>
          <w:szCs w:val="20"/>
          <w:lang w:eastAsia="zh-CN" w:bidi="hi-IN"/>
        </w:rPr>
        <w:t>Tabla 1</w:t>
      </w:r>
      <w:r w:rsidR="001900B6" w:rsidRPr="00A07BE9">
        <w:rPr>
          <w:rFonts w:ascii="Open Sans" w:eastAsia="NSimSun" w:hAnsi="Open Sans" w:cs="Open Sans"/>
          <w:b/>
          <w:color w:val="9D2235"/>
          <w:kern w:val="2"/>
          <w:sz w:val="20"/>
          <w:szCs w:val="20"/>
          <w:lang w:eastAsia="zh-CN" w:bidi="hi-IN"/>
        </w:rPr>
        <w:t>1</w:t>
      </w:r>
      <w:r w:rsidRPr="00A07BE9">
        <w:rPr>
          <w:rFonts w:ascii="Open Sans" w:eastAsia="NSimSun" w:hAnsi="Open Sans" w:cs="Open Sans"/>
          <w:b/>
          <w:kern w:val="2"/>
          <w:sz w:val="20"/>
          <w:szCs w:val="20"/>
          <w:lang w:eastAsia="zh-CN" w:bidi="hi-IN"/>
        </w:rPr>
        <w:t xml:space="preserve">. Estado de </w:t>
      </w:r>
      <w:r w:rsidR="00C1024A" w:rsidRPr="00A07BE9">
        <w:rPr>
          <w:rFonts w:ascii="Open Sans" w:eastAsia="NSimSun" w:hAnsi="Open Sans" w:cs="Open Sans"/>
          <w:b/>
          <w:kern w:val="2"/>
          <w:sz w:val="20"/>
          <w:szCs w:val="20"/>
          <w:lang w:eastAsia="zh-CN" w:bidi="hi-IN"/>
        </w:rPr>
        <w:t>s</w:t>
      </w:r>
      <w:r w:rsidRPr="00A07BE9">
        <w:rPr>
          <w:rFonts w:ascii="Open Sans" w:eastAsia="NSimSun" w:hAnsi="Open Sans" w:cs="Open Sans"/>
          <w:b/>
          <w:kern w:val="2"/>
          <w:sz w:val="20"/>
          <w:szCs w:val="20"/>
          <w:lang w:eastAsia="zh-CN" w:bidi="hi-IN"/>
        </w:rPr>
        <w:t>ituación de los expedientes de análisis e investigación</w:t>
      </w:r>
    </w:p>
    <w:tbl>
      <w:tblPr>
        <w:tblW w:w="5000" w:type="pct"/>
        <w:tblCellMar>
          <w:left w:w="70" w:type="dxa"/>
          <w:right w:w="70" w:type="dxa"/>
        </w:tblCellMar>
        <w:tblLook w:val="04A0" w:firstRow="1" w:lastRow="0" w:firstColumn="1" w:lastColumn="0" w:noHBand="0" w:noVBand="1"/>
      </w:tblPr>
      <w:tblGrid>
        <w:gridCol w:w="2420"/>
        <w:gridCol w:w="597"/>
        <w:gridCol w:w="829"/>
        <w:gridCol w:w="597"/>
        <w:gridCol w:w="829"/>
        <w:gridCol w:w="597"/>
        <w:gridCol w:w="829"/>
        <w:gridCol w:w="782"/>
        <w:gridCol w:w="1014"/>
      </w:tblGrid>
      <w:tr w:rsidR="009568B0" w:rsidRPr="00A07BE9" w14:paraId="2392DB14" w14:textId="77777777" w:rsidTr="005E047E">
        <w:trPr>
          <w:trHeight w:val="312"/>
        </w:trPr>
        <w:tc>
          <w:tcPr>
            <w:tcW w:w="1425" w:type="pct"/>
            <w:tcBorders>
              <w:top w:val="single" w:sz="4" w:space="0" w:color="auto"/>
              <w:left w:val="single" w:sz="4" w:space="0" w:color="auto"/>
              <w:bottom w:val="single" w:sz="4" w:space="0" w:color="auto"/>
              <w:right w:val="single" w:sz="4" w:space="0" w:color="auto"/>
            </w:tcBorders>
            <w:shd w:val="clear" w:color="auto" w:fill="C6C6C6"/>
            <w:noWrap/>
            <w:vAlign w:val="center"/>
            <w:hideMark/>
          </w:tcPr>
          <w:p w14:paraId="59BEB78B" w14:textId="77777777" w:rsidR="009568B0" w:rsidRPr="00A07BE9" w:rsidRDefault="009568B0" w:rsidP="009568B0">
            <w:pPr>
              <w:spacing w:after="0" w:line="240" w:lineRule="auto"/>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SITUACIÓN</w:t>
            </w:r>
          </w:p>
        </w:tc>
        <w:tc>
          <w:tcPr>
            <w:tcW w:w="351" w:type="pct"/>
            <w:tcBorders>
              <w:top w:val="single" w:sz="4" w:space="0" w:color="auto"/>
              <w:left w:val="nil"/>
              <w:bottom w:val="single" w:sz="4" w:space="0" w:color="auto"/>
              <w:right w:val="single" w:sz="4" w:space="0" w:color="auto"/>
            </w:tcBorders>
            <w:shd w:val="clear" w:color="auto" w:fill="C6C6C6"/>
            <w:noWrap/>
            <w:vAlign w:val="center"/>
            <w:hideMark/>
          </w:tcPr>
          <w:p w14:paraId="04943853"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2017</w:t>
            </w:r>
          </w:p>
        </w:tc>
        <w:tc>
          <w:tcPr>
            <w:tcW w:w="488" w:type="pct"/>
            <w:tcBorders>
              <w:top w:val="single" w:sz="4" w:space="0" w:color="auto"/>
              <w:left w:val="nil"/>
              <w:bottom w:val="single" w:sz="4" w:space="0" w:color="auto"/>
              <w:right w:val="single" w:sz="4" w:space="0" w:color="auto"/>
            </w:tcBorders>
            <w:shd w:val="clear" w:color="auto" w:fill="C6C6C6"/>
            <w:noWrap/>
            <w:vAlign w:val="center"/>
            <w:hideMark/>
          </w:tcPr>
          <w:p w14:paraId="4541800D"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2017 %</w:t>
            </w:r>
          </w:p>
        </w:tc>
        <w:tc>
          <w:tcPr>
            <w:tcW w:w="351" w:type="pct"/>
            <w:tcBorders>
              <w:top w:val="single" w:sz="4" w:space="0" w:color="auto"/>
              <w:left w:val="nil"/>
              <w:bottom w:val="single" w:sz="4" w:space="0" w:color="auto"/>
              <w:right w:val="single" w:sz="4" w:space="0" w:color="auto"/>
            </w:tcBorders>
            <w:shd w:val="clear" w:color="auto" w:fill="C6C6C6"/>
            <w:noWrap/>
            <w:vAlign w:val="center"/>
            <w:hideMark/>
          </w:tcPr>
          <w:p w14:paraId="7CDA3987"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2018</w:t>
            </w:r>
          </w:p>
        </w:tc>
        <w:tc>
          <w:tcPr>
            <w:tcW w:w="488" w:type="pct"/>
            <w:tcBorders>
              <w:top w:val="single" w:sz="4" w:space="0" w:color="auto"/>
              <w:left w:val="nil"/>
              <w:bottom w:val="single" w:sz="4" w:space="0" w:color="auto"/>
              <w:right w:val="single" w:sz="4" w:space="0" w:color="auto"/>
            </w:tcBorders>
            <w:shd w:val="clear" w:color="auto" w:fill="C6C6C6"/>
            <w:noWrap/>
            <w:vAlign w:val="center"/>
            <w:hideMark/>
          </w:tcPr>
          <w:p w14:paraId="5ADDE2D5"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2018 %</w:t>
            </w:r>
          </w:p>
        </w:tc>
        <w:tc>
          <w:tcPr>
            <w:tcW w:w="351" w:type="pct"/>
            <w:tcBorders>
              <w:top w:val="single" w:sz="4" w:space="0" w:color="auto"/>
              <w:left w:val="nil"/>
              <w:bottom w:val="single" w:sz="4" w:space="0" w:color="auto"/>
              <w:right w:val="single" w:sz="4" w:space="0" w:color="auto"/>
            </w:tcBorders>
            <w:shd w:val="clear" w:color="auto" w:fill="C6C6C6"/>
            <w:noWrap/>
            <w:vAlign w:val="center"/>
            <w:hideMark/>
          </w:tcPr>
          <w:p w14:paraId="0D53E9B6"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2019</w:t>
            </w:r>
          </w:p>
        </w:tc>
        <w:tc>
          <w:tcPr>
            <w:tcW w:w="488" w:type="pct"/>
            <w:tcBorders>
              <w:top w:val="single" w:sz="4" w:space="0" w:color="auto"/>
              <w:left w:val="nil"/>
              <w:bottom w:val="single" w:sz="4" w:space="0" w:color="auto"/>
              <w:right w:val="single" w:sz="4" w:space="0" w:color="auto"/>
            </w:tcBorders>
            <w:shd w:val="clear" w:color="auto" w:fill="C6C6C6"/>
            <w:noWrap/>
            <w:vAlign w:val="center"/>
            <w:hideMark/>
          </w:tcPr>
          <w:p w14:paraId="6739A6E8"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2019 %</w:t>
            </w:r>
          </w:p>
        </w:tc>
        <w:tc>
          <w:tcPr>
            <w:tcW w:w="460" w:type="pct"/>
            <w:tcBorders>
              <w:top w:val="single" w:sz="4" w:space="0" w:color="auto"/>
              <w:left w:val="nil"/>
              <w:bottom w:val="single" w:sz="4" w:space="0" w:color="auto"/>
              <w:right w:val="single" w:sz="4" w:space="0" w:color="auto"/>
            </w:tcBorders>
            <w:shd w:val="clear" w:color="auto" w:fill="C6C6C6"/>
            <w:noWrap/>
            <w:vAlign w:val="center"/>
            <w:hideMark/>
          </w:tcPr>
          <w:p w14:paraId="29C51089"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TOTAL</w:t>
            </w:r>
          </w:p>
        </w:tc>
        <w:tc>
          <w:tcPr>
            <w:tcW w:w="597" w:type="pct"/>
            <w:tcBorders>
              <w:top w:val="single" w:sz="4" w:space="0" w:color="auto"/>
              <w:left w:val="nil"/>
              <w:bottom w:val="single" w:sz="4" w:space="0" w:color="auto"/>
              <w:right w:val="single" w:sz="4" w:space="0" w:color="auto"/>
            </w:tcBorders>
            <w:shd w:val="clear" w:color="auto" w:fill="C6C6C6"/>
            <w:noWrap/>
            <w:vAlign w:val="center"/>
            <w:hideMark/>
          </w:tcPr>
          <w:p w14:paraId="08183416"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TOTAL %</w:t>
            </w:r>
          </w:p>
        </w:tc>
      </w:tr>
      <w:tr w:rsidR="009568B0" w:rsidRPr="00A07BE9" w14:paraId="49433B2A" w14:textId="77777777" w:rsidTr="005E047E">
        <w:trPr>
          <w:trHeight w:val="312"/>
        </w:trPr>
        <w:tc>
          <w:tcPr>
            <w:tcW w:w="1425" w:type="pct"/>
            <w:tcBorders>
              <w:top w:val="nil"/>
              <w:left w:val="single" w:sz="4" w:space="0" w:color="auto"/>
              <w:bottom w:val="single" w:sz="4" w:space="0" w:color="auto"/>
              <w:right w:val="single" w:sz="4" w:space="0" w:color="auto"/>
            </w:tcBorders>
            <w:shd w:val="clear" w:color="auto" w:fill="auto"/>
            <w:noWrap/>
            <w:vAlign w:val="center"/>
            <w:hideMark/>
          </w:tcPr>
          <w:p w14:paraId="53EB52C0"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PENDIENTE</w:t>
            </w:r>
          </w:p>
        </w:tc>
        <w:tc>
          <w:tcPr>
            <w:tcW w:w="351" w:type="pct"/>
            <w:tcBorders>
              <w:top w:val="nil"/>
              <w:left w:val="nil"/>
              <w:bottom w:val="single" w:sz="4" w:space="0" w:color="auto"/>
              <w:right w:val="single" w:sz="4" w:space="0" w:color="auto"/>
            </w:tcBorders>
            <w:shd w:val="clear" w:color="auto" w:fill="auto"/>
            <w:noWrap/>
            <w:vAlign w:val="center"/>
            <w:hideMark/>
          </w:tcPr>
          <w:p w14:paraId="05D26A58"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w:t>
            </w:r>
          </w:p>
        </w:tc>
        <w:tc>
          <w:tcPr>
            <w:tcW w:w="488" w:type="pct"/>
            <w:tcBorders>
              <w:top w:val="nil"/>
              <w:left w:val="nil"/>
              <w:bottom w:val="single" w:sz="4" w:space="0" w:color="auto"/>
              <w:right w:val="single" w:sz="4" w:space="0" w:color="auto"/>
            </w:tcBorders>
            <w:shd w:val="clear" w:color="auto" w:fill="auto"/>
            <w:noWrap/>
            <w:vAlign w:val="center"/>
            <w:hideMark/>
          </w:tcPr>
          <w:p w14:paraId="7446563B"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0 %</w:t>
            </w:r>
          </w:p>
        </w:tc>
        <w:tc>
          <w:tcPr>
            <w:tcW w:w="351" w:type="pct"/>
            <w:tcBorders>
              <w:top w:val="nil"/>
              <w:left w:val="nil"/>
              <w:bottom w:val="single" w:sz="4" w:space="0" w:color="auto"/>
              <w:right w:val="single" w:sz="4" w:space="0" w:color="auto"/>
            </w:tcBorders>
            <w:shd w:val="clear" w:color="auto" w:fill="auto"/>
            <w:noWrap/>
            <w:vAlign w:val="center"/>
            <w:hideMark/>
          </w:tcPr>
          <w:p w14:paraId="49671257"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19</w:t>
            </w:r>
          </w:p>
        </w:tc>
        <w:tc>
          <w:tcPr>
            <w:tcW w:w="488" w:type="pct"/>
            <w:tcBorders>
              <w:top w:val="nil"/>
              <w:left w:val="nil"/>
              <w:bottom w:val="single" w:sz="4" w:space="0" w:color="auto"/>
              <w:right w:val="single" w:sz="4" w:space="0" w:color="auto"/>
            </w:tcBorders>
            <w:shd w:val="clear" w:color="auto" w:fill="auto"/>
            <w:noWrap/>
            <w:vAlign w:val="center"/>
            <w:hideMark/>
          </w:tcPr>
          <w:p w14:paraId="123765A8"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10 %</w:t>
            </w:r>
          </w:p>
        </w:tc>
        <w:tc>
          <w:tcPr>
            <w:tcW w:w="351" w:type="pct"/>
            <w:tcBorders>
              <w:top w:val="nil"/>
              <w:left w:val="nil"/>
              <w:bottom w:val="single" w:sz="4" w:space="0" w:color="auto"/>
              <w:right w:val="single" w:sz="4" w:space="0" w:color="auto"/>
            </w:tcBorders>
            <w:shd w:val="clear" w:color="auto" w:fill="auto"/>
            <w:noWrap/>
            <w:vAlign w:val="center"/>
            <w:hideMark/>
          </w:tcPr>
          <w:p w14:paraId="72438D88"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110</w:t>
            </w:r>
          </w:p>
        </w:tc>
        <w:tc>
          <w:tcPr>
            <w:tcW w:w="488" w:type="pct"/>
            <w:tcBorders>
              <w:top w:val="nil"/>
              <w:left w:val="nil"/>
              <w:bottom w:val="single" w:sz="4" w:space="0" w:color="auto"/>
              <w:right w:val="single" w:sz="4" w:space="0" w:color="auto"/>
            </w:tcBorders>
            <w:shd w:val="clear" w:color="auto" w:fill="auto"/>
            <w:noWrap/>
            <w:vAlign w:val="center"/>
            <w:hideMark/>
          </w:tcPr>
          <w:p w14:paraId="2499A0C1"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65 %</w:t>
            </w:r>
          </w:p>
        </w:tc>
        <w:tc>
          <w:tcPr>
            <w:tcW w:w="460" w:type="pct"/>
            <w:tcBorders>
              <w:top w:val="nil"/>
              <w:left w:val="nil"/>
              <w:bottom w:val="single" w:sz="4" w:space="0" w:color="auto"/>
              <w:right w:val="single" w:sz="4" w:space="0" w:color="auto"/>
            </w:tcBorders>
            <w:shd w:val="clear" w:color="auto" w:fill="C6C6C6"/>
            <w:noWrap/>
            <w:vAlign w:val="center"/>
            <w:hideMark/>
          </w:tcPr>
          <w:p w14:paraId="34B8D9D1"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129</w:t>
            </w:r>
          </w:p>
        </w:tc>
        <w:tc>
          <w:tcPr>
            <w:tcW w:w="597" w:type="pct"/>
            <w:tcBorders>
              <w:top w:val="nil"/>
              <w:left w:val="nil"/>
              <w:bottom w:val="single" w:sz="4" w:space="0" w:color="auto"/>
              <w:right w:val="single" w:sz="4" w:space="0" w:color="auto"/>
            </w:tcBorders>
            <w:shd w:val="clear" w:color="auto" w:fill="auto"/>
            <w:noWrap/>
            <w:vAlign w:val="center"/>
            <w:hideMark/>
          </w:tcPr>
          <w:p w14:paraId="3288E844"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34 %</w:t>
            </w:r>
          </w:p>
        </w:tc>
      </w:tr>
      <w:tr w:rsidR="009568B0" w:rsidRPr="00A07BE9" w14:paraId="698D9CEE" w14:textId="77777777" w:rsidTr="005E047E">
        <w:trPr>
          <w:trHeight w:val="312"/>
        </w:trPr>
        <w:tc>
          <w:tcPr>
            <w:tcW w:w="1425" w:type="pct"/>
            <w:tcBorders>
              <w:top w:val="nil"/>
              <w:left w:val="single" w:sz="4" w:space="0" w:color="auto"/>
              <w:bottom w:val="single" w:sz="4" w:space="0" w:color="auto"/>
              <w:right w:val="single" w:sz="4" w:space="0" w:color="auto"/>
            </w:tcBorders>
            <w:shd w:val="clear" w:color="auto" w:fill="auto"/>
            <w:noWrap/>
            <w:vAlign w:val="center"/>
            <w:hideMark/>
          </w:tcPr>
          <w:p w14:paraId="33419885" w14:textId="408746C4"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EN AN</w:t>
            </w:r>
            <w:r w:rsidR="00FB43B8" w:rsidRPr="00A07BE9">
              <w:rPr>
                <w:rFonts w:ascii="Open Sans" w:eastAsia="Times New Roman" w:hAnsi="Open Sans" w:cs="Open Sans"/>
                <w:color w:val="000000"/>
                <w:sz w:val="20"/>
                <w:szCs w:val="20"/>
                <w:lang w:eastAsia="es-ES"/>
              </w:rPr>
              <w:t>Á</w:t>
            </w:r>
            <w:r w:rsidRPr="00A07BE9">
              <w:rPr>
                <w:rFonts w:ascii="Open Sans" w:eastAsia="Times New Roman" w:hAnsi="Open Sans" w:cs="Open Sans"/>
                <w:color w:val="000000"/>
                <w:sz w:val="20"/>
                <w:szCs w:val="20"/>
                <w:lang w:eastAsia="es-ES"/>
              </w:rPr>
              <w:t>LISIS</w:t>
            </w:r>
          </w:p>
        </w:tc>
        <w:tc>
          <w:tcPr>
            <w:tcW w:w="351" w:type="pct"/>
            <w:tcBorders>
              <w:top w:val="nil"/>
              <w:left w:val="nil"/>
              <w:bottom w:val="single" w:sz="4" w:space="0" w:color="auto"/>
              <w:right w:val="single" w:sz="4" w:space="0" w:color="auto"/>
            </w:tcBorders>
            <w:shd w:val="clear" w:color="auto" w:fill="auto"/>
            <w:noWrap/>
            <w:vAlign w:val="center"/>
            <w:hideMark/>
          </w:tcPr>
          <w:p w14:paraId="7684ED1F"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w:t>
            </w:r>
          </w:p>
        </w:tc>
        <w:tc>
          <w:tcPr>
            <w:tcW w:w="488" w:type="pct"/>
            <w:tcBorders>
              <w:top w:val="nil"/>
              <w:left w:val="nil"/>
              <w:bottom w:val="single" w:sz="4" w:space="0" w:color="auto"/>
              <w:right w:val="single" w:sz="4" w:space="0" w:color="auto"/>
            </w:tcBorders>
            <w:shd w:val="clear" w:color="auto" w:fill="auto"/>
            <w:noWrap/>
            <w:vAlign w:val="center"/>
            <w:hideMark/>
          </w:tcPr>
          <w:p w14:paraId="6489B10D"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6 %</w:t>
            </w:r>
          </w:p>
        </w:tc>
        <w:tc>
          <w:tcPr>
            <w:tcW w:w="351" w:type="pct"/>
            <w:tcBorders>
              <w:top w:val="nil"/>
              <w:left w:val="nil"/>
              <w:bottom w:val="single" w:sz="4" w:space="0" w:color="auto"/>
              <w:right w:val="single" w:sz="4" w:space="0" w:color="auto"/>
            </w:tcBorders>
            <w:shd w:val="clear" w:color="auto" w:fill="auto"/>
            <w:noWrap/>
            <w:vAlign w:val="center"/>
            <w:hideMark/>
          </w:tcPr>
          <w:p w14:paraId="115A240E"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38</w:t>
            </w:r>
          </w:p>
        </w:tc>
        <w:tc>
          <w:tcPr>
            <w:tcW w:w="488" w:type="pct"/>
            <w:tcBorders>
              <w:top w:val="nil"/>
              <w:left w:val="nil"/>
              <w:bottom w:val="single" w:sz="4" w:space="0" w:color="auto"/>
              <w:right w:val="single" w:sz="4" w:space="0" w:color="auto"/>
            </w:tcBorders>
            <w:shd w:val="clear" w:color="auto" w:fill="auto"/>
            <w:noWrap/>
            <w:vAlign w:val="center"/>
            <w:hideMark/>
          </w:tcPr>
          <w:p w14:paraId="4A25E8E1"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21 %</w:t>
            </w:r>
          </w:p>
        </w:tc>
        <w:tc>
          <w:tcPr>
            <w:tcW w:w="351" w:type="pct"/>
            <w:tcBorders>
              <w:top w:val="nil"/>
              <w:left w:val="nil"/>
              <w:bottom w:val="single" w:sz="4" w:space="0" w:color="auto"/>
              <w:right w:val="single" w:sz="4" w:space="0" w:color="auto"/>
            </w:tcBorders>
            <w:shd w:val="clear" w:color="auto" w:fill="auto"/>
            <w:noWrap/>
            <w:vAlign w:val="center"/>
            <w:hideMark/>
          </w:tcPr>
          <w:p w14:paraId="2B63D7A1"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18</w:t>
            </w:r>
          </w:p>
        </w:tc>
        <w:tc>
          <w:tcPr>
            <w:tcW w:w="488" w:type="pct"/>
            <w:tcBorders>
              <w:top w:val="nil"/>
              <w:left w:val="nil"/>
              <w:bottom w:val="single" w:sz="4" w:space="0" w:color="auto"/>
              <w:right w:val="single" w:sz="4" w:space="0" w:color="auto"/>
            </w:tcBorders>
            <w:shd w:val="clear" w:color="auto" w:fill="auto"/>
            <w:noWrap/>
            <w:vAlign w:val="center"/>
            <w:hideMark/>
          </w:tcPr>
          <w:p w14:paraId="305417CD"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11 %</w:t>
            </w:r>
          </w:p>
        </w:tc>
        <w:tc>
          <w:tcPr>
            <w:tcW w:w="460" w:type="pct"/>
            <w:tcBorders>
              <w:top w:val="nil"/>
              <w:left w:val="nil"/>
              <w:bottom w:val="single" w:sz="4" w:space="0" w:color="auto"/>
              <w:right w:val="single" w:sz="4" w:space="0" w:color="auto"/>
            </w:tcBorders>
            <w:shd w:val="clear" w:color="auto" w:fill="C6C6C6"/>
            <w:noWrap/>
            <w:vAlign w:val="center"/>
            <w:hideMark/>
          </w:tcPr>
          <w:p w14:paraId="2521E4EC"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58</w:t>
            </w:r>
          </w:p>
        </w:tc>
        <w:tc>
          <w:tcPr>
            <w:tcW w:w="597" w:type="pct"/>
            <w:tcBorders>
              <w:top w:val="nil"/>
              <w:left w:val="nil"/>
              <w:bottom w:val="single" w:sz="4" w:space="0" w:color="auto"/>
              <w:right w:val="single" w:sz="4" w:space="0" w:color="auto"/>
            </w:tcBorders>
            <w:shd w:val="clear" w:color="auto" w:fill="auto"/>
            <w:noWrap/>
            <w:vAlign w:val="center"/>
            <w:hideMark/>
          </w:tcPr>
          <w:p w14:paraId="2057F639"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15 %</w:t>
            </w:r>
          </w:p>
        </w:tc>
      </w:tr>
      <w:tr w:rsidR="009568B0" w:rsidRPr="00A07BE9" w14:paraId="7F27149E" w14:textId="77777777" w:rsidTr="005E047E">
        <w:trPr>
          <w:trHeight w:val="312"/>
        </w:trPr>
        <w:tc>
          <w:tcPr>
            <w:tcW w:w="1425" w:type="pct"/>
            <w:tcBorders>
              <w:top w:val="nil"/>
              <w:left w:val="single" w:sz="4" w:space="0" w:color="auto"/>
              <w:bottom w:val="single" w:sz="4" w:space="0" w:color="auto"/>
              <w:right w:val="single" w:sz="4" w:space="0" w:color="auto"/>
            </w:tcBorders>
            <w:shd w:val="clear" w:color="auto" w:fill="auto"/>
            <w:noWrap/>
            <w:vAlign w:val="center"/>
            <w:hideMark/>
          </w:tcPr>
          <w:p w14:paraId="78CA4773" w14:textId="004C27D8"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EN INVESTIGACI</w:t>
            </w:r>
            <w:r w:rsidR="00FB43B8" w:rsidRPr="00A07BE9">
              <w:rPr>
                <w:rFonts w:ascii="Open Sans" w:eastAsia="Times New Roman" w:hAnsi="Open Sans" w:cs="Open Sans"/>
                <w:color w:val="000000"/>
                <w:sz w:val="20"/>
                <w:szCs w:val="20"/>
                <w:lang w:eastAsia="es-ES"/>
              </w:rPr>
              <w:t>Ó</w:t>
            </w:r>
            <w:r w:rsidRPr="00A07BE9">
              <w:rPr>
                <w:rFonts w:ascii="Open Sans" w:eastAsia="Times New Roman" w:hAnsi="Open Sans" w:cs="Open Sans"/>
                <w:color w:val="000000"/>
                <w:sz w:val="20"/>
                <w:szCs w:val="20"/>
                <w:lang w:eastAsia="es-ES"/>
              </w:rPr>
              <w:t>N</w:t>
            </w:r>
          </w:p>
        </w:tc>
        <w:tc>
          <w:tcPr>
            <w:tcW w:w="351" w:type="pct"/>
            <w:tcBorders>
              <w:top w:val="nil"/>
              <w:left w:val="nil"/>
              <w:bottom w:val="single" w:sz="4" w:space="0" w:color="auto"/>
              <w:right w:val="single" w:sz="4" w:space="0" w:color="auto"/>
            </w:tcBorders>
            <w:shd w:val="clear" w:color="auto" w:fill="auto"/>
            <w:noWrap/>
            <w:vAlign w:val="center"/>
            <w:hideMark/>
          </w:tcPr>
          <w:p w14:paraId="032403B0"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w:t>
            </w:r>
          </w:p>
        </w:tc>
        <w:tc>
          <w:tcPr>
            <w:tcW w:w="488" w:type="pct"/>
            <w:tcBorders>
              <w:top w:val="nil"/>
              <w:left w:val="nil"/>
              <w:bottom w:val="single" w:sz="4" w:space="0" w:color="auto"/>
              <w:right w:val="single" w:sz="4" w:space="0" w:color="auto"/>
            </w:tcBorders>
            <w:shd w:val="clear" w:color="auto" w:fill="auto"/>
            <w:noWrap/>
            <w:vAlign w:val="center"/>
            <w:hideMark/>
          </w:tcPr>
          <w:p w14:paraId="17AE22A0"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0 %</w:t>
            </w:r>
          </w:p>
        </w:tc>
        <w:tc>
          <w:tcPr>
            <w:tcW w:w="351" w:type="pct"/>
            <w:tcBorders>
              <w:top w:val="nil"/>
              <w:left w:val="nil"/>
              <w:bottom w:val="single" w:sz="4" w:space="0" w:color="auto"/>
              <w:right w:val="single" w:sz="4" w:space="0" w:color="auto"/>
            </w:tcBorders>
            <w:shd w:val="clear" w:color="auto" w:fill="auto"/>
            <w:noWrap/>
            <w:vAlign w:val="center"/>
            <w:hideMark/>
          </w:tcPr>
          <w:p w14:paraId="0E7303A3"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13</w:t>
            </w:r>
          </w:p>
        </w:tc>
        <w:tc>
          <w:tcPr>
            <w:tcW w:w="488" w:type="pct"/>
            <w:tcBorders>
              <w:top w:val="nil"/>
              <w:left w:val="nil"/>
              <w:bottom w:val="single" w:sz="4" w:space="0" w:color="auto"/>
              <w:right w:val="single" w:sz="4" w:space="0" w:color="auto"/>
            </w:tcBorders>
            <w:shd w:val="clear" w:color="auto" w:fill="auto"/>
            <w:noWrap/>
            <w:vAlign w:val="center"/>
            <w:hideMark/>
          </w:tcPr>
          <w:p w14:paraId="6D5F2E79"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7 %</w:t>
            </w:r>
          </w:p>
        </w:tc>
        <w:tc>
          <w:tcPr>
            <w:tcW w:w="351" w:type="pct"/>
            <w:tcBorders>
              <w:top w:val="nil"/>
              <w:left w:val="nil"/>
              <w:bottom w:val="single" w:sz="4" w:space="0" w:color="auto"/>
              <w:right w:val="single" w:sz="4" w:space="0" w:color="auto"/>
            </w:tcBorders>
            <w:shd w:val="clear" w:color="auto" w:fill="auto"/>
            <w:noWrap/>
            <w:vAlign w:val="center"/>
            <w:hideMark/>
          </w:tcPr>
          <w:p w14:paraId="7786C2E0"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9</w:t>
            </w:r>
          </w:p>
        </w:tc>
        <w:tc>
          <w:tcPr>
            <w:tcW w:w="488" w:type="pct"/>
            <w:tcBorders>
              <w:top w:val="nil"/>
              <w:left w:val="nil"/>
              <w:bottom w:val="single" w:sz="4" w:space="0" w:color="auto"/>
              <w:right w:val="single" w:sz="4" w:space="0" w:color="auto"/>
            </w:tcBorders>
            <w:shd w:val="clear" w:color="auto" w:fill="auto"/>
            <w:noWrap/>
            <w:vAlign w:val="center"/>
            <w:hideMark/>
          </w:tcPr>
          <w:p w14:paraId="07EF1360"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5 %</w:t>
            </w:r>
          </w:p>
        </w:tc>
        <w:tc>
          <w:tcPr>
            <w:tcW w:w="460" w:type="pct"/>
            <w:tcBorders>
              <w:top w:val="nil"/>
              <w:left w:val="nil"/>
              <w:bottom w:val="single" w:sz="4" w:space="0" w:color="auto"/>
              <w:right w:val="single" w:sz="4" w:space="0" w:color="auto"/>
            </w:tcBorders>
            <w:shd w:val="clear" w:color="auto" w:fill="C6C6C6"/>
            <w:noWrap/>
            <w:vAlign w:val="center"/>
            <w:hideMark/>
          </w:tcPr>
          <w:p w14:paraId="79C6F10F"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22</w:t>
            </w:r>
          </w:p>
        </w:tc>
        <w:tc>
          <w:tcPr>
            <w:tcW w:w="597" w:type="pct"/>
            <w:tcBorders>
              <w:top w:val="nil"/>
              <w:left w:val="nil"/>
              <w:bottom w:val="single" w:sz="4" w:space="0" w:color="auto"/>
              <w:right w:val="single" w:sz="4" w:space="0" w:color="auto"/>
            </w:tcBorders>
            <w:shd w:val="clear" w:color="auto" w:fill="auto"/>
            <w:noWrap/>
            <w:vAlign w:val="center"/>
            <w:hideMark/>
          </w:tcPr>
          <w:p w14:paraId="601ACC93"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6 %</w:t>
            </w:r>
          </w:p>
        </w:tc>
      </w:tr>
      <w:tr w:rsidR="009568B0" w:rsidRPr="00A07BE9" w14:paraId="020BCB5B" w14:textId="77777777" w:rsidTr="005E047E">
        <w:trPr>
          <w:trHeight w:val="312"/>
        </w:trPr>
        <w:tc>
          <w:tcPr>
            <w:tcW w:w="1425" w:type="pct"/>
            <w:tcBorders>
              <w:top w:val="nil"/>
              <w:left w:val="single" w:sz="4" w:space="0" w:color="auto"/>
              <w:bottom w:val="single" w:sz="4" w:space="0" w:color="auto"/>
              <w:right w:val="single" w:sz="4" w:space="0" w:color="auto"/>
            </w:tcBorders>
            <w:shd w:val="clear" w:color="auto" w:fill="auto"/>
            <w:noWrap/>
            <w:vAlign w:val="center"/>
            <w:hideMark/>
          </w:tcPr>
          <w:p w14:paraId="194EDCD9"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FINALIZADOS</w:t>
            </w:r>
          </w:p>
        </w:tc>
        <w:tc>
          <w:tcPr>
            <w:tcW w:w="351" w:type="pct"/>
            <w:tcBorders>
              <w:top w:val="nil"/>
              <w:left w:val="nil"/>
              <w:bottom w:val="single" w:sz="4" w:space="0" w:color="auto"/>
              <w:right w:val="single" w:sz="4" w:space="0" w:color="auto"/>
            </w:tcBorders>
            <w:shd w:val="clear" w:color="auto" w:fill="auto"/>
            <w:noWrap/>
            <w:vAlign w:val="center"/>
            <w:hideMark/>
          </w:tcPr>
          <w:p w14:paraId="017B3698"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27</w:t>
            </w:r>
          </w:p>
        </w:tc>
        <w:tc>
          <w:tcPr>
            <w:tcW w:w="488" w:type="pct"/>
            <w:tcBorders>
              <w:top w:val="nil"/>
              <w:left w:val="nil"/>
              <w:bottom w:val="single" w:sz="4" w:space="0" w:color="auto"/>
              <w:right w:val="single" w:sz="4" w:space="0" w:color="auto"/>
            </w:tcBorders>
            <w:shd w:val="clear" w:color="auto" w:fill="auto"/>
            <w:noWrap/>
            <w:vAlign w:val="center"/>
            <w:hideMark/>
          </w:tcPr>
          <w:p w14:paraId="6EEA1CD0"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77 %</w:t>
            </w:r>
          </w:p>
        </w:tc>
        <w:tc>
          <w:tcPr>
            <w:tcW w:w="351" w:type="pct"/>
            <w:tcBorders>
              <w:top w:val="nil"/>
              <w:left w:val="nil"/>
              <w:bottom w:val="single" w:sz="4" w:space="0" w:color="auto"/>
              <w:right w:val="single" w:sz="4" w:space="0" w:color="auto"/>
            </w:tcBorders>
            <w:shd w:val="clear" w:color="auto" w:fill="auto"/>
            <w:noWrap/>
            <w:vAlign w:val="center"/>
            <w:hideMark/>
          </w:tcPr>
          <w:p w14:paraId="26604F3A"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100</w:t>
            </w:r>
          </w:p>
        </w:tc>
        <w:tc>
          <w:tcPr>
            <w:tcW w:w="488" w:type="pct"/>
            <w:tcBorders>
              <w:top w:val="nil"/>
              <w:left w:val="nil"/>
              <w:bottom w:val="single" w:sz="4" w:space="0" w:color="auto"/>
              <w:right w:val="single" w:sz="4" w:space="0" w:color="auto"/>
            </w:tcBorders>
            <w:shd w:val="clear" w:color="auto" w:fill="auto"/>
            <w:noWrap/>
            <w:vAlign w:val="center"/>
            <w:hideMark/>
          </w:tcPr>
          <w:p w14:paraId="57CC263B"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55 %</w:t>
            </w:r>
          </w:p>
        </w:tc>
        <w:tc>
          <w:tcPr>
            <w:tcW w:w="351" w:type="pct"/>
            <w:tcBorders>
              <w:top w:val="nil"/>
              <w:left w:val="nil"/>
              <w:bottom w:val="single" w:sz="4" w:space="0" w:color="auto"/>
              <w:right w:val="single" w:sz="4" w:space="0" w:color="auto"/>
            </w:tcBorders>
            <w:shd w:val="clear" w:color="auto" w:fill="auto"/>
            <w:noWrap/>
            <w:vAlign w:val="center"/>
            <w:hideMark/>
          </w:tcPr>
          <w:p w14:paraId="4DE38E2F"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25</w:t>
            </w:r>
          </w:p>
        </w:tc>
        <w:tc>
          <w:tcPr>
            <w:tcW w:w="488" w:type="pct"/>
            <w:tcBorders>
              <w:top w:val="nil"/>
              <w:left w:val="nil"/>
              <w:bottom w:val="single" w:sz="4" w:space="0" w:color="auto"/>
              <w:right w:val="single" w:sz="4" w:space="0" w:color="auto"/>
            </w:tcBorders>
            <w:shd w:val="clear" w:color="auto" w:fill="auto"/>
            <w:noWrap/>
            <w:vAlign w:val="center"/>
            <w:hideMark/>
          </w:tcPr>
          <w:p w14:paraId="2DD2785E"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15 %</w:t>
            </w:r>
          </w:p>
        </w:tc>
        <w:tc>
          <w:tcPr>
            <w:tcW w:w="460" w:type="pct"/>
            <w:tcBorders>
              <w:top w:val="nil"/>
              <w:left w:val="nil"/>
              <w:bottom w:val="single" w:sz="4" w:space="0" w:color="auto"/>
              <w:right w:val="single" w:sz="4" w:space="0" w:color="auto"/>
            </w:tcBorders>
            <w:shd w:val="clear" w:color="auto" w:fill="C6C6C6"/>
            <w:noWrap/>
            <w:vAlign w:val="center"/>
            <w:hideMark/>
          </w:tcPr>
          <w:p w14:paraId="7E607913"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152</w:t>
            </w:r>
          </w:p>
        </w:tc>
        <w:tc>
          <w:tcPr>
            <w:tcW w:w="597" w:type="pct"/>
            <w:tcBorders>
              <w:top w:val="nil"/>
              <w:left w:val="nil"/>
              <w:bottom w:val="single" w:sz="4" w:space="0" w:color="auto"/>
              <w:right w:val="single" w:sz="4" w:space="0" w:color="auto"/>
            </w:tcBorders>
            <w:shd w:val="clear" w:color="auto" w:fill="auto"/>
            <w:noWrap/>
            <w:vAlign w:val="center"/>
            <w:hideMark/>
          </w:tcPr>
          <w:p w14:paraId="5611C051"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40 %</w:t>
            </w:r>
          </w:p>
        </w:tc>
      </w:tr>
      <w:tr w:rsidR="009568B0" w:rsidRPr="00A07BE9" w14:paraId="21FD3447" w14:textId="77777777" w:rsidTr="005E047E">
        <w:trPr>
          <w:trHeight w:val="312"/>
        </w:trPr>
        <w:tc>
          <w:tcPr>
            <w:tcW w:w="1425" w:type="pct"/>
            <w:tcBorders>
              <w:top w:val="nil"/>
              <w:left w:val="single" w:sz="4" w:space="0" w:color="auto"/>
              <w:bottom w:val="single" w:sz="4" w:space="0" w:color="auto"/>
              <w:right w:val="single" w:sz="4" w:space="0" w:color="auto"/>
            </w:tcBorders>
            <w:shd w:val="clear" w:color="auto" w:fill="auto"/>
            <w:noWrap/>
            <w:vAlign w:val="center"/>
            <w:hideMark/>
          </w:tcPr>
          <w:p w14:paraId="19851310"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INTERRUMPIDOS</w:t>
            </w:r>
          </w:p>
        </w:tc>
        <w:tc>
          <w:tcPr>
            <w:tcW w:w="351" w:type="pct"/>
            <w:tcBorders>
              <w:top w:val="nil"/>
              <w:left w:val="nil"/>
              <w:bottom w:val="single" w:sz="4" w:space="0" w:color="auto"/>
              <w:right w:val="single" w:sz="4" w:space="0" w:color="auto"/>
            </w:tcBorders>
            <w:shd w:val="clear" w:color="auto" w:fill="auto"/>
            <w:noWrap/>
            <w:vAlign w:val="center"/>
            <w:hideMark/>
          </w:tcPr>
          <w:p w14:paraId="21391EB7"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6</w:t>
            </w:r>
          </w:p>
        </w:tc>
        <w:tc>
          <w:tcPr>
            <w:tcW w:w="488" w:type="pct"/>
            <w:tcBorders>
              <w:top w:val="nil"/>
              <w:left w:val="nil"/>
              <w:bottom w:val="single" w:sz="4" w:space="0" w:color="auto"/>
              <w:right w:val="single" w:sz="4" w:space="0" w:color="auto"/>
            </w:tcBorders>
            <w:shd w:val="clear" w:color="auto" w:fill="auto"/>
            <w:noWrap/>
            <w:vAlign w:val="center"/>
            <w:hideMark/>
          </w:tcPr>
          <w:p w14:paraId="275C0B0E"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17 %</w:t>
            </w:r>
          </w:p>
        </w:tc>
        <w:tc>
          <w:tcPr>
            <w:tcW w:w="351" w:type="pct"/>
            <w:tcBorders>
              <w:top w:val="nil"/>
              <w:left w:val="nil"/>
              <w:bottom w:val="single" w:sz="4" w:space="0" w:color="auto"/>
              <w:right w:val="single" w:sz="4" w:space="0" w:color="auto"/>
            </w:tcBorders>
            <w:shd w:val="clear" w:color="auto" w:fill="auto"/>
            <w:noWrap/>
            <w:vAlign w:val="center"/>
            <w:hideMark/>
          </w:tcPr>
          <w:p w14:paraId="1120D0E3"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11</w:t>
            </w:r>
          </w:p>
        </w:tc>
        <w:tc>
          <w:tcPr>
            <w:tcW w:w="488" w:type="pct"/>
            <w:tcBorders>
              <w:top w:val="nil"/>
              <w:left w:val="nil"/>
              <w:bottom w:val="single" w:sz="4" w:space="0" w:color="auto"/>
              <w:right w:val="single" w:sz="4" w:space="0" w:color="auto"/>
            </w:tcBorders>
            <w:shd w:val="clear" w:color="auto" w:fill="auto"/>
            <w:noWrap/>
            <w:vAlign w:val="center"/>
            <w:hideMark/>
          </w:tcPr>
          <w:p w14:paraId="32FA3BCE"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6 %</w:t>
            </w:r>
          </w:p>
        </w:tc>
        <w:tc>
          <w:tcPr>
            <w:tcW w:w="351" w:type="pct"/>
            <w:tcBorders>
              <w:top w:val="nil"/>
              <w:left w:val="nil"/>
              <w:bottom w:val="single" w:sz="4" w:space="0" w:color="auto"/>
              <w:right w:val="single" w:sz="4" w:space="0" w:color="auto"/>
            </w:tcBorders>
            <w:shd w:val="clear" w:color="auto" w:fill="auto"/>
            <w:noWrap/>
            <w:vAlign w:val="center"/>
            <w:hideMark/>
          </w:tcPr>
          <w:p w14:paraId="44D50F2C"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6</w:t>
            </w:r>
          </w:p>
        </w:tc>
        <w:tc>
          <w:tcPr>
            <w:tcW w:w="488" w:type="pct"/>
            <w:tcBorders>
              <w:top w:val="nil"/>
              <w:left w:val="nil"/>
              <w:bottom w:val="single" w:sz="4" w:space="0" w:color="auto"/>
              <w:right w:val="single" w:sz="4" w:space="0" w:color="auto"/>
            </w:tcBorders>
            <w:shd w:val="clear" w:color="auto" w:fill="auto"/>
            <w:noWrap/>
            <w:vAlign w:val="center"/>
            <w:hideMark/>
          </w:tcPr>
          <w:p w14:paraId="3CB3F3CF"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4 %</w:t>
            </w:r>
          </w:p>
        </w:tc>
        <w:tc>
          <w:tcPr>
            <w:tcW w:w="460" w:type="pct"/>
            <w:tcBorders>
              <w:top w:val="nil"/>
              <w:left w:val="nil"/>
              <w:bottom w:val="single" w:sz="4" w:space="0" w:color="auto"/>
              <w:right w:val="single" w:sz="4" w:space="0" w:color="auto"/>
            </w:tcBorders>
            <w:shd w:val="clear" w:color="auto" w:fill="C6C6C6"/>
            <w:noWrap/>
            <w:vAlign w:val="center"/>
            <w:hideMark/>
          </w:tcPr>
          <w:p w14:paraId="5E9D2A75"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23</w:t>
            </w:r>
          </w:p>
        </w:tc>
        <w:tc>
          <w:tcPr>
            <w:tcW w:w="597" w:type="pct"/>
            <w:tcBorders>
              <w:top w:val="nil"/>
              <w:left w:val="nil"/>
              <w:bottom w:val="single" w:sz="4" w:space="0" w:color="auto"/>
              <w:right w:val="single" w:sz="4" w:space="0" w:color="auto"/>
            </w:tcBorders>
            <w:shd w:val="clear" w:color="auto" w:fill="auto"/>
            <w:noWrap/>
            <w:vAlign w:val="center"/>
            <w:hideMark/>
          </w:tcPr>
          <w:p w14:paraId="4E72B7AD"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6 %</w:t>
            </w:r>
          </w:p>
        </w:tc>
      </w:tr>
      <w:tr w:rsidR="009568B0" w:rsidRPr="00A07BE9" w14:paraId="7FC213D2" w14:textId="77777777" w:rsidTr="005E047E">
        <w:trPr>
          <w:trHeight w:val="312"/>
        </w:trPr>
        <w:tc>
          <w:tcPr>
            <w:tcW w:w="14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4DC5FF" w14:textId="77777777" w:rsidR="009568B0" w:rsidRPr="00A07BE9" w:rsidRDefault="009568B0" w:rsidP="009568B0">
            <w:pPr>
              <w:spacing w:after="0" w:line="240" w:lineRule="auto"/>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TOTAL</w:t>
            </w:r>
          </w:p>
        </w:tc>
        <w:tc>
          <w:tcPr>
            <w:tcW w:w="3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B1ABBE"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35</w:t>
            </w:r>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166546"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100 %</w:t>
            </w:r>
          </w:p>
        </w:tc>
        <w:tc>
          <w:tcPr>
            <w:tcW w:w="3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3812AE"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181</w:t>
            </w:r>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319EC4"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100 %</w:t>
            </w:r>
          </w:p>
        </w:tc>
        <w:tc>
          <w:tcPr>
            <w:tcW w:w="3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A47AED"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168</w:t>
            </w:r>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0CB902"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100 %</w:t>
            </w:r>
          </w:p>
        </w:tc>
        <w:tc>
          <w:tcPr>
            <w:tcW w:w="4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222C37"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384</w:t>
            </w:r>
          </w:p>
        </w:tc>
        <w:tc>
          <w:tcPr>
            <w:tcW w:w="59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06ED16"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100 %</w:t>
            </w:r>
          </w:p>
        </w:tc>
      </w:tr>
    </w:tbl>
    <w:p w14:paraId="10ACB75C" w14:textId="77777777" w:rsidR="001B6518" w:rsidRPr="00A07BE9" w:rsidRDefault="001B6518" w:rsidP="009568B0">
      <w:pPr>
        <w:spacing w:after="0" w:line="276" w:lineRule="auto"/>
        <w:jc w:val="both"/>
        <w:rPr>
          <w:rFonts w:ascii="Open Sans" w:eastAsia="NSimSun" w:hAnsi="Open Sans" w:cs="Arial"/>
          <w:kern w:val="2"/>
          <w:sz w:val="21"/>
          <w:szCs w:val="21"/>
          <w:lang w:eastAsia="zh-CN" w:bidi="hi-IN"/>
        </w:rPr>
      </w:pPr>
    </w:p>
    <w:p w14:paraId="577DF20E" w14:textId="4EF906FF" w:rsidR="009568B0" w:rsidRPr="00A07BE9" w:rsidRDefault="009568B0" w:rsidP="009568B0">
      <w:pPr>
        <w:spacing w:after="0" w:line="276" w:lineRule="auto"/>
        <w:ind w:right="-427"/>
        <w:rPr>
          <w:rFonts w:ascii="Open Sans" w:eastAsia="NSimSun" w:hAnsi="Open Sans" w:cs="Open Sans"/>
          <w:b/>
          <w:kern w:val="2"/>
          <w:sz w:val="20"/>
          <w:szCs w:val="20"/>
          <w:lang w:eastAsia="zh-CN" w:bidi="hi-IN"/>
        </w:rPr>
      </w:pPr>
      <w:r w:rsidRPr="00A07BE9">
        <w:rPr>
          <w:rFonts w:ascii="Open Sans" w:eastAsia="NSimSun" w:hAnsi="Open Sans" w:cs="Open Sans"/>
          <w:b/>
          <w:color w:val="9D2235"/>
          <w:kern w:val="2"/>
          <w:sz w:val="20"/>
          <w:szCs w:val="20"/>
          <w:lang w:eastAsia="zh-CN" w:bidi="hi-IN"/>
        </w:rPr>
        <w:t xml:space="preserve">Gráfico 8. </w:t>
      </w:r>
      <w:r w:rsidRPr="00A07BE9">
        <w:rPr>
          <w:rFonts w:ascii="Open Sans" w:eastAsia="NSimSun" w:hAnsi="Open Sans" w:cs="Open Sans"/>
          <w:b/>
          <w:kern w:val="2"/>
          <w:sz w:val="20"/>
          <w:szCs w:val="20"/>
          <w:lang w:eastAsia="zh-CN" w:bidi="hi-IN"/>
        </w:rPr>
        <w:t xml:space="preserve">Estado de </w:t>
      </w:r>
      <w:r w:rsidR="00C1024A" w:rsidRPr="00A07BE9">
        <w:rPr>
          <w:rFonts w:ascii="Open Sans" w:eastAsia="NSimSun" w:hAnsi="Open Sans" w:cs="Open Sans"/>
          <w:b/>
          <w:kern w:val="2"/>
          <w:sz w:val="20"/>
          <w:szCs w:val="20"/>
          <w:lang w:eastAsia="zh-CN" w:bidi="hi-IN"/>
        </w:rPr>
        <w:t>s</w:t>
      </w:r>
      <w:r w:rsidRPr="00A07BE9">
        <w:rPr>
          <w:rFonts w:ascii="Open Sans" w:eastAsia="NSimSun" w:hAnsi="Open Sans" w:cs="Open Sans"/>
          <w:b/>
          <w:kern w:val="2"/>
          <w:sz w:val="20"/>
          <w:szCs w:val="20"/>
          <w:lang w:eastAsia="zh-CN" w:bidi="hi-IN"/>
        </w:rPr>
        <w:t>ituación de los expedientes de análisis e investigación</w:t>
      </w:r>
    </w:p>
    <w:p w14:paraId="15BBF787" w14:textId="5BC77B9E" w:rsidR="009568B0" w:rsidRPr="00A07BE9" w:rsidRDefault="009C34E9" w:rsidP="009568B0">
      <w:pPr>
        <w:spacing w:after="0" w:line="276" w:lineRule="auto"/>
        <w:ind w:right="-427"/>
        <w:jc w:val="center"/>
        <w:rPr>
          <w:rFonts w:ascii="Open Sans" w:eastAsia="NSimSun" w:hAnsi="Open Sans" w:cs="Open Sans"/>
          <w:b/>
          <w:kern w:val="2"/>
          <w:sz w:val="21"/>
          <w:szCs w:val="21"/>
          <w:lang w:eastAsia="zh-CN" w:bidi="hi-IN"/>
        </w:rPr>
      </w:pPr>
      <w:r w:rsidRPr="00A07BE9">
        <w:rPr>
          <w:rFonts w:ascii="Open Sans" w:eastAsia="NSimSun" w:hAnsi="Open Sans" w:cs="Arial"/>
          <w:noProof/>
          <w:kern w:val="2"/>
          <w:sz w:val="24"/>
          <w:szCs w:val="24"/>
          <w:lang w:eastAsia="es-ES"/>
        </w:rPr>
        <w:drawing>
          <wp:anchor distT="0" distB="0" distL="114300" distR="114300" simplePos="0" relativeHeight="251849728" behindDoc="1" locked="0" layoutInCell="1" allowOverlap="1" wp14:anchorId="03E24E1C" wp14:editId="611A20C3">
            <wp:simplePos x="0" y="0"/>
            <wp:positionH relativeFrom="column">
              <wp:posOffset>386715</wp:posOffset>
            </wp:positionH>
            <wp:positionV relativeFrom="paragraph">
              <wp:posOffset>6350</wp:posOffset>
            </wp:positionV>
            <wp:extent cx="3867150" cy="1714500"/>
            <wp:effectExtent l="38100" t="0" r="0" b="0"/>
            <wp:wrapTight wrapText="bothSides">
              <wp:wrapPolygon edited="0">
                <wp:start x="-213" y="0"/>
                <wp:lineTo x="-213" y="21360"/>
                <wp:lineTo x="21494" y="21360"/>
                <wp:lineTo x="21494" y="0"/>
                <wp:lineTo x="-213" y="0"/>
              </wp:wrapPolygon>
            </wp:wrapTight>
            <wp:docPr id="82" name="Gráfico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14:sizeRelH relativeFrom="margin">
              <wp14:pctWidth>0</wp14:pctWidth>
            </wp14:sizeRelH>
            <wp14:sizeRelV relativeFrom="margin">
              <wp14:pctHeight>0</wp14:pctHeight>
            </wp14:sizeRelV>
          </wp:anchor>
        </w:drawing>
      </w:r>
    </w:p>
    <w:p w14:paraId="6713B3DB" w14:textId="77777777" w:rsidR="009568B0" w:rsidRPr="00A07BE9" w:rsidRDefault="009568B0" w:rsidP="009568B0">
      <w:pPr>
        <w:spacing w:after="0" w:line="276" w:lineRule="auto"/>
        <w:ind w:right="-427"/>
        <w:jc w:val="center"/>
        <w:rPr>
          <w:rFonts w:ascii="Open Sans" w:eastAsia="NSimSun" w:hAnsi="Open Sans" w:cs="Open Sans"/>
          <w:b/>
          <w:kern w:val="2"/>
          <w:sz w:val="21"/>
          <w:szCs w:val="21"/>
          <w:lang w:eastAsia="zh-CN" w:bidi="hi-IN"/>
        </w:rPr>
      </w:pPr>
    </w:p>
    <w:p w14:paraId="79E7D323" w14:textId="2F297FFB" w:rsidR="009568B0" w:rsidRPr="00A07BE9" w:rsidRDefault="009568B0" w:rsidP="009568B0">
      <w:pPr>
        <w:spacing w:after="0" w:line="276" w:lineRule="auto"/>
        <w:ind w:right="-427"/>
        <w:jc w:val="center"/>
        <w:rPr>
          <w:rFonts w:ascii="Open Sans" w:eastAsia="NSimSun" w:hAnsi="Open Sans" w:cs="Arial"/>
          <w:kern w:val="2"/>
          <w:sz w:val="21"/>
          <w:szCs w:val="21"/>
          <w:lang w:eastAsia="zh-CN" w:bidi="hi-IN"/>
        </w:rPr>
      </w:pPr>
    </w:p>
    <w:p w14:paraId="661F95F9" w14:textId="24EC09AC" w:rsidR="009C34E9" w:rsidRPr="00A07BE9" w:rsidRDefault="009C34E9" w:rsidP="009568B0">
      <w:pPr>
        <w:spacing w:after="0" w:line="276" w:lineRule="auto"/>
        <w:ind w:right="-427"/>
        <w:jc w:val="center"/>
        <w:rPr>
          <w:rFonts w:ascii="Open Sans" w:eastAsia="NSimSun" w:hAnsi="Open Sans" w:cs="Arial"/>
          <w:kern w:val="2"/>
          <w:sz w:val="21"/>
          <w:szCs w:val="21"/>
          <w:lang w:eastAsia="zh-CN" w:bidi="hi-IN"/>
        </w:rPr>
      </w:pPr>
    </w:p>
    <w:p w14:paraId="0E3BD79D" w14:textId="28CB6A7E" w:rsidR="009C34E9" w:rsidRPr="00A07BE9" w:rsidRDefault="009C34E9" w:rsidP="009568B0">
      <w:pPr>
        <w:spacing w:after="0" w:line="276" w:lineRule="auto"/>
        <w:ind w:right="-427"/>
        <w:jc w:val="center"/>
        <w:rPr>
          <w:rFonts w:ascii="Open Sans" w:eastAsia="NSimSun" w:hAnsi="Open Sans" w:cs="Arial"/>
          <w:kern w:val="2"/>
          <w:sz w:val="21"/>
          <w:szCs w:val="21"/>
          <w:lang w:eastAsia="zh-CN" w:bidi="hi-IN"/>
        </w:rPr>
      </w:pPr>
    </w:p>
    <w:p w14:paraId="1EC1300E" w14:textId="745D391D" w:rsidR="009C34E9" w:rsidRPr="00A07BE9" w:rsidRDefault="009C34E9" w:rsidP="009568B0">
      <w:pPr>
        <w:spacing w:after="0" w:line="276" w:lineRule="auto"/>
        <w:ind w:right="-427"/>
        <w:jc w:val="center"/>
        <w:rPr>
          <w:rFonts w:ascii="Open Sans" w:eastAsia="NSimSun" w:hAnsi="Open Sans" w:cs="Arial"/>
          <w:kern w:val="2"/>
          <w:sz w:val="21"/>
          <w:szCs w:val="21"/>
          <w:lang w:eastAsia="zh-CN" w:bidi="hi-IN"/>
        </w:rPr>
      </w:pPr>
    </w:p>
    <w:p w14:paraId="3764F7EF" w14:textId="378862F7" w:rsidR="009C34E9" w:rsidRPr="00A07BE9" w:rsidRDefault="009C34E9" w:rsidP="009568B0">
      <w:pPr>
        <w:spacing w:after="0" w:line="276" w:lineRule="auto"/>
        <w:ind w:right="-427"/>
        <w:jc w:val="center"/>
        <w:rPr>
          <w:rFonts w:ascii="Open Sans" w:eastAsia="NSimSun" w:hAnsi="Open Sans" w:cs="Arial"/>
          <w:kern w:val="2"/>
          <w:sz w:val="21"/>
          <w:szCs w:val="21"/>
          <w:lang w:eastAsia="zh-CN" w:bidi="hi-IN"/>
        </w:rPr>
      </w:pPr>
    </w:p>
    <w:p w14:paraId="06498117" w14:textId="4CE9FD49" w:rsidR="009C34E9" w:rsidRPr="00A07BE9" w:rsidRDefault="009C34E9" w:rsidP="009568B0">
      <w:pPr>
        <w:spacing w:after="0" w:line="276" w:lineRule="auto"/>
        <w:ind w:right="-427"/>
        <w:jc w:val="center"/>
        <w:rPr>
          <w:rFonts w:ascii="Open Sans" w:eastAsia="NSimSun" w:hAnsi="Open Sans" w:cs="Arial"/>
          <w:kern w:val="2"/>
          <w:sz w:val="21"/>
          <w:szCs w:val="21"/>
          <w:lang w:eastAsia="zh-CN" w:bidi="hi-IN"/>
        </w:rPr>
      </w:pPr>
    </w:p>
    <w:p w14:paraId="47A6C09F" w14:textId="77777777" w:rsidR="009C34E9" w:rsidRPr="00A07BE9" w:rsidRDefault="009C34E9" w:rsidP="009568B0">
      <w:pPr>
        <w:spacing w:after="0" w:line="276" w:lineRule="auto"/>
        <w:ind w:right="-427"/>
        <w:jc w:val="center"/>
        <w:rPr>
          <w:rFonts w:ascii="Open Sans" w:eastAsia="NSimSun" w:hAnsi="Open Sans" w:cs="Arial"/>
          <w:kern w:val="2"/>
          <w:sz w:val="21"/>
          <w:szCs w:val="21"/>
          <w:lang w:eastAsia="zh-CN" w:bidi="hi-IN"/>
        </w:rPr>
      </w:pPr>
    </w:p>
    <w:p w14:paraId="4D9BEC36"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 xml:space="preserve">La información contenida en la anterior tabla indica que dos terceras partes del global de expedientes aperturados se encuentran en trámite o finalizados, mientras que un tercio se encuentra pendiente de determinar la verosimilitud de los hechos puestos en conocimiento, con el fin de acordar el inicio, en su caso, de actuaciones. </w:t>
      </w:r>
    </w:p>
    <w:p w14:paraId="2E6D3013"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lastRenderedPageBreak/>
        <w:t>De entre los expedientes en trámite, cabe resaltar que a fecha de cierre de datos y elaboración de la presente memoria, un total de 22 expedientes continúan con actuaciones de investigación iniciadas, mientras que 23 expedientes han sido interrumpidos, para su remisión a los órganos competentes para la depuración de posibles responsabilidades, ya sean de carácter penal, ya sean de carácter administrativo.</w:t>
      </w:r>
    </w:p>
    <w:p w14:paraId="2DDA0C44"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21154B7F"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Desde su creación a mediados de 2017, la Agencia ha tramitado y resuelto un total de 152 expedientes, que suponen el 40% del total global de expedientes aperturados desde su puesta en funcionamiento.</w:t>
      </w:r>
    </w:p>
    <w:p w14:paraId="48FE02DB"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53C05C7B"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El impulso definitivo a la actividad de la Agencia y que demuestra su consolidación como oficina burocrática se ha producido en 2019, tal y como demuestra la siguiente tabla, dado que durante la anualidad se han iniciado actuaciones de análisis en un total de 147 expedientes (comprensivos de las anualidades 2017 a 2019), habiéndose finalizado el análisis en 136 de ellos, a fecha de cierre de la toma de datos para la Memoria 2019. Asimismo, durante 2019 se iniciaron un total de 21 investigaciones, concluyéndose 14 mediante informe final de investigación.</w:t>
      </w:r>
    </w:p>
    <w:p w14:paraId="15A8BB1F"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051F3EFA" w14:textId="4C257D4D" w:rsidR="009568B0" w:rsidRDefault="009568B0" w:rsidP="009568B0">
      <w:pPr>
        <w:spacing w:after="0" w:line="276" w:lineRule="auto"/>
        <w:ind w:right="-285"/>
        <w:rPr>
          <w:rFonts w:ascii="Open Sans" w:eastAsia="NSimSun" w:hAnsi="Open Sans" w:cs="Open Sans"/>
          <w:b/>
          <w:kern w:val="2"/>
          <w:sz w:val="20"/>
          <w:szCs w:val="20"/>
          <w:lang w:eastAsia="zh-CN" w:bidi="hi-IN"/>
        </w:rPr>
      </w:pPr>
      <w:r w:rsidRPr="00A07BE9">
        <w:rPr>
          <w:rFonts w:ascii="Open Sans" w:eastAsia="NSimSun" w:hAnsi="Open Sans" w:cs="Open Sans"/>
          <w:b/>
          <w:color w:val="9D2235"/>
          <w:kern w:val="2"/>
          <w:sz w:val="20"/>
          <w:szCs w:val="20"/>
          <w:lang w:eastAsia="zh-CN" w:bidi="hi-IN"/>
        </w:rPr>
        <w:t>Tabla 1</w:t>
      </w:r>
      <w:r w:rsidR="001900B6" w:rsidRPr="00A07BE9">
        <w:rPr>
          <w:rFonts w:ascii="Open Sans" w:eastAsia="NSimSun" w:hAnsi="Open Sans" w:cs="Open Sans"/>
          <w:b/>
          <w:color w:val="9D2235"/>
          <w:kern w:val="2"/>
          <w:sz w:val="20"/>
          <w:szCs w:val="20"/>
          <w:lang w:eastAsia="zh-CN" w:bidi="hi-IN"/>
        </w:rPr>
        <w:t>2</w:t>
      </w:r>
      <w:r w:rsidRPr="00A07BE9">
        <w:rPr>
          <w:rFonts w:ascii="Open Sans" w:eastAsia="NSimSun" w:hAnsi="Open Sans" w:cs="Open Sans"/>
          <w:b/>
          <w:kern w:val="2"/>
          <w:sz w:val="20"/>
          <w:szCs w:val="20"/>
          <w:lang w:eastAsia="zh-CN" w:bidi="hi-IN"/>
        </w:rPr>
        <w:t xml:space="preserve">. Tabla resumen de </w:t>
      </w:r>
      <w:r w:rsidR="000D1769" w:rsidRPr="00A07BE9">
        <w:rPr>
          <w:rFonts w:ascii="Open Sans" w:eastAsia="NSimSun" w:hAnsi="Open Sans" w:cs="Open Sans"/>
          <w:b/>
          <w:kern w:val="2"/>
          <w:sz w:val="20"/>
          <w:szCs w:val="20"/>
          <w:lang w:eastAsia="zh-CN" w:bidi="hi-IN"/>
        </w:rPr>
        <w:t>e</w:t>
      </w:r>
      <w:r w:rsidRPr="00A07BE9">
        <w:rPr>
          <w:rFonts w:ascii="Open Sans" w:eastAsia="NSimSun" w:hAnsi="Open Sans" w:cs="Open Sans"/>
          <w:b/>
          <w:kern w:val="2"/>
          <w:sz w:val="20"/>
          <w:szCs w:val="20"/>
          <w:lang w:eastAsia="zh-CN" w:bidi="hi-IN"/>
        </w:rPr>
        <w:t>xpedientes tramitados en 2019</w:t>
      </w:r>
    </w:p>
    <w:tbl>
      <w:tblPr>
        <w:tblW w:w="7500" w:type="dxa"/>
        <w:jc w:val="center"/>
        <w:tblCellMar>
          <w:left w:w="70" w:type="dxa"/>
          <w:right w:w="70" w:type="dxa"/>
        </w:tblCellMar>
        <w:tblLook w:val="04A0" w:firstRow="1" w:lastRow="0" w:firstColumn="1" w:lastColumn="0" w:noHBand="0" w:noVBand="1"/>
      </w:tblPr>
      <w:tblGrid>
        <w:gridCol w:w="5390"/>
        <w:gridCol w:w="850"/>
        <w:gridCol w:w="1260"/>
      </w:tblGrid>
      <w:tr w:rsidR="009568B0" w:rsidRPr="00A07BE9" w14:paraId="5ABBA291" w14:textId="77777777" w:rsidTr="009055CE">
        <w:trPr>
          <w:trHeight w:val="312"/>
          <w:jc w:val="center"/>
        </w:trPr>
        <w:tc>
          <w:tcPr>
            <w:tcW w:w="6240" w:type="dxa"/>
            <w:gridSpan w:val="2"/>
            <w:tcBorders>
              <w:top w:val="single" w:sz="4" w:space="0" w:color="auto"/>
              <w:left w:val="single" w:sz="4" w:space="0" w:color="auto"/>
              <w:bottom w:val="single" w:sz="4" w:space="0" w:color="auto"/>
              <w:right w:val="single" w:sz="4" w:space="0" w:color="auto"/>
            </w:tcBorders>
            <w:shd w:val="clear" w:color="auto" w:fill="C6C6C6"/>
            <w:noWrap/>
            <w:vAlign w:val="center"/>
            <w:hideMark/>
          </w:tcPr>
          <w:p w14:paraId="1ABF9E77"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EXPEDIENTES TRAMITADOS EN 2019</w:t>
            </w:r>
          </w:p>
        </w:tc>
        <w:tc>
          <w:tcPr>
            <w:tcW w:w="1260" w:type="dxa"/>
            <w:tcBorders>
              <w:top w:val="single" w:sz="4" w:space="0" w:color="auto"/>
              <w:left w:val="nil"/>
              <w:bottom w:val="single" w:sz="4" w:space="0" w:color="auto"/>
              <w:right w:val="single" w:sz="4" w:space="0" w:color="auto"/>
            </w:tcBorders>
            <w:shd w:val="clear" w:color="auto" w:fill="C6C6C6"/>
            <w:noWrap/>
            <w:vAlign w:val="center"/>
            <w:hideMark/>
          </w:tcPr>
          <w:p w14:paraId="442F0410" w14:textId="77777777" w:rsidR="009568B0" w:rsidRPr="00A07BE9" w:rsidRDefault="009568B0" w:rsidP="009568B0">
            <w:pPr>
              <w:spacing w:after="0" w:line="24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2019 %</w:t>
            </w:r>
          </w:p>
        </w:tc>
      </w:tr>
      <w:tr w:rsidR="009568B0" w:rsidRPr="00A07BE9" w14:paraId="41FD3AC7" w14:textId="77777777" w:rsidTr="009055CE">
        <w:trPr>
          <w:trHeight w:val="312"/>
          <w:jc w:val="center"/>
        </w:trPr>
        <w:tc>
          <w:tcPr>
            <w:tcW w:w="5390" w:type="dxa"/>
            <w:tcBorders>
              <w:top w:val="nil"/>
              <w:left w:val="single" w:sz="4" w:space="0" w:color="auto"/>
              <w:bottom w:val="single" w:sz="4" w:space="0" w:color="auto"/>
              <w:right w:val="single" w:sz="4" w:space="0" w:color="auto"/>
            </w:tcBorders>
            <w:shd w:val="clear" w:color="auto" w:fill="auto"/>
            <w:noWrap/>
            <w:vAlign w:val="center"/>
            <w:hideMark/>
          </w:tcPr>
          <w:p w14:paraId="6B587CD3" w14:textId="758155C0"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AN</w:t>
            </w:r>
            <w:r w:rsidR="00510CA3" w:rsidRPr="00A07BE9">
              <w:rPr>
                <w:rFonts w:ascii="Open Sans" w:eastAsia="Times New Roman" w:hAnsi="Open Sans" w:cs="Open Sans"/>
                <w:color w:val="000000"/>
                <w:sz w:val="20"/>
                <w:szCs w:val="20"/>
                <w:lang w:eastAsia="es-ES"/>
              </w:rPr>
              <w:t>Á</w:t>
            </w:r>
            <w:r w:rsidRPr="00A07BE9">
              <w:rPr>
                <w:rFonts w:ascii="Open Sans" w:eastAsia="Times New Roman" w:hAnsi="Open Sans" w:cs="Open Sans"/>
                <w:color w:val="000000"/>
                <w:sz w:val="20"/>
                <w:szCs w:val="20"/>
                <w:lang w:eastAsia="es-ES"/>
              </w:rPr>
              <w:t>LISIS INICIADOS</w:t>
            </w:r>
          </w:p>
        </w:tc>
        <w:tc>
          <w:tcPr>
            <w:tcW w:w="850" w:type="dxa"/>
            <w:tcBorders>
              <w:top w:val="nil"/>
              <w:left w:val="nil"/>
              <w:bottom w:val="single" w:sz="4" w:space="0" w:color="auto"/>
              <w:right w:val="single" w:sz="4" w:space="0" w:color="auto"/>
            </w:tcBorders>
            <w:shd w:val="clear" w:color="auto" w:fill="auto"/>
            <w:noWrap/>
            <w:vAlign w:val="bottom"/>
            <w:hideMark/>
          </w:tcPr>
          <w:p w14:paraId="3CB996ED"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147</w:t>
            </w:r>
          </w:p>
        </w:tc>
        <w:tc>
          <w:tcPr>
            <w:tcW w:w="1260" w:type="dxa"/>
            <w:tcBorders>
              <w:top w:val="nil"/>
              <w:left w:val="nil"/>
              <w:bottom w:val="single" w:sz="4" w:space="0" w:color="auto"/>
              <w:right w:val="single" w:sz="4" w:space="0" w:color="auto"/>
            </w:tcBorders>
            <w:shd w:val="clear" w:color="auto" w:fill="auto"/>
            <w:noWrap/>
            <w:vAlign w:val="bottom"/>
            <w:hideMark/>
          </w:tcPr>
          <w:p w14:paraId="36DFC7B5"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100 %</w:t>
            </w:r>
          </w:p>
        </w:tc>
      </w:tr>
      <w:tr w:rsidR="009568B0" w:rsidRPr="00A07BE9" w14:paraId="21644175" w14:textId="77777777" w:rsidTr="009055CE">
        <w:trPr>
          <w:trHeight w:val="312"/>
          <w:jc w:val="center"/>
        </w:trPr>
        <w:tc>
          <w:tcPr>
            <w:tcW w:w="5390" w:type="dxa"/>
            <w:tcBorders>
              <w:top w:val="nil"/>
              <w:left w:val="single" w:sz="4" w:space="0" w:color="auto"/>
              <w:bottom w:val="single" w:sz="4" w:space="0" w:color="auto"/>
              <w:right w:val="single" w:sz="4" w:space="0" w:color="auto"/>
            </w:tcBorders>
            <w:shd w:val="clear" w:color="auto" w:fill="auto"/>
            <w:noWrap/>
            <w:vAlign w:val="center"/>
            <w:hideMark/>
          </w:tcPr>
          <w:p w14:paraId="2AC4BDD5" w14:textId="24338A35"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AN</w:t>
            </w:r>
            <w:r w:rsidR="00510CA3" w:rsidRPr="00A07BE9">
              <w:rPr>
                <w:rFonts w:ascii="Open Sans" w:eastAsia="Times New Roman" w:hAnsi="Open Sans" w:cs="Open Sans"/>
                <w:color w:val="000000"/>
                <w:sz w:val="20"/>
                <w:szCs w:val="20"/>
                <w:lang w:eastAsia="es-ES"/>
              </w:rPr>
              <w:t>Á</w:t>
            </w:r>
            <w:r w:rsidRPr="00A07BE9">
              <w:rPr>
                <w:rFonts w:ascii="Open Sans" w:eastAsia="Times New Roman" w:hAnsi="Open Sans" w:cs="Open Sans"/>
                <w:color w:val="000000"/>
                <w:sz w:val="20"/>
                <w:szCs w:val="20"/>
                <w:lang w:eastAsia="es-ES"/>
              </w:rPr>
              <w:t>LISIS FINALIZADOS</w:t>
            </w:r>
          </w:p>
        </w:tc>
        <w:tc>
          <w:tcPr>
            <w:tcW w:w="850" w:type="dxa"/>
            <w:tcBorders>
              <w:top w:val="nil"/>
              <w:left w:val="nil"/>
              <w:bottom w:val="single" w:sz="4" w:space="0" w:color="auto"/>
              <w:right w:val="single" w:sz="4" w:space="0" w:color="auto"/>
            </w:tcBorders>
            <w:shd w:val="clear" w:color="auto" w:fill="auto"/>
            <w:noWrap/>
            <w:vAlign w:val="bottom"/>
            <w:hideMark/>
          </w:tcPr>
          <w:p w14:paraId="58B3708A"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136</w:t>
            </w:r>
          </w:p>
        </w:tc>
        <w:tc>
          <w:tcPr>
            <w:tcW w:w="1260" w:type="dxa"/>
            <w:tcBorders>
              <w:top w:val="nil"/>
              <w:left w:val="nil"/>
              <w:bottom w:val="single" w:sz="4" w:space="0" w:color="auto"/>
              <w:right w:val="single" w:sz="4" w:space="0" w:color="auto"/>
            </w:tcBorders>
            <w:shd w:val="clear" w:color="auto" w:fill="auto"/>
            <w:noWrap/>
            <w:vAlign w:val="bottom"/>
            <w:hideMark/>
          </w:tcPr>
          <w:p w14:paraId="76F14801"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93 %</w:t>
            </w:r>
          </w:p>
        </w:tc>
      </w:tr>
      <w:tr w:rsidR="009568B0" w:rsidRPr="00A07BE9" w14:paraId="69819080" w14:textId="77777777" w:rsidTr="009055CE">
        <w:trPr>
          <w:trHeight w:val="312"/>
          <w:jc w:val="center"/>
        </w:trPr>
        <w:tc>
          <w:tcPr>
            <w:tcW w:w="5390" w:type="dxa"/>
            <w:tcBorders>
              <w:top w:val="nil"/>
              <w:left w:val="single" w:sz="4" w:space="0" w:color="auto"/>
              <w:bottom w:val="single" w:sz="4" w:space="0" w:color="auto"/>
              <w:right w:val="single" w:sz="4" w:space="0" w:color="auto"/>
            </w:tcBorders>
            <w:shd w:val="clear" w:color="auto" w:fill="auto"/>
            <w:noWrap/>
            <w:vAlign w:val="bottom"/>
            <w:hideMark/>
          </w:tcPr>
          <w:p w14:paraId="1E2FD8FB"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ARCHIVO/INADMISIÓN</w:t>
            </w:r>
          </w:p>
        </w:tc>
        <w:tc>
          <w:tcPr>
            <w:tcW w:w="850" w:type="dxa"/>
            <w:tcBorders>
              <w:top w:val="nil"/>
              <w:left w:val="nil"/>
              <w:bottom w:val="single" w:sz="4" w:space="0" w:color="auto"/>
              <w:right w:val="single" w:sz="4" w:space="0" w:color="auto"/>
            </w:tcBorders>
            <w:shd w:val="clear" w:color="auto" w:fill="auto"/>
            <w:noWrap/>
            <w:vAlign w:val="bottom"/>
            <w:hideMark/>
          </w:tcPr>
          <w:p w14:paraId="2CA3E6DB"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109</w:t>
            </w:r>
          </w:p>
        </w:tc>
        <w:tc>
          <w:tcPr>
            <w:tcW w:w="1260" w:type="dxa"/>
            <w:tcBorders>
              <w:top w:val="nil"/>
              <w:left w:val="nil"/>
              <w:bottom w:val="single" w:sz="4" w:space="0" w:color="auto"/>
              <w:right w:val="single" w:sz="4" w:space="0" w:color="auto"/>
            </w:tcBorders>
            <w:shd w:val="clear" w:color="auto" w:fill="auto"/>
            <w:noWrap/>
            <w:vAlign w:val="bottom"/>
            <w:hideMark/>
          </w:tcPr>
          <w:p w14:paraId="26DC38F3"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80 %</w:t>
            </w:r>
          </w:p>
        </w:tc>
      </w:tr>
      <w:tr w:rsidR="009568B0" w:rsidRPr="00A07BE9" w14:paraId="48526EFF" w14:textId="77777777" w:rsidTr="009055CE">
        <w:trPr>
          <w:trHeight w:val="312"/>
          <w:jc w:val="center"/>
        </w:trPr>
        <w:tc>
          <w:tcPr>
            <w:tcW w:w="5390" w:type="dxa"/>
            <w:tcBorders>
              <w:top w:val="nil"/>
              <w:left w:val="single" w:sz="4" w:space="0" w:color="auto"/>
              <w:bottom w:val="single" w:sz="4" w:space="0" w:color="auto"/>
              <w:right w:val="single" w:sz="4" w:space="0" w:color="auto"/>
            </w:tcBorders>
            <w:shd w:val="clear" w:color="auto" w:fill="auto"/>
            <w:noWrap/>
            <w:vAlign w:val="bottom"/>
          </w:tcPr>
          <w:p w14:paraId="2A91709E" w14:textId="77777777"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RECOMENDACIONES</w:t>
            </w:r>
          </w:p>
        </w:tc>
        <w:tc>
          <w:tcPr>
            <w:tcW w:w="850" w:type="dxa"/>
            <w:tcBorders>
              <w:top w:val="nil"/>
              <w:left w:val="nil"/>
              <w:bottom w:val="single" w:sz="4" w:space="0" w:color="auto"/>
              <w:right w:val="single" w:sz="4" w:space="0" w:color="auto"/>
            </w:tcBorders>
            <w:shd w:val="clear" w:color="auto" w:fill="auto"/>
            <w:noWrap/>
            <w:vAlign w:val="bottom"/>
          </w:tcPr>
          <w:p w14:paraId="289A2961"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8</w:t>
            </w:r>
          </w:p>
        </w:tc>
        <w:tc>
          <w:tcPr>
            <w:tcW w:w="1260" w:type="dxa"/>
            <w:tcBorders>
              <w:top w:val="nil"/>
              <w:left w:val="nil"/>
              <w:bottom w:val="single" w:sz="4" w:space="0" w:color="auto"/>
              <w:right w:val="single" w:sz="4" w:space="0" w:color="auto"/>
            </w:tcBorders>
            <w:shd w:val="clear" w:color="auto" w:fill="auto"/>
            <w:noWrap/>
            <w:vAlign w:val="bottom"/>
          </w:tcPr>
          <w:p w14:paraId="3D3228C2"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6 %</w:t>
            </w:r>
          </w:p>
        </w:tc>
      </w:tr>
      <w:tr w:rsidR="009568B0" w:rsidRPr="00A07BE9" w14:paraId="4C7620A1" w14:textId="77777777" w:rsidTr="009055CE">
        <w:trPr>
          <w:trHeight w:val="312"/>
          <w:jc w:val="center"/>
        </w:trPr>
        <w:tc>
          <w:tcPr>
            <w:tcW w:w="5390" w:type="dxa"/>
            <w:tcBorders>
              <w:top w:val="nil"/>
              <w:left w:val="single" w:sz="4" w:space="0" w:color="auto"/>
              <w:bottom w:val="single" w:sz="4" w:space="0" w:color="auto"/>
              <w:right w:val="single" w:sz="4" w:space="0" w:color="auto"/>
            </w:tcBorders>
            <w:shd w:val="clear" w:color="auto" w:fill="auto"/>
            <w:noWrap/>
            <w:vAlign w:val="bottom"/>
            <w:hideMark/>
          </w:tcPr>
          <w:p w14:paraId="1D790248" w14:textId="0EBCBAB8" w:rsidR="009568B0" w:rsidRPr="00A07BE9" w:rsidRDefault="009568B0" w:rsidP="009568B0">
            <w:pPr>
              <w:spacing w:after="0" w:line="240"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INICIO INVESTIGACI</w:t>
            </w:r>
            <w:r w:rsidR="00510CA3" w:rsidRPr="00A07BE9">
              <w:rPr>
                <w:rFonts w:ascii="Open Sans" w:eastAsia="Times New Roman" w:hAnsi="Open Sans" w:cs="Open Sans"/>
                <w:color w:val="000000"/>
                <w:sz w:val="20"/>
                <w:szCs w:val="20"/>
                <w:lang w:eastAsia="es-ES"/>
              </w:rPr>
              <w:t>Ó</w:t>
            </w:r>
            <w:r w:rsidRPr="00A07BE9">
              <w:rPr>
                <w:rFonts w:ascii="Open Sans" w:eastAsia="Times New Roman" w:hAnsi="Open Sans" w:cs="Open Sans"/>
                <w:color w:val="000000"/>
                <w:sz w:val="20"/>
                <w:szCs w:val="20"/>
                <w:lang w:eastAsia="es-ES"/>
              </w:rPr>
              <w:t>N</w:t>
            </w:r>
          </w:p>
        </w:tc>
        <w:tc>
          <w:tcPr>
            <w:tcW w:w="850" w:type="dxa"/>
            <w:tcBorders>
              <w:top w:val="nil"/>
              <w:left w:val="nil"/>
              <w:bottom w:val="single" w:sz="4" w:space="0" w:color="auto"/>
              <w:right w:val="single" w:sz="4" w:space="0" w:color="auto"/>
            </w:tcBorders>
            <w:shd w:val="clear" w:color="auto" w:fill="auto"/>
            <w:noWrap/>
            <w:vAlign w:val="bottom"/>
            <w:hideMark/>
          </w:tcPr>
          <w:p w14:paraId="46594F3C"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21</w:t>
            </w:r>
          </w:p>
        </w:tc>
        <w:tc>
          <w:tcPr>
            <w:tcW w:w="1260" w:type="dxa"/>
            <w:tcBorders>
              <w:top w:val="nil"/>
              <w:left w:val="nil"/>
              <w:bottom w:val="single" w:sz="4" w:space="0" w:color="auto"/>
              <w:right w:val="single" w:sz="4" w:space="0" w:color="auto"/>
            </w:tcBorders>
            <w:shd w:val="clear" w:color="auto" w:fill="auto"/>
            <w:noWrap/>
            <w:vAlign w:val="bottom"/>
            <w:hideMark/>
          </w:tcPr>
          <w:p w14:paraId="6B418AC9" w14:textId="77777777" w:rsidR="009568B0" w:rsidRPr="00A07BE9" w:rsidRDefault="009568B0" w:rsidP="009568B0">
            <w:pPr>
              <w:spacing w:after="0" w:line="240" w:lineRule="auto"/>
              <w:jc w:val="center"/>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15 %</w:t>
            </w:r>
          </w:p>
        </w:tc>
      </w:tr>
      <w:tr w:rsidR="009568B0" w:rsidRPr="00A07BE9" w14:paraId="79754775" w14:textId="77777777" w:rsidTr="009055CE">
        <w:trPr>
          <w:trHeight w:val="312"/>
          <w:jc w:val="center"/>
        </w:trPr>
        <w:tc>
          <w:tcPr>
            <w:tcW w:w="5390" w:type="dxa"/>
            <w:tcBorders>
              <w:top w:val="nil"/>
              <w:left w:val="single" w:sz="4" w:space="0" w:color="auto"/>
              <w:bottom w:val="single" w:sz="4" w:space="0" w:color="auto"/>
              <w:right w:val="single" w:sz="4" w:space="0" w:color="auto"/>
            </w:tcBorders>
            <w:shd w:val="clear" w:color="auto" w:fill="C6C6C6"/>
            <w:noWrap/>
            <w:vAlign w:val="bottom"/>
            <w:hideMark/>
          </w:tcPr>
          <w:p w14:paraId="6ACE91A2" w14:textId="35DDDCF5" w:rsidR="009568B0" w:rsidRPr="00A07BE9" w:rsidRDefault="009568B0" w:rsidP="009568B0">
            <w:pPr>
              <w:spacing w:after="0" w:line="240" w:lineRule="auto"/>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FIN INVESTIGACI</w:t>
            </w:r>
            <w:r w:rsidR="00510CA3" w:rsidRPr="00A07BE9">
              <w:rPr>
                <w:rFonts w:ascii="Open Sans" w:eastAsia="Times New Roman" w:hAnsi="Open Sans" w:cs="Open Sans"/>
                <w:b/>
                <w:color w:val="000000"/>
                <w:sz w:val="20"/>
                <w:szCs w:val="20"/>
                <w:lang w:eastAsia="es-ES"/>
              </w:rPr>
              <w:t>Ó</w:t>
            </w:r>
            <w:r w:rsidRPr="00A07BE9">
              <w:rPr>
                <w:rFonts w:ascii="Open Sans" w:eastAsia="Times New Roman" w:hAnsi="Open Sans" w:cs="Open Sans"/>
                <w:b/>
                <w:color w:val="000000"/>
                <w:sz w:val="20"/>
                <w:szCs w:val="20"/>
                <w:lang w:eastAsia="es-ES"/>
              </w:rPr>
              <w:t>N</w:t>
            </w:r>
          </w:p>
        </w:tc>
        <w:tc>
          <w:tcPr>
            <w:tcW w:w="850" w:type="dxa"/>
            <w:tcBorders>
              <w:top w:val="nil"/>
              <w:left w:val="nil"/>
              <w:bottom w:val="single" w:sz="4" w:space="0" w:color="auto"/>
              <w:right w:val="single" w:sz="4" w:space="0" w:color="auto"/>
            </w:tcBorders>
            <w:shd w:val="clear" w:color="auto" w:fill="C6C6C6"/>
            <w:noWrap/>
            <w:vAlign w:val="bottom"/>
            <w:hideMark/>
          </w:tcPr>
          <w:p w14:paraId="11B5E931"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14</w:t>
            </w:r>
          </w:p>
        </w:tc>
        <w:tc>
          <w:tcPr>
            <w:tcW w:w="1260" w:type="dxa"/>
            <w:tcBorders>
              <w:top w:val="nil"/>
              <w:left w:val="nil"/>
              <w:bottom w:val="single" w:sz="4" w:space="0" w:color="auto"/>
              <w:right w:val="single" w:sz="4" w:space="0" w:color="auto"/>
            </w:tcBorders>
            <w:shd w:val="clear" w:color="auto" w:fill="C6C6C6"/>
            <w:noWrap/>
            <w:vAlign w:val="bottom"/>
            <w:hideMark/>
          </w:tcPr>
          <w:p w14:paraId="0ABFC1AA" w14:textId="77777777" w:rsidR="009568B0" w:rsidRPr="00A07BE9" w:rsidRDefault="009568B0" w:rsidP="009568B0">
            <w:pPr>
              <w:spacing w:after="0" w:line="240" w:lineRule="auto"/>
              <w:jc w:val="center"/>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67 %</w:t>
            </w:r>
          </w:p>
        </w:tc>
      </w:tr>
    </w:tbl>
    <w:p w14:paraId="23435641" w14:textId="77777777" w:rsidR="009568B0" w:rsidRPr="00A07BE9" w:rsidRDefault="009568B0" w:rsidP="009568B0">
      <w:pPr>
        <w:spacing w:after="0" w:line="276" w:lineRule="auto"/>
        <w:jc w:val="both"/>
        <w:rPr>
          <w:rFonts w:ascii="Open Sans" w:eastAsia="NSimSun" w:hAnsi="Open Sans" w:cs="Arial"/>
          <w:kern w:val="2"/>
          <w:sz w:val="21"/>
          <w:szCs w:val="21"/>
          <w:lang w:eastAsia="zh-CN" w:bidi="hi-IN"/>
        </w:rPr>
      </w:pPr>
    </w:p>
    <w:p w14:paraId="6950D41A" w14:textId="688662E4"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 xml:space="preserve">El 86% del total de denuncias analizadas acabaron siendo finalizadas sin necesidad de incoar un procedimiento de investigación, ya sea por no justificar suficientemente la existencia de indicios de corrupción, ya sea porque la </w:t>
      </w:r>
      <w:r w:rsidR="00C1024A" w:rsidRPr="00A07BE9">
        <w:rPr>
          <w:rFonts w:ascii="Open Sans" w:eastAsia="NSimSun" w:hAnsi="Open Sans" w:cs="Arial"/>
          <w:kern w:val="2"/>
          <w:sz w:val="20"/>
          <w:szCs w:val="20"/>
          <w:lang w:eastAsia="zh-CN" w:bidi="hi-IN"/>
        </w:rPr>
        <w:t>a</w:t>
      </w:r>
      <w:r w:rsidRPr="00A07BE9">
        <w:rPr>
          <w:rFonts w:ascii="Open Sans" w:eastAsia="NSimSun" w:hAnsi="Open Sans" w:cs="Arial"/>
          <w:kern w:val="2"/>
          <w:sz w:val="20"/>
          <w:szCs w:val="20"/>
          <w:lang w:eastAsia="zh-CN" w:bidi="hi-IN"/>
        </w:rPr>
        <w:t>dministración o entidad denunciada realizaron las actuaciones que procedían en orden a subsanar las irregularidades producidas tras la realización de un requerimiento formal por parte de la Agencia.</w:t>
      </w:r>
    </w:p>
    <w:p w14:paraId="5CE5D724"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2EC26338" w14:textId="455EE646"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Del total de denuncias que aperturaron expediente durante la anualidad 2019, se iniciaron fases de investigación en un 15% de ellos (para un total de 21 investigaciones iniciadas). Por su parte, se concluyeron actuaciones de investigación en un total de 14 expedientes.</w:t>
      </w:r>
    </w:p>
    <w:p w14:paraId="64B4F261" w14:textId="77777777" w:rsidR="00534257" w:rsidRPr="00A07BE9" w:rsidRDefault="00534257" w:rsidP="009568B0">
      <w:pPr>
        <w:spacing w:after="0" w:line="276" w:lineRule="auto"/>
        <w:jc w:val="both"/>
        <w:rPr>
          <w:rFonts w:ascii="Open Sans" w:eastAsia="NSimSun" w:hAnsi="Open Sans" w:cs="Arial"/>
          <w:kern w:val="2"/>
          <w:sz w:val="20"/>
          <w:szCs w:val="20"/>
          <w:lang w:eastAsia="zh-CN" w:bidi="hi-IN"/>
        </w:rPr>
      </w:pPr>
    </w:p>
    <w:p w14:paraId="726519E8" w14:textId="3AC70A1D"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 xml:space="preserve">Por lo que se refiere específicamente a las actuaciones de investigación realizadas en uso de las atribuciones conferidas por el ordenamiento jurídico administrativo en general y por el </w:t>
      </w:r>
      <w:r w:rsidR="003408CE" w:rsidRPr="00A07BE9">
        <w:rPr>
          <w:rFonts w:ascii="Open Sans" w:eastAsia="NSimSun" w:hAnsi="Open Sans" w:cs="Arial"/>
          <w:kern w:val="2"/>
          <w:sz w:val="20"/>
          <w:szCs w:val="20"/>
          <w:lang w:eastAsia="zh-CN" w:bidi="hi-IN"/>
        </w:rPr>
        <w:t>artículo</w:t>
      </w:r>
      <w:r w:rsidRPr="00A07BE9">
        <w:rPr>
          <w:rFonts w:ascii="Open Sans" w:eastAsia="NSimSun" w:hAnsi="Open Sans" w:cs="Arial"/>
          <w:kern w:val="2"/>
          <w:sz w:val="20"/>
          <w:szCs w:val="20"/>
          <w:lang w:eastAsia="zh-CN" w:bidi="hi-IN"/>
        </w:rPr>
        <w:t xml:space="preserve"> 6.2 de la </w:t>
      </w:r>
      <w:hyperlink r:id="rId92" w:history="1">
        <w:r w:rsidR="004C14BF" w:rsidRPr="00A07BE9">
          <w:rPr>
            <w:rStyle w:val="Hipervnculo"/>
            <w:rFonts w:ascii="Open Sans" w:hAnsi="Open Sans" w:cs="Open Sans"/>
            <w:sz w:val="20"/>
            <w:szCs w:val="20"/>
          </w:rPr>
          <w:t>Ley 11/2016</w:t>
        </w:r>
        <w:r w:rsidR="004C14BF" w:rsidRPr="00A07BE9">
          <w:rPr>
            <w:rStyle w:val="Hipervnculo"/>
            <w:rFonts w:ascii="Open Sans" w:hAnsi="Open Sans" w:cs="Open Sans"/>
            <w:color w:val="auto"/>
            <w:sz w:val="20"/>
            <w:szCs w:val="20"/>
            <w:u w:val="none"/>
          </w:rPr>
          <w:t>, de 28 de noviembre, de la Generalitat</w:t>
        </w:r>
      </w:hyperlink>
      <w:r w:rsidR="004C14BF" w:rsidRPr="00A07BE9">
        <w:rPr>
          <w:rFonts w:ascii="Open Sans" w:hAnsi="Open Sans" w:cs="Open Sans"/>
          <w:sz w:val="20"/>
          <w:szCs w:val="20"/>
        </w:rPr>
        <w:t xml:space="preserve"> </w:t>
      </w:r>
      <w:r w:rsidRPr="00A07BE9">
        <w:rPr>
          <w:rFonts w:ascii="Open Sans" w:eastAsia="NSimSun" w:hAnsi="Open Sans" w:cs="Arial"/>
          <w:kern w:val="2"/>
          <w:sz w:val="20"/>
          <w:szCs w:val="20"/>
          <w:lang w:eastAsia="zh-CN" w:bidi="hi-IN"/>
        </w:rPr>
        <w:t>y que han sido relacionadas al inicio del presente apartado, en cumplimiento de los objetivos que determinan la creación de la Agencia.</w:t>
      </w:r>
    </w:p>
    <w:p w14:paraId="2B9FCCD2"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2C8171BA" w14:textId="77777777" w:rsidR="009568B0" w:rsidRPr="00A07BE9" w:rsidRDefault="009568B0" w:rsidP="000B390D">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lastRenderedPageBreak/>
        <w:t>La práctica de las diligencias relacionadas se ha realizado con sujeción a los principios de congruencia, necesidad y proporcionalidad, y se han regido, además, por los criterios de celeridad, economía procesal, simplicidad, eficacia y máxima discreción. En este sentido, la Agencia ha utilizado todas las cautelas posibles en aras a minimizar el uso instrumental injusto de la misma dirigido a la promoción mediática del denunciante o la denigración del denunciado, evitando perjuicios innecesarios a las personas y entidades investigadas, con el fin último de salvaguardar la eficacia posterior de los procedimientos, jurisdiccionales o administrativo que se puedan iniciar como consecuencia de estas actuaciones.</w:t>
      </w:r>
    </w:p>
    <w:p w14:paraId="7CF4B373" w14:textId="77777777" w:rsidR="009568B0" w:rsidRPr="00A07BE9" w:rsidRDefault="009568B0" w:rsidP="000B390D">
      <w:pPr>
        <w:spacing w:after="0" w:line="276" w:lineRule="auto"/>
        <w:jc w:val="both"/>
        <w:rPr>
          <w:rFonts w:ascii="Open Sans" w:eastAsia="NSimSun" w:hAnsi="Open Sans" w:cs="Arial"/>
          <w:kern w:val="2"/>
          <w:sz w:val="20"/>
          <w:szCs w:val="20"/>
          <w:lang w:eastAsia="zh-CN" w:bidi="hi-IN"/>
        </w:rPr>
      </w:pPr>
    </w:p>
    <w:p w14:paraId="52953C89" w14:textId="77777777" w:rsidR="009568B0" w:rsidRPr="00A07BE9" w:rsidRDefault="009568B0" w:rsidP="000B390D">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La comparación y la valoración de la información obtenida de las diferentes diligencias realizadas y de las propias denuncias ha permitido a la Agencia concluir sobre la existencia o no de irregularidades y posibles responsabilidades exigibles (administrativas, contables o penales) así como de actuaciones administrativas susceptibles de ser revisadas por parte de la Administración.</w:t>
      </w:r>
    </w:p>
    <w:p w14:paraId="4240340D"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3419C039"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5AF01AF4" w14:textId="55292090"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8"/>
          <w:szCs w:val="28"/>
          <w:lang w:eastAsia="es-ES" w:bidi="hi-IN"/>
        </w:rPr>
      </w:pPr>
      <w:r w:rsidRPr="00A07BE9">
        <w:rPr>
          <w:rFonts w:ascii="Open Sans" w:eastAsia="Times New Roman" w:hAnsi="Open Sans" w:cs="Open Sans"/>
          <w:b/>
          <w:bCs/>
          <w:smallCaps/>
          <w:color w:val="9D2235"/>
          <w:kern w:val="2"/>
          <w:sz w:val="28"/>
          <w:szCs w:val="28"/>
          <w:lang w:eastAsia="es-ES" w:bidi="hi-IN"/>
        </w:rPr>
        <w:t>3.4.</w:t>
      </w:r>
      <w:r w:rsidR="003A60FD" w:rsidRPr="00A07BE9">
        <w:rPr>
          <w:rFonts w:ascii="Open Sans" w:eastAsia="Times New Roman" w:hAnsi="Open Sans" w:cs="Open Sans"/>
          <w:b/>
          <w:bCs/>
          <w:smallCaps/>
          <w:color w:val="9D2235"/>
          <w:kern w:val="2"/>
          <w:sz w:val="28"/>
          <w:szCs w:val="28"/>
          <w:lang w:eastAsia="es-ES" w:bidi="hi-IN"/>
        </w:rPr>
        <w:t>2.</w:t>
      </w:r>
      <w:r w:rsidRPr="00A07BE9">
        <w:rPr>
          <w:rFonts w:ascii="Open Sans" w:eastAsia="Times New Roman" w:hAnsi="Open Sans" w:cs="Open Sans"/>
          <w:b/>
          <w:bCs/>
          <w:smallCaps/>
          <w:color w:val="9D2235"/>
          <w:kern w:val="2"/>
          <w:sz w:val="28"/>
          <w:szCs w:val="28"/>
          <w:lang w:eastAsia="es-ES" w:bidi="hi-IN"/>
        </w:rPr>
        <w:t xml:space="preserve"> Seguimiento de Actuaciones</w:t>
      </w:r>
    </w:p>
    <w:p w14:paraId="4846F116" w14:textId="77777777" w:rsidR="009568B0" w:rsidRPr="00A07BE9" w:rsidRDefault="009568B0" w:rsidP="009568B0">
      <w:pPr>
        <w:spacing w:after="0" w:line="276" w:lineRule="auto"/>
        <w:jc w:val="both"/>
        <w:rPr>
          <w:rFonts w:ascii="Open Sans" w:eastAsia="NSimSun" w:hAnsi="Open Sans" w:cs="Arial"/>
          <w:kern w:val="2"/>
          <w:sz w:val="20"/>
          <w:szCs w:val="20"/>
          <w:u w:val="single"/>
          <w:lang w:eastAsia="zh-CN" w:bidi="hi-IN"/>
        </w:rPr>
      </w:pPr>
    </w:p>
    <w:p w14:paraId="42A73861" w14:textId="37407C56"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 xml:space="preserve">Como consecuencia de las actuaciones de análisis e investigación llevadas a cabo, la Agencia puede establecer condiciones de seguimiento de la ejecución del cumplimiento de sus resoluciones que finalizan los expedientes. Las entidades afectadas, en el plazo que se haya considerado razonable, deben informar a la Agencia acerca de las medidas establecidas en la resolución, o, en su caso, de los motivos que le impiden actuar. </w:t>
      </w:r>
    </w:p>
    <w:p w14:paraId="3FEECA81" w14:textId="77777777" w:rsidR="00422C6A" w:rsidRPr="00A07BE9" w:rsidRDefault="00422C6A" w:rsidP="009568B0">
      <w:pPr>
        <w:spacing w:after="0" w:line="276" w:lineRule="auto"/>
        <w:jc w:val="both"/>
        <w:rPr>
          <w:rFonts w:ascii="Open Sans" w:eastAsia="NSimSun" w:hAnsi="Open Sans" w:cs="Arial"/>
          <w:kern w:val="2"/>
          <w:sz w:val="20"/>
          <w:szCs w:val="20"/>
          <w:lang w:eastAsia="zh-CN" w:bidi="hi-IN"/>
        </w:rPr>
      </w:pPr>
    </w:p>
    <w:p w14:paraId="242AC9C4" w14:textId="19E60BB1"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 xml:space="preserve">A </w:t>
      </w:r>
      <w:r w:rsidR="000B390D" w:rsidRPr="00A07BE9">
        <w:rPr>
          <w:rFonts w:ascii="Open Sans" w:eastAsia="NSimSun" w:hAnsi="Open Sans" w:cs="Arial"/>
          <w:kern w:val="2"/>
          <w:sz w:val="20"/>
          <w:szCs w:val="20"/>
          <w:lang w:eastAsia="zh-CN" w:bidi="hi-IN"/>
        </w:rPr>
        <w:t>continuación,</w:t>
      </w:r>
      <w:r w:rsidRPr="00A07BE9">
        <w:rPr>
          <w:rFonts w:ascii="Open Sans" w:eastAsia="NSimSun" w:hAnsi="Open Sans" w:cs="Arial"/>
          <w:kern w:val="2"/>
          <w:sz w:val="20"/>
          <w:szCs w:val="20"/>
          <w:lang w:eastAsia="zh-CN" w:bidi="hi-IN"/>
        </w:rPr>
        <w:t xml:space="preserve"> se expone brevemente el procedimiento de seguimiento y ejecución de las resoluciones que finalizan las actuaciones de análisis e investigación.</w:t>
      </w:r>
    </w:p>
    <w:p w14:paraId="0E24B0A2" w14:textId="77777777" w:rsidR="00422C6A" w:rsidRPr="00A07BE9" w:rsidRDefault="00422C6A" w:rsidP="009568B0">
      <w:pPr>
        <w:spacing w:after="0" w:line="240" w:lineRule="auto"/>
        <w:jc w:val="both"/>
        <w:rPr>
          <w:rFonts w:ascii="Open Sans" w:eastAsia="NSimSun" w:hAnsi="Open Sans" w:cs="Arial"/>
          <w:kern w:val="2"/>
          <w:sz w:val="20"/>
          <w:szCs w:val="20"/>
          <w:lang w:eastAsia="zh-CN" w:bidi="hi-IN"/>
        </w:rPr>
      </w:pPr>
    </w:p>
    <w:p w14:paraId="366E1106" w14:textId="77777777" w:rsidR="009568B0" w:rsidRPr="00A07BE9" w:rsidRDefault="009568B0" w:rsidP="009568B0">
      <w:pPr>
        <w:spacing w:after="0" w:line="276" w:lineRule="auto"/>
        <w:jc w:val="center"/>
        <w:rPr>
          <w:rFonts w:ascii="Open Sans" w:eastAsia="NSimSun" w:hAnsi="Open Sans" w:cs="Arial"/>
          <w:b/>
          <w:color w:val="9D2235"/>
          <w:kern w:val="2"/>
          <w:sz w:val="20"/>
          <w:szCs w:val="20"/>
          <w:u w:val="single"/>
          <w:lang w:eastAsia="zh-CN" w:bidi="hi-IN"/>
        </w:rPr>
      </w:pPr>
      <w:r w:rsidRPr="00A07BE9">
        <w:rPr>
          <w:rFonts w:ascii="Open Sans" w:eastAsia="NSimSun" w:hAnsi="Open Sans" w:cs="Arial"/>
          <w:b/>
          <w:color w:val="9D2235"/>
          <w:kern w:val="2"/>
          <w:sz w:val="20"/>
          <w:szCs w:val="20"/>
          <w:u w:val="single"/>
          <w:lang w:eastAsia="zh-CN" w:bidi="hi-IN"/>
        </w:rPr>
        <w:t>DIAGRAMA DE FLUJOS DE LA FASE DE SEGUIMIENTO</w:t>
      </w:r>
    </w:p>
    <w:p w14:paraId="378FD139" w14:textId="77777777" w:rsidR="009568B0" w:rsidRPr="00A07BE9" w:rsidRDefault="009568B0" w:rsidP="009568B0">
      <w:pPr>
        <w:spacing w:after="0" w:line="240" w:lineRule="auto"/>
        <w:jc w:val="both"/>
        <w:rPr>
          <w:rFonts w:ascii="Open Sans" w:eastAsia="NSimSun" w:hAnsi="Open Sans" w:cs="Arial"/>
          <w:kern w:val="2"/>
          <w:sz w:val="20"/>
          <w:szCs w:val="20"/>
          <w:lang w:eastAsia="zh-CN" w:bidi="hi-IN"/>
        </w:rPr>
      </w:pPr>
      <w:r w:rsidRPr="00A07BE9">
        <w:rPr>
          <w:rFonts w:ascii="Open Sans" w:eastAsia="NSimSun" w:hAnsi="Open Sans" w:cs="Arial"/>
          <w:noProof/>
          <w:kern w:val="2"/>
          <w:sz w:val="20"/>
          <w:szCs w:val="20"/>
          <w:lang w:eastAsia="es-ES"/>
        </w:rPr>
        <mc:AlternateContent>
          <mc:Choice Requires="wps">
            <w:drawing>
              <wp:anchor distT="0" distB="0" distL="0" distR="0" simplePos="0" relativeHeight="251841536" behindDoc="0" locked="0" layoutInCell="1" allowOverlap="1" wp14:anchorId="431951A9" wp14:editId="5A39CC76">
                <wp:simplePos x="0" y="0"/>
                <wp:positionH relativeFrom="column">
                  <wp:posOffset>1205865</wp:posOffset>
                </wp:positionH>
                <wp:positionV relativeFrom="paragraph">
                  <wp:posOffset>105411</wp:posOffset>
                </wp:positionV>
                <wp:extent cx="2790825" cy="723900"/>
                <wp:effectExtent l="0" t="0" r="28575" b="19050"/>
                <wp:wrapNone/>
                <wp:docPr id="83" name="Forma1"/>
                <wp:cNvGraphicFramePr/>
                <a:graphic xmlns:a="http://schemas.openxmlformats.org/drawingml/2006/main">
                  <a:graphicData uri="http://schemas.microsoft.com/office/word/2010/wordprocessingShape">
                    <wps:wsp>
                      <wps:cNvSpPr/>
                      <wps:spPr>
                        <a:xfrm>
                          <a:off x="0" y="0"/>
                          <a:ext cx="2790825" cy="723900"/>
                        </a:xfrm>
                        <a:custGeom>
                          <a:avLst/>
                          <a:gdLst/>
                          <a:ahLst/>
                          <a:cxnLst/>
                          <a:rect l="0" t="0" r="r" b="b"/>
                          <a:pathLst>
                            <a:path w="4621" h="1486">
                              <a:moveTo>
                                <a:pt x="247" y="0"/>
                              </a:moveTo>
                              <a:lnTo>
                                <a:pt x="248" y="0"/>
                              </a:lnTo>
                              <a:cubicBezTo>
                                <a:pt x="204" y="0"/>
                                <a:pt x="161" y="11"/>
                                <a:pt x="124" y="33"/>
                              </a:cubicBezTo>
                              <a:cubicBezTo>
                                <a:pt x="86" y="55"/>
                                <a:pt x="55" y="86"/>
                                <a:pt x="33" y="124"/>
                              </a:cubicBezTo>
                              <a:cubicBezTo>
                                <a:pt x="11" y="161"/>
                                <a:pt x="0" y="204"/>
                                <a:pt x="0" y="248"/>
                              </a:cubicBezTo>
                              <a:lnTo>
                                <a:pt x="0" y="1237"/>
                              </a:lnTo>
                              <a:lnTo>
                                <a:pt x="0" y="1238"/>
                              </a:lnTo>
                              <a:cubicBezTo>
                                <a:pt x="0" y="1281"/>
                                <a:pt x="11" y="1324"/>
                                <a:pt x="33" y="1361"/>
                              </a:cubicBezTo>
                              <a:cubicBezTo>
                                <a:pt x="55" y="1399"/>
                                <a:pt x="86" y="1430"/>
                                <a:pt x="124" y="1452"/>
                              </a:cubicBezTo>
                              <a:cubicBezTo>
                                <a:pt x="161" y="1474"/>
                                <a:pt x="204" y="1485"/>
                                <a:pt x="248" y="1485"/>
                              </a:cubicBezTo>
                              <a:lnTo>
                                <a:pt x="4372" y="1485"/>
                              </a:lnTo>
                              <a:lnTo>
                                <a:pt x="4373" y="1485"/>
                              </a:lnTo>
                              <a:cubicBezTo>
                                <a:pt x="4416" y="1485"/>
                                <a:pt x="4459" y="1474"/>
                                <a:pt x="4496" y="1452"/>
                              </a:cubicBezTo>
                              <a:cubicBezTo>
                                <a:pt x="4534" y="1430"/>
                                <a:pt x="4565" y="1399"/>
                                <a:pt x="4587" y="1361"/>
                              </a:cubicBezTo>
                              <a:cubicBezTo>
                                <a:pt x="4609" y="1324"/>
                                <a:pt x="4620" y="1281"/>
                                <a:pt x="4620" y="1238"/>
                              </a:cubicBezTo>
                              <a:lnTo>
                                <a:pt x="4619" y="247"/>
                              </a:lnTo>
                              <a:lnTo>
                                <a:pt x="4620" y="248"/>
                              </a:lnTo>
                              <a:lnTo>
                                <a:pt x="4620" y="248"/>
                              </a:lnTo>
                              <a:cubicBezTo>
                                <a:pt x="4620" y="204"/>
                                <a:pt x="4609" y="161"/>
                                <a:pt x="4587" y="124"/>
                              </a:cubicBezTo>
                              <a:cubicBezTo>
                                <a:pt x="4565" y="86"/>
                                <a:pt x="4534" y="55"/>
                                <a:pt x="4496" y="33"/>
                              </a:cubicBezTo>
                              <a:cubicBezTo>
                                <a:pt x="4459" y="11"/>
                                <a:pt x="4416" y="0"/>
                                <a:pt x="4373" y="0"/>
                              </a:cubicBezTo>
                              <a:lnTo>
                                <a:pt x="247" y="0"/>
                              </a:lnTo>
                            </a:path>
                          </a:pathLst>
                        </a:custGeom>
                        <a:solidFill>
                          <a:srgbClr val="9D2235"/>
                        </a:solidFill>
                        <a:ln>
                          <a:solidFill>
                            <a:srgbClr val="3465A4"/>
                          </a:solidFill>
                        </a:ln>
                        <a:effectLst/>
                      </wps:spPr>
                      <wps:txbx>
                        <w:txbxContent>
                          <w:p w14:paraId="1A1FB2C4" w14:textId="77777777" w:rsidR="000F0D13" w:rsidRPr="009C34E9" w:rsidRDefault="000F0D13" w:rsidP="009C34E9">
                            <w:pPr>
                              <w:spacing w:after="0"/>
                              <w:jc w:val="center"/>
                              <w:rPr>
                                <w:rFonts w:ascii="Open Sans" w:hAnsi="Open Sans" w:cs="Open Sans"/>
                              </w:rPr>
                            </w:pPr>
                            <w:r w:rsidRPr="009C34E9">
                              <w:rPr>
                                <w:rFonts w:ascii="Open Sans" w:hAnsi="Open Sans" w:cs="Open Sans"/>
                                <w:b/>
                                <w:bCs/>
                                <w:color w:val="FFFFFF"/>
                                <w:sz w:val="16"/>
                                <w:szCs w:val="16"/>
                                <w:u w:val="single"/>
                              </w:rPr>
                              <w:t>INICIO DE LA FASE DE SEGUIMIENTO</w:t>
                            </w:r>
                          </w:p>
                          <w:p w14:paraId="4D19BD6D" w14:textId="2DA4D275" w:rsidR="000F0D13" w:rsidRPr="009C34E9" w:rsidRDefault="000F0D13" w:rsidP="009C34E9">
                            <w:pPr>
                              <w:spacing w:after="0"/>
                              <w:jc w:val="center"/>
                              <w:rPr>
                                <w:rFonts w:ascii="Open Sans" w:hAnsi="Open Sans" w:cs="Open Sans"/>
                              </w:rPr>
                            </w:pPr>
                            <w:r w:rsidRPr="009C34E9">
                              <w:rPr>
                                <w:rFonts w:ascii="Open Sans" w:hAnsi="Open Sans" w:cs="Open Sans"/>
                                <w:color w:val="FFFFFF"/>
                                <w:sz w:val="16"/>
                                <w:szCs w:val="16"/>
                              </w:rPr>
                              <w:t>Tras la finalización de actuaciones de investigación</w:t>
                            </w:r>
                          </w:p>
                          <w:p w14:paraId="6F84EF96" w14:textId="77777777" w:rsidR="000F0D13" w:rsidRPr="009C34E9" w:rsidRDefault="000F0D13" w:rsidP="009C34E9">
                            <w:pPr>
                              <w:spacing w:after="0"/>
                              <w:jc w:val="center"/>
                              <w:rPr>
                                <w:rFonts w:ascii="Open Sans" w:hAnsi="Open Sans" w:cs="Open Sans"/>
                              </w:rPr>
                            </w:pPr>
                            <w:r w:rsidRPr="009C34E9">
                              <w:rPr>
                                <w:rFonts w:ascii="Open Sans" w:hAnsi="Open Sans" w:cs="Open Sans"/>
                                <w:color w:val="FFFFFF"/>
                                <w:sz w:val="16"/>
                                <w:szCs w:val="16"/>
                              </w:rPr>
                              <w:t>en las que se acuerde la imposición de recomendaciones</w:t>
                            </w:r>
                          </w:p>
                          <w:p w14:paraId="59E84A65" w14:textId="77777777" w:rsidR="000F0D13" w:rsidRPr="009C34E9" w:rsidRDefault="000F0D13" w:rsidP="009C34E9">
                            <w:pPr>
                              <w:spacing w:after="0"/>
                              <w:jc w:val="center"/>
                              <w:rPr>
                                <w:rFonts w:ascii="Open Sans" w:hAnsi="Open Sans" w:cs="Open Sans"/>
                              </w:rPr>
                            </w:pPr>
                            <w:r w:rsidRPr="009C34E9">
                              <w:rPr>
                                <w:rFonts w:ascii="Open Sans" w:hAnsi="Open Sans" w:cs="Open Sans"/>
                                <w:color w:val="FFFFFF"/>
                                <w:sz w:val="16"/>
                                <w:szCs w:val="16"/>
                              </w:rPr>
                              <w:t>que justifiquen su seguimiento por la Agencia.</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431951A9" id="_x0000_s1060" style="position:absolute;left:0;text-align:left;margin-left:94.95pt;margin-top:8.3pt;width:219.75pt;height:57pt;z-index:25184153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4621,148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rpQYAMAACYKAAAOAAAAZHJzL2Uyb0RvYy54bWysVttu2zAMfR+wfxD0vvom54YmRbeiw4Bh&#10;K9DuAxRZTgzYlicpl+7rR0mWHaUZ0BZ7sXWhDslDUtT1zbGp0Z5LVYl2iZOrGCPeMlFU7WaJfz3d&#10;f5phpDRtC1qLli/xM1f4ZvXxw/WhW/BUbEVdcIkApFWLQ7fEW627RRQptuUNVVei4y1slkI2VMNU&#10;bqJC0gOgN3WUxvEkOghZdFIwrhSs3rlNvLL4ZcmZ/lmWimtULzHYpu1X2u/afKPVNV1sJO22FevN&#10;oO+woqFVC0oHqDuqKdrJ6gVUUzEplCj1FRNNJMqyYtz6AN4k8Zk3j1vacesLkKO6gSb1/2DZj/1j&#10;9yCBhkOnFgqGxotjKRvzB/vQ0ZL1PJDFjxoxWEyn83iW5hgx2Jum2Ty2bEbjabZT+isXFonuvyvt&#10;yC78iG79iB1bP5QQsvNgSYwgWGsXrI5qc86YZ4bosMRkkiYYbSH/yGxiw9CIPX8SVkYbD1Iyxcj7&#10;ACaO+3UbykG+nsj5XbZbV+wz/xPIxmSUBWOsomQClgBAkvTWutXUiWaZWQX9IV44c0DgiMHJ81Mc&#10;mJlF2LNUOkkAtRpBx2vBwTp7BIw9AYL6APAU3Hq5SGYXwT0/zhIHkKTZtBf22/5/JuYx/fYlHjzm&#10;LDDVO5A5pz37norMOfYqontOk2w+P/W75z8hWX9JONuTPpIJydOLjFzyYUgKMg24NVTbOJBZEOYU&#10;2D5df+GHJ8zZRLJpei7vJfx/kOyTpdcIyF7ikuGEJC4NobACCwnJ573K0CVC5v7EGwgieeaZCOkm&#10;+cSl/Hl4SD5zFZ28JdZkEvdmnyUO3CCXE+1kI/PpGjLl+esZniROg7lxXDl6Af/3gr1GE+x3CoaG&#10;nOOGdTy6Hhb9SOQb7o8hLOFNNIQxvLWGnHjD9TcmWFD3Q0IGRQkF4NLad6CQmJD481bgdqEQTDex&#10;l/PQYWzdjT1Miboq7qu6Nn1Fyc36Sy3RnsLLYn6XppktEDgSiNWtFf7nyYxM8lt/cZ+ctIVpjnL7&#10;iHHdMRp7tBnp4/qIqmKJoXggg8zSWhTPDxId4EGzxOr3jkqOUf2thRcD5Lf2A+kHaz+gLdsKeBcx&#10;LW0DbcXtTouyMj3bqnXI/QQeI5ap/uFkXjuncys1Pu9WfwEAAP//AwBQSwMEFAAGAAgAAAAhAN4f&#10;xxDbAAAACgEAAA8AAABkcnMvZG93bnJldi54bWxMj8FOxDAMRO9I/ENkJG5syi6K2tJ0hZA4cEIU&#10;uLuJaSuapEqy2/L3mBPcPPZo/KY5bm4WZ4ppCl7D7a4AQd4EO/lBw/vb000JImX0FufgScM3JTi2&#10;lxcN1jas/pXOXR4Eh/hUo4Yx56WWMpmRHKZdWMjz7TNEh5llHKSNuHK4m+W+KJR0OHn+MOJCjyOZ&#10;r+7kNOQX9XHoDZZhfTbdYtQQ07JqfX21PdyDyLTlPzP84jM6tMzUh5O3Scysy6piKw9KgWCD2ld3&#10;IHpeHAoFsm3k/wrtDwAAAP//AwBQSwECLQAUAAYACAAAACEAtoM4kv4AAADhAQAAEwAAAAAAAAAA&#10;AAAAAAAAAAAAW0NvbnRlbnRfVHlwZXNdLnhtbFBLAQItABQABgAIAAAAIQA4/SH/1gAAAJQBAAAL&#10;AAAAAAAAAAAAAAAAAC8BAABfcmVscy8ucmVsc1BLAQItABQABgAIAAAAIQDS5rpQYAMAACYKAAAO&#10;AAAAAAAAAAAAAAAAAC4CAABkcnMvZTJvRG9jLnhtbFBLAQItABQABgAIAAAAIQDeH8cQ2wAAAAoB&#10;AAAPAAAAAAAAAAAAAAAAALoFAABkcnMvZG93bnJldi54bWxQSwUGAAAAAAQABADzAAAAwgYAAAAA&#10;" adj="-11796480,,5400" path="m247,r1,c204,,161,11,124,33,86,55,55,86,33,124,11,161,,204,,248r,989l,1238v,43,11,86,33,123c55,1399,86,1430,124,1452v37,22,80,33,124,33l4372,1485r1,c4416,1485,4459,1474,4496,1452v38,-22,69,-53,91,-91c4609,1324,4620,1281,4620,1238r-1,-991l4620,248r,c4620,204,4609,161,4587,124,4565,86,4534,55,4496,33,4459,11,4416,,4373,l247,e" fillcolor="#9d2235" strokecolor="#3465a4">
                <v:stroke joinstyle="miter"/>
                <v:formulas/>
                <v:path arrowok="t" o:connecttype="custom" textboxrect="0,0,4621,1486"/>
                <v:textbox inset="0,0,0,0">
                  <w:txbxContent>
                    <w:p w14:paraId="1A1FB2C4" w14:textId="77777777" w:rsidR="000F0D13" w:rsidRPr="009C34E9" w:rsidRDefault="000F0D13" w:rsidP="009C34E9">
                      <w:pPr>
                        <w:spacing w:after="0"/>
                        <w:jc w:val="center"/>
                        <w:rPr>
                          <w:rFonts w:ascii="Open Sans" w:hAnsi="Open Sans" w:cs="Open Sans"/>
                        </w:rPr>
                      </w:pPr>
                      <w:r w:rsidRPr="009C34E9">
                        <w:rPr>
                          <w:rFonts w:ascii="Open Sans" w:hAnsi="Open Sans" w:cs="Open Sans"/>
                          <w:b/>
                          <w:bCs/>
                          <w:color w:val="FFFFFF"/>
                          <w:sz w:val="16"/>
                          <w:szCs w:val="16"/>
                          <w:u w:val="single"/>
                        </w:rPr>
                        <w:t>INICIO DE LA FASE DE SEGUIMIENTO</w:t>
                      </w:r>
                    </w:p>
                    <w:p w14:paraId="4D19BD6D" w14:textId="2DA4D275" w:rsidR="000F0D13" w:rsidRPr="009C34E9" w:rsidRDefault="000F0D13" w:rsidP="009C34E9">
                      <w:pPr>
                        <w:spacing w:after="0"/>
                        <w:jc w:val="center"/>
                        <w:rPr>
                          <w:rFonts w:ascii="Open Sans" w:hAnsi="Open Sans" w:cs="Open Sans"/>
                        </w:rPr>
                      </w:pPr>
                      <w:r w:rsidRPr="009C34E9">
                        <w:rPr>
                          <w:rFonts w:ascii="Open Sans" w:hAnsi="Open Sans" w:cs="Open Sans"/>
                          <w:color w:val="FFFFFF"/>
                          <w:sz w:val="16"/>
                          <w:szCs w:val="16"/>
                        </w:rPr>
                        <w:t>Tras la finalización de actuaciones de investigación</w:t>
                      </w:r>
                    </w:p>
                    <w:p w14:paraId="6F84EF96" w14:textId="77777777" w:rsidR="000F0D13" w:rsidRPr="009C34E9" w:rsidRDefault="000F0D13" w:rsidP="009C34E9">
                      <w:pPr>
                        <w:spacing w:after="0"/>
                        <w:jc w:val="center"/>
                        <w:rPr>
                          <w:rFonts w:ascii="Open Sans" w:hAnsi="Open Sans" w:cs="Open Sans"/>
                        </w:rPr>
                      </w:pPr>
                      <w:r w:rsidRPr="009C34E9">
                        <w:rPr>
                          <w:rFonts w:ascii="Open Sans" w:hAnsi="Open Sans" w:cs="Open Sans"/>
                          <w:color w:val="FFFFFF"/>
                          <w:sz w:val="16"/>
                          <w:szCs w:val="16"/>
                        </w:rPr>
                        <w:t>en las que se acuerde la imposición de recomendaciones</w:t>
                      </w:r>
                    </w:p>
                    <w:p w14:paraId="59E84A65" w14:textId="77777777" w:rsidR="000F0D13" w:rsidRPr="009C34E9" w:rsidRDefault="000F0D13" w:rsidP="009C34E9">
                      <w:pPr>
                        <w:spacing w:after="0"/>
                        <w:jc w:val="center"/>
                        <w:rPr>
                          <w:rFonts w:ascii="Open Sans" w:hAnsi="Open Sans" w:cs="Open Sans"/>
                        </w:rPr>
                      </w:pPr>
                      <w:r w:rsidRPr="009C34E9">
                        <w:rPr>
                          <w:rFonts w:ascii="Open Sans" w:hAnsi="Open Sans" w:cs="Open Sans"/>
                          <w:color w:val="FFFFFF"/>
                          <w:sz w:val="16"/>
                          <w:szCs w:val="16"/>
                        </w:rPr>
                        <w:t>que justifiquen su seguimiento por la Agencia.</w:t>
                      </w:r>
                    </w:p>
                  </w:txbxContent>
                </v:textbox>
              </v:shape>
            </w:pict>
          </mc:Fallback>
        </mc:AlternateContent>
      </w:r>
    </w:p>
    <w:p w14:paraId="235A3A78" w14:textId="5133B749" w:rsidR="009568B0" w:rsidRPr="00A07BE9" w:rsidRDefault="009568B0" w:rsidP="009568B0">
      <w:pPr>
        <w:spacing w:after="0" w:line="240" w:lineRule="auto"/>
        <w:jc w:val="both"/>
        <w:rPr>
          <w:rFonts w:ascii="Open Sans" w:eastAsia="NSimSun" w:hAnsi="Open Sans" w:cs="Arial"/>
          <w:kern w:val="2"/>
          <w:sz w:val="24"/>
          <w:szCs w:val="24"/>
          <w:lang w:eastAsia="zh-CN" w:bidi="hi-IN"/>
        </w:rPr>
      </w:pPr>
    </w:p>
    <w:p w14:paraId="5781E15D" w14:textId="77777777" w:rsidR="009568B0" w:rsidRPr="00A07BE9" w:rsidRDefault="009568B0" w:rsidP="009568B0">
      <w:pPr>
        <w:spacing w:after="0" w:line="240" w:lineRule="auto"/>
        <w:jc w:val="both"/>
        <w:rPr>
          <w:rFonts w:ascii="Open Sans" w:eastAsia="NSimSun" w:hAnsi="Open Sans" w:cs="Arial"/>
          <w:kern w:val="2"/>
          <w:sz w:val="24"/>
          <w:szCs w:val="24"/>
          <w:lang w:eastAsia="zh-CN" w:bidi="hi-IN"/>
        </w:rPr>
      </w:pPr>
    </w:p>
    <w:p w14:paraId="2CAF8979" w14:textId="4A45EA60" w:rsidR="009568B0" w:rsidRPr="00A07BE9" w:rsidRDefault="009568B0" w:rsidP="009568B0">
      <w:pPr>
        <w:spacing w:after="0" w:line="240" w:lineRule="auto"/>
        <w:jc w:val="both"/>
        <w:rPr>
          <w:rFonts w:ascii="Open Sans" w:eastAsia="NSimSun" w:hAnsi="Open Sans" w:cs="Arial"/>
          <w:kern w:val="2"/>
          <w:sz w:val="24"/>
          <w:szCs w:val="24"/>
          <w:lang w:eastAsia="zh-CN" w:bidi="hi-IN"/>
        </w:rPr>
      </w:pPr>
    </w:p>
    <w:p w14:paraId="6539B4E1" w14:textId="11399F12" w:rsidR="009568B0" w:rsidRPr="00A07BE9" w:rsidRDefault="009C34E9" w:rsidP="009568B0">
      <w:pPr>
        <w:spacing w:after="0" w:line="240" w:lineRule="auto"/>
        <w:jc w:val="both"/>
        <w:rPr>
          <w:rFonts w:ascii="Open Sans" w:eastAsia="NSimSun" w:hAnsi="Open Sans" w:cs="Arial"/>
          <w:kern w:val="2"/>
          <w:sz w:val="24"/>
          <w:szCs w:val="24"/>
          <w:lang w:eastAsia="zh-CN" w:bidi="hi-IN"/>
        </w:rPr>
      </w:pPr>
      <w:r w:rsidRPr="00A07BE9">
        <w:rPr>
          <w:rFonts w:ascii="Open Sans" w:eastAsia="NSimSun" w:hAnsi="Open Sans" w:cs="Arial"/>
          <w:noProof/>
          <w:kern w:val="2"/>
          <w:sz w:val="20"/>
          <w:szCs w:val="20"/>
          <w:lang w:eastAsia="es-ES"/>
        </w:rPr>
        <mc:AlternateContent>
          <mc:Choice Requires="wps">
            <w:drawing>
              <wp:anchor distT="0" distB="0" distL="0" distR="0" simplePos="0" relativeHeight="251844608" behindDoc="0" locked="0" layoutInCell="1" allowOverlap="1" wp14:anchorId="2807C58E" wp14:editId="6AF449EA">
                <wp:simplePos x="0" y="0"/>
                <wp:positionH relativeFrom="column">
                  <wp:posOffset>2531745</wp:posOffset>
                </wp:positionH>
                <wp:positionV relativeFrom="paragraph">
                  <wp:posOffset>6985</wp:posOffset>
                </wp:positionV>
                <wp:extent cx="170180" cy="260350"/>
                <wp:effectExtent l="0" t="0" r="20320" b="25400"/>
                <wp:wrapNone/>
                <wp:docPr id="86" name="Forma7"/>
                <wp:cNvGraphicFramePr/>
                <a:graphic xmlns:a="http://schemas.openxmlformats.org/drawingml/2006/main">
                  <a:graphicData uri="http://schemas.microsoft.com/office/word/2010/wordprocessingShape">
                    <wps:wsp>
                      <wps:cNvSpPr/>
                      <wps:spPr>
                        <a:xfrm>
                          <a:off x="0" y="0"/>
                          <a:ext cx="170180" cy="260350"/>
                        </a:xfrm>
                        <a:custGeom>
                          <a:avLst/>
                          <a:gdLst/>
                          <a:ahLst/>
                          <a:cxnLst/>
                          <a:rect l="0" t="0" r="r" b="b"/>
                          <a:pathLst>
                            <a:path w="269" h="411">
                              <a:moveTo>
                                <a:pt x="67" y="0"/>
                              </a:moveTo>
                              <a:lnTo>
                                <a:pt x="67" y="307"/>
                              </a:lnTo>
                              <a:lnTo>
                                <a:pt x="0" y="307"/>
                              </a:lnTo>
                              <a:lnTo>
                                <a:pt x="134" y="410"/>
                              </a:lnTo>
                              <a:lnTo>
                                <a:pt x="268" y="307"/>
                              </a:lnTo>
                              <a:lnTo>
                                <a:pt x="201" y="307"/>
                              </a:lnTo>
                              <a:lnTo>
                                <a:pt x="201" y="0"/>
                              </a:lnTo>
                              <a:lnTo>
                                <a:pt x="67" y="0"/>
                              </a:lnTo>
                            </a:path>
                          </a:pathLst>
                        </a:custGeom>
                        <a:solidFill>
                          <a:srgbClr val="5B6770"/>
                        </a:solidFill>
                        <a:ln>
                          <a:solidFill>
                            <a:srgbClr val="3465A4"/>
                          </a:solidFill>
                        </a:ln>
                        <a:effectLst/>
                      </wps:spPr>
                      <wps:bodyPr/>
                    </wps:wsp>
                  </a:graphicData>
                </a:graphic>
              </wp:anchor>
            </w:drawing>
          </mc:Choice>
          <mc:Fallback>
            <w:pict>
              <v:shape w14:anchorId="52AD9A99" id="Forma7" o:spid="_x0000_s1026" style="position:absolute;margin-left:199.35pt;margin-top:.55pt;width:13.4pt;height:20.5pt;z-index:251844608;visibility:visible;mso-wrap-style:square;mso-wrap-distance-left:0;mso-wrap-distance-top:0;mso-wrap-distance-right:0;mso-wrap-distance-bottom:0;mso-position-horizontal:absolute;mso-position-horizontal-relative:text;mso-position-vertical:absolute;mso-position-vertical-relative:text;v-text-anchor:top" coordsize="26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oYDAIAAN8EAAAOAAAAZHJzL2Uyb0RvYy54bWysVM1u2zAMvg/YOwi6L7YTx86M2MW2IrsM&#10;W4F2D6DIcixAlgRJtZ23HyXHaZqt3Q92sSiR/Eh+JL29GTuBemYsV7LEySLGiEmqai4PJf7+sHu3&#10;wcg6ImsilGQlPjKLb6q3b7aDLthStUrUzCAAkbYYdIlb53QRRZa2rCN2oTSToGyU6YiDqzlEtSED&#10;oHciWsZxFg3K1NooyqyF19tJiauA3zSMum9NY5lDosSQmwtfE757/42qLSkOhuiW01Ma5B+y6AiX&#10;EPQMdUscQY+G/wTVcWqUVY1bUNVFqmk4ZaEGqCaJr6q5b4lmoRYgx+ozTfb/wdKv/Z1BvC7xJsNI&#10;kg56tPNs556aQdsCLO71nTndLIi+zrExnT+hAjQGOo9nOtnoEIXHJI+TDZBOQbXM4tU60B09OdNH&#10;6z4zFYBI/8W6qRv1LJF2lugoZ9FAT6+7aTCCbu6nbmrivJ/Pzoto8NHfY9SWOE2S0KVO9exBBQvn&#10;089yjOb8Ib8ntZC/MFvFgRwwnNXzqQMalAxgv7NKVmmwS5OZlhllPie0ZQYr9Ad4MD9/Zfd61CtG&#10;ppSgYs9otT0JgWWQL/toleD1jgvh2bXmsP8kDOoJrN/6Y5bnc9RnZkIG4xc9V2m2/pD67kKwC0+4&#10;Ta4sbPo0IZEf2mlMvbRX9TFMb3iHLQogp433a3p5B/nyv1T9AAAA//8DAFBLAwQUAAYACAAAACEA&#10;Piagh90AAAAIAQAADwAAAGRycy9kb3ducmV2LnhtbEyPwU7DMAyG70i8Q2QkbiztYKwrTSfENnEa&#10;0gbinDamqWicqsnW8vZ4J7jZ+n79/lysJ9eJMw6h9aQgnSUgkGpvWmoUfLzv7jIQIWoyuvOECn4w&#10;wLq8vip0bvxIBzwfYyO4hEKuFdgY+1zKUFt0Osx8j8Tsyw9OR16HRppBj1zuOjlPkkfpdEt8weoe&#10;XyzW38eTU7Davm6yz/2Im2w7oR13VXN4Wyp1ezM9P4GIOMW/MFz0WR1Kdqr8iUwQnYL7VbbkKIMU&#10;BPOH+WIBoroMKciykP8fKH8BAAD//wMAUEsBAi0AFAAGAAgAAAAhALaDOJL+AAAA4QEAABMAAAAA&#10;AAAAAAAAAAAAAAAAAFtDb250ZW50X1R5cGVzXS54bWxQSwECLQAUAAYACAAAACEAOP0h/9YAAACU&#10;AQAACwAAAAAAAAAAAAAAAAAvAQAAX3JlbHMvLnJlbHNQSwECLQAUAAYACAAAACEATuv6GAwCAADf&#10;BAAADgAAAAAAAAAAAAAAAAAuAgAAZHJzL2Uyb0RvYy54bWxQSwECLQAUAAYACAAAACEAPiagh90A&#10;AAAIAQAADwAAAAAAAAAAAAAAAABmBAAAZHJzL2Rvd25yZXYueG1sUEsFBgAAAAAEAAQA8wAAAHAF&#10;AAAAAA==&#10;" path="m67,r,307l,307,134,410,268,307r-67,l201,,67,e" fillcolor="#5b6770" strokecolor="#3465a4">
                <v:path arrowok="t"/>
              </v:shape>
            </w:pict>
          </mc:Fallback>
        </mc:AlternateContent>
      </w:r>
    </w:p>
    <w:p w14:paraId="71DD1857" w14:textId="445E8F54" w:rsidR="009568B0" w:rsidRPr="00A07BE9" w:rsidRDefault="009C34E9" w:rsidP="009568B0">
      <w:pPr>
        <w:spacing w:after="0" w:line="240" w:lineRule="auto"/>
        <w:jc w:val="both"/>
        <w:rPr>
          <w:rFonts w:ascii="Open Sans" w:eastAsia="NSimSun" w:hAnsi="Open Sans" w:cs="Arial"/>
          <w:kern w:val="2"/>
          <w:sz w:val="24"/>
          <w:szCs w:val="24"/>
          <w:lang w:eastAsia="zh-CN" w:bidi="hi-IN"/>
        </w:rPr>
      </w:pPr>
      <w:r w:rsidRPr="00A07BE9">
        <w:rPr>
          <w:rFonts w:ascii="Open Sans" w:eastAsia="NSimSun" w:hAnsi="Open Sans" w:cs="Arial"/>
          <w:noProof/>
          <w:kern w:val="2"/>
          <w:sz w:val="20"/>
          <w:szCs w:val="20"/>
          <w:lang w:eastAsia="es-ES"/>
        </w:rPr>
        <mc:AlternateContent>
          <mc:Choice Requires="wps">
            <w:drawing>
              <wp:anchor distT="0" distB="0" distL="0" distR="0" simplePos="0" relativeHeight="251842560" behindDoc="0" locked="0" layoutInCell="1" allowOverlap="1" wp14:anchorId="5FCCAAB9" wp14:editId="6C785423">
                <wp:simplePos x="0" y="0"/>
                <wp:positionH relativeFrom="column">
                  <wp:posOffset>1129665</wp:posOffset>
                </wp:positionH>
                <wp:positionV relativeFrom="paragraph">
                  <wp:posOffset>83820</wp:posOffset>
                </wp:positionV>
                <wp:extent cx="2971800" cy="371475"/>
                <wp:effectExtent l="0" t="0" r="19050" b="28575"/>
                <wp:wrapNone/>
                <wp:docPr id="84" name="Forma1"/>
                <wp:cNvGraphicFramePr/>
                <a:graphic xmlns:a="http://schemas.openxmlformats.org/drawingml/2006/main">
                  <a:graphicData uri="http://schemas.microsoft.com/office/word/2010/wordprocessingShape">
                    <wps:wsp>
                      <wps:cNvSpPr/>
                      <wps:spPr>
                        <a:xfrm>
                          <a:off x="0" y="0"/>
                          <a:ext cx="2971800" cy="371475"/>
                        </a:xfrm>
                        <a:custGeom>
                          <a:avLst/>
                          <a:gdLst/>
                          <a:ahLst/>
                          <a:cxnLst/>
                          <a:rect l="0" t="0" r="r" b="b"/>
                          <a:pathLst>
                            <a:path w="4775" h="1024">
                              <a:moveTo>
                                <a:pt x="170" y="0"/>
                              </a:moveTo>
                              <a:lnTo>
                                <a:pt x="171" y="0"/>
                              </a:lnTo>
                              <a:cubicBezTo>
                                <a:pt x="141" y="0"/>
                                <a:pt x="111" y="8"/>
                                <a:pt x="85" y="23"/>
                              </a:cubicBezTo>
                              <a:cubicBezTo>
                                <a:pt x="59" y="38"/>
                                <a:pt x="38" y="59"/>
                                <a:pt x="23" y="85"/>
                              </a:cubicBezTo>
                              <a:cubicBezTo>
                                <a:pt x="8" y="111"/>
                                <a:pt x="0" y="141"/>
                                <a:pt x="0" y="171"/>
                              </a:cubicBezTo>
                              <a:lnTo>
                                <a:pt x="0" y="852"/>
                              </a:lnTo>
                              <a:lnTo>
                                <a:pt x="0" y="853"/>
                              </a:lnTo>
                              <a:cubicBezTo>
                                <a:pt x="0" y="882"/>
                                <a:pt x="8" y="912"/>
                                <a:pt x="23" y="938"/>
                              </a:cubicBezTo>
                              <a:cubicBezTo>
                                <a:pt x="38" y="964"/>
                                <a:pt x="59" y="985"/>
                                <a:pt x="85" y="1000"/>
                              </a:cubicBezTo>
                              <a:cubicBezTo>
                                <a:pt x="111" y="1015"/>
                                <a:pt x="141" y="1023"/>
                                <a:pt x="171" y="1023"/>
                              </a:cubicBezTo>
                              <a:lnTo>
                                <a:pt x="4603" y="1023"/>
                              </a:lnTo>
                              <a:lnTo>
                                <a:pt x="4604" y="1023"/>
                              </a:lnTo>
                              <a:cubicBezTo>
                                <a:pt x="4633" y="1023"/>
                                <a:pt x="4663" y="1015"/>
                                <a:pt x="4689" y="1000"/>
                              </a:cubicBezTo>
                              <a:cubicBezTo>
                                <a:pt x="4715" y="985"/>
                                <a:pt x="4736" y="964"/>
                                <a:pt x="4751" y="938"/>
                              </a:cubicBezTo>
                              <a:cubicBezTo>
                                <a:pt x="4766" y="912"/>
                                <a:pt x="4774" y="882"/>
                                <a:pt x="4774" y="853"/>
                              </a:cubicBezTo>
                              <a:lnTo>
                                <a:pt x="4774" y="170"/>
                              </a:lnTo>
                              <a:lnTo>
                                <a:pt x="4774" y="171"/>
                              </a:lnTo>
                              <a:lnTo>
                                <a:pt x="4774" y="171"/>
                              </a:lnTo>
                              <a:cubicBezTo>
                                <a:pt x="4774" y="141"/>
                                <a:pt x="4766" y="111"/>
                                <a:pt x="4751" y="85"/>
                              </a:cubicBezTo>
                              <a:cubicBezTo>
                                <a:pt x="4736" y="59"/>
                                <a:pt x="4715" y="38"/>
                                <a:pt x="4689" y="23"/>
                              </a:cubicBezTo>
                              <a:cubicBezTo>
                                <a:pt x="4663" y="8"/>
                                <a:pt x="4633" y="0"/>
                                <a:pt x="4604" y="0"/>
                              </a:cubicBezTo>
                              <a:lnTo>
                                <a:pt x="170" y="0"/>
                              </a:lnTo>
                            </a:path>
                          </a:pathLst>
                        </a:custGeom>
                        <a:solidFill>
                          <a:srgbClr val="D83A23"/>
                        </a:solidFill>
                        <a:ln>
                          <a:solidFill>
                            <a:srgbClr val="3465A4"/>
                          </a:solidFill>
                        </a:ln>
                        <a:effectLst/>
                      </wps:spPr>
                      <wps:txbx>
                        <w:txbxContent>
                          <w:p w14:paraId="6B078E8A" w14:textId="7B90E298" w:rsidR="000F0D13" w:rsidRPr="009C34E9" w:rsidRDefault="000F0D13" w:rsidP="009C34E9">
                            <w:pPr>
                              <w:spacing w:after="0"/>
                              <w:jc w:val="center"/>
                              <w:rPr>
                                <w:rFonts w:ascii="Open Sans" w:hAnsi="Open Sans" w:cs="Open Sans"/>
                              </w:rPr>
                            </w:pPr>
                            <w:r w:rsidRPr="009C34E9">
                              <w:rPr>
                                <w:rFonts w:ascii="Open Sans" w:hAnsi="Open Sans" w:cs="Open Sans"/>
                                <w:b/>
                                <w:bCs/>
                                <w:color w:val="FFFFFF"/>
                                <w:sz w:val="16"/>
                                <w:szCs w:val="16"/>
                                <w:u w:val="single"/>
                              </w:rPr>
                              <w:t>OTORGAMIENTO DE PLAZO PARA CUMPLIMIENTO</w:t>
                            </w:r>
                          </w:p>
                          <w:p w14:paraId="1BF4223F" w14:textId="77777777" w:rsidR="000F0D13" w:rsidRPr="009C34E9" w:rsidRDefault="000F0D13" w:rsidP="009C34E9">
                            <w:pPr>
                              <w:spacing w:after="0"/>
                              <w:jc w:val="center"/>
                              <w:rPr>
                                <w:rFonts w:ascii="Open Sans" w:hAnsi="Open Sans" w:cs="Open Sans"/>
                              </w:rPr>
                            </w:pPr>
                            <w:r w:rsidRPr="009C34E9">
                              <w:rPr>
                                <w:rFonts w:ascii="Open Sans" w:hAnsi="Open Sans" w:cs="Open Sans"/>
                                <w:color w:val="FFFFFF"/>
                                <w:sz w:val="16"/>
                                <w:szCs w:val="16"/>
                              </w:rPr>
                              <w:t>a la/s entidad/es afectada/s</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5FCCAAB9" id="_x0000_s1061" style="position:absolute;left:0;text-align:left;margin-left:88.95pt;margin-top:6.6pt;width:234pt;height:29.25pt;z-index:25184256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4775,102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s4LWwMAABEKAAAOAAAAZHJzL2Uyb0RvYy54bWysVm1vmzAQ/j5p/8Hi+wokBEjUtOpWbZo0&#10;bZXa/QDHmIAEmNnOS/frd/ZhEpNOW6d9Aft8fnz33PnO17fHtiF7LlUtunUQX0UB4R0TRd1t18H3&#10;p4/v8oAoTbuCNqLj6+CZq+D25u2b60O/4jNRiabgkgBIp1aHfh1UWverMFSs4i1VV6LnHSyWQrZU&#10;w1Ruw0LSA6C3TTiLojQ8CFn0UjCuFEjvcTG4sfhlyZn+VpaKa9KsA7BN26+03435hjfXdLWVtK9q&#10;NphB/8GKltYdHDpC3VNNyU7WF1BtzaRQotRXTLShKMuacesDeBNHE28eK9pz6wuQo/qRJvX/YNnX&#10;/WP/IIGGQ69WCobGi2MpW/MH+8jRkvU8ksWPmjAQzpZZnEfAKYO1eRYn2cKwGZ52s53Sn7iwSHT/&#10;RWkku3AjWrkRO3ZuKCFk02DJgECwNhisnmqzz5hnhuSwDpIMziYV5F80S2wYWrHnT8LqaONBnIGh&#10;zgcw8bTedL5e7Om5Vbbb1Ow9/+npJme6YAweFKMwH4y1whysg8Nn84EgH82fIcxiaXfMPRiYGRhY&#10;s0SiJoAaIRyB5Pto/gx3IEoMhp7BID0xuHQpzKwQWPPRHDeIigD5YjbY4Vbd39dyTLhVH9nTzS2i&#10;4xeNX8aecOBgiXRdGPoS+MDlMk3OHR5oXyKb45kYvjiCbP9bkg29Ji5xFNvIOCzDMMoxG0Y5kHwu&#10;v3DCMYXcJGmEcYeMn3J5oZlMkZ3GS8Qk6dxHdhYmaeoWfJeSNMdsfRVBSQYoxuMJ2Uk2T1HuhwbK&#10;CzL0mignWTqA+QkDBQNJyf3sOskXjlWfI8fcEAUHY8oLZoZTcP8LRXeXnIL7/1HRN2Sq7l/c0e/J&#10;LR9JfEW5GAPi150xfn6NGpNhTEvfbn82eOEyy6t2YyIOTdrpRhg5R7gP6LM5rfq4ClfLNA7bqsZm&#10;Yu/bqV0p0dTFx7ppTAtRcrv50Eiyp/CIuM/nd6NvnlrTWeXf7pwn6eLOlhs47GwnzHArt+8VbITh&#10;qR2bkT5ujqQuoNHaamJEG1E8P0hygLfLOlA/dlTygDSfO3gcQC3WbiDdYOMGtGOVgCcQ09L2yk7c&#10;7bQoa9Oe7bGIPEzg3WGZGt5I5mFzPrdap5fczS8AAAD//wMAUEsDBBQABgAIAAAAIQAFzhEb3wAA&#10;AAkBAAAPAAAAZHJzL2Rvd25yZXYueG1sTI/BTsMwEETvSPyDtUjcqNNAGwhxKohAnBtQ1d7c2I0j&#10;4nVku03K17M9wW1ndzT7plhNtmcn7UPnUMB8lgDT2DjVYSvg6/P97hFYiBKV7B1qAWcdYFVeXxUy&#10;V27EtT7VsWUUgiGXAkyMQ855aIy2MszcoJFuB+etjCR9y5WXI4XbnqdJsuRWdkgfjBx0ZXTzXR+t&#10;gKo2frNID9W4O2/XPx+vScDdmxC3N9PLM7Cop/hnhgs+oUNJTHt3RBVYTzrLnshKw30KjAzLhwUt&#10;9gKyeQa8LPj/BuUvAAAA//8DAFBLAQItABQABgAIAAAAIQC2gziS/gAAAOEBAAATAAAAAAAAAAAA&#10;AAAAAAAAAABbQ29udGVudF9UeXBlc10ueG1sUEsBAi0AFAAGAAgAAAAhADj9If/WAAAAlAEAAAsA&#10;AAAAAAAAAAAAAAAALwEAAF9yZWxzLy5yZWxzUEsBAi0AFAAGAAgAAAAhAE4GzgtbAwAAEQoAAA4A&#10;AAAAAAAAAAAAAAAALgIAAGRycy9lMm9Eb2MueG1sUEsBAi0AFAAGAAgAAAAhAAXOERvfAAAACQEA&#10;AA8AAAAAAAAAAAAAAAAAtQUAAGRycy9kb3ducmV2LnhtbFBLBQYAAAAABAAEAPMAAADBBgAAAAA=&#10;" adj="-11796480,,5400" path="m170,r1,c141,,111,8,85,23,59,38,38,59,23,85,8,111,,141,,171l,852r,1c,882,8,912,23,938v15,26,36,47,62,62c111,1015,141,1023,171,1023r4432,l4604,1023v29,,59,-8,85,-23c4715,985,4736,964,4751,938v15,-26,23,-56,23,-85l4774,170r,1l4774,171v,-30,-8,-60,-23,-86c4736,59,4715,38,4689,23,4663,8,4633,,4604,l170,e" fillcolor="#d83a23" strokecolor="#3465a4">
                <v:stroke joinstyle="miter"/>
                <v:formulas/>
                <v:path arrowok="t" o:connecttype="custom" textboxrect="0,0,4775,1024"/>
                <v:textbox inset="0,0,0,0">
                  <w:txbxContent>
                    <w:p w14:paraId="6B078E8A" w14:textId="7B90E298" w:rsidR="000F0D13" w:rsidRPr="009C34E9" w:rsidRDefault="000F0D13" w:rsidP="009C34E9">
                      <w:pPr>
                        <w:spacing w:after="0"/>
                        <w:jc w:val="center"/>
                        <w:rPr>
                          <w:rFonts w:ascii="Open Sans" w:hAnsi="Open Sans" w:cs="Open Sans"/>
                        </w:rPr>
                      </w:pPr>
                      <w:r w:rsidRPr="009C34E9">
                        <w:rPr>
                          <w:rFonts w:ascii="Open Sans" w:hAnsi="Open Sans" w:cs="Open Sans"/>
                          <w:b/>
                          <w:bCs/>
                          <w:color w:val="FFFFFF"/>
                          <w:sz w:val="16"/>
                          <w:szCs w:val="16"/>
                          <w:u w:val="single"/>
                        </w:rPr>
                        <w:t>OTORGAMIENTO DE PLAZO PARA CUMPLIMIENTO</w:t>
                      </w:r>
                    </w:p>
                    <w:p w14:paraId="1BF4223F" w14:textId="77777777" w:rsidR="000F0D13" w:rsidRPr="009C34E9" w:rsidRDefault="000F0D13" w:rsidP="009C34E9">
                      <w:pPr>
                        <w:spacing w:after="0"/>
                        <w:jc w:val="center"/>
                        <w:rPr>
                          <w:rFonts w:ascii="Open Sans" w:hAnsi="Open Sans" w:cs="Open Sans"/>
                        </w:rPr>
                      </w:pPr>
                      <w:r w:rsidRPr="009C34E9">
                        <w:rPr>
                          <w:rFonts w:ascii="Open Sans" w:hAnsi="Open Sans" w:cs="Open Sans"/>
                          <w:color w:val="FFFFFF"/>
                          <w:sz w:val="16"/>
                          <w:szCs w:val="16"/>
                        </w:rPr>
                        <w:t>a la/s entidad/es afectada/s</w:t>
                      </w:r>
                    </w:p>
                  </w:txbxContent>
                </v:textbox>
              </v:shape>
            </w:pict>
          </mc:Fallback>
        </mc:AlternateContent>
      </w:r>
    </w:p>
    <w:p w14:paraId="49FBC46E" w14:textId="717E8CE2" w:rsidR="009568B0" w:rsidRPr="00A07BE9" w:rsidRDefault="009C34E9" w:rsidP="009568B0">
      <w:pPr>
        <w:spacing w:after="0" w:line="240" w:lineRule="auto"/>
        <w:jc w:val="both"/>
        <w:rPr>
          <w:rFonts w:ascii="Open Sans" w:eastAsia="NSimSun" w:hAnsi="Open Sans" w:cs="Arial"/>
          <w:kern w:val="2"/>
          <w:sz w:val="24"/>
          <w:szCs w:val="24"/>
          <w:lang w:eastAsia="zh-CN" w:bidi="hi-IN"/>
        </w:rPr>
      </w:pPr>
      <w:r w:rsidRPr="00A07BE9">
        <w:rPr>
          <w:rFonts w:ascii="Open Sans" w:eastAsia="NSimSun" w:hAnsi="Open Sans" w:cs="Arial"/>
          <w:noProof/>
          <w:kern w:val="2"/>
          <w:sz w:val="20"/>
          <w:szCs w:val="20"/>
          <w:lang w:eastAsia="es-ES"/>
        </w:rPr>
        <mc:AlternateContent>
          <mc:Choice Requires="wps">
            <w:drawing>
              <wp:anchor distT="0" distB="0" distL="0" distR="0" simplePos="0" relativeHeight="251847680" behindDoc="0" locked="0" layoutInCell="1" allowOverlap="1" wp14:anchorId="3CFAFCB9" wp14:editId="60B55998">
                <wp:simplePos x="0" y="0"/>
                <wp:positionH relativeFrom="column">
                  <wp:posOffset>2994615</wp:posOffset>
                </wp:positionH>
                <wp:positionV relativeFrom="paragraph">
                  <wp:posOffset>212540</wp:posOffset>
                </wp:positionV>
                <wp:extent cx="188273" cy="520852"/>
                <wp:effectExtent l="133350" t="0" r="116840" b="0"/>
                <wp:wrapNone/>
                <wp:docPr id="89" name="Forma7"/>
                <wp:cNvGraphicFramePr/>
                <a:graphic xmlns:a="http://schemas.openxmlformats.org/drawingml/2006/main">
                  <a:graphicData uri="http://schemas.microsoft.com/office/word/2010/wordprocessingShape">
                    <wps:wsp>
                      <wps:cNvSpPr/>
                      <wps:spPr>
                        <a:xfrm rot="18900000">
                          <a:off x="0" y="0"/>
                          <a:ext cx="188273" cy="520852"/>
                        </a:xfrm>
                        <a:custGeom>
                          <a:avLst/>
                          <a:gdLst/>
                          <a:ahLst/>
                          <a:cxnLst/>
                          <a:rect l="0" t="0" r="r" b="b"/>
                          <a:pathLst>
                            <a:path w="298" h="957">
                              <a:moveTo>
                                <a:pt x="75" y="0"/>
                              </a:moveTo>
                              <a:lnTo>
                                <a:pt x="75" y="717"/>
                              </a:lnTo>
                              <a:lnTo>
                                <a:pt x="0" y="717"/>
                              </a:lnTo>
                              <a:lnTo>
                                <a:pt x="149" y="956"/>
                              </a:lnTo>
                              <a:lnTo>
                                <a:pt x="297" y="717"/>
                              </a:lnTo>
                              <a:lnTo>
                                <a:pt x="222" y="717"/>
                              </a:lnTo>
                              <a:lnTo>
                                <a:pt x="222" y="0"/>
                              </a:lnTo>
                              <a:lnTo>
                                <a:pt x="75" y="0"/>
                              </a:lnTo>
                            </a:path>
                          </a:pathLst>
                        </a:custGeom>
                        <a:solidFill>
                          <a:srgbClr val="5B6770"/>
                        </a:solid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shape w14:anchorId="37BE8A47" id="Forma7" o:spid="_x0000_s1026" style="position:absolute;margin-left:235.8pt;margin-top:16.75pt;width:14.8pt;height:41pt;rotation:-45;z-index:25184768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coordsize="298,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sy0GgIAAO4EAAAOAAAAZHJzL2Uyb0RvYy54bWysVMtu2zAQvBfoPxC813rEsiTDctA2cC9F&#10;GyDpB9AUZQngCyRjyX/fJSU5rtsgaVEdqCW5HM7O7nJzOwiOjszYTskKJ4sYIyapqjt5qPCPx92H&#10;AiPriKwJV5JV+MQsvt2+f7fp9ZqlqlW8ZgYBiLTrXle4dU6vo8jSlgliF0ozCZuNMoI4mJpDVBvS&#10;A7rgURrHq6hXptZGUWYtrN6Nm3gb8JuGUfe9aSxziFcYuLkwmjDu/RhtN2R9MES3HZ1okH9gIUgn&#10;4dIz1B1xBD2Z7jco0VGjrGrcgioRqabpKAsxQDRJfBXNQ0s0C7GAOFafZbL/D5Z+O94b1NUVLkqM&#10;JBGQo51XO/fS9NquweNB35tpZsH0cQ6NEcgo0DMpyth/IXwICA1B3dNZXTY4RGExKYo0v8GIwlaW&#10;xkWW+iuiEctj0ifrvjAlvE2OX60bk1PPFmlniw5yNg2k+Dq5BiNI7n5MribOn/Og3kR9hdMSqrKt&#10;cJnlgbVQR/aogofz9PMMo5k/8Hve5vIPbnkStALHeXv+64AGZQdgr3klS9Af/MpsNckyo8z/ES0t&#10;8zfhpWn6V36hFV6M4UqRkRJ4e0VDDs8qw+JlHq3iXb3rOPfqWnPYf+YGHQl0Y/Zplefzrb+4cRmc&#10;Xzx5s1xlH5eTShcnA3t/lIXGHysk8jU8Vq239qo+hWIO69BUgf30APiuvZyDfflMbX8CAAD//wMA&#10;UEsDBBQABgAIAAAAIQBwYjDL4AAAAAoBAAAPAAAAZHJzL2Rvd25yZXYueG1sTI/BTsMwEETvSPyD&#10;tUjcqOMGlyrEqRASuUCl0iJ6dZMliRqvo9htw9+znOC4mqeZt/lqcr044xg6TwbULAGBVPm6o8bA&#10;x+7lbgkiREu17T2hgW8MsCqur3Kb1f5C73jexkZwCYXMGmhjHDIpQ9Wis2HmByTOvvzobORzbGQ9&#10;2guXu17Ok2Qhne2IF1o74HOL1XF7cgZ0unHrTfSvjdqt39S+LMuj+jTm9mZ6egQRcYp/MPzqszoU&#10;7HTwJ6qD6A3cP6gFowbSVINgQCdqDuLApNIaZJHL/y8UPwAAAP//AwBQSwECLQAUAAYACAAAACEA&#10;toM4kv4AAADhAQAAEwAAAAAAAAAAAAAAAAAAAAAAW0NvbnRlbnRfVHlwZXNdLnhtbFBLAQItABQA&#10;BgAIAAAAIQA4/SH/1gAAAJQBAAALAAAAAAAAAAAAAAAAAC8BAABfcmVscy8ucmVsc1BLAQItABQA&#10;BgAIAAAAIQBLvsy0GgIAAO4EAAAOAAAAAAAAAAAAAAAAAC4CAABkcnMvZTJvRG9jLnhtbFBLAQIt&#10;ABQABgAIAAAAIQBwYjDL4AAAAAoBAAAPAAAAAAAAAAAAAAAAAHQEAABkcnMvZG93bnJldi54bWxQ&#10;SwUGAAAAAAQABADzAAAAgQUAAAAA&#10;" path="m75,r,717l,717,149,956,297,717r-75,l222,,75,e" fillcolor="#5b6770" strokecolor="#3465a4">
                <v:path arrowok="t"/>
              </v:shape>
            </w:pict>
          </mc:Fallback>
        </mc:AlternateContent>
      </w:r>
    </w:p>
    <w:p w14:paraId="5AAB8F7E" w14:textId="1EEFC159" w:rsidR="009568B0" w:rsidRPr="00A07BE9" w:rsidRDefault="009C34E9" w:rsidP="009568B0">
      <w:pPr>
        <w:spacing w:after="0" w:line="240" w:lineRule="auto"/>
        <w:jc w:val="both"/>
        <w:rPr>
          <w:rFonts w:ascii="Open Sans" w:eastAsia="NSimSun" w:hAnsi="Open Sans" w:cs="Arial"/>
          <w:kern w:val="2"/>
          <w:sz w:val="24"/>
          <w:szCs w:val="24"/>
          <w:lang w:eastAsia="zh-CN" w:bidi="hi-IN"/>
        </w:rPr>
      </w:pPr>
      <w:r w:rsidRPr="00A07BE9">
        <w:rPr>
          <w:rFonts w:ascii="Open Sans" w:eastAsia="NSimSun" w:hAnsi="Open Sans" w:cs="Arial"/>
          <w:noProof/>
          <w:kern w:val="2"/>
          <w:sz w:val="20"/>
          <w:szCs w:val="20"/>
          <w:lang w:eastAsia="es-ES"/>
        </w:rPr>
        <mc:AlternateContent>
          <mc:Choice Requires="wps">
            <w:drawing>
              <wp:anchor distT="0" distB="0" distL="0" distR="0" simplePos="0" relativeHeight="251845632" behindDoc="0" locked="0" layoutInCell="1" allowOverlap="1" wp14:anchorId="31B6AA24" wp14:editId="1AA4A8D7">
                <wp:simplePos x="0" y="0"/>
                <wp:positionH relativeFrom="column">
                  <wp:posOffset>2108032</wp:posOffset>
                </wp:positionH>
                <wp:positionV relativeFrom="paragraph">
                  <wp:posOffset>14040</wp:posOffset>
                </wp:positionV>
                <wp:extent cx="199778" cy="501590"/>
                <wp:effectExtent l="0" t="131763" r="0" b="87947"/>
                <wp:wrapNone/>
                <wp:docPr id="87" name="Forma7"/>
                <wp:cNvGraphicFramePr/>
                <a:graphic xmlns:a="http://schemas.openxmlformats.org/drawingml/2006/main">
                  <a:graphicData uri="http://schemas.microsoft.com/office/word/2010/wordprocessingShape">
                    <wps:wsp>
                      <wps:cNvSpPr/>
                      <wps:spPr>
                        <a:xfrm rot="2700000">
                          <a:off x="0" y="0"/>
                          <a:ext cx="199778" cy="501590"/>
                        </a:xfrm>
                        <a:custGeom>
                          <a:avLst/>
                          <a:gdLst/>
                          <a:ahLst/>
                          <a:cxnLst/>
                          <a:rect l="0" t="0" r="r" b="b"/>
                          <a:pathLst>
                            <a:path w="320" h="1033">
                              <a:moveTo>
                                <a:pt x="80" y="0"/>
                              </a:moveTo>
                              <a:lnTo>
                                <a:pt x="80" y="774"/>
                              </a:lnTo>
                              <a:lnTo>
                                <a:pt x="0" y="774"/>
                              </a:lnTo>
                              <a:lnTo>
                                <a:pt x="160" y="1032"/>
                              </a:lnTo>
                              <a:lnTo>
                                <a:pt x="319" y="774"/>
                              </a:lnTo>
                              <a:lnTo>
                                <a:pt x="238" y="774"/>
                              </a:lnTo>
                              <a:lnTo>
                                <a:pt x="239" y="1"/>
                              </a:lnTo>
                              <a:lnTo>
                                <a:pt x="80" y="0"/>
                              </a:lnTo>
                            </a:path>
                          </a:pathLst>
                        </a:custGeom>
                        <a:solidFill>
                          <a:srgbClr val="5B6770"/>
                        </a:solidFill>
                        <a:ln>
                          <a:solidFill>
                            <a:srgbClr val="3465A4"/>
                          </a:solidFill>
                        </a:ln>
                        <a:effectLst/>
                      </wps:spPr>
                      <wps:bodyPr/>
                    </wps:wsp>
                  </a:graphicData>
                </a:graphic>
                <wp14:sizeRelH relativeFrom="margin">
                  <wp14:pctWidth>0</wp14:pctWidth>
                </wp14:sizeRelH>
                <wp14:sizeRelV relativeFrom="margin">
                  <wp14:pctHeight>0</wp14:pctHeight>
                </wp14:sizeRelV>
              </wp:anchor>
            </w:drawing>
          </mc:Choice>
          <mc:Fallback>
            <w:pict>
              <v:shape w14:anchorId="59653931" id="Forma7" o:spid="_x0000_s1026" style="position:absolute;margin-left:166pt;margin-top:1.1pt;width:15.75pt;height:39.5pt;rotation:45;z-index:25184563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coordsize="320,1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cjGFAIAAO8EAAAOAAAAZHJzL2Uyb0RvYy54bWysVNuO2yAQfa/Uf0C8N75t4sSKs2q7Sl+q&#10;dqXdfgDBOEbiJmDt5O874Dibpu1GquoHPDDDYc6ZgfX9QQrUM+u4VjXOZilGTFHdcLWv8Y/n7Ycl&#10;Rs4T1RChFavxkTl8v3n/bj2YiuW606JhFgGIctVgatx5b6okcbRjkriZNkyBs9VWEg9Tu08aSwZA&#10;lyLJ03SRDNo2xmrKnIPVh9GJNxG/bRn139vWMY9EjSE3H0cbx10Yk82aVHtLTMfpKQ3yD1lIwhUc&#10;eoZ6IJ6gF8t/g5KcWu1062dUy0S3LacscgA2WXrF5qkjhkUuII4zZ5nc/4Ol3/pHi3hT42WJkSIS&#10;arQNapdBmsG4CiKezKM9zRyYgeehtRJZDXrmZRq+yB74oEMU93gWlx08orCYrVZlCd1AwTVPs/kq&#10;ip+MUAGSvjj/hWkZbNJ/dX6sTTNZpJsselCTaaHC17W1GEFtd2NtDfFhXwANJhpqXOTQCR1klBZF&#10;TFvqnj3rGOJD/kvwTwQgwVe3UH8IK8u7cBQETu7pbyLaCHYrKluMcZBU/iZcka1idrcA8wLEBha3&#10;40a87M1TryQZGQLloGnkftYZFi8r6bTgzZYLEeR1dr/7LCzqCVzH+adFWU5N8EuYUDH4rzuLu8X8&#10;4yT6xc5YgrCVxZs/9kgSmnhs22DtdHOM3RzX4VbF7E8vQLi2l3OwL9+pzU8AAAD//wMAUEsDBBQA&#10;BgAIAAAAIQBLlCuU3wAAAAkBAAAPAAAAZHJzL2Rvd25yZXYueG1sTI/BTsMwDIbvSLxDZCRuLKHd&#10;aCl1J4TggsQkBkIcs8ZrC41TNelWeHrCCY62P/3+/nI9214caPSdY4TLhQJBXDvTcYPw+vJwkYPw&#10;QbPRvWNC+CIP6+r0pNSFcUd+psM2NCKGsC80QhvCUEjp65as9gs3EMfb3o1WhziOjTSjPsZw28tE&#10;qStpdcfxQ6sHumup/txOFsFvsr2Zg0rup7f+6ZvC+yN9LBHPz+bbGxCB5vAHw69+VIcqOu3cxMaL&#10;HiFVeRpRhGR1DSICaZ7FxQ5hlS1BVqX836D6AQAA//8DAFBLAQItABQABgAIAAAAIQC2gziS/gAA&#10;AOEBAAATAAAAAAAAAAAAAAAAAAAAAABbQ29udGVudF9UeXBlc10ueG1sUEsBAi0AFAAGAAgAAAAh&#10;ADj9If/WAAAAlAEAAAsAAAAAAAAAAAAAAAAALwEAAF9yZWxzLy5yZWxzUEsBAi0AFAAGAAgAAAAh&#10;AJ7RyMYUAgAA7wQAAA4AAAAAAAAAAAAAAAAALgIAAGRycy9lMm9Eb2MueG1sUEsBAi0AFAAGAAgA&#10;AAAhAEuUK5TfAAAACQEAAA8AAAAAAAAAAAAAAAAAbgQAAGRycy9kb3ducmV2LnhtbFBLBQYAAAAA&#10;BAAEAPMAAAB6BQAAAAA=&#10;" path="m80,r,774l,774r160,258l319,774r-81,l239,1,80,e" fillcolor="#5b6770" strokecolor="#3465a4">
                <v:path arrowok="t"/>
              </v:shape>
            </w:pict>
          </mc:Fallback>
        </mc:AlternateContent>
      </w:r>
    </w:p>
    <w:p w14:paraId="02ACC552" w14:textId="5237163B" w:rsidR="009568B0" w:rsidRPr="00A07BE9" w:rsidRDefault="009568B0" w:rsidP="009568B0">
      <w:pPr>
        <w:spacing w:after="0" w:line="240" w:lineRule="auto"/>
        <w:jc w:val="both"/>
        <w:rPr>
          <w:rFonts w:ascii="Open Sans" w:eastAsia="NSimSun" w:hAnsi="Open Sans" w:cs="Arial"/>
          <w:kern w:val="2"/>
          <w:sz w:val="24"/>
          <w:szCs w:val="24"/>
          <w:lang w:eastAsia="zh-CN" w:bidi="hi-IN"/>
        </w:rPr>
      </w:pPr>
    </w:p>
    <w:p w14:paraId="391A8786" w14:textId="265CB724" w:rsidR="009568B0" w:rsidRPr="00A07BE9" w:rsidRDefault="00422C6A" w:rsidP="009568B0">
      <w:pPr>
        <w:spacing w:after="0" w:line="240" w:lineRule="auto"/>
        <w:jc w:val="both"/>
        <w:rPr>
          <w:rFonts w:ascii="Open Sans" w:eastAsia="NSimSun" w:hAnsi="Open Sans" w:cs="Arial"/>
          <w:kern w:val="2"/>
          <w:sz w:val="24"/>
          <w:szCs w:val="24"/>
          <w:lang w:eastAsia="zh-CN" w:bidi="hi-IN"/>
        </w:rPr>
      </w:pPr>
      <w:r w:rsidRPr="00A07BE9">
        <w:rPr>
          <w:rFonts w:ascii="Open Sans" w:eastAsia="NSimSun" w:hAnsi="Open Sans" w:cs="Arial"/>
          <w:noProof/>
          <w:kern w:val="2"/>
          <w:sz w:val="20"/>
          <w:szCs w:val="20"/>
          <w:lang w:eastAsia="es-ES"/>
        </w:rPr>
        <mc:AlternateContent>
          <mc:Choice Requires="wps">
            <w:drawing>
              <wp:anchor distT="0" distB="0" distL="0" distR="0" simplePos="0" relativeHeight="251846656" behindDoc="0" locked="0" layoutInCell="1" allowOverlap="1" wp14:anchorId="5C6C5EE7" wp14:editId="1EF0C412">
                <wp:simplePos x="0" y="0"/>
                <wp:positionH relativeFrom="column">
                  <wp:posOffset>2701290</wp:posOffset>
                </wp:positionH>
                <wp:positionV relativeFrom="paragraph">
                  <wp:posOffset>10160</wp:posOffset>
                </wp:positionV>
                <wp:extent cx="2857500" cy="1076325"/>
                <wp:effectExtent l="0" t="0" r="19050" b="28575"/>
                <wp:wrapNone/>
                <wp:docPr id="88" name="Forma1"/>
                <wp:cNvGraphicFramePr/>
                <a:graphic xmlns:a="http://schemas.openxmlformats.org/drawingml/2006/main">
                  <a:graphicData uri="http://schemas.microsoft.com/office/word/2010/wordprocessingShape">
                    <wps:wsp>
                      <wps:cNvSpPr/>
                      <wps:spPr>
                        <a:xfrm>
                          <a:off x="0" y="0"/>
                          <a:ext cx="2857500" cy="1076325"/>
                        </a:xfrm>
                        <a:custGeom>
                          <a:avLst/>
                          <a:gdLst/>
                          <a:ahLst/>
                          <a:cxnLst/>
                          <a:rect l="0" t="0" r="r" b="b"/>
                          <a:pathLst>
                            <a:path w="4773" h="1912">
                              <a:moveTo>
                                <a:pt x="318" y="0"/>
                              </a:moveTo>
                              <a:lnTo>
                                <a:pt x="319" y="0"/>
                              </a:lnTo>
                              <a:cubicBezTo>
                                <a:pt x="263" y="0"/>
                                <a:pt x="208" y="15"/>
                                <a:pt x="159" y="43"/>
                              </a:cubicBezTo>
                              <a:cubicBezTo>
                                <a:pt x="111" y="71"/>
                                <a:pt x="71" y="111"/>
                                <a:pt x="43" y="159"/>
                              </a:cubicBezTo>
                              <a:cubicBezTo>
                                <a:pt x="15" y="208"/>
                                <a:pt x="0" y="263"/>
                                <a:pt x="0" y="319"/>
                              </a:cubicBezTo>
                              <a:lnTo>
                                <a:pt x="0" y="1592"/>
                              </a:lnTo>
                              <a:lnTo>
                                <a:pt x="0" y="1593"/>
                              </a:lnTo>
                              <a:cubicBezTo>
                                <a:pt x="0" y="1648"/>
                                <a:pt x="15" y="1703"/>
                                <a:pt x="43" y="1752"/>
                              </a:cubicBezTo>
                              <a:cubicBezTo>
                                <a:pt x="71" y="1800"/>
                                <a:pt x="111" y="1840"/>
                                <a:pt x="159" y="1868"/>
                              </a:cubicBezTo>
                              <a:cubicBezTo>
                                <a:pt x="208" y="1896"/>
                                <a:pt x="263" y="1911"/>
                                <a:pt x="319" y="1911"/>
                              </a:cubicBezTo>
                              <a:lnTo>
                                <a:pt x="4453" y="1910"/>
                              </a:lnTo>
                              <a:lnTo>
                                <a:pt x="4454" y="1911"/>
                              </a:lnTo>
                              <a:cubicBezTo>
                                <a:pt x="4509" y="1911"/>
                                <a:pt x="4564" y="1896"/>
                                <a:pt x="4613" y="1868"/>
                              </a:cubicBezTo>
                              <a:cubicBezTo>
                                <a:pt x="4661" y="1840"/>
                                <a:pt x="4701" y="1800"/>
                                <a:pt x="4729" y="1752"/>
                              </a:cubicBezTo>
                              <a:cubicBezTo>
                                <a:pt x="4757" y="1703"/>
                                <a:pt x="4772" y="1648"/>
                                <a:pt x="4772" y="1593"/>
                              </a:cubicBezTo>
                              <a:lnTo>
                                <a:pt x="4772" y="318"/>
                              </a:lnTo>
                              <a:lnTo>
                                <a:pt x="4772" y="319"/>
                              </a:lnTo>
                              <a:lnTo>
                                <a:pt x="4772" y="319"/>
                              </a:lnTo>
                              <a:cubicBezTo>
                                <a:pt x="4772" y="263"/>
                                <a:pt x="4757" y="208"/>
                                <a:pt x="4729" y="159"/>
                              </a:cubicBezTo>
                              <a:cubicBezTo>
                                <a:pt x="4701" y="111"/>
                                <a:pt x="4661" y="71"/>
                                <a:pt x="4613" y="43"/>
                              </a:cubicBezTo>
                              <a:cubicBezTo>
                                <a:pt x="4564" y="15"/>
                                <a:pt x="4509" y="0"/>
                                <a:pt x="4454" y="0"/>
                              </a:cubicBezTo>
                              <a:lnTo>
                                <a:pt x="318" y="0"/>
                              </a:lnTo>
                            </a:path>
                          </a:pathLst>
                        </a:custGeom>
                        <a:solidFill>
                          <a:srgbClr val="FFA6A6"/>
                        </a:solidFill>
                        <a:ln>
                          <a:solidFill>
                            <a:srgbClr val="3465A4"/>
                          </a:solidFill>
                        </a:ln>
                        <a:effectLst/>
                      </wps:spPr>
                      <wps:txbx>
                        <w:txbxContent>
                          <w:p w14:paraId="5CA7D2BF" w14:textId="77777777" w:rsidR="000F0D13" w:rsidRPr="009C34E9" w:rsidRDefault="000F0D13" w:rsidP="009C34E9">
                            <w:pPr>
                              <w:spacing w:after="0"/>
                              <w:jc w:val="center"/>
                              <w:rPr>
                                <w:rFonts w:ascii="Open Sans" w:hAnsi="Open Sans" w:cs="Open Sans"/>
                              </w:rPr>
                            </w:pPr>
                            <w:r w:rsidRPr="009C34E9">
                              <w:rPr>
                                <w:rFonts w:ascii="Open Sans" w:hAnsi="Open Sans" w:cs="Open Sans"/>
                                <w:color w:val="FFFFFF"/>
                                <w:sz w:val="16"/>
                                <w:szCs w:val="16"/>
                              </w:rPr>
                              <w:t>Si la entidad NO emite informe de cumplimiento de las</w:t>
                            </w:r>
                          </w:p>
                          <w:p w14:paraId="2D4CD6B5" w14:textId="77777777" w:rsidR="000F0D13" w:rsidRPr="009C34E9" w:rsidRDefault="000F0D13" w:rsidP="009C34E9">
                            <w:pPr>
                              <w:spacing w:after="0"/>
                              <w:jc w:val="center"/>
                              <w:rPr>
                                <w:rFonts w:ascii="Open Sans" w:hAnsi="Open Sans" w:cs="Open Sans"/>
                              </w:rPr>
                            </w:pPr>
                            <w:r w:rsidRPr="009C34E9">
                              <w:rPr>
                                <w:rFonts w:ascii="Open Sans" w:hAnsi="Open Sans" w:cs="Open Sans"/>
                                <w:color w:val="FFFFFF"/>
                                <w:sz w:val="16"/>
                                <w:szCs w:val="16"/>
                              </w:rPr>
                              <w:t xml:space="preserve">recomendaciones, o impide a la Agencia el ejercicio legítimo </w:t>
                            </w:r>
                          </w:p>
                          <w:p w14:paraId="77D5B81D" w14:textId="77777777" w:rsidR="000F0D13" w:rsidRPr="009C34E9" w:rsidRDefault="000F0D13" w:rsidP="009C34E9">
                            <w:pPr>
                              <w:spacing w:after="0"/>
                              <w:jc w:val="center"/>
                              <w:rPr>
                                <w:rFonts w:ascii="Open Sans" w:hAnsi="Open Sans" w:cs="Open Sans"/>
                              </w:rPr>
                            </w:pPr>
                            <w:r w:rsidRPr="009C34E9">
                              <w:rPr>
                                <w:rFonts w:ascii="Open Sans" w:hAnsi="Open Sans" w:cs="Open Sans"/>
                                <w:color w:val="FFFFFF"/>
                                <w:sz w:val="16"/>
                                <w:szCs w:val="16"/>
                              </w:rPr>
                              <w:t>de sus funciones se procede a la</w:t>
                            </w:r>
                          </w:p>
                          <w:p w14:paraId="0E59A745" w14:textId="3637ABF5" w:rsidR="000F0D13" w:rsidRPr="009C34E9" w:rsidRDefault="000F0D13" w:rsidP="00422C6A">
                            <w:pPr>
                              <w:spacing w:after="0"/>
                              <w:jc w:val="center"/>
                              <w:rPr>
                                <w:rFonts w:ascii="Open Sans" w:hAnsi="Open Sans" w:cs="Open Sans"/>
                              </w:rPr>
                            </w:pPr>
                            <w:r w:rsidRPr="009C34E9">
                              <w:rPr>
                                <w:rFonts w:ascii="Open Sans" w:hAnsi="Open Sans" w:cs="Open Sans"/>
                                <w:b/>
                                <w:bCs/>
                                <w:color w:val="FFFFFF"/>
                                <w:sz w:val="16"/>
                                <w:szCs w:val="16"/>
                                <w:u w:val="single"/>
                              </w:rPr>
                              <w:t>COMUNICACIÓN Y TRASLADO A LOS ORGANISMOS COMPETENTES</w:t>
                            </w:r>
                          </w:p>
                          <w:p w14:paraId="2072B146" w14:textId="77777777" w:rsidR="000F0D13" w:rsidRPr="009C34E9" w:rsidRDefault="000F0D13" w:rsidP="009C34E9">
                            <w:pPr>
                              <w:spacing w:after="0"/>
                              <w:jc w:val="center"/>
                              <w:rPr>
                                <w:rFonts w:ascii="Open Sans" w:hAnsi="Open Sans" w:cs="Open Sans"/>
                              </w:rPr>
                            </w:pPr>
                            <w:r w:rsidRPr="009C34E9">
                              <w:rPr>
                                <w:rFonts w:ascii="Open Sans" w:hAnsi="Open Sans" w:cs="Open Sans"/>
                                <w:color w:val="FFFFFF"/>
                                <w:sz w:val="16"/>
                                <w:szCs w:val="16"/>
                              </w:rPr>
                              <w:t>para la depuración de las posibles responsabilidades.</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5C6C5EE7" id="_x0000_s1062" style="position:absolute;left:0;text-align:left;margin-left:212.7pt;margin-top:.8pt;width:225pt;height:84.75pt;z-index:25184665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4773,191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PkiaQMAACsKAAAOAAAAZHJzL2Uyb0RvYy54bWysVttu2zAMfR+wfzD8vvoSX5KgadGt6DBg&#10;2Aq0+wBFlhMDtuVJyqX7+lEXOpHbYciwF1sSqUPykBJ1fXvs2mDPhGx4vwqTqzgMWE951fSbVfjj&#10;+eHDPAykIn1FWt6zVfjCZHh78/7d9WFYspRveVsxEQBIL5eHYRVulRqWUSTplnVEXvGB9SCsueiI&#10;gqnYRJUgB0Dv2iiN4yI6cFENglMmJazeW2F4Y/DrmlH1va4lU0G7CsE3Zb7CfNf6G91ck+VGkGHb&#10;UOcG+QcvOtL0YHSEuieKBDvRvILqGiq45LW6oryLeF03lJkYIJoknkTztCUDM7EAOXIYaZL/D5Z+&#10;2z8NjwJoOAxyKWGoozjWotN/8C84GrJeRrLYUQUUFtN5XuYxcEpBlsRlMUtzTWd02k53Un1m3ECR&#10;/VepLNsVjsgWR/TY41BAzqbZEmEA2VrbbA1E6X3aPz0MDqswK8tZGGzBj0WSmjx0fM+eudFROoRZ&#10;AoWIQYCLJ3nb+3oLTw+ldLdu6Ef261w3LcAoYoIzxlAaW0OJIQNXk9zCZjNHkY/nzyxQkiQGvUxc&#10;2AYeZtqkFhoyrS7AmlWwYjPgA/ozB5+bLdrdMyBIJ6DrwF4tzpK3wZEhC2sBINzUeYJi/E/UkA8U&#10;v+Wqwywyz1Ug2MRcxp6zSEWZowc+pD+z3iCpcyjns7gxA8k889ddMpN5YTyCcvJR/Zm1MdbFfFGc&#10;G8Eigsr1UqrpNvG59VdGkDELn2W5q4FFYpwFfdTA/6iZTZFR4y3Hszz2PcGazvLCAU1CyorE+XIJ&#10;QVlRuNqe0J2VMQr8/GRl6jy7JNlZmZdvV05ZplYwqTS4XZwgX2C9+kwhf45h1NeXjj2PqID/V4p4&#10;tlAB/39V9B2ZqE8O8hj65NSfiLzgAjmlxS/cMY/+xTUWxQVX4KnCvMt0rEjvVMIJsOWI5e8z4xM6&#10;bQdWCmdGdxTTw8YuYw7eqY9J3jbVQ9O2urdIsVl/akWwJ/C8eHi4K+7M2YYtnlrbG+U/7pxlRX6X&#10;uVI522nOsN7KzEvGdsjo1Kj1SB3Xx6CpoMMZ03ppzauXRxEc4FWzCuXPHREsDNovPTwb4CpVOBA4&#10;WOOA9HTL4XFElTBNtOd3O8XrRvdtY9Yiuwm8SAxT7vWknzznc6N1euPd/AYAAP//AwBQSwMEFAAG&#10;AAgAAAAhAKkPHQDgAAAACQEAAA8AAABkcnMvZG93bnJldi54bWxMj0FLw0AQhe+C/2EZwUuxm5Ta&#10;1phNUUFQKFhrULxts2MSzM7G7LZd/fVOT3r8eI833+TLaDuxx8G3jhSk4wQEUuVMS7WC8uX+YgHC&#10;B01Gd45QwTd6WBanJ7nOjDvQM+43oRY8Qj7TCpoQ+kxKXzVotR+7HomzDzdYHRiHWppBH3jcdnKS&#10;JDNpdUt8odE93jVYfW52VsFTfI9vZrR6+Hm8La+a8ut1PVpbpc7P4s01iIAx/JXhqM/qULDT1u3I&#10;eNEpmE4up1zlYAaC88X8yFvmeZqCLHL5/4PiFwAA//8DAFBLAQItABQABgAIAAAAIQC2gziS/gAA&#10;AOEBAAATAAAAAAAAAAAAAAAAAAAAAABbQ29udGVudF9UeXBlc10ueG1sUEsBAi0AFAAGAAgAAAAh&#10;ADj9If/WAAAAlAEAAAsAAAAAAAAAAAAAAAAALwEAAF9yZWxzLy5yZWxzUEsBAi0AFAAGAAgAAAAh&#10;AKnk+SJpAwAAKwoAAA4AAAAAAAAAAAAAAAAALgIAAGRycy9lMm9Eb2MueG1sUEsBAi0AFAAGAAgA&#10;AAAhAKkPHQDgAAAACQEAAA8AAAAAAAAAAAAAAAAAwwUAAGRycy9kb3ducmV2LnhtbFBLBQYAAAAA&#10;BAAEAPMAAADQBgAAAAA=&#10;" adj="-11796480,,5400" path="m318,r1,c263,,208,15,159,43,111,71,71,111,43,159,15,208,,263,,319l,1592r,1c,1648,15,1703,43,1752v28,48,68,88,116,116c208,1896,263,1911,319,1911r4134,-1l4454,1911v55,,110,-15,159,-43c4661,1840,4701,1800,4729,1752v28,-49,43,-104,43,-159l4772,318r,1l4772,319v,-56,-15,-111,-43,-160c4701,111,4661,71,4613,43,4564,15,4509,,4454,l318,e" fillcolor="#ffa6a6" strokecolor="#3465a4">
                <v:stroke joinstyle="miter"/>
                <v:formulas/>
                <v:path arrowok="t" o:connecttype="custom" textboxrect="0,0,4773,1912"/>
                <v:textbox inset="0,0,0,0">
                  <w:txbxContent>
                    <w:p w14:paraId="5CA7D2BF" w14:textId="77777777" w:rsidR="000F0D13" w:rsidRPr="009C34E9" w:rsidRDefault="000F0D13" w:rsidP="009C34E9">
                      <w:pPr>
                        <w:spacing w:after="0"/>
                        <w:jc w:val="center"/>
                        <w:rPr>
                          <w:rFonts w:ascii="Open Sans" w:hAnsi="Open Sans" w:cs="Open Sans"/>
                        </w:rPr>
                      </w:pPr>
                      <w:r w:rsidRPr="009C34E9">
                        <w:rPr>
                          <w:rFonts w:ascii="Open Sans" w:hAnsi="Open Sans" w:cs="Open Sans"/>
                          <w:color w:val="FFFFFF"/>
                          <w:sz w:val="16"/>
                          <w:szCs w:val="16"/>
                        </w:rPr>
                        <w:t>Si la entidad NO emite informe de cumplimiento de las</w:t>
                      </w:r>
                    </w:p>
                    <w:p w14:paraId="2D4CD6B5" w14:textId="77777777" w:rsidR="000F0D13" w:rsidRPr="009C34E9" w:rsidRDefault="000F0D13" w:rsidP="009C34E9">
                      <w:pPr>
                        <w:spacing w:after="0"/>
                        <w:jc w:val="center"/>
                        <w:rPr>
                          <w:rFonts w:ascii="Open Sans" w:hAnsi="Open Sans" w:cs="Open Sans"/>
                        </w:rPr>
                      </w:pPr>
                      <w:r w:rsidRPr="009C34E9">
                        <w:rPr>
                          <w:rFonts w:ascii="Open Sans" w:hAnsi="Open Sans" w:cs="Open Sans"/>
                          <w:color w:val="FFFFFF"/>
                          <w:sz w:val="16"/>
                          <w:szCs w:val="16"/>
                        </w:rPr>
                        <w:t xml:space="preserve">recomendaciones, o impide a la Agencia el ejercicio legítimo </w:t>
                      </w:r>
                    </w:p>
                    <w:p w14:paraId="77D5B81D" w14:textId="77777777" w:rsidR="000F0D13" w:rsidRPr="009C34E9" w:rsidRDefault="000F0D13" w:rsidP="009C34E9">
                      <w:pPr>
                        <w:spacing w:after="0"/>
                        <w:jc w:val="center"/>
                        <w:rPr>
                          <w:rFonts w:ascii="Open Sans" w:hAnsi="Open Sans" w:cs="Open Sans"/>
                        </w:rPr>
                      </w:pPr>
                      <w:r w:rsidRPr="009C34E9">
                        <w:rPr>
                          <w:rFonts w:ascii="Open Sans" w:hAnsi="Open Sans" w:cs="Open Sans"/>
                          <w:color w:val="FFFFFF"/>
                          <w:sz w:val="16"/>
                          <w:szCs w:val="16"/>
                        </w:rPr>
                        <w:t>de sus funciones se procede a la</w:t>
                      </w:r>
                    </w:p>
                    <w:p w14:paraId="0E59A745" w14:textId="3637ABF5" w:rsidR="000F0D13" w:rsidRPr="009C34E9" w:rsidRDefault="000F0D13" w:rsidP="00422C6A">
                      <w:pPr>
                        <w:spacing w:after="0"/>
                        <w:jc w:val="center"/>
                        <w:rPr>
                          <w:rFonts w:ascii="Open Sans" w:hAnsi="Open Sans" w:cs="Open Sans"/>
                        </w:rPr>
                      </w:pPr>
                      <w:r w:rsidRPr="009C34E9">
                        <w:rPr>
                          <w:rFonts w:ascii="Open Sans" w:hAnsi="Open Sans" w:cs="Open Sans"/>
                          <w:b/>
                          <w:bCs/>
                          <w:color w:val="FFFFFF"/>
                          <w:sz w:val="16"/>
                          <w:szCs w:val="16"/>
                          <w:u w:val="single"/>
                        </w:rPr>
                        <w:t>COMUNICACIÓN Y TRASLADO A LOS ORGANISMOS COMPETENTES</w:t>
                      </w:r>
                    </w:p>
                    <w:p w14:paraId="2072B146" w14:textId="77777777" w:rsidR="000F0D13" w:rsidRPr="009C34E9" w:rsidRDefault="000F0D13" w:rsidP="009C34E9">
                      <w:pPr>
                        <w:spacing w:after="0"/>
                        <w:jc w:val="center"/>
                        <w:rPr>
                          <w:rFonts w:ascii="Open Sans" w:hAnsi="Open Sans" w:cs="Open Sans"/>
                        </w:rPr>
                      </w:pPr>
                      <w:r w:rsidRPr="009C34E9">
                        <w:rPr>
                          <w:rFonts w:ascii="Open Sans" w:hAnsi="Open Sans" w:cs="Open Sans"/>
                          <w:color w:val="FFFFFF"/>
                          <w:sz w:val="16"/>
                          <w:szCs w:val="16"/>
                        </w:rPr>
                        <w:t>para la depuración de las posibles responsabilidades.</w:t>
                      </w:r>
                    </w:p>
                  </w:txbxContent>
                </v:textbox>
              </v:shape>
            </w:pict>
          </mc:Fallback>
        </mc:AlternateContent>
      </w:r>
      <w:r w:rsidR="009C34E9" w:rsidRPr="00A07BE9">
        <w:rPr>
          <w:rFonts w:ascii="Open Sans" w:eastAsia="NSimSun" w:hAnsi="Open Sans" w:cs="Arial"/>
          <w:noProof/>
          <w:kern w:val="2"/>
          <w:sz w:val="20"/>
          <w:szCs w:val="20"/>
          <w:lang w:eastAsia="es-ES"/>
        </w:rPr>
        <mc:AlternateContent>
          <mc:Choice Requires="wps">
            <w:drawing>
              <wp:anchor distT="0" distB="0" distL="0" distR="0" simplePos="0" relativeHeight="251843584" behindDoc="0" locked="0" layoutInCell="1" allowOverlap="1" wp14:anchorId="706CABAF" wp14:editId="0D52C008">
                <wp:simplePos x="0" y="0"/>
                <wp:positionH relativeFrom="column">
                  <wp:posOffset>52070</wp:posOffset>
                </wp:positionH>
                <wp:positionV relativeFrom="paragraph">
                  <wp:posOffset>62865</wp:posOffset>
                </wp:positionV>
                <wp:extent cx="2562225" cy="742950"/>
                <wp:effectExtent l="0" t="0" r="28575" b="19050"/>
                <wp:wrapNone/>
                <wp:docPr id="85" name="Forma1"/>
                <wp:cNvGraphicFramePr/>
                <a:graphic xmlns:a="http://schemas.openxmlformats.org/drawingml/2006/main">
                  <a:graphicData uri="http://schemas.microsoft.com/office/word/2010/wordprocessingShape">
                    <wps:wsp>
                      <wps:cNvSpPr/>
                      <wps:spPr>
                        <a:xfrm>
                          <a:off x="0" y="0"/>
                          <a:ext cx="2562225" cy="742950"/>
                        </a:xfrm>
                        <a:custGeom>
                          <a:avLst/>
                          <a:gdLst/>
                          <a:ahLst/>
                          <a:cxnLst/>
                          <a:rect l="0" t="0" r="r" b="b"/>
                          <a:pathLst>
                            <a:path w="4773" h="1912">
                              <a:moveTo>
                                <a:pt x="318" y="0"/>
                              </a:moveTo>
                              <a:lnTo>
                                <a:pt x="319" y="0"/>
                              </a:lnTo>
                              <a:cubicBezTo>
                                <a:pt x="263" y="0"/>
                                <a:pt x="208" y="15"/>
                                <a:pt x="159" y="43"/>
                              </a:cubicBezTo>
                              <a:cubicBezTo>
                                <a:pt x="111" y="71"/>
                                <a:pt x="71" y="111"/>
                                <a:pt x="43" y="159"/>
                              </a:cubicBezTo>
                              <a:cubicBezTo>
                                <a:pt x="15" y="208"/>
                                <a:pt x="0" y="263"/>
                                <a:pt x="0" y="319"/>
                              </a:cubicBezTo>
                              <a:lnTo>
                                <a:pt x="0" y="1592"/>
                              </a:lnTo>
                              <a:lnTo>
                                <a:pt x="0" y="1593"/>
                              </a:lnTo>
                              <a:cubicBezTo>
                                <a:pt x="0" y="1648"/>
                                <a:pt x="15" y="1703"/>
                                <a:pt x="43" y="1752"/>
                              </a:cubicBezTo>
                              <a:cubicBezTo>
                                <a:pt x="71" y="1800"/>
                                <a:pt x="111" y="1840"/>
                                <a:pt x="159" y="1868"/>
                              </a:cubicBezTo>
                              <a:cubicBezTo>
                                <a:pt x="208" y="1896"/>
                                <a:pt x="263" y="1911"/>
                                <a:pt x="319" y="1911"/>
                              </a:cubicBezTo>
                              <a:lnTo>
                                <a:pt x="4453" y="1910"/>
                              </a:lnTo>
                              <a:lnTo>
                                <a:pt x="4454" y="1911"/>
                              </a:lnTo>
                              <a:cubicBezTo>
                                <a:pt x="4509" y="1911"/>
                                <a:pt x="4564" y="1896"/>
                                <a:pt x="4613" y="1868"/>
                              </a:cubicBezTo>
                              <a:cubicBezTo>
                                <a:pt x="4661" y="1840"/>
                                <a:pt x="4701" y="1800"/>
                                <a:pt x="4729" y="1752"/>
                              </a:cubicBezTo>
                              <a:cubicBezTo>
                                <a:pt x="4757" y="1703"/>
                                <a:pt x="4772" y="1648"/>
                                <a:pt x="4772" y="1593"/>
                              </a:cubicBezTo>
                              <a:lnTo>
                                <a:pt x="4772" y="318"/>
                              </a:lnTo>
                              <a:lnTo>
                                <a:pt x="4772" y="319"/>
                              </a:lnTo>
                              <a:lnTo>
                                <a:pt x="4772" y="319"/>
                              </a:lnTo>
                              <a:cubicBezTo>
                                <a:pt x="4772" y="263"/>
                                <a:pt x="4757" y="208"/>
                                <a:pt x="4729" y="159"/>
                              </a:cubicBezTo>
                              <a:cubicBezTo>
                                <a:pt x="4701" y="111"/>
                                <a:pt x="4661" y="71"/>
                                <a:pt x="4613" y="43"/>
                              </a:cubicBezTo>
                              <a:cubicBezTo>
                                <a:pt x="4564" y="15"/>
                                <a:pt x="4509" y="0"/>
                                <a:pt x="4454" y="0"/>
                              </a:cubicBezTo>
                              <a:lnTo>
                                <a:pt x="318" y="0"/>
                              </a:lnTo>
                            </a:path>
                          </a:pathLst>
                        </a:custGeom>
                        <a:solidFill>
                          <a:srgbClr val="FFA6A6"/>
                        </a:solidFill>
                        <a:ln>
                          <a:solidFill>
                            <a:srgbClr val="3465A4"/>
                          </a:solidFill>
                        </a:ln>
                        <a:effectLst/>
                      </wps:spPr>
                      <wps:txbx>
                        <w:txbxContent>
                          <w:p w14:paraId="3F7AFD1A" w14:textId="77777777" w:rsidR="000F0D13" w:rsidRPr="009C34E9" w:rsidRDefault="000F0D13" w:rsidP="009C34E9">
                            <w:pPr>
                              <w:spacing w:after="0"/>
                              <w:jc w:val="center"/>
                              <w:rPr>
                                <w:rFonts w:ascii="Open Sans" w:hAnsi="Open Sans" w:cs="Open Sans"/>
                              </w:rPr>
                            </w:pPr>
                            <w:r w:rsidRPr="009C34E9">
                              <w:rPr>
                                <w:rFonts w:ascii="Open Sans" w:hAnsi="Open Sans" w:cs="Open Sans"/>
                                <w:color w:val="FFFFFF"/>
                                <w:sz w:val="16"/>
                                <w:szCs w:val="16"/>
                              </w:rPr>
                              <w:t>Si la entidad emite informe de cumplimiento de las</w:t>
                            </w:r>
                          </w:p>
                          <w:p w14:paraId="6C4CA450" w14:textId="77777777" w:rsidR="000F0D13" w:rsidRPr="009C34E9" w:rsidRDefault="000F0D13" w:rsidP="009C34E9">
                            <w:pPr>
                              <w:spacing w:after="0"/>
                              <w:jc w:val="center"/>
                              <w:rPr>
                                <w:rFonts w:ascii="Open Sans" w:hAnsi="Open Sans" w:cs="Open Sans"/>
                              </w:rPr>
                            </w:pPr>
                            <w:r w:rsidRPr="009C34E9">
                              <w:rPr>
                                <w:rFonts w:ascii="Open Sans" w:hAnsi="Open Sans" w:cs="Open Sans"/>
                                <w:color w:val="FFFFFF"/>
                                <w:sz w:val="16"/>
                                <w:szCs w:val="16"/>
                              </w:rPr>
                              <w:t>recomendaciones se procede a la</w:t>
                            </w:r>
                          </w:p>
                          <w:p w14:paraId="1D25A710" w14:textId="77777777" w:rsidR="000F0D13" w:rsidRPr="009C34E9" w:rsidRDefault="000F0D13" w:rsidP="009C34E9">
                            <w:pPr>
                              <w:spacing w:after="0"/>
                              <w:jc w:val="center"/>
                              <w:rPr>
                                <w:rFonts w:ascii="Open Sans" w:hAnsi="Open Sans" w:cs="Open Sans"/>
                              </w:rPr>
                            </w:pPr>
                            <w:r w:rsidRPr="009C34E9">
                              <w:rPr>
                                <w:rFonts w:ascii="Open Sans" w:hAnsi="Open Sans" w:cs="Open Sans"/>
                                <w:b/>
                                <w:bCs/>
                                <w:color w:val="FFFFFF"/>
                                <w:sz w:val="16"/>
                                <w:szCs w:val="16"/>
                                <w:u w:val="single"/>
                              </w:rPr>
                              <w:t>FINALIZACIÓN Y ARCHIVO</w:t>
                            </w:r>
                          </w:p>
                          <w:p w14:paraId="7738E4A0" w14:textId="77777777" w:rsidR="000F0D13" w:rsidRPr="009C34E9" w:rsidRDefault="000F0D13" w:rsidP="009C34E9">
                            <w:pPr>
                              <w:spacing w:after="0"/>
                              <w:jc w:val="center"/>
                              <w:rPr>
                                <w:rFonts w:ascii="Open Sans" w:hAnsi="Open Sans" w:cs="Open Sans"/>
                              </w:rPr>
                            </w:pPr>
                            <w:r w:rsidRPr="009C34E9">
                              <w:rPr>
                                <w:rFonts w:ascii="Open Sans" w:hAnsi="Open Sans" w:cs="Open Sans"/>
                                <w:color w:val="FFFFFF"/>
                                <w:sz w:val="16"/>
                                <w:szCs w:val="16"/>
                              </w:rPr>
                              <w:t>de la Fase de Seguimiento.</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706CABAF" id="_x0000_s1063" style="position:absolute;left:0;text-align:left;margin-left:4.1pt;margin-top:4.95pt;width:201.75pt;height:58.5pt;z-index:25184358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4773,191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cETYAMAACoKAAAOAAAAZHJzL2Uyb0RvYy54bWysVtuO0zAQfUfiH6K8s7nUSdpqu2gBLUJC&#10;gAR8gOs420hJHGz3snw948ukdXYRLOIlsWfGxzNnZmxfvz71XXTgUrVi2MTZVRpHfGCibof7Tfz9&#10;292rZRwpTYeadmLgm/iBq/j1zcsX18dxzXOxE13NZQQgg1ofx02803pcJ4liO95TdSVGPoCyEbKn&#10;GqbyPqklPQJ63yV5mpbJUch6lIJxpUD6zinjG4vfNJzpz02juI66TQy+afuV9rs13+Tmmq7vJR13&#10;LfNu0H/woqftAJtOUO+optFeto+g+pZJoUSjr5joE9E0LeM2BogmS2fRfN3RkdtYgBw1TjSp/wfL&#10;Ph2+jl8k0HAc1VrB0ERxamRv/uBfdLJkPUxk8ZOOGAjzoszzvIgjBrqK5KvCspmcV7O90u+5sEj0&#10;8FFpR3aNI7rDETsNOJSQsnmyZBxBsrYuWSPVZp1xzwyj4yYmVbWIox3U3yrLbRp6ceDfhLXRJoJF&#10;BnWIMYCLZ303hHarwA61bL9t2Rv+89I2L2FTxARn7EZ56jbKCu+tlWaFgyULI4X9Q7xw5oCyLLPo&#10;VXYJBDOzpVFaMp0twFop7PLX8JA4ADLuXgBBhxghBPZIuMieBkeGnCcOAMLNvSeoxv/MDPlA9VNM&#10;eMySBK4CwTbmKg2cRSqqAj0IIcOZ8wZJXab+PHBizEC2JKHcJzNbltajv0rnVBfLVXlJLhYRVG6Q&#10;UkO3jc/LH22CjDlfCSl8DawybEO0wP9kSebIaPEUOaRIQ0+w0klReqBZSKTMvC/PIYiUpa/tGd2k&#10;SlER5odUuffsOckmVVE9XTlVlTvFrNLgdPGKYoX1GjKF/HmG0d4cOq4f0QD/jwyxt9AA/380DB2Z&#10;mc8aeQp91vVnIp9xgJzTEhbulMfw4JqK4hlH4LnCgsN0qsigK6EDXDli+YfMhITOrwOnhR4zN4o9&#10;oKdbxjbe+R5Tomvru7brzN2i5P32bSejA4XXxd3dbXlrexuWBGbdYI1/u3JByuKW+FK5WAk4bim3&#10;Dxl3Qybne9qM9Gl7itoabrjKABjRVtQPX2R0hEfNJlY/9lTyOOo+DPBqMC8gHEgcbHFAB7YT8DZi&#10;WtpLdBC3ey2a1tzbdluH7CfwILFM+ceTefFczq3V+Yl38wsAAP//AwBQSwMEFAAGAAgAAAAhAIa/&#10;T4XfAAAABwEAAA8AAABkcnMvZG93bnJldi54bWxMjlFLwzAUhd8F/0O4gi/DpS0y19p0qCAoCM5Z&#10;FN+y5toUm5vaZFv113t90sfD+TjnK1eT68Uex9B5UpDOExBIjTcdtQrq59uzJYgQNRnde0IFXxhg&#10;VR0flbow/kBPuN/EVvAIhUIrsDEOhZShseh0mPsBibt3PzodOY6tNKM+8LjrZZYkC+l0R/xg9YA3&#10;FpuPzc4peJzeplcze7j7vr+uc1t/vqxna6fU6cl0dQki4hT/YPjVZ3Wo2Gnrd2SC6BUsMwYV5DkI&#10;bs/T9ALElrFskYOsSvnfv/oBAAD//wMAUEsBAi0AFAAGAAgAAAAhALaDOJL+AAAA4QEAABMAAAAA&#10;AAAAAAAAAAAAAAAAAFtDb250ZW50X1R5cGVzXS54bWxQSwECLQAUAAYACAAAACEAOP0h/9YAAACU&#10;AQAACwAAAAAAAAAAAAAAAAAvAQAAX3JlbHMvLnJlbHNQSwECLQAUAAYACAAAACEAdY3BE2ADAAAq&#10;CgAADgAAAAAAAAAAAAAAAAAuAgAAZHJzL2Uyb0RvYy54bWxQSwECLQAUAAYACAAAACEAhr9Phd8A&#10;AAAHAQAADwAAAAAAAAAAAAAAAAC6BQAAZHJzL2Rvd25yZXYueG1sUEsFBgAAAAAEAAQA8wAAAMYG&#10;AAAAAA==&#10;" adj="-11796480,,5400" path="m318,r1,c263,,208,15,159,43,111,71,71,111,43,159,15,208,,263,,319l,1592r,1c,1648,15,1703,43,1752v28,48,68,88,116,116c208,1896,263,1911,319,1911r4134,-1l4454,1911v55,,110,-15,159,-43c4661,1840,4701,1800,4729,1752v28,-49,43,-104,43,-159l4772,318r,1l4772,319v,-56,-15,-111,-43,-160c4701,111,4661,71,4613,43,4564,15,4509,,4454,l318,e" fillcolor="#ffa6a6" strokecolor="#3465a4">
                <v:stroke joinstyle="miter"/>
                <v:formulas/>
                <v:path arrowok="t" o:connecttype="custom" textboxrect="0,0,4773,1912"/>
                <v:textbox inset="0,0,0,0">
                  <w:txbxContent>
                    <w:p w14:paraId="3F7AFD1A" w14:textId="77777777" w:rsidR="000F0D13" w:rsidRPr="009C34E9" w:rsidRDefault="000F0D13" w:rsidP="009C34E9">
                      <w:pPr>
                        <w:spacing w:after="0"/>
                        <w:jc w:val="center"/>
                        <w:rPr>
                          <w:rFonts w:ascii="Open Sans" w:hAnsi="Open Sans" w:cs="Open Sans"/>
                        </w:rPr>
                      </w:pPr>
                      <w:r w:rsidRPr="009C34E9">
                        <w:rPr>
                          <w:rFonts w:ascii="Open Sans" w:hAnsi="Open Sans" w:cs="Open Sans"/>
                          <w:color w:val="FFFFFF"/>
                          <w:sz w:val="16"/>
                          <w:szCs w:val="16"/>
                        </w:rPr>
                        <w:t>Si la entidad emite informe de cumplimiento de las</w:t>
                      </w:r>
                    </w:p>
                    <w:p w14:paraId="6C4CA450" w14:textId="77777777" w:rsidR="000F0D13" w:rsidRPr="009C34E9" w:rsidRDefault="000F0D13" w:rsidP="009C34E9">
                      <w:pPr>
                        <w:spacing w:after="0"/>
                        <w:jc w:val="center"/>
                        <w:rPr>
                          <w:rFonts w:ascii="Open Sans" w:hAnsi="Open Sans" w:cs="Open Sans"/>
                        </w:rPr>
                      </w:pPr>
                      <w:r w:rsidRPr="009C34E9">
                        <w:rPr>
                          <w:rFonts w:ascii="Open Sans" w:hAnsi="Open Sans" w:cs="Open Sans"/>
                          <w:color w:val="FFFFFF"/>
                          <w:sz w:val="16"/>
                          <w:szCs w:val="16"/>
                        </w:rPr>
                        <w:t>recomendaciones se procede a la</w:t>
                      </w:r>
                    </w:p>
                    <w:p w14:paraId="1D25A710" w14:textId="77777777" w:rsidR="000F0D13" w:rsidRPr="009C34E9" w:rsidRDefault="000F0D13" w:rsidP="009C34E9">
                      <w:pPr>
                        <w:spacing w:after="0"/>
                        <w:jc w:val="center"/>
                        <w:rPr>
                          <w:rFonts w:ascii="Open Sans" w:hAnsi="Open Sans" w:cs="Open Sans"/>
                        </w:rPr>
                      </w:pPr>
                      <w:r w:rsidRPr="009C34E9">
                        <w:rPr>
                          <w:rFonts w:ascii="Open Sans" w:hAnsi="Open Sans" w:cs="Open Sans"/>
                          <w:b/>
                          <w:bCs/>
                          <w:color w:val="FFFFFF"/>
                          <w:sz w:val="16"/>
                          <w:szCs w:val="16"/>
                          <w:u w:val="single"/>
                        </w:rPr>
                        <w:t>FINALIZACIÓN Y ARCHIVO</w:t>
                      </w:r>
                    </w:p>
                    <w:p w14:paraId="7738E4A0" w14:textId="77777777" w:rsidR="000F0D13" w:rsidRPr="009C34E9" w:rsidRDefault="000F0D13" w:rsidP="009C34E9">
                      <w:pPr>
                        <w:spacing w:after="0"/>
                        <w:jc w:val="center"/>
                        <w:rPr>
                          <w:rFonts w:ascii="Open Sans" w:hAnsi="Open Sans" w:cs="Open Sans"/>
                        </w:rPr>
                      </w:pPr>
                      <w:r w:rsidRPr="009C34E9">
                        <w:rPr>
                          <w:rFonts w:ascii="Open Sans" w:hAnsi="Open Sans" w:cs="Open Sans"/>
                          <w:color w:val="FFFFFF"/>
                          <w:sz w:val="16"/>
                          <w:szCs w:val="16"/>
                        </w:rPr>
                        <w:t>de la Fase de Seguimiento.</w:t>
                      </w:r>
                    </w:p>
                  </w:txbxContent>
                </v:textbox>
              </v:shape>
            </w:pict>
          </mc:Fallback>
        </mc:AlternateContent>
      </w:r>
    </w:p>
    <w:p w14:paraId="49CDE404" w14:textId="23205C78" w:rsidR="009568B0" w:rsidRPr="00A07BE9" w:rsidRDefault="009568B0" w:rsidP="009568B0">
      <w:pPr>
        <w:spacing w:after="0" w:line="240" w:lineRule="auto"/>
        <w:jc w:val="both"/>
        <w:rPr>
          <w:rFonts w:ascii="Open Sans" w:eastAsia="NSimSun" w:hAnsi="Open Sans" w:cs="Arial"/>
          <w:kern w:val="2"/>
          <w:sz w:val="24"/>
          <w:szCs w:val="24"/>
          <w:lang w:eastAsia="zh-CN" w:bidi="hi-IN"/>
        </w:rPr>
      </w:pPr>
    </w:p>
    <w:p w14:paraId="7AB1511B" w14:textId="77777777" w:rsidR="009568B0" w:rsidRPr="00A07BE9" w:rsidRDefault="009568B0" w:rsidP="009568B0">
      <w:pPr>
        <w:spacing w:after="0" w:line="240" w:lineRule="auto"/>
        <w:jc w:val="both"/>
        <w:rPr>
          <w:rFonts w:ascii="Open Sans" w:eastAsia="NSimSun" w:hAnsi="Open Sans" w:cs="Arial"/>
          <w:kern w:val="2"/>
          <w:sz w:val="24"/>
          <w:szCs w:val="24"/>
          <w:lang w:eastAsia="zh-CN" w:bidi="hi-IN"/>
        </w:rPr>
      </w:pPr>
    </w:p>
    <w:p w14:paraId="7F8168F9" w14:textId="77777777" w:rsidR="009568B0" w:rsidRPr="00A07BE9" w:rsidRDefault="009568B0" w:rsidP="009568B0">
      <w:pPr>
        <w:spacing w:after="0" w:line="240" w:lineRule="auto"/>
        <w:jc w:val="both"/>
        <w:rPr>
          <w:rFonts w:ascii="Open Sans" w:eastAsia="NSimSun" w:hAnsi="Open Sans" w:cs="Arial"/>
          <w:kern w:val="2"/>
          <w:sz w:val="24"/>
          <w:szCs w:val="24"/>
          <w:lang w:eastAsia="zh-CN" w:bidi="hi-IN"/>
        </w:rPr>
      </w:pPr>
    </w:p>
    <w:p w14:paraId="04926A61" w14:textId="3240918E" w:rsidR="009568B0" w:rsidRPr="00A07BE9" w:rsidRDefault="009568B0" w:rsidP="009568B0">
      <w:pPr>
        <w:spacing w:after="0" w:line="240" w:lineRule="auto"/>
        <w:jc w:val="both"/>
        <w:rPr>
          <w:rFonts w:ascii="Open Sans" w:eastAsia="NSimSun" w:hAnsi="Open Sans" w:cs="Arial"/>
          <w:kern w:val="2"/>
          <w:sz w:val="24"/>
          <w:szCs w:val="24"/>
          <w:lang w:eastAsia="zh-CN" w:bidi="hi-IN"/>
        </w:rPr>
      </w:pPr>
    </w:p>
    <w:p w14:paraId="0007C2C4"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lastRenderedPageBreak/>
        <w:t>Una vez recibido el informe de la entidad investigada sobre las medidas que se han adoptado y la eventual justificación de la adopción de las medidas o de la causa impeditiva, se examina el ajuste del mismo a la resolución de la Agencia. Si la información es completa y congruente con la resolución, se procede a dictaminar el archivo definitivo de las actuaciones. En otro caso, se realiza un nuevo requerimiento a la entidad mediante el otorgamiento de un nuevo plazo.</w:t>
      </w:r>
    </w:p>
    <w:p w14:paraId="44C77D2B"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3419BBA8"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Las administraciones públicas y entidades incluidas en el ámbito de actuación de la Agencia de Prevención y Lucha contra el Fraude y la Corrupción en la Comunitat Valenciana deben de colaborar con la misma con celeridad y diligencia, comunicando de manera inmediata cualquier información de que dispongan relativa a hechos que sean competencia de la Agencia.</w:t>
      </w:r>
    </w:p>
    <w:p w14:paraId="5A40E5C2"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06BB397E" w14:textId="12C71812"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 xml:space="preserve">El personal al servicio de las entidades públicas, los cargos públicos y los particulares incluidos en el ámbito de actuación de la </w:t>
      </w:r>
      <w:r w:rsidR="004E6659" w:rsidRPr="00A07BE9">
        <w:rPr>
          <w:rFonts w:ascii="Open Sans" w:eastAsia="NSimSun" w:hAnsi="Open Sans" w:cs="Arial"/>
          <w:kern w:val="2"/>
          <w:sz w:val="20"/>
          <w:szCs w:val="20"/>
          <w:lang w:eastAsia="zh-CN" w:bidi="hi-IN"/>
        </w:rPr>
        <w:t>A</w:t>
      </w:r>
      <w:r w:rsidRPr="00A07BE9">
        <w:rPr>
          <w:rFonts w:ascii="Open Sans" w:eastAsia="NSimSun" w:hAnsi="Open Sans" w:cs="Arial"/>
          <w:kern w:val="2"/>
          <w:sz w:val="20"/>
          <w:szCs w:val="20"/>
          <w:lang w:eastAsia="zh-CN" w:bidi="hi-IN"/>
        </w:rPr>
        <w:t>gencia que impidan o dificulten el ejercicio de sus funciones o que se nieguen a facilitarle los informes, documentos o expedientes que les hayan sido requeridos, incurrirán en las responsabilidades que la legislación vigente establece.</w:t>
      </w:r>
    </w:p>
    <w:p w14:paraId="57994D78"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p w14:paraId="7494E26B" w14:textId="08DB654B"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 xml:space="preserve">La </w:t>
      </w:r>
      <w:r w:rsidR="002949C6" w:rsidRPr="00A07BE9">
        <w:rPr>
          <w:rFonts w:ascii="Open Sans" w:eastAsia="NSimSun" w:hAnsi="Open Sans" w:cs="Arial"/>
          <w:kern w:val="2"/>
          <w:sz w:val="20"/>
          <w:szCs w:val="20"/>
          <w:lang w:eastAsia="zh-CN" w:bidi="hi-IN"/>
        </w:rPr>
        <w:t>A</w:t>
      </w:r>
      <w:r w:rsidRPr="00A07BE9">
        <w:rPr>
          <w:rFonts w:ascii="Open Sans" w:eastAsia="NSimSun" w:hAnsi="Open Sans" w:cs="Arial"/>
          <w:kern w:val="2"/>
          <w:sz w:val="20"/>
          <w:szCs w:val="20"/>
          <w:lang w:eastAsia="zh-CN" w:bidi="hi-IN"/>
        </w:rPr>
        <w:t xml:space="preserve">gencia dejará constancia expresa del incumplimiento injustificado o de la contravención del deber de colaboración y lo comunicará a la persona, la autoridad o el órgano afectado, para que pueda alegar lo que considere conveniente. Asimismo, se podrá hacer constar esta circunstancia en la memoria anual de la </w:t>
      </w:r>
      <w:r w:rsidR="002949C6" w:rsidRPr="00A07BE9">
        <w:rPr>
          <w:rFonts w:ascii="Open Sans" w:eastAsia="NSimSun" w:hAnsi="Open Sans" w:cs="Arial"/>
          <w:kern w:val="2"/>
          <w:sz w:val="20"/>
          <w:szCs w:val="20"/>
          <w:lang w:eastAsia="zh-CN" w:bidi="hi-IN"/>
        </w:rPr>
        <w:t>A</w:t>
      </w:r>
      <w:r w:rsidRPr="00A07BE9">
        <w:rPr>
          <w:rFonts w:ascii="Open Sans" w:eastAsia="NSimSun" w:hAnsi="Open Sans" w:cs="Arial"/>
          <w:kern w:val="2"/>
          <w:sz w:val="20"/>
          <w:szCs w:val="20"/>
          <w:lang w:eastAsia="zh-CN" w:bidi="hi-IN"/>
        </w:rPr>
        <w:t>gencia o en el informe extraordinario que se eleve a la comisión parlamentaria correspondiente, en su caso.</w:t>
      </w:r>
    </w:p>
    <w:p w14:paraId="63C9AE75" w14:textId="77777777" w:rsidR="00796025" w:rsidRPr="00A07BE9" w:rsidRDefault="00796025" w:rsidP="009568B0">
      <w:pPr>
        <w:spacing w:after="0" w:line="276" w:lineRule="auto"/>
        <w:jc w:val="both"/>
        <w:rPr>
          <w:rFonts w:ascii="Open Sans" w:eastAsia="NSimSun" w:hAnsi="Open Sans" w:cs="Arial"/>
          <w:kern w:val="2"/>
          <w:sz w:val="20"/>
          <w:szCs w:val="20"/>
          <w:lang w:eastAsia="zh-CN" w:bidi="hi-IN"/>
        </w:rPr>
      </w:pPr>
    </w:p>
    <w:p w14:paraId="0EBF2793" w14:textId="0230AFA5" w:rsidR="009568B0" w:rsidRPr="00A07BE9" w:rsidRDefault="009568B0" w:rsidP="009568B0">
      <w:pPr>
        <w:spacing w:after="0" w:line="276" w:lineRule="auto"/>
        <w:jc w:val="both"/>
        <w:rPr>
          <w:rFonts w:ascii="Open Sans" w:eastAsia="NSimSun" w:hAnsi="Open Sans" w:cs="Arial"/>
          <w:kern w:val="2"/>
          <w:sz w:val="20"/>
          <w:szCs w:val="20"/>
          <w:lang w:eastAsia="zh-CN" w:bidi="hi-IN"/>
        </w:rPr>
      </w:pPr>
      <w:r w:rsidRPr="00A07BE9">
        <w:rPr>
          <w:rFonts w:ascii="Open Sans" w:eastAsia="NSimSun" w:hAnsi="Open Sans" w:cs="Arial"/>
          <w:kern w:val="2"/>
          <w:sz w:val="20"/>
          <w:szCs w:val="20"/>
          <w:lang w:eastAsia="zh-CN" w:bidi="hi-IN"/>
        </w:rPr>
        <w:t xml:space="preserve">Durante la anualidad 2019 no ha sido necesario en ningún caso reiterar peticiones de colaboración en más de dos ocasiones a una misma entidad, por lo que no se han iniciado actuaciones concretas de ejecución forzosa relacionadas con el incumplimiento del deber de colaboración recogido en el </w:t>
      </w:r>
      <w:r w:rsidR="003408CE" w:rsidRPr="00A07BE9">
        <w:rPr>
          <w:rFonts w:ascii="Open Sans" w:eastAsia="NSimSun" w:hAnsi="Open Sans" w:cs="Arial"/>
          <w:kern w:val="2"/>
          <w:sz w:val="20"/>
          <w:szCs w:val="20"/>
          <w:lang w:eastAsia="zh-CN" w:bidi="hi-IN"/>
        </w:rPr>
        <w:t>artículo</w:t>
      </w:r>
      <w:r w:rsidRPr="00A07BE9">
        <w:rPr>
          <w:rFonts w:ascii="Open Sans" w:eastAsia="NSimSun" w:hAnsi="Open Sans" w:cs="Arial"/>
          <w:kern w:val="2"/>
          <w:sz w:val="20"/>
          <w:szCs w:val="20"/>
          <w:lang w:eastAsia="zh-CN" w:bidi="hi-IN"/>
        </w:rPr>
        <w:t xml:space="preserve"> 7 de la </w:t>
      </w:r>
      <w:hyperlink r:id="rId93" w:history="1">
        <w:r w:rsidR="004C14BF" w:rsidRPr="00A07BE9">
          <w:rPr>
            <w:rStyle w:val="Hipervnculo"/>
            <w:rFonts w:ascii="Open Sans" w:hAnsi="Open Sans" w:cs="Open Sans"/>
            <w:sz w:val="20"/>
            <w:szCs w:val="20"/>
          </w:rPr>
          <w:t>Ley 11/2016, de 28 de noviembre, de la Generalitat</w:t>
        </w:r>
      </w:hyperlink>
      <w:r w:rsidR="005401CB" w:rsidRPr="00A07BE9">
        <w:rPr>
          <w:rFonts w:ascii="Open Sans" w:hAnsi="Open Sans" w:cs="Open Sans"/>
          <w:sz w:val="20"/>
          <w:szCs w:val="20"/>
        </w:rPr>
        <w:t>.</w:t>
      </w:r>
    </w:p>
    <w:p w14:paraId="565DD9E3"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697CCF1A"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7421F906" w14:textId="77777777" w:rsidR="009568B0" w:rsidRPr="00A07BE9" w:rsidRDefault="009568B0" w:rsidP="009568B0">
      <w:pPr>
        <w:spacing w:after="0" w:line="276" w:lineRule="auto"/>
        <w:jc w:val="both"/>
        <w:rPr>
          <w:rFonts w:ascii="Open Sans" w:eastAsia="NSimSun" w:hAnsi="Open Sans" w:cs="Arial"/>
          <w:b/>
          <w:bCs/>
          <w:color w:val="9D2235"/>
          <w:kern w:val="2"/>
          <w:sz w:val="32"/>
          <w:szCs w:val="32"/>
          <w:lang w:eastAsia="zh-CN" w:bidi="hi-IN"/>
        </w:rPr>
      </w:pPr>
      <w:r w:rsidRPr="00A07BE9">
        <w:rPr>
          <w:rFonts w:ascii="Open Sans" w:eastAsia="NSimSun" w:hAnsi="Open Sans" w:cs="Arial"/>
          <w:b/>
          <w:bCs/>
          <w:color w:val="9D2235"/>
          <w:kern w:val="2"/>
          <w:sz w:val="32"/>
          <w:szCs w:val="32"/>
          <w:lang w:eastAsia="zh-CN" w:bidi="hi-IN"/>
        </w:rPr>
        <w:t>3.5. RESUMEN DE ACTUACIONES CONCLUIDAS</w:t>
      </w:r>
    </w:p>
    <w:p w14:paraId="565B608D"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0A93E75A" w14:textId="103CE698"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A </w:t>
      </w:r>
      <w:r w:rsidR="00422C6A" w:rsidRPr="00A07BE9">
        <w:rPr>
          <w:rFonts w:ascii="Open Sans" w:eastAsia="NSimSun" w:hAnsi="Open Sans" w:cs="Open Sans"/>
          <w:kern w:val="2"/>
          <w:sz w:val="20"/>
          <w:szCs w:val="20"/>
          <w:lang w:eastAsia="zh-CN" w:bidi="hi-IN"/>
        </w:rPr>
        <w:t>continuación,</w:t>
      </w:r>
      <w:r w:rsidRPr="00A07BE9">
        <w:rPr>
          <w:rFonts w:ascii="Open Sans" w:eastAsia="NSimSun" w:hAnsi="Open Sans" w:cs="Open Sans"/>
          <w:kern w:val="2"/>
          <w:sz w:val="20"/>
          <w:szCs w:val="20"/>
          <w:lang w:eastAsia="zh-CN" w:bidi="hi-IN"/>
        </w:rPr>
        <w:t xml:space="preserve"> se hace pública una breve reseña del objeto y finalidad de las actuaciones de análisis e investigación más significativas realizadas durante la anualidad 2019.</w:t>
      </w:r>
    </w:p>
    <w:p w14:paraId="671F3146"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32B23282"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No se incorporan datos o informaciones que faciliten la identificación de personas físicas concretas, ni tampoco se indica de manera individualizada el resultado de la investigación para evitar posibles perjuicios a personas implicadas y para salvaguardar los eventuales procedimientos administrativos y judiciales que se pudieran iniciar como consecuencia de estas actuaciones.</w:t>
      </w:r>
    </w:p>
    <w:p w14:paraId="7948642A"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69378F46"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lastRenderedPageBreak/>
        <w:t>Las actuaciones que se relacionan a continuación han finalizado mediante la emisión de informe final razonado y/o traslado a las autoridades competentes o con resolución de archivo</w:t>
      </w:r>
    </w:p>
    <w:p w14:paraId="13805F8D" w14:textId="35DAF421"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2BD478F8" w14:textId="77777777" w:rsidR="004A3C1B" w:rsidRPr="00A07BE9" w:rsidRDefault="004A3C1B" w:rsidP="009568B0">
      <w:pPr>
        <w:spacing w:after="0" w:line="276" w:lineRule="auto"/>
        <w:jc w:val="both"/>
        <w:rPr>
          <w:rFonts w:ascii="Open Sans" w:eastAsia="NSimSun" w:hAnsi="Open Sans" w:cs="Open Sans"/>
          <w:kern w:val="2"/>
          <w:sz w:val="20"/>
          <w:szCs w:val="20"/>
          <w:lang w:eastAsia="zh-CN" w:bidi="hi-IN"/>
        </w:rPr>
      </w:pPr>
    </w:p>
    <w:p w14:paraId="3EDE6603" w14:textId="77777777"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8"/>
          <w:szCs w:val="28"/>
          <w:lang w:eastAsia="es-ES" w:bidi="hi-IN"/>
        </w:rPr>
      </w:pPr>
      <w:r w:rsidRPr="00A07BE9">
        <w:rPr>
          <w:rFonts w:ascii="Open Sans" w:eastAsia="Times New Roman" w:hAnsi="Open Sans" w:cs="Open Sans"/>
          <w:b/>
          <w:bCs/>
          <w:smallCaps/>
          <w:color w:val="9D2235"/>
          <w:kern w:val="2"/>
          <w:sz w:val="28"/>
          <w:szCs w:val="28"/>
          <w:lang w:eastAsia="es-ES" w:bidi="hi-IN"/>
        </w:rPr>
        <w:t>3.5.1. Ayuntamiento. Fraccionamiento de Contratos del Parque Acuático.</w:t>
      </w:r>
    </w:p>
    <w:p w14:paraId="74FC46FF"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0D3C9089" w14:textId="03BA31E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Las actuaciones se inician como consecuencia de la presentación de una denuncia anónima sobre un presunto fraccionamiento en fraude de ley realizado por </w:t>
      </w:r>
      <w:r w:rsidR="00C1024A" w:rsidRPr="00A07BE9">
        <w:rPr>
          <w:rFonts w:ascii="Open Sans" w:eastAsia="NSimSun" w:hAnsi="Open Sans" w:cs="Open Sans"/>
          <w:kern w:val="2"/>
          <w:sz w:val="20"/>
          <w:szCs w:val="20"/>
          <w:lang w:eastAsia="zh-CN" w:bidi="hi-IN"/>
        </w:rPr>
        <w:t>un</w:t>
      </w:r>
      <w:r w:rsidRPr="00A07BE9">
        <w:rPr>
          <w:rFonts w:ascii="Open Sans" w:eastAsia="NSimSun" w:hAnsi="Open Sans" w:cs="Open Sans"/>
          <w:kern w:val="2"/>
          <w:sz w:val="20"/>
          <w:szCs w:val="20"/>
          <w:lang w:eastAsia="zh-CN" w:bidi="hi-IN"/>
        </w:rPr>
        <w:t xml:space="preserve"> Ayuntamiento, en referencia a la adjudicación de dos contratos paralelos con objeto y ámbito funcional análogos.</w:t>
      </w:r>
    </w:p>
    <w:p w14:paraId="6781A0D3"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73039C4F"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Tras sendos requerimientos de documentación, se procedió al estudio y análisis de los expedientes de contratación identificados en la denuncia, aunque se detectó que la documentación remitida pudiera no ser la totalidad de la obrante en los expedientes respectivos, dado que no se encontró copia de los informes de valoración de las proposiciones económicas ni la oferta económica de uno de los licitadores.</w:t>
      </w:r>
    </w:p>
    <w:p w14:paraId="6C9084D9"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7F45664C"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Del estudio detallado de la documentación se encontraron indicios de fraccionamiento de contratos, tales como numeración correlativa de los expedientes, tramitación paralela, unidad de las prestaciones, analogía de empresas invitadas a la licitación, adjudicación a la misma empresa, superación en importe agregado de los límites establecidos para el procedimiento negociado sin publicidad, misma ubicación física de las obras contratadas, etc.</w:t>
      </w:r>
    </w:p>
    <w:p w14:paraId="2472805A"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57B2B138" w14:textId="0C29D64E"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Por todo ello, se concluyó que todas las necesidades que se han tratado de satisfacer mediante los dos expedientes anteriormente expuestos son propias de</w:t>
      </w:r>
      <w:r w:rsidRPr="00A07BE9">
        <w:rPr>
          <w:rFonts w:ascii="Open Sans" w:eastAsia="NSimSun" w:hAnsi="Open Sans" w:cs="Open Sans"/>
          <w:b/>
          <w:bCs/>
          <w:kern w:val="2"/>
          <w:sz w:val="20"/>
          <w:szCs w:val="20"/>
          <w:lang w:eastAsia="zh-CN" w:bidi="hi-IN"/>
        </w:rPr>
        <w:t xml:space="preserve"> un único contrato</w:t>
      </w:r>
      <w:r w:rsidRPr="00A07BE9">
        <w:rPr>
          <w:rFonts w:ascii="Open Sans" w:eastAsia="NSimSun" w:hAnsi="Open Sans" w:cs="Open Sans"/>
          <w:kern w:val="2"/>
          <w:sz w:val="20"/>
          <w:szCs w:val="20"/>
          <w:lang w:eastAsia="zh-CN" w:bidi="hi-IN"/>
        </w:rPr>
        <w:t xml:space="preserve">, tanto por el objeto como por el periodo en el que los mismos tienen lugar, no tratándose de necesidades que surgen en momentos distintos sino de actuaciones que la entidad contratante sabía o debía saber que tenían que llevarse a cabo, especialmente considerando que ambas adjudicaciones lo fueron a la misma empresa. Todos estos hechos coincidentes, a juicio de esta Agencia, no pudieron pasar desapercibidos a los diferentes órganos intervinientes en la gestión y adjudicación de ambos contratos, induciendo a pensar en un </w:t>
      </w:r>
      <w:r w:rsidRPr="00A07BE9">
        <w:rPr>
          <w:rFonts w:ascii="Open Sans" w:eastAsia="NSimSun" w:hAnsi="Open Sans" w:cs="Open Sans"/>
          <w:b/>
          <w:bCs/>
          <w:kern w:val="2"/>
          <w:sz w:val="20"/>
          <w:szCs w:val="20"/>
          <w:lang w:eastAsia="zh-CN" w:bidi="hi-IN"/>
        </w:rPr>
        <w:t>ánimo y voluntad</w:t>
      </w:r>
      <w:r w:rsidRPr="00A07BE9">
        <w:rPr>
          <w:rFonts w:ascii="Open Sans" w:eastAsia="NSimSun" w:hAnsi="Open Sans" w:cs="Open Sans"/>
          <w:kern w:val="2"/>
          <w:sz w:val="20"/>
          <w:szCs w:val="20"/>
          <w:lang w:eastAsia="zh-CN" w:bidi="hi-IN"/>
        </w:rPr>
        <w:t xml:space="preserve"> de que tales actuaciones fueran contratadas vulnerando </w:t>
      </w:r>
      <w:r w:rsidR="00422C6A" w:rsidRPr="00A07BE9">
        <w:rPr>
          <w:rFonts w:ascii="Open Sans" w:eastAsia="NSimSun" w:hAnsi="Open Sans" w:cs="Open Sans"/>
          <w:kern w:val="2"/>
          <w:sz w:val="20"/>
          <w:szCs w:val="20"/>
          <w:lang w:eastAsia="zh-CN" w:bidi="hi-IN"/>
        </w:rPr>
        <w:t>los requisitos</w:t>
      </w:r>
      <w:r w:rsidRPr="00A07BE9">
        <w:rPr>
          <w:rFonts w:ascii="Open Sans" w:eastAsia="NSimSun" w:hAnsi="Open Sans" w:cs="Open Sans"/>
          <w:kern w:val="2"/>
          <w:sz w:val="20"/>
          <w:szCs w:val="20"/>
          <w:lang w:eastAsia="zh-CN" w:bidi="hi-IN"/>
        </w:rPr>
        <w:t xml:space="preserve"> de contratación legalmente establecidos.</w:t>
      </w:r>
    </w:p>
    <w:p w14:paraId="7D4597D8"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71DF25E3"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A juicio de esta Agencia, se considera que se da en este supuesto esa unidad operativa o sustancial entre las diferentes prestaciones a que se refieren ambos expedientes de contratación, porque, en definitiva, las prestaciones responden a única necesidad que es, fundamentalmente, la creación de un parque acuático en la piscina municipal mediante el suministro e instalación de diferentes elementos de ocio. Podría considerarse la posibilidad de la contratación separada si las necesidades surgieran en momentos distintos, separados </w:t>
      </w:r>
      <w:r w:rsidRPr="00A07BE9">
        <w:rPr>
          <w:rFonts w:ascii="Open Sans" w:eastAsia="NSimSun" w:hAnsi="Open Sans" w:cs="Open Sans"/>
          <w:kern w:val="2"/>
          <w:sz w:val="20"/>
          <w:szCs w:val="20"/>
          <w:lang w:eastAsia="zh-CN" w:bidi="hi-IN"/>
        </w:rPr>
        <w:lastRenderedPageBreak/>
        <w:t>temporalmente y que respondieran a necesidades coyunturales, pero no en el caso que tratamos, en el que ambos expedientes han coexistido procesalmente hasta el extremo de finalizarse el mismo día y haberse instalado ambos elementos de ocio adyacentes en el mismo lugar.</w:t>
      </w:r>
    </w:p>
    <w:p w14:paraId="18BD6F60"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36667DBB" w14:textId="797E826B"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b/>
          <w:bCs/>
          <w:kern w:val="2"/>
          <w:sz w:val="20"/>
          <w:szCs w:val="20"/>
          <w:lang w:eastAsia="zh-CN" w:bidi="hi-IN"/>
        </w:rPr>
        <w:t>Eludir la publicidad en la contratación pública es una práctica colusoria de la competencia</w:t>
      </w:r>
      <w:r w:rsidRPr="00A07BE9">
        <w:rPr>
          <w:rFonts w:ascii="Open Sans" w:eastAsia="NSimSun" w:hAnsi="Open Sans" w:cs="Open Sans"/>
          <w:kern w:val="2"/>
          <w:sz w:val="20"/>
          <w:szCs w:val="20"/>
          <w:lang w:eastAsia="zh-CN" w:bidi="hi-IN"/>
        </w:rPr>
        <w:t xml:space="preserve"> que impide que el precio de adjudicación se fije por las leyes del mercado generando un perjuicio económico al erario público, en este caso al Ayuntamiento, que ha abonado unos costes superiores a los que se podrían haber obtenido garantizando la libre concurrencia mediante la publicidad de la licitación, extremo de obligatorio cumplimiento impuesto por la legislación administrativa aplicable.</w:t>
      </w:r>
    </w:p>
    <w:p w14:paraId="14F25032"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2EFB38CD"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En el presente caso se procedió a la interrupción de las actuaciones para dar </w:t>
      </w:r>
      <w:r w:rsidRPr="00A07BE9">
        <w:rPr>
          <w:rFonts w:ascii="Open Sans" w:eastAsia="NSimSun" w:hAnsi="Open Sans" w:cs="Open Sans"/>
          <w:b/>
          <w:bCs/>
          <w:kern w:val="2"/>
          <w:sz w:val="20"/>
          <w:szCs w:val="20"/>
          <w:lang w:eastAsia="zh-CN" w:bidi="hi-IN"/>
        </w:rPr>
        <w:t>traslado de las mismas a la Fiscalía</w:t>
      </w:r>
      <w:r w:rsidRPr="00A07BE9">
        <w:rPr>
          <w:rFonts w:ascii="Open Sans" w:eastAsia="NSimSun" w:hAnsi="Open Sans" w:cs="Open Sans"/>
          <w:kern w:val="2"/>
          <w:sz w:val="20"/>
          <w:szCs w:val="20"/>
          <w:lang w:eastAsia="zh-CN" w:bidi="hi-IN"/>
        </w:rPr>
        <w:t>.</w:t>
      </w:r>
    </w:p>
    <w:p w14:paraId="76BED182"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61E58807" w14:textId="6E9D4597" w:rsidR="006F5661" w:rsidRPr="00A07BE9" w:rsidRDefault="009568B0" w:rsidP="009568B0">
      <w:pPr>
        <w:spacing w:after="0" w:line="276" w:lineRule="auto"/>
        <w:jc w:val="both"/>
        <w:rPr>
          <w:rFonts w:ascii="Open Sans" w:eastAsia="NSimSun" w:hAnsi="Open Sans" w:cs="Open Sans"/>
          <w:b/>
          <w:bCs/>
          <w:kern w:val="2"/>
          <w:sz w:val="20"/>
          <w:szCs w:val="20"/>
          <w:lang w:eastAsia="zh-CN" w:bidi="hi-IN"/>
        </w:rPr>
      </w:pPr>
      <w:r w:rsidRPr="00A07BE9">
        <w:rPr>
          <w:rFonts w:ascii="Open Sans" w:eastAsia="NSimSun" w:hAnsi="Open Sans" w:cs="Open Sans"/>
          <w:kern w:val="2"/>
          <w:sz w:val="20"/>
          <w:szCs w:val="20"/>
          <w:lang w:eastAsia="zh-CN" w:bidi="hi-IN"/>
        </w:rPr>
        <w:t xml:space="preserve">El importe acumulado de las contrataciones efectuadas presuntamente en fraude de ley ascendió a </w:t>
      </w:r>
      <w:r w:rsidRPr="00A07BE9">
        <w:rPr>
          <w:rFonts w:ascii="Open Sans" w:eastAsia="NSimSun" w:hAnsi="Open Sans" w:cs="Open Sans"/>
          <w:b/>
          <w:bCs/>
          <w:kern w:val="2"/>
          <w:sz w:val="20"/>
          <w:szCs w:val="20"/>
          <w:lang w:eastAsia="zh-CN" w:bidi="hi-IN"/>
        </w:rPr>
        <w:t>272.370 €.</w:t>
      </w:r>
    </w:p>
    <w:p w14:paraId="22839EA7" w14:textId="2E6A3C9E" w:rsidR="004A5F93" w:rsidRPr="00A07BE9" w:rsidRDefault="004A5F93" w:rsidP="009568B0">
      <w:pPr>
        <w:spacing w:after="0" w:line="276" w:lineRule="auto"/>
        <w:jc w:val="both"/>
        <w:rPr>
          <w:rFonts w:ascii="Open Sans" w:eastAsia="NSimSun" w:hAnsi="Open Sans" w:cs="Open Sans"/>
          <w:kern w:val="2"/>
          <w:sz w:val="20"/>
          <w:szCs w:val="20"/>
          <w:lang w:eastAsia="zh-CN" w:bidi="hi-IN"/>
        </w:rPr>
      </w:pPr>
    </w:p>
    <w:p w14:paraId="3CA44BF8" w14:textId="77777777" w:rsidR="004A5F93" w:rsidRPr="00A07BE9" w:rsidRDefault="004A5F93" w:rsidP="009568B0">
      <w:pPr>
        <w:spacing w:after="0" w:line="276" w:lineRule="auto"/>
        <w:jc w:val="both"/>
        <w:rPr>
          <w:rFonts w:ascii="Open Sans" w:eastAsia="NSimSun" w:hAnsi="Open Sans" w:cs="Open Sans"/>
          <w:kern w:val="2"/>
          <w:sz w:val="20"/>
          <w:szCs w:val="20"/>
          <w:lang w:eastAsia="zh-CN" w:bidi="hi-IN"/>
        </w:rPr>
      </w:pPr>
    </w:p>
    <w:p w14:paraId="30C7BCC4" w14:textId="77777777"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8"/>
          <w:szCs w:val="28"/>
          <w:lang w:eastAsia="es-ES" w:bidi="hi-IN"/>
        </w:rPr>
      </w:pPr>
      <w:r w:rsidRPr="00A07BE9">
        <w:rPr>
          <w:rFonts w:ascii="Open Sans" w:eastAsia="Times New Roman" w:hAnsi="Open Sans" w:cs="Open Sans"/>
          <w:b/>
          <w:bCs/>
          <w:smallCaps/>
          <w:color w:val="9D2235"/>
          <w:kern w:val="2"/>
          <w:sz w:val="28"/>
          <w:szCs w:val="28"/>
          <w:lang w:eastAsia="es-ES" w:bidi="hi-IN"/>
        </w:rPr>
        <w:t>3.5.2. Empresa Municipal. Fraude en las Jubilaciones Parciales.</w:t>
      </w:r>
    </w:p>
    <w:p w14:paraId="79A16F4F" w14:textId="77777777"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0"/>
          <w:szCs w:val="20"/>
          <w:lang w:eastAsia="es-ES" w:bidi="hi-IN"/>
        </w:rPr>
      </w:pPr>
    </w:p>
    <w:p w14:paraId="41382E2C"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Las actuaciones se iniciaron como consecuencia de la presentación de una denuncia relativa a fraude de ley en materia de contratación a tiempo parcial y obtención de prestaciones por jubilación parcial.</w:t>
      </w:r>
    </w:p>
    <w:p w14:paraId="23502D38"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55E39203" w14:textId="77777777" w:rsidR="009568B0" w:rsidRPr="00A07BE9" w:rsidRDefault="009568B0" w:rsidP="009568B0">
      <w:pPr>
        <w:spacing w:after="0" w:line="276" w:lineRule="auto"/>
        <w:jc w:val="both"/>
        <w:rPr>
          <w:rFonts w:ascii="Open Sans" w:eastAsia="NSimSun" w:hAnsi="Open Sans" w:cs="Open Sans"/>
          <w:color w:val="000000"/>
          <w:kern w:val="2"/>
          <w:sz w:val="20"/>
          <w:szCs w:val="20"/>
          <w:lang w:eastAsia="zh-CN" w:bidi="hi-IN"/>
        </w:rPr>
      </w:pPr>
      <w:r w:rsidRPr="00A07BE9">
        <w:rPr>
          <w:rFonts w:ascii="Open Sans" w:eastAsia="NSimSun" w:hAnsi="Open Sans" w:cs="Open Sans"/>
          <w:color w:val="000000"/>
          <w:kern w:val="2"/>
          <w:sz w:val="20"/>
          <w:szCs w:val="20"/>
          <w:lang w:eastAsia="zh-CN" w:bidi="hi-IN"/>
        </w:rPr>
        <w:t xml:space="preserve">Durante la realización de las actuaciones de investigación por parte de la Agencia se constató que ninguno de los trabajadores relacionado con las situaciones contempladas en la denuncia realizaba el porcentaje estipulado en sus respectivos contratos, pero sí que percibían las retribuciones íntegras, produciéndose un desfase entre ambos conceptos y </w:t>
      </w:r>
      <w:r w:rsidRPr="00A07BE9">
        <w:rPr>
          <w:rFonts w:ascii="Open Sans" w:eastAsia="NSimSun" w:hAnsi="Open Sans" w:cs="Open Sans"/>
          <w:i/>
          <w:iCs/>
          <w:color w:val="000000"/>
          <w:kern w:val="2"/>
          <w:sz w:val="20"/>
          <w:szCs w:val="20"/>
          <w:lang w:eastAsia="zh-CN" w:bidi="hi-IN"/>
        </w:rPr>
        <w:t>de facto</w:t>
      </w:r>
      <w:r w:rsidRPr="00A07BE9">
        <w:rPr>
          <w:rFonts w:ascii="Open Sans" w:eastAsia="NSimSun" w:hAnsi="Open Sans" w:cs="Open Sans"/>
          <w:color w:val="000000"/>
          <w:kern w:val="2"/>
          <w:sz w:val="20"/>
          <w:szCs w:val="20"/>
          <w:lang w:eastAsia="zh-CN" w:bidi="hi-IN"/>
        </w:rPr>
        <w:t xml:space="preserve"> retribuyéndose horas de trabajo no realizadas.</w:t>
      </w:r>
    </w:p>
    <w:p w14:paraId="166560AC" w14:textId="77777777" w:rsidR="009568B0" w:rsidRPr="00A07BE9" w:rsidRDefault="009568B0" w:rsidP="009568B0">
      <w:pPr>
        <w:spacing w:after="0" w:line="276" w:lineRule="auto"/>
        <w:jc w:val="both"/>
        <w:rPr>
          <w:rFonts w:ascii="Open Sans" w:eastAsia="NSimSun" w:hAnsi="Open Sans" w:cs="Open Sans"/>
          <w:color w:val="000000"/>
          <w:kern w:val="2"/>
          <w:sz w:val="20"/>
          <w:szCs w:val="20"/>
          <w:lang w:eastAsia="zh-CN" w:bidi="hi-IN"/>
        </w:rPr>
      </w:pPr>
    </w:p>
    <w:p w14:paraId="4A3A6952" w14:textId="74227840" w:rsidR="009568B0" w:rsidRPr="00A07BE9" w:rsidRDefault="009568B0" w:rsidP="009568B0">
      <w:pPr>
        <w:spacing w:after="0" w:line="276" w:lineRule="auto"/>
        <w:jc w:val="both"/>
        <w:rPr>
          <w:rFonts w:ascii="Open Sans" w:eastAsia="NSimSun" w:hAnsi="Open Sans" w:cs="Open Sans"/>
          <w:color w:val="000000"/>
          <w:kern w:val="2"/>
          <w:sz w:val="20"/>
          <w:szCs w:val="20"/>
          <w:lang w:eastAsia="zh-CN" w:bidi="hi-IN"/>
        </w:rPr>
      </w:pPr>
      <w:r w:rsidRPr="00A07BE9">
        <w:rPr>
          <w:rFonts w:ascii="Open Sans" w:eastAsia="NSimSun" w:hAnsi="Open Sans" w:cs="Open Sans"/>
          <w:color w:val="000000"/>
          <w:kern w:val="2"/>
          <w:sz w:val="20"/>
          <w:szCs w:val="20"/>
          <w:lang w:eastAsia="zh-CN" w:bidi="hi-IN"/>
        </w:rPr>
        <w:t xml:space="preserve">Todos los trabajadores de la </w:t>
      </w:r>
      <w:r w:rsidR="00E8361A" w:rsidRPr="00A07BE9">
        <w:rPr>
          <w:rFonts w:ascii="Open Sans" w:eastAsia="NSimSun" w:hAnsi="Open Sans" w:cs="Open Sans"/>
          <w:color w:val="000000"/>
          <w:kern w:val="2"/>
          <w:sz w:val="20"/>
          <w:szCs w:val="20"/>
          <w:lang w:eastAsia="zh-CN" w:bidi="hi-IN"/>
        </w:rPr>
        <w:t>e</w:t>
      </w:r>
      <w:r w:rsidRPr="00A07BE9">
        <w:rPr>
          <w:rFonts w:ascii="Open Sans" w:eastAsia="NSimSun" w:hAnsi="Open Sans" w:cs="Open Sans"/>
          <w:color w:val="000000"/>
          <w:kern w:val="2"/>
          <w:sz w:val="20"/>
          <w:szCs w:val="20"/>
          <w:lang w:eastAsia="zh-CN" w:bidi="hi-IN"/>
        </w:rPr>
        <w:t xml:space="preserve">mpresa </w:t>
      </w:r>
      <w:r w:rsidR="00E8361A" w:rsidRPr="00A07BE9">
        <w:rPr>
          <w:rFonts w:ascii="Open Sans" w:eastAsia="NSimSun" w:hAnsi="Open Sans" w:cs="Open Sans"/>
          <w:color w:val="000000"/>
          <w:kern w:val="2"/>
          <w:sz w:val="20"/>
          <w:szCs w:val="20"/>
          <w:lang w:eastAsia="zh-CN" w:bidi="hi-IN"/>
        </w:rPr>
        <w:t>m</w:t>
      </w:r>
      <w:r w:rsidRPr="00A07BE9">
        <w:rPr>
          <w:rFonts w:ascii="Open Sans" w:eastAsia="NSimSun" w:hAnsi="Open Sans" w:cs="Open Sans"/>
          <w:color w:val="000000"/>
          <w:kern w:val="2"/>
          <w:sz w:val="20"/>
          <w:szCs w:val="20"/>
          <w:lang w:eastAsia="zh-CN" w:bidi="hi-IN"/>
        </w:rPr>
        <w:t>unicipal que accedieron a la situación de jubilación parcial al amparo del Acuerdo Colectivo de Jubilación Parcial suscrito en fecha 28 de marzo de 2013 realizaban un número de jornadas efectivas de trabajo durante el periodo de duración de la jubilación parcial inferior al número de jornadas de trabajo que vienen obligados a realizar, tanto para cumplir con la normativa legal de acceso a las prestaciones de seguridad social contempladas para dicha situación, como para cumplir con las obligaciones laborales asumidas contractualmente y por las cuales se les retribuye por parte de la empresa.</w:t>
      </w:r>
    </w:p>
    <w:p w14:paraId="3DE74987" w14:textId="77777777" w:rsidR="009568B0" w:rsidRPr="00A07BE9" w:rsidRDefault="009568B0" w:rsidP="009568B0">
      <w:pPr>
        <w:spacing w:after="0" w:line="276" w:lineRule="auto"/>
        <w:jc w:val="both"/>
        <w:rPr>
          <w:rFonts w:ascii="Open Sans" w:eastAsia="NSimSun" w:hAnsi="Open Sans" w:cs="Open Sans"/>
          <w:color w:val="000000"/>
          <w:kern w:val="2"/>
          <w:sz w:val="20"/>
          <w:szCs w:val="20"/>
          <w:lang w:eastAsia="zh-CN" w:bidi="hi-IN"/>
        </w:rPr>
      </w:pPr>
    </w:p>
    <w:p w14:paraId="6CFC989B" w14:textId="5C555640" w:rsidR="009568B0" w:rsidRPr="00A07BE9" w:rsidRDefault="009568B0" w:rsidP="009568B0">
      <w:pPr>
        <w:spacing w:after="0" w:line="276" w:lineRule="auto"/>
        <w:jc w:val="both"/>
        <w:rPr>
          <w:rFonts w:ascii="Open Sans" w:eastAsia="NSimSun" w:hAnsi="Open Sans" w:cs="Open Sans"/>
          <w:color w:val="000000"/>
          <w:kern w:val="2"/>
          <w:sz w:val="20"/>
          <w:szCs w:val="20"/>
          <w:lang w:eastAsia="zh-CN" w:bidi="hi-IN"/>
        </w:rPr>
      </w:pPr>
      <w:r w:rsidRPr="00A07BE9">
        <w:rPr>
          <w:rFonts w:ascii="Open Sans" w:eastAsia="NSimSun" w:hAnsi="Open Sans" w:cs="Open Sans"/>
          <w:color w:val="000000"/>
          <w:kern w:val="2"/>
          <w:sz w:val="20"/>
          <w:szCs w:val="20"/>
          <w:lang w:eastAsia="zh-CN" w:bidi="hi-IN"/>
        </w:rPr>
        <w:t xml:space="preserve">La </w:t>
      </w:r>
      <w:r w:rsidR="00E8361A" w:rsidRPr="00A07BE9">
        <w:rPr>
          <w:rFonts w:ascii="Open Sans" w:eastAsia="NSimSun" w:hAnsi="Open Sans" w:cs="Open Sans"/>
          <w:color w:val="000000"/>
          <w:kern w:val="2"/>
          <w:sz w:val="20"/>
          <w:szCs w:val="20"/>
          <w:lang w:eastAsia="zh-CN" w:bidi="hi-IN"/>
        </w:rPr>
        <w:t>e</w:t>
      </w:r>
      <w:r w:rsidRPr="00A07BE9">
        <w:rPr>
          <w:rFonts w:ascii="Open Sans" w:eastAsia="NSimSun" w:hAnsi="Open Sans" w:cs="Open Sans"/>
          <w:color w:val="000000"/>
          <w:kern w:val="2"/>
          <w:sz w:val="20"/>
          <w:szCs w:val="20"/>
          <w:lang w:eastAsia="zh-CN" w:bidi="hi-IN"/>
        </w:rPr>
        <w:t xml:space="preserve">mpresa </w:t>
      </w:r>
      <w:r w:rsidR="00E8361A" w:rsidRPr="00A07BE9">
        <w:rPr>
          <w:rFonts w:ascii="Open Sans" w:eastAsia="NSimSun" w:hAnsi="Open Sans" w:cs="Open Sans"/>
          <w:color w:val="000000"/>
          <w:kern w:val="2"/>
          <w:sz w:val="20"/>
          <w:szCs w:val="20"/>
          <w:lang w:eastAsia="zh-CN" w:bidi="hi-IN"/>
        </w:rPr>
        <w:t>m</w:t>
      </w:r>
      <w:r w:rsidRPr="00A07BE9">
        <w:rPr>
          <w:rFonts w:ascii="Open Sans" w:eastAsia="NSimSun" w:hAnsi="Open Sans" w:cs="Open Sans"/>
          <w:color w:val="000000"/>
          <w:kern w:val="2"/>
          <w:sz w:val="20"/>
          <w:szCs w:val="20"/>
          <w:lang w:eastAsia="zh-CN" w:bidi="hi-IN"/>
        </w:rPr>
        <w:t xml:space="preserve">unicipal abonó en el periodo comprendido entre 2014 y 2018 (hasta mayo) a los trabajadores que se jubilan parcialmente la cantidad total de 2,039.417,89 € en concepto de retribuciones salariales, de los cuales, según los cálculos detallados en el informe, </w:t>
      </w:r>
      <w:r w:rsidRPr="00A07BE9">
        <w:rPr>
          <w:rFonts w:ascii="Open Sans" w:eastAsia="NSimSun" w:hAnsi="Open Sans" w:cs="Open Sans"/>
          <w:color w:val="000000"/>
          <w:kern w:val="2"/>
          <w:sz w:val="20"/>
          <w:szCs w:val="20"/>
          <w:lang w:eastAsia="zh-CN" w:bidi="hi-IN"/>
        </w:rPr>
        <w:lastRenderedPageBreak/>
        <w:t xml:space="preserve">909.774,36 € corresponden a retribuciones salariales por las jornadas efectivamente realizadas. En consecuencia, abonó la cantidad de </w:t>
      </w:r>
      <w:r w:rsidRPr="00A07BE9">
        <w:rPr>
          <w:rFonts w:ascii="Open Sans" w:eastAsia="NSimSun" w:hAnsi="Open Sans" w:cs="Open Sans"/>
          <w:b/>
          <w:bCs/>
          <w:color w:val="000000"/>
          <w:kern w:val="2"/>
          <w:sz w:val="20"/>
          <w:szCs w:val="20"/>
          <w:lang w:eastAsia="zh-CN" w:bidi="hi-IN"/>
        </w:rPr>
        <w:t>1.129.643,53 €</w:t>
      </w:r>
      <w:r w:rsidRPr="00A07BE9">
        <w:rPr>
          <w:rFonts w:ascii="Open Sans" w:eastAsia="NSimSun" w:hAnsi="Open Sans" w:cs="Open Sans"/>
          <w:color w:val="000000"/>
          <w:kern w:val="2"/>
          <w:sz w:val="20"/>
          <w:szCs w:val="20"/>
          <w:lang w:eastAsia="zh-CN" w:bidi="hi-IN"/>
        </w:rPr>
        <w:t xml:space="preserve"> que no retribuye jornadas de trabajo realizadas, abono que por otra parte no tenía respaldo legal expreso, ni venía contemplado en el convenio colectivo vigente en el periodo 2012-2017 ni en el acuerdo colectivo de jubilación parcial suscrito en fecha 28 de marzo de 2013.</w:t>
      </w:r>
    </w:p>
    <w:p w14:paraId="317766F9" w14:textId="77777777" w:rsidR="009568B0" w:rsidRPr="00A07BE9" w:rsidRDefault="009568B0" w:rsidP="009568B0">
      <w:pPr>
        <w:spacing w:after="0" w:line="276" w:lineRule="auto"/>
        <w:jc w:val="both"/>
        <w:rPr>
          <w:rFonts w:ascii="Open Sans" w:eastAsia="NSimSun" w:hAnsi="Open Sans" w:cs="Open Sans"/>
          <w:color w:val="000000"/>
          <w:kern w:val="2"/>
          <w:sz w:val="20"/>
          <w:szCs w:val="20"/>
          <w:lang w:eastAsia="zh-CN" w:bidi="hi-IN"/>
        </w:rPr>
      </w:pPr>
    </w:p>
    <w:p w14:paraId="4CB63141" w14:textId="77777777" w:rsidR="009568B0" w:rsidRPr="00A07BE9" w:rsidRDefault="009568B0" w:rsidP="009568B0">
      <w:pPr>
        <w:spacing w:after="0" w:line="276" w:lineRule="auto"/>
        <w:jc w:val="both"/>
        <w:rPr>
          <w:rFonts w:ascii="Open Sans" w:eastAsia="NSimSun" w:hAnsi="Open Sans" w:cs="Open Sans"/>
          <w:color w:val="000000"/>
          <w:kern w:val="2"/>
          <w:sz w:val="20"/>
          <w:szCs w:val="20"/>
          <w:lang w:eastAsia="zh-CN" w:bidi="hi-IN"/>
        </w:rPr>
      </w:pPr>
      <w:r w:rsidRPr="00A07BE9">
        <w:rPr>
          <w:rFonts w:ascii="Open Sans" w:eastAsia="NSimSun" w:hAnsi="Open Sans" w:cs="Open Sans"/>
          <w:color w:val="000000"/>
          <w:kern w:val="2"/>
          <w:sz w:val="20"/>
          <w:szCs w:val="20"/>
          <w:lang w:eastAsia="zh-CN" w:bidi="hi-IN"/>
        </w:rPr>
        <w:t xml:space="preserve">Las actuaciones de investigación fueron remitidas a Fiscalía, que archivó las Diligencias de Investigación Penal, dejando expedita la vía de responsabilidad contable, por lo que se ha procedido a </w:t>
      </w:r>
      <w:r w:rsidRPr="00A07BE9">
        <w:rPr>
          <w:rFonts w:ascii="Open Sans" w:eastAsia="NSimSun" w:hAnsi="Open Sans" w:cs="Open Sans"/>
          <w:b/>
          <w:bCs/>
          <w:color w:val="000000"/>
          <w:kern w:val="2"/>
          <w:sz w:val="20"/>
          <w:szCs w:val="20"/>
          <w:lang w:eastAsia="zh-CN" w:bidi="hi-IN"/>
        </w:rPr>
        <w:t>poner en conocimiento del Tribunal de Cuentas</w:t>
      </w:r>
      <w:r w:rsidRPr="00A07BE9">
        <w:rPr>
          <w:rFonts w:ascii="Open Sans" w:eastAsia="NSimSun" w:hAnsi="Open Sans" w:cs="Open Sans"/>
          <w:color w:val="000000"/>
          <w:kern w:val="2"/>
          <w:sz w:val="20"/>
          <w:szCs w:val="20"/>
          <w:lang w:eastAsia="zh-CN" w:bidi="hi-IN"/>
        </w:rPr>
        <w:t xml:space="preserve"> el contenido de las actuaciones con el fin de dirimir la concurrencia de responsabilidad contable en las mismas.</w:t>
      </w:r>
    </w:p>
    <w:p w14:paraId="048C5971"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174FFAD4"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72564206" w14:textId="77777777"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8"/>
          <w:szCs w:val="28"/>
          <w:lang w:eastAsia="es-ES" w:bidi="hi-IN"/>
        </w:rPr>
      </w:pPr>
      <w:r w:rsidRPr="00A07BE9">
        <w:rPr>
          <w:rFonts w:ascii="Open Sans" w:eastAsia="Times New Roman" w:hAnsi="Open Sans" w:cs="Open Sans"/>
          <w:b/>
          <w:bCs/>
          <w:smallCaps/>
          <w:color w:val="9D2235"/>
          <w:kern w:val="2"/>
          <w:sz w:val="28"/>
          <w:szCs w:val="28"/>
          <w:lang w:eastAsia="es-ES" w:bidi="hi-IN"/>
        </w:rPr>
        <w:t>3.5.3. Ayuntamiento. Fraude en la Justificación de Subvenciones.</w:t>
      </w:r>
    </w:p>
    <w:p w14:paraId="722FC40E"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2D81523C"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Sobre esta materia, se aperturaron actuaciones de investigación relativas a la concesión concreta de tres subvenciones directas por parte de la entidad denunciada.</w:t>
      </w:r>
    </w:p>
    <w:p w14:paraId="553C9918"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10CA0AA2"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Se realizaron requerimientos de documentación al Ayuntamiento, solicitando la remisión de copia de los expedientes administrativos correspondientes para su estudio y análisis. De ello se pusieron de manifiesto la concurrencia de determinadas irregularidades.</w:t>
      </w:r>
    </w:p>
    <w:p w14:paraId="3206A552"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440104AB"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En concreto, no constaba la cuenta justificativa de la subvención ni las declaraciones sobre ayudas concurrentes sobre el mismo objeto. Tampoco constaban los informes del servicio gestor de la subvención o de la Intervención general municipal previo al abono de la misma. </w:t>
      </w:r>
    </w:p>
    <w:p w14:paraId="761CF1B4"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4F718192"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Tras la constatación de lo anterior, se procedió a realizar nuevos requerimientos de información y aportación de documentación al Ayuntamiento, dando lugar a la constatación de la existencia de irregularidades en relación con la presentación de la documentación de la cuenta justificativa de la subvención.</w:t>
      </w:r>
    </w:p>
    <w:p w14:paraId="5084AF8E"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0D4FBB8C"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El expediente ha finalizado mediante resolución que recomienda al Ayuntamiento a valorar la posible concurrencia de nulidad de los acuerdos adoptados por los que se declara justificada la subvención directa y, en su caso, se adopten las medidas que procedan en orden a iniciar el procedimiento de revisión de oficio de dichos actos administrativos. </w:t>
      </w:r>
    </w:p>
    <w:p w14:paraId="46DA9EFC"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4C11FB12"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Asimismo, se recomendó al Ayuntamiento que adoptase las medidas necesarias para asegurar el cumplimiento de las exigencias legales y reglamentarias en la tramitación de los expedientes de administrativos de concesión, justificación y control de las subvenciones, analizando en particular la suficiencia e idoneidad de los medios materiales y personales de las unidades tramitadoras de subvenciones con cargo a fondos públicos de la entidad. </w:t>
      </w:r>
    </w:p>
    <w:p w14:paraId="68D9ACFD"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01CE62BF"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Finalmente, se recomendó la apertura de un periodo de información previa de carácter interno con el fin de depurar las responsabilidades administrativas de carácter disciplinario </w:t>
      </w:r>
      <w:r w:rsidRPr="00A07BE9">
        <w:rPr>
          <w:rFonts w:ascii="Open Sans" w:eastAsia="NSimSun" w:hAnsi="Open Sans" w:cs="Open Sans"/>
          <w:kern w:val="2"/>
          <w:sz w:val="20"/>
          <w:szCs w:val="20"/>
          <w:lang w:eastAsia="zh-CN" w:bidi="hi-IN"/>
        </w:rPr>
        <w:lastRenderedPageBreak/>
        <w:t>en que pudieren habido incurrir las personas encargadas de la tramitación de las diferentes subvenciones analizadas.</w:t>
      </w:r>
    </w:p>
    <w:p w14:paraId="65AEDE06"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00888592"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En el presente caso la entidad denunciada ha remitido escrito a esta Agencia en el que asume y acepta íntegramente la recomendación que se realiza por la Agencia en relación con la suficiencia e idoneidad de medios personales y materiales de las unidades gestoras del ayuntamiento que tramitan subvenciones.</w:t>
      </w:r>
    </w:p>
    <w:p w14:paraId="1078E00C"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0837F412"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En referencia al resto de recomendaciones, el Ayuntamiento supedita su implementación a la obtención de los resultados del control financiero posterior que la Intervención municipal inició como consecuencia de la actuación de la Agencia.</w:t>
      </w:r>
    </w:p>
    <w:p w14:paraId="659B0EFF"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089B3487"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El importe acumulado de las subvenciones efectuadas presuntamente en fraude de ley ascendió a </w:t>
      </w:r>
      <w:r w:rsidRPr="00A07BE9">
        <w:rPr>
          <w:rFonts w:ascii="Open Sans" w:eastAsia="NSimSun" w:hAnsi="Open Sans" w:cs="Open Sans"/>
          <w:b/>
          <w:bCs/>
          <w:kern w:val="2"/>
          <w:sz w:val="20"/>
          <w:szCs w:val="20"/>
          <w:lang w:eastAsia="zh-CN" w:bidi="hi-IN"/>
        </w:rPr>
        <w:t>23.000 €.</w:t>
      </w:r>
    </w:p>
    <w:p w14:paraId="453ADFC8"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7EA7D318"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De la información obtenida en fuentes abiertas se ha constatado que las entidades han procedido a reintegrar al erario público las cantidades percibidas por estos conceptos.</w:t>
      </w:r>
    </w:p>
    <w:p w14:paraId="075A3EF3"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2C2DB43D" w14:textId="77777777" w:rsidR="009568B0" w:rsidRPr="00A07BE9" w:rsidRDefault="009568B0" w:rsidP="009568B0">
      <w:pPr>
        <w:spacing w:after="0" w:line="276" w:lineRule="auto"/>
        <w:jc w:val="both"/>
        <w:rPr>
          <w:rFonts w:ascii="Open Sans" w:eastAsia="NSimSun" w:hAnsi="Open Sans" w:cs="Open Sans"/>
          <w:b/>
          <w:bCs/>
          <w:kern w:val="2"/>
          <w:sz w:val="20"/>
          <w:szCs w:val="20"/>
          <w:u w:val="single"/>
          <w:lang w:eastAsia="zh-CN" w:bidi="hi-IN"/>
        </w:rPr>
      </w:pPr>
    </w:p>
    <w:p w14:paraId="70685855" w14:textId="4A5FA3E0"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8"/>
          <w:szCs w:val="28"/>
          <w:lang w:eastAsia="es-ES" w:bidi="hi-IN"/>
        </w:rPr>
      </w:pPr>
      <w:r w:rsidRPr="00A07BE9">
        <w:rPr>
          <w:rFonts w:ascii="Open Sans" w:eastAsia="Times New Roman" w:hAnsi="Open Sans" w:cs="Open Sans"/>
          <w:b/>
          <w:bCs/>
          <w:smallCaps/>
          <w:color w:val="9D2235"/>
          <w:kern w:val="2"/>
          <w:sz w:val="28"/>
          <w:szCs w:val="28"/>
          <w:lang w:eastAsia="es-ES" w:bidi="hi-IN"/>
        </w:rPr>
        <w:t>3.5.4. Administración Autonómica. Secretar</w:t>
      </w:r>
      <w:r w:rsidR="002E0A25" w:rsidRPr="00A07BE9">
        <w:rPr>
          <w:rFonts w:ascii="Open Sans" w:eastAsia="Times New Roman" w:hAnsi="Open Sans" w:cs="Open Sans"/>
          <w:b/>
          <w:bCs/>
          <w:smallCaps/>
          <w:color w:val="9D2235"/>
          <w:kern w:val="2"/>
          <w:sz w:val="28"/>
          <w:szCs w:val="28"/>
          <w:lang w:eastAsia="es-ES" w:bidi="hi-IN"/>
        </w:rPr>
        <w:t>í</w:t>
      </w:r>
      <w:r w:rsidRPr="00A07BE9">
        <w:rPr>
          <w:rFonts w:ascii="Open Sans" w:eastAsia="Times New Roman" w:hAnsi="Open Sans" w:cs="Open Sans"/>
          <w:b/>
          <w:bCs/>
          <w:smallCaps/>
          <w:color w:val="9D2235"/>
          <w:kern w:val="2"/>
          <w:sz w:val="28"/>
          <w:szCs w:val="28"/>
          <w:lang w:eastAsia="es-ES" w:bidi="hi-IN"/>
        </w:rPr>
        <w:t xml:space="preserve">as </w:t>
      </w:r>
      <w:r w:rsidR="00AF2BD8" w:rsidRPr="00A07BE9">
        <w:rPr>
          <w:rFonts w:ascii="Open Sans" w:eastAsia="Times New Roman" w:hAnsi="Open Sans" w:cs="Open Sans"/>
          <w:b/>
          <w:bCs/>
          <w:smallCaps/>
          <w:color w:val="9D2235"/>
          <w:kern w:val="2"/>
          <w:sz w:val="28"/>
          <w:szCs w:val="28"/>
          <w:lang w:eastAsia="es-ES" w:bidi="hi-IN"/>
        </w:rPr>
        <w:t xml:space="preserve">de </w:t>
      </w:r>
      <w:r w:rsidR="002E0A25" w:rsidRPr="00A07BE9">
        <w:rPr>
          <w:rFonts w:ascii="Open Sans" w:eastAsia="Times New Roman" w:hAnsi="Open Sans" w:cs="Open Sans"/>
          <w:b/>
          <w:bCs/>
          <w:smallCaps/>
          <w:color w:val="9D2235"/>
          <w:kern w:val="2"/>
          <w:sz w:val="28"/>
          <w:szCs w:val="28"/>
          <w:lang w:eastAsia="es-ES" w:bidi="hi-IN"/>
        </w:rPr>
        <w:t>D</w:t>
      </w:r>
      <w:r w:rsidR="00AF2BD8" w:rsidRPr="00A07BE9">
        <w:rPr>
          <w:rFonts w:ascii="Open Sans" w:eastAsia="Times New Roman" w:hAnsi="Open Sans" w:cs="Open Sans"/>
          <w:b/>
          <w:bCs/>
          <w:smallCaps/>
          <w:color w:val="9D2235"/>
          <w:kern w:val="2"/>
          <w:sz w:val="28"/>
          <w:szCs w:val="28"/>
          <w:lang w:eastAsia="es-ES" w:bidi="hi-IN"/>
        </w:rPr>
        <w:t>irección en Interinidad</w:t>
      </w:r>
      <w:r w:rsidRPr="00A07BE9">
        <w:rPr>
          <w:rFonts w:ascii="Open Sans" w:eastAsia="Times New Roman" w:hAnsi="Open Sans" w:cs="Open Sans"/>
          <w:b/>
          <w:bCs/>
          <w:smallCaps/>
          <w:color w:val="9D2235"/>
          <w:kern w:val="2"/>
          <w:sz w:val="28"/>
          <w:szCs w:val="28"/>
          <w:lang w:eastAsia="es-ES" w:bidi="hi-IN"/>
        </w:rPr>
        <w:t>.</w:t>
      </w:r>
    </w:p>
    <w:p w14:paraId="6E119C5A" w14:textId="77777777" w:rsidR="009568B0" w:rsidRPr="00A07BE9" w:rsidRDefault="009568B0" w:rsidP="009568B0">
      <w:pPr>
        <w:spacing w:after="0" w:line="276" w:lineRule="auto"/>
        <w:jc w:val="both"/>
        <w:rPr>
          <w:rFonts w:ascii="Open Sans" w:eastAsia="NSimSun" w:hAnsi="Open Sans" w:cs="Open Sans"/>
          <w:b/>
          <w:bCs/>
          <w:kern w:val="2"/>
          <w:sz w:val="20"/>
          <w:szCs w:val="20"/>
          <w:u w:val="single"/>
          <w:lang w:eastAsia="zh-CN" w:bidi="hi-IN"/>
        </w:rPr>
      </w:pPr>
    </w:p>
    <w:p w14:paraId="34A8230E"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Dichas actuaciones se iniciaron de oficio tras la comunicación a la Agencia de la circunstancia de que determinados puestos de trabajo al servicio del Consell, en concreto cuatro secretarías de altos cargos, fueron cubiertos por personal interino en la anualidad 2007, continuando dicha ocupación de puestos en la anualidad 2019, sin que se tenga constancia de la convocatoria de los procedimientos de libre designación necesarios para la provisión de dichos puestos.</w:t>
      </w:r>
    </w:p>
    <w:p w14:paraId="31559B64"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3C3713DC"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Durante la realización de actuaciones de investigación, se constató por la Agencia que se había desvirtuado la institución de la interinidad de los funcionarios, ya que las causas que motivaron la urgencia de su nombramiento no se habían perpetuado en el tiempo, habiéndose producido una distorsión de la realidad jurídica.</w:t>
      </w:r>
    </w:p>
    <w:p w14:paraId="2801B22B"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641CEDE4"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De las actuaciones se concluyó la necesidad de realizar la convocatoria urgente de los procesos de provisión de puestos de libre designación para la provisión de los cuatro puestos identificados entre funcionarios de carrera de los grupos de titulación correspondientes.</w:t>
      </w:r>
    </w:p>
    <w:p w14:paraId="44DF2E9A"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410B9D91"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Ha considerado la Agencia que el mantenimiento de dichos funcionarios interinos en contra del espíritu de la normativa aplicable en materia de función pública, así como la evolución de la jurisprudencia aplicable incumple la Ley, e infringe los derechos de acceso al empleo público en condiciones de igualdad y con respeto a los principios de publicidad, mérito y </w:t>
      </w:r>
      <w:r w:rsidRPr="00A07BE9">
        <w:rPr>
          <w:rFonts w:ascii="Open Sans" w:eastAsia="NSimSun" w:hAnsi="Open Sans" w:cs="Open Sans"/>
          <w:kern w:val="2"/>
          <w:sz w:val="20"/>
          <w:szCs w:val="20"/>
          <w:lang w:eastAsia="zh-CN" w:bidi="hi-IN"/>
        </w:rPr>
        <w:lastRenderedPageBreak/>
        <w:t>capacidad, así como los derechos a la estabilidad en el empleo y la promoción profesional del personal empleado público.</w:t>
      </w:r>
    </w:p>
    <w:p w14:paraId="75A8926C"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5F0635C3"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En la Resolución recaída en las presentes actuaciones se concedió un plazo de tres meses para que por las distintas administraciones afectadas se procediera a la iniciación de los expedientes de provisión de los puestos denunciados por el sistema de libre designación, constando comunicación fehaciente de haberse procedido a dar cumplimiento efectivo a lo dispuesto en la Resolución de la Agencia.</w:t>
      </w:r>
    </w:p>
    <w:p w14:paraId="49009E83" w14:textId="37CDD717" w:rsidR="00534257" w:rsidRPr="00A07BE9" w:rsidRDefault="00534257" w:rsidP="009568B0">
      <w:pPr>
        <w:spacing w:after="0" w:line="276" w:lineRule="auto"/>
        <w:jc w:val="both"/>
        <w:rPr>
          <w:rFonts w:ascii="Open Sans" w:eastAsia="NSimSun" w:hAnsi="Open Sans" w:cs="Open Sans"/>
          <w:b/>
          <w:bCs/>
          <w:kern w:val="2"/>
          <w:sz w:val="21"/>
          <w:szCs w:val="21"/>
          <w:u w:val="single"/>
          <w:lang w:eastAsia="zh-CN" w:bidi="hi-IN"/>
        </w:rPr>
      </w:pPr>
    </w:p>
    <w:p w14:paraId="6EC15C7A" w14:textId="77777777" w:rsidR="00534257" w:rsidRPr="00A07BE9" w:rsidRDefault="00534257" w:rsidP="009568B0">
      <w:pPr>
        <w:spacing w:after="0" w:line="276" w:lineRule="auto"/>
        <w:jc w:val="both"/>
        <w:rPr>
          <w:rFonts w:ascii="Open Sans" w:eastAsia="NSimSun" w:hAnsi="Open Sans" w:cs="Open Sans"/>
          <w:b/>
          <w:bCs/>
          <w:kern w:val="2"/>
          <w:sz w:val="21"/>
          <w:szCs w:val="21"/>
          <w:u w:val="single"/>
          <w:lang w:eastAsia="zh-CN" w:bidi="hi-IN"/>
        </w:rPr>
      </w:pPr>
    </w:p>
    <w:p w14:paraId="606D54A2" w14:textId="77777777"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8"/>
          <w:szCs w:val="28"/>
          <w:lang w:eastAsia="es-ES" w:bidi="hi-IN"/>
        </w:rPr>
      </w:pPr>
      <w:r w:rsidRPr="00A07BE9">
        <w:rPr>
          <w:rFonts w:ascii="Open Sans" w:eastAsia="Times New Roman" w:hAnsi="Open Sans" w:cs="Open Sans"/>
          <w:b/>
          <w:bCs/>
          <w:smallCaps/>
          <w:color w:val="9D2235"/>
          <w:kern w:val="2"/>
          <w:sz w:val="28"/>
          <w:szCs w:val="28"/>
          <w:lang w:eastAsia="es-ES" w:bidi="hi-IN"/>
        </w:rPr>
        <w:t>3.5.5. Administración Autonómica. Fraude en la Justificación de Subvenciones.</w:t>
      </w:r>
    </w:p>
    <w:p w14:paraId="5D54AA89" w14:textId="77777777" w:rsidR="009568B0" w:rsidRPr="00A07BE9" w:rsidRDefault="009568B0" w:rsidP="009568B0">
      <w:pPr>
        <w:spacing w:after="0" w:line="276" w:lineRule="auto"/>
        <w:jc w:val="both"/>
        <w:rPr>
          <w:rFonts w:ascii="Open Sans" w:eastAsia="NSimSun" w:hAnsi="Open Sans" w:cs="Open Sans"/>
          <w:b/>
          <w:bCs/>
          <w:kern w:val="2"/>
          <w:sz w:val="20"/>
          <w:szCs w:val="20"/>
          <w:u w:val="single"/>
          <w:lang w:eastAsia="zh-CN" w:bidi="hi-IN"/>
        </w:rPr>
      </w:pPr>
    </w:p>
    <w:p w14:paraId="141F21E3"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Las actuaciones se aperturaron de oficio tras la presentación de dos denuncias referidas a irregularidades en la concesión de varias subvenciones a unas determinadas empresas.</w:t>
      </w:r>
    </w:p>
    <w:p w14:paraId="0963CC52"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54A22ADF"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La Agencia realizó hasta un total de tres requerimientos de documentación a la entidad denunciada, que procedió a remitir una gran cantidad de información y documentación para su estudio y análisis.</w:t>
      </w:r>
    </w:p>
    <w:p w14:paraId="6C5398FB"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5E20CB92"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Tras el inicio de las actuaciones de investigación por parte de la Agencia se tuvo conocimiento a través de fuentes abiertas que se estaba siguiendo una causa penal con identidad de sujeto, objeto y fundamento ante los Juzgados de Instrucción de Valencia, por lo que se procedió a oficiar al órgano jurisdiccional con el fin de realizar una comprobación de la información, obteniéndose un resultado positivo de la pesquisa.</w:t>
      </w:r>
    </w:p>
    <w:p w14:paraId="2B2E7994"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30FAFEEE" w14:textId="7B1B253B"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Como consecuencia de lo anterior, se ha procedido a la </w:t>
      </w:r>
      <w:r w:rsidRPr="00A07BE9">
        <w:rPr>
          <w:rFonts w:ascii="Open Sans" w:eastAsia="NSimSun" w:hAnsi="Open Sans" w:cs="Open Sans"/>
          <w:b/>
          <w:bCs/>
          <w:kern w:val="2"/>
          <w:sz w:val="20"/>
          <w:szCs w:val="20"/>
          <w:lang w:eastAsia="zh-CN" w:bidi="hi-IN"/>
        </w:rPr>
        <w:t>interrupción</w:t>
      </w:r>
      <w:r w:rsidRPr="00A07BE9">
        <w:rPr>
          <w:rFonts w:ascii="Open Sans" w:eastAsia="NSimSun" w:hAnsi="Open Sans" w:cs="Open Sans"/>
          <w:kern w:val="2"/>
          <w:sz w:val="20"/>
          <w:szCs w:val="20"/>
          <w:lang w:eastAsia="zh-CN" w:bidi="hi-IN"/>
        </w:rPr>
        <w:t xml:space="preserve"> de las actuaciones seguidas en la Agencia, de conformidad con la prohibición de duplicidad de actuaciones y la subordinación al orden penal establecidas en el </w:t>
      </w:r>
      <w:r w:rsidR="003408CE" w:rsidRPr="00A07BE9">
        <w:rPr>
          <w:rFonts w:ascii="Open Sans" w:eastAsia="NSimSun" w:hAnsi="Open Sans" w:cs="Open Sans"/>
          <w:kern w:val="2"/>
          <w:sz w:val="20"/>
          <w:szCs w:val="20"/>
          <w:lang w:eastAsia="zh-CN" w:bidi="hi-IN"/>
        </w:rPr>
        <w:t>artículo</w:t>
      </w:r>
      <w:r w:rsidRPr="00A07BE9">
        <w:rPr>
          <w:rFonts w:ascii="Open Sans" w:eastAsia="NSimSun" w:hAnsi="Open Sans" w:cs="Open Sans"/>
          <w:kern w:val="2"/>
          <w:sz w:val="20"/>
          <w:szCs w:val="20"/>
          <w:lang w:eastAsia="zh-CN" w:bidi="hi-IN"/>
        </w:rPr>
        <w:t xml:space="preserve"> 5.2 de la </w:t>
      </w:r>
      <w:hyperlink r:id="rId94" w:history="1">
        <w:r w:rsidRPr="00A07BE9">
          <w:rPr>
            <w:rStyle w:val="Hipervnculo"/>
            <w:rFonts w:ascii="Open Sans" w:eastAsia="NSimSun" w:hAnsi="Open Sans" w:cs="Open Sans"/>
            <w:kern w:val="2"/>
            <w:sz w:val="20"/>
            <w:szCs w:val="20"/>
            <w:lang w:eastAsia="zh-CN" w:bidi="hi-IN"/>
          </w:rPr>
          <w:t>Ley fundacional de la Agencia</w:t>
        </w:r>
      </w:hyperlink>
      <w:r w:rsidRPr="00A07BE9">
        <w:rPr>
          <w:rFonts w:ascii="Open Sans" w:eastAsia="NSimSun" w:hAnsi="Open Sans" w:cs="Open Sans"/>
          <w:kern w:val="2"/>
          <w:sz w:val="20"/>
          <w:szCs w:val="20"/>
          <w:lang w:eastAsia="zh-CN" w:bidi="hi-IN"/>
        </w:rPr>
        <w:t>, remitiéndose todo lo actuado al órgano judicial, ofreciendo el apoyo y colaboración que se pudiera requerir.</w:t>
      </w:r>
    </w:p>
    <w:p w14:paraId="2812B3F9"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708F242E"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El importe acumulado de las subvenciones efectuadas presuntamente en fraude de ley ascendía a </w:t>
      </w:r>
      <w:r w:rsidRPr="00A07BE9">
        <w:rPr>
          <w:rFonts w:ascii="Open Sans" w:eastAsia="NSimSun" w:hAnsi="Open Sans" w:cs="Open Sans"/>
          <w:b/>
          <w:bCs/>
          <w:kern w:val="2"/>
          <w:sz w:val="20"/>
          <w:szCs w:val="20"/>
          <w:lang w:eastAsia="zh-CN" w:bidi="hi-IN"/>
        </w:rPr>
        <w:t>509.216 €,</w:t>
      </w:r>
      <w:r w:rsidRPr="00A07BE9">
        <w:rPr>
          <w:rFonts w:ascii="Open Sans" w:eastAsia="NSimSun" w:hAnsi="Open Sans" w:cs="Open Sans"/>
          <w:kern w:val="2"/>
          <w:sz w:val="20"/>
          <w:szCs w:val="20"/>
          <w:lang w:eastAsia="zh-CN" w:bidi="hi-IN"/>
        </w:rPr>
        <w:t xml:space="preserve"> de acuerdo con los datos obtenidos de la Base de Datos General de Subvenciones, que han sido cruzados con los datos contenidos en los informes del órgano gestor.</w:t>
      </w:r>
    </w:p>
    <w:p w14:paraId="3E6BF8EA"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4F38FAC1"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De la información obtenida en fuentes abiertas se ha constatado que las entidades han procedido a reintegrar parcialmente al erario público parte de las cantidades percibidas por estos conceptos.</w:t>
      </w:r>
    </w:p>
    <w:p w14:paraId="57F89E78"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5731CCB4" w14:textId="4BBFB5BE" w:rsidR="00BB091B" w:rsidRPr="00D9626F"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La administración denunciada ha comunicado a la Agencia el inicio de procedimientos de revisión, control y reintegro de algunas de las subvenciones denunciadas.</w:t>
      </w:r>
    </w:p>
    <w:p w14:paraId="1094BA02" w14:textId="77777777"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8"/>
          <w:szCs w:val="28"/>
          <w:lang w:eastAsia="es-ES" w:bidi="hi-IN"/>
        </w:rPr>
      </w:pPr>
      <w:r w:rsidRPr="00A07BE9">
        <w:rPr>
          <w:rFonts w:ascii="Open Sans" w:eastAsia="Times New Roman" w:hAnsi="Open Sans" w:cs="Open Sans"/>
          <w:b/>
          <w:bCs/>
          <w:smallCaps/>
          <w:color w:val="9D2235"/>
          <w:kern w:val="2"/>
          <w:sz w:val="28"/>
          <w:szCs w:val="28"/>
          <w:lang w:eastAsia="es-ES" w:bidi="hi-IN"/>
        </w:rPr>
        <w:lastRenderedPageBreak/>
        <w:t>3.5.6. Ayuntamiento. Interventor en Comisión de Servicios en Diputación.</w:t>
      </w:r>
    </w:p>
    <w:p w14:paraId="34B08EC2" w14:textId="77777777"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0"/>
          <w:szCs w:val="20"/>
          <w:lang w:eastAsia="es-ES" w:bidi="hi-IN"/>
        </w:rPr>
      </w:pPr>
    </w:p>
    <w:p w14:paraId="74616C82"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Las actuaciones en dichas entidades locales se iniciaron de oficio tras la presentación de una denuncia que, entre otros aspectos, ponía en conocimiento de la Agencia un presunto fraude en la concesión de una comisión de servicios de un funcionario de administración local con habilitación de carácter estatal del Ayuntamiento a un puesto de trabajo en la Diputación.</w:t>
      </w:r>
    </w:p>
    <w:p w14:paraId="588CB4BB"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28FE4D5D" w14:textId="1CEDFB7C"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Tras la realización de las actuaciones de investigación procedentes, se procedió al estudio y análisis de la documentación recibida, constatando que la comisión acordada por un plazo de seis meses desde el 1 de abril de 2016 continuaba en activo, habiéndose prorrogado </w:t>
      </w:r>
      <w:r w:rsidRPr="00A07BE9">
        <w:rPr>
          <w:rFonts w:ascii="Open Sans" w:eastAsia="NSimSun" w:hAnsi="Open Sans" w:cs="Open Sans"/>
          <w:i/>
          <w:iCs/>
          <w:kern w:val="2"/>
          <w:sz w:val="20"/>
          <w:szCs w:val="20"/>
          <w:lang w:eastAsia="zh-CN" w:bidi="hi-IN"/>
        </w:rPr>
        <w:t xml:space="preserve">de facto </w:t>
      </w:r>
      <w:r w:rsidRPr="00A07BE9">
        <w:rPr>
          <w:rFonts w:ascii="Open Sans" w:eastAsia="NSimSun" w:hAnsi="Open Sans" w:cs="Open Sans"/>
          <w:kern w:val="2"/>
          <w:sz w:val="20"/>
          <w:szCs w:val="20"/>
          <w:lang w:eastAsia="zh-CN" w:bidi="hi-IN"/>
        </w:rPr>
        <w:t>hasta el 17 de febrero de 2019, mediante la concatenación de diferentes procedimientos</w:t>
      </w:r>
      <w:r w:rsidR="00C1024A" w:rsidRPr="00A07BE9">
        <w:rPr>
          <w:rFonts w:ascii="Open Sans" w:eastAsia="NSimSun" w:hAnsi="Open Sans" w:cs="Open Sans"/>
          <w:kern w:val="2"/>
          <w:sz w:val="20"/>
          <w:szCs w:val="20"/>
          <w:lang w:eastAsia="zh-CN" w:bidi="hi-IN"/>
        </w:rPr>
        <w:t xml:space="preserve"> de </w:t>
      </w:r>
      <w:r w:rsidRPr="00A07BE9">
        <w:rPr>
          <w:rFonts w:ascii="Open Sans" w:eastAsia="NSimSun" w:hAnsi="Open Sans" w:cs="Open Sans"/>
          <w:kern w:val="2"/>
          <w:sz w:val="20"/>
          <w:szCs w:val="20"/>
          <w:lang w:eastAsia="zh-CN" w:bidi="hi-IN"/>
        </w:rPr>
        <w:t>autoriza</w:t>
      </w:r>
      <w:r w:rsidR="00C1024A" w:rsidRPr="00A07BE9">
        <w:rPr>
          <w:rFonts w:ascii="Open Sans" w:eastAsia="NSimSun" w:hAnsi="Open Sans" w:cs="Open Sans"/>
          <w:kern w:val="2"/>
          <w:sz w:val="20"/>
          <w:szCs w:val="20"/>
          <w:lang w:eastAsia="zh-CN" w:bidi="hi-IN"/>
        </w:rPr>
        <w:t>ción</w:t>
      </w:r>
      <w:r w:rsidRPr="00A07BE9">
        <w:rPr>
          <w:rFonts w:ascii="Open Sans" w:eastAsia="NSimSun" w:hAnsi="Open Sans" w:cs="Open Sans"/>
          <w:kern w:val="2"/>
          <w:sz w:val="20"/>
          <w:szCs w:val="20"/>
          <w:lang w:eastAsia="zh-CN" w:bidi="hi-IN"/>
        </w:rPr>
        <w:t>.</w:t>
      </w:r>
    </w:p>
    <w:p w14:paraId="3EEAC40C"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4F6FE357" w14:textId="0F1CB420"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La Agencia ha constatado durante la tramitación del procedimiento de investigación que los decretos de autorización de la comisión de </w:t>
      </w:r>
      <w:r w:rsidR="006F5661" w:rsidRPr="00A07BE9">
        <w:rPr>
          <w:rFonts w:ascii="Open Sans" w:eastAsia="NSimSun" w:hAnsi="Open Sans" w:cs="Open Sans"/>
          <w:kern w:val="2"/>
          <w:sz w:val="20"/>
          <w:szCs w:val="20"/>
          <w:lang w:eastAsia="zh-CN" w:bidi="hi-IN"/>
        </w:rPr>
        <w:t>servicios,</w:t>
      </w:r>
      <w:r w:rsidRPr="00A07BE9">
        <w:rPr>
          <w:rFonts w:ascii="Open Sans" w:eastAsia="NSimSun" w:hAnsi="Open Sans" w:cs="Open Sans"/>
          <w:kern w:val="2"/>
          <w:sz w:val="20"/>
          <w:szCs w:val="20"/>
          <w:lang w:eastAsia="zh-CN" w:bidi="hi-IN"/>
        </w:rPr>
        <w:t xml:space="preserve"> así como los decretos de prórroga habían sido impugnados en la vía jurisdiccional contencioso-administrativa, por lo que se ha procedido a </w:t>
      </w:r>
      <w:r w:rsidRPr="00A07BE9">
        <w:rPr>
          <w:rFonts w:ascii="Open Sans" w:eastAsia="NSimSun" w:hAnsi="Open Sans" w:cs="Open Sans"/>
          <w:b/>
          <w:bCs/>
          <w:kern w:val="2"/>
          <w:sz w:val="20"/>
          <w:szCs w:val="20"/>
          <w:lang w:eastAsia="zh-CN" w:bidi="hi-IN"/>
        </w:rPr>
        <w:t>interrumpir</w:t>
      </w:r>
      <w:r w:rsidRPr="00A07BE9">
        <w:rPr>
          <w:rFonts w:ascii="Open Sans" w:eastAsia="NSimSun" w:hAnsi="Open Sans" w:cs="Open Sans"/>
          <w:kern w:val="2"/>
          <w:sz w:val="20"/>
          <w:szCs w:val="20"/>
          <w:lang w:eastAsia="zh-CN" w:bidi="hi-IN"/>
        </w:rPr>
        <w:t xml:space="preserve"> las actuaciones a la espera de la remisión de las conclusiones del órgano judicial que está conociendo del fondo del asunto.</w:t>
      </w:r>
    </w:p>
    <w:p w14:paraId="1271586D" w14:textId="77777777" w:rsidR="009568B0" w:rsidRPr="00A07BE9" w:rsidRDefault="009568B0" w:rsidP="009568B0">
      <w:pPr>
        <w:spacing w:after="0" w:line="276" w:lineRule="auto"/>
        <w:jc w:val="both"/>
        <w:rPr>
          <w:rFonts w:ascii="Open Sans" w:eastAsia="NSimSun" w:hAnsi="Open Sans" w:cs="Open Sans"/>
          <w:b/>
          <w:bCs/>
          <w:kern w:val="2"/>
          <w:sz w:val="20"/>
          <w:szCs w:val="20"/>
          <w:u w:val="single"/>
          <w:lang w:eastAsia="zh-CN" w:bidi="hi-IN"/>
        </w:rPr>
      </w:pPr>
    </w:p>
    <w:p w14:paraId="2159FC94" w14:textId="77777777" w:rsidR="009568B0" w:rsidRPr="00A07BE9" w:rsidRDefault="009568B0" w:rsidP="009568B0">
      <w:pPr>
        <w:spacing w:after="0" w:line="276" w:lineRule="auto"/>
        <w:jc w:val="both"/>
        <w:rPr>
          <w:rFonts w:ascii="Open Sans" w:eastAsia="NSimSun" w:hAnsi="Open Sans" w:cs="Open Sans"/>
          <w:b/>
          <w:bCs/>
          <w:kern w:val="2"/>
          <w:sz w:val="20"/>
          <w:szCs w:val="20"/>
          <w:u w:val="single"/>
          <w:lang w:eastAsia="zh-CN" w:bidi="hi-IN"/>
        </w:rPr>
      </w:pPr>
    </w:p>
    <w:p w14:paraId="143B8F56" w14:textId="77777777"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8"/>
          <w:szCs w:val="28"/>
          <w:lang w:eastAsia="es-ES" w:bidi="hi-IN"/>
        </w:rPr>
      </w:pPr>
      <w:r w:rsidRPr="00A07BE9">
        <w:rPr>
          <w:rFonts w:ascii="Open Sans" w:eastAsia="Times New Roman" w:hAnsi="Open Sans" w:cs="Open Sans"/>
          <w:b/>
          <w:bCs/>
          <w:smallCaps/>
          <w:color w:val="9D2235"/>
          <w:kern w:val="2"/>
          <w:sz w:val="28"/>
          <w:szCs w:val="28"/>
          <w:lang w:eastAsia="es-ES" w:bidi="hi-IN"/>
        </w:rPr>
        <w:t>3.5.7. Ayuntamiento. Fraude en la Gestión de las Escuelas Deportivas Municipales y Posible Contratación Irregular del Software de Recaudación.</w:t>
      </w:r>
    </w:p>
    <w:p w14:paraId="4BF69A5A" w14:textId="77777777" w:rsidR="009568B0" w:rsidRPr="00A07BE9" w:rsidRDefault="009568B0" w:rsidP="009568B0">
      <w:pPr>
        <w:spacing w:after="0" w:line="276" w:lineRule="auto"/>
        <w:jc w:val="both"/>
        <w:rPr>
          <w:rFonts w:ascii="Open Sans" w:eastAsia="NSimSun" w:hAnsi="Open Sans" w:cs="Open Sans"/>
          <w:b/>
          <w:bCs/>
          <w:kern w:val="2"/>
          <w:sz w:val="20"/>
          <w:szCs w:val="20"/>
          <w:u w:val="single"/>
          <w:lang w:eastAsia="zh-CN" w:bidi="hi-IN"/>
        </w:rPr>
      </w:pPr>
    </w:p>
    <w:p w14:paraId="4E8C4CCE"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Como consecuencia de una denuncia presentada contra un Ayuntamiento se aperturaron dos líneas de investigación en la Agencia.</w:t>
      </w:r>
    </w:p>
    <w:p w14:paraId="776B5A11"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6C6B3935"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La primera de ellas se dirigió al estudio y análisis de la gestión de las escuelas deportivas municipales, sospechándose que la misma pudiera haber sido externalizada hacia una entidad distinta del Ayuntamiento que venía prestando dichos servicios, sin título jurídico que lo habilitara.</w:t>
      </w:r>
    </w:p>
    <w:p w14:paraId="687E89FB"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59805965"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La segunda línea de investigación se enfocó hacia el estudio y análisis de una presunta contratación irregular del software de gestión tributaria. </w:t>
      </w:r>
    </w:p>
    <w:p w14:paraId="2BF25128"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0A2040BA"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Por economía procedimental, las actuaciones de investigación se realizaron de forma conjunta para ambos expedientes, aunque se realizaron informes de investigación individualizados para cada una de las líneas de investigación abiertas. </w:t>
      </w:r>
    </w:p>
    <w:p w14:paraId="125FE734"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13D261E3" w14:textId="14AC173D"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Durante la anualidad 2019 se realizó visita de inspección </w:t>
      </w:r>
      <w:r w:rsidRPr="00A07BE9">
        <w:rPr>
          <w:rFonts w:ascii="Open Sans" w:eastAsia="NSimSun" w:hAnsi="Open Sans" w:cs="Open Sans"/>
          <w:i/>
          <w:iCs/>
          <w:kern w:val="2"/>
          <w:sz w:val="20"/>
          <w:szCs w:val="20"/>
          <w:lang w:eastAsia="zh-CN" w:bidi="hi-IN"/>
        </w:rPr>
        <w:t>in situ</w:t>
      </w:r>
      <w:r w:rsidRPr="00A07BE9">
        <w:rPr>
          <w:rFonts w:ascii="Open Sans" w:eastAsia="NSimSun" w:hAnsi="Open Sans" w:cs="Open Sans"/>
          <w:kern w:val="2"/>
          <w:sz w:val="20"/>
          <w:szCs w:val="20"/>
          <w:lang w:eastAsia="zh-CN" w:bidi="hi-IN"/>
        </w:rPr>
        <w:t xml:space="preserve"> a las dependencias municipales, dada la resistencia del ente denunciado a la aportación de determinada documentación.</w:t>
      </w:r>
    </w:p>
    <w:p w14:paraId="09020162"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lastRenderedPageBreak/>
        <w:t xml:space="preserve">Por lo que se refiere a la gestión de las escuelas deportivas municipales, se constató que el Ayuntamiento estaría consintiendo la gestión de un servicio público </w:t>
      </w:r>
      <w:r w:rsidRPr="00A07BE9">
        <w:rPr>
          <w:rFonts w:ascii="Open Sans" w:eastAsia="NSimSun" w:hAnsi="Open Sans" w:cs="Open Sans"/>
          <w:i/>
          <w:iCs/>
          <w:kern w:val="2"/>
          <w:sz w:val="20"/>
          <w:szCs w:val="20"/>
          <w:lang w:eastAsia="zh-CN" w:bidi="hi-IN"/>
        </w:rPr>
        <w:t>de facto</w:t>
      </w:r>
      <w:r w:rsidRPr="00A07BE9">
        <w:rPr>
          <w:rFonts w:ascii="Open Sans" w:eastAsia="NSimSun" w:hAnsi="Open Sans" w:cs="Open Sans"/>
          <w:kern w:val="2"/>
          <w:sz w:val="20"/>
          <w:szCs w:val="20"/>
          <w:lang w:eastAsia="zh-CN" w:bidi="hi-IN"/>
        </w:rPr>
        <w:t xml:space="preserve"> por parte de una asociación sin darse cumplimiento a lo establecido en la legislación administrativa reguladora de las concesiones de servicio público. </w:t>
      </w:r>
    </w:p>
    <w:p w14:paraId="2CFBBDC2"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50AB74F2"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Tras el despliegue de la actuación investigadora, se constató una evolución en el servicio deportivo municipal, en el que, a medida que transcurrían los años, se fueron transfiriendo progresivamente la gestión de cada una de las disciplinas a una asociación externa sin la tramitación de ningún procedimiento de carácter administrativo. La cuestión se vio agravada por la constatación de que la asociación estaba parcialmente integrada por personas afines al partido político gobernante en el consistorio en aquel momento, y por el hecho de que la asociación estuviera haciendo uso de las instalaciones deportivas municipales con carácter preferente a otras entidades del municipio y de forma gratuita, y sin contraprestación económica para el Ayuntamiento.</w:t>
      </w:r>
    </w:p>
    <w:p w14:paraId="5CB24DF7"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3F65E5B5" w14:textId="3F50841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Asimismo, se procedió a cuantificar el lucro cesante, entendiendo como tal el montante económico que el Ayuntamiento dejó de ingresar por haber dejado de prestar un servicio en forma de gestión directa, y atribuirlo a una entidad externa sin contraprestación alguna para el erario público. Según los cálculos efectuados por el personal encargado de la investigación, atendiendo a los importes de cada una de las actividades deportivas dejadas de prestar por el Ayuntamiento, extrapolados para una anualidad y una ocupación media de cada una de las disciplinas, obteniendo un importe de 91.939,20 €, que ascenderían a </w:t>
      </w:r>
      <w:r w:rsidRPr="00A07BE9">
        <w:rPr>
          <w:rFonts w:ascii="Open Sans" w:eastAsia="NSimSun" w:hAnsi="Open Sans" w:cs="Open Sans"/>
          <w:b/>
          <w:bCs/>
          <w:kern w:val="2"/>
          <w:sz w:val="20"/>
          <w:szCs w:val="20"/>
          <w:lang w:eastAsia="zh-CN" w:bidi="hi-IN"/>
        </w:rPr>
        <w:t>171.286,64 € al año</w:t>
      </w:r>
      <w:r w:rsidRPr="00A07BE9">
        <w:rPr>
          <w:rFonts w:ascii="Open Sans" w:eastAsia="NSimSun" w:hAnsi="Open Sans" w:cs="Open Sans"/>
          <w:kern w:val="2"/>
          <w:sz w:val="20"/>
          <w:szCs w:val="20"/>
          <w:lang w:eastAsia="zh-CN" w:bidi="hi-IN"/>
        </w:rPr>
        <w:t xml:space="preserve">, para el caso de que </w:t>
      </w:r>
      <w:r w:rsidR="00CD2641" w:rsidRPr="00A07BE9">
        <w:rPr>
          <w:rFonts w:ascii="Open Sans" w:eastAsia="NSimSun" w:hAnsi="Open Sans" w:cs="Open Sans"/>
          <w:kern w:val="2"/>
          <w:sz w:val="20"/>
          <w:szCs w:val="20"/>
          <w:lang w:eastAsia="zh-CN" w:bidi="hi-IN"/>
        </w:rPr>
        <w:t>la ocupación de las actividades fuera</w:t>
      </w:r>
      <w:r w:rsidRPr="00A07BE9">
        <w:rPr>
          <w:rFonts w:ascii="Open Sans" w:eastAsia="NSimSun" w:hAnsi="Open Sans" w:cs="Open Sans"/>
          <w:kern w:val="2"/>
          <w:sz w:val="20"/>
          <w:szCs w:val="20"/>
          <w:lang w:eastAsia="zh-CN" w:bidi="hi-IN"/>
        </w:rPr>
        <w:t xml:space="preserve"> con carácter de máximos.</w:t>
      </w:r>
    </w:p>
    <w:p w14:paraId="432A1696"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40B15D6C"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Sintetizando todo lo anterior, con las autorizaciones otorgadas a la asociación, el Ayuntamiento habría permitido el uso de las instalaciones públicas municipales para la adjudicación directa de la gestión de un servicio público a un tercero, percibiendo el mismo un beneficio económico derivado del pago por parte de los usuarios de las tarifas establecidas. Con este proceder, el Ayuntamiento no solo habría eludido la celebración del oportuno proceso licitatorio que promueva la concurrencia y permita determinar la mejor oferta para los intereses municipales, sino que además se habría permitido la derivación de fondos públicos a una cuenta privada no controlada por el ayuntamiento, extremo que fue informado por los propios funcionarios del Ayuntamiento encargados de las funciones de intervención y tesorería.</w:t>
      </w:r>
    </w:p>
    <w:p w14:paraId="6F59C568"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61F72A6E"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Por su parte, respecto de la contratación del software de gestión tributaria, de la documentación aportada, se constató la realización de gastos no amparados por una contratación administrativa, y a precios sensiblemente superiores a los precios de mercado para el mismo producto. Asimismo, no se constató correspondencia entre los importes contratados y los importes mensuales realmente facturados.</w:t>
      </w:r>
    </w:p>
    <w:p w14:paraId="62239D58"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0B581B94"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Al respecto de esta línea de investigación, se concluyó que la valoración del perjuicio económico de los hechos investigados podría ascender a un total de </w:t>
      </w:r>
      <w:r w:rsidRPr="00A07BE9">
        <w:rPr>
          <w:rFonts w:ascii="Open Sans" w:eastAsia="NSimSun" w:hAnsi="Open Sans" w:cs="Open Sans"/>
          <w:b/>
          <w:bCs/>
          <w:kern w:val="2"/>
          <w:sz w:val="20"/>
          <w:szCs w:val="20"/>
          <w:lang w:eastAsia="zh-CN" w:bidi="hi-IN"/>
        </w:rPr>
        <w:t>82.885 €</w:t>
      </w:r>
      <w:r w:rsidRPr="00A07BE9">
        <w:rPr>
          <w:rFonts w:ascii="Open Sans" w:eastAsia="NSimSun" w:hAnsi="Open Sans" w:cs="Open Sans"/>
          <w:kern w:val="2"/>
          <w:sz w:val="20"/>
          <w:szCs w:val="20"/>
          <w:lang w:eastAsia="zh-CN" w:bidi="hi-IN"/>
        </w:rPr>
        <w:t xml:space="preserve">, cantidad que equivaldría a la suma del sobrecoste generado por la prórroga del contrato finalizado a un </w:t>
      </w:r>
      <w:r w:rsidRPr="00A07BE9">
        <w:rPr>
          <w:rFonts w:ascii="Open Sans" w:eastAsia="NSimSun" w:hAnsi="Open Sans" w:cs="Open Sans"/>
          <w:kern w:val="2"/>
          <w:sz w:val="20"/>
          <w:szCs w:val="20"/>
          <w:lang w:eastAsia="zh-CN" w:bidi="hi-IN"/>
        </w:rPr>
        <w:lastRenderedPageBreak/>
        <w:t>precio superior al establecido en la posterior licitación que se realizó y del sobrecoste generado por la facturación del contrato vigente que no se ajustaba a lo efectivamente contratado.</w:t>
      </w:r>
    </w:p>
    <w:p w14:paraId="4E26B1BD"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3D7D899C" w14:textId="61A939B3"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Dada la posible relevancia penal de los hechos investigados, se pusieron en conocimiento del Ministerio Fiscal a los efectos de dar cumplimiento a lo establecido en el </w:t>
      </w:r>
      <w:r w:rsidR="003408CE" w:rsidRPr="00A07BE9">
        <w:rPr>
          <w:rFonts w:ascii="Open Sans" w:eastAsia="NSimSun" w:hAnsi="Open Sans" w:cs="Open Sans"/>
          <w:kern w:val="2"/>
          <w:sz w:val="20"/>
          <w:szCs w:val="20"/>
          <w:lang w:eastAsia="zh-CN" w:bidi="hi-IN"/>
        </w:rPr>
        <w:t>artículo</w:t>
      </w:r>
      <w:r w:rsidRPr="00A07BE9">
        <w:rPr>
          <w:rFonts w:ascii="Open Sans" w:eastAsia="NSimSun" w:hAnsi="Open Sans" w:cs="Open Sans"/>
          <w:kern w:val="2"/>
          <w:sz w:val="20"/>
          <w:szCs w:val="20"/>
          <w:lang w:eastAsia="zh-CN" w:bidi="hi-IN"/>
        </w:rPr>
        <w:t xml:space="preserve"> 5.2 de la </w:t>
      </w:r>
      <w:hyperlink r:id="rId95" w:history="1">
        <w:r w:rsidR="005401CB" w:rsidRPr="00A07BE9">
          <w:rPr>
            <w:rStyle w:val="Hipervnculo"/>
            <w:rFonts w:ascii="Open Sans" w:hAnsi="Open Sans" w:cs="Open Sans"/>
            <w:sz w:val="20"/>
            <w:szCs w:val="20"/>
          </w:rPr>
          <w:t>Ley 11/2016</w:t>
        </w:r>
      </w:hyperlink>
      <w:r w:rsidR="005401CB" w:rsidRPr="00A07BE9">
        <w:rPr>
          <w:rFonts w:ascii="Open Sans" w:hAnsi="Open Sans" w:cs="Open Sans"/>
          <w:sz w:val="20"/>
          <w:szCs w:val="20"/>
        </w:rPr>
        <w:t>.</w:t>
      </w:r>
    </w:p>
    <w:p w14:paraId="1414F95F" w14:textId="77777777" w:rsidR="009568B0" w:rsidRPr="00A07BE9" w:rsidRDefault="009568B0" w:rsidP="009568B0">
      <w:pPr>
        <w:spacing w:after="0" w:line="276" w:lineRule="auto"/>
        <w:jc w:val="both"/>
        <w:rPr>
          <w:rFonts w:ascii="Open Sans" w:eastAsia="NSimSun" w:hAnsi="Open Sans" w:cs="Open Sans"/>
          <w:b/>
          <w:bCs/>
          <w:kern w:val="2"/>
          <w:sz w:val="20"/>
          <w:szCs w:val="20"/>
          <w:u w:val="single"/>
          <w:lang w:eastAsia="zh-CN" w:bidi="hi-IN"/>
        </w:rPr>
      </w:pPr>
    </w:p>
    <w:p w14:paraId="03AF60DF" w14:textId="77777777" w:rsidR="009568B0" w:rsidRPr="00A07BE9" w:rsidRDefault="009568B0" w:rsidP="009568B0">
      <w:pPr>
        <w:spacing w:after="0" w:line="276" w:lineRule="auto"/>
        <w:jc w:val="both"/>
        <w:rPr>
          <w:rFonts w:ascii="Open Sans" w:eastAsia="NSimSun" w:hAnsi="Open Sans" w:cs="Open Sans"/>
          <w:b/>
          <w:bCs/>
          <w:kern w:val="2"/>
          <w:sz w:val="20"/>
          <w:szCs w:val="20"/>
          <w:u w:val="single"/>
          <w:lang w:eastAsia="zh-CN" w:bidi="hi-IN"/>
        </w:rPr>
      </w:pPr>
    </w:p>
    <w:p w14:paraId="7A23F6B1" w14:textId="77777777"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8"/>
          <w:szCs w:val="28"/>
          <w:lang w:eastAsia="es-ES" w:bidi="hi-IN"/>
        </w:rPr>
      </w:pPr>
      <w:r w:rsidRPr="00A07BE9">
        <w:rPr>
          <w:rFonts w:ascii="Open Sans" w:eastAsia="Times New Roman" w:hAnsi="Open Sans" w:cs="Open Sans"/>
          <w:b/>
          <w:bCs/>
          <w:smallCaps/>
          <w:color w:val="9D2235"/>
          <w:kern w:val="2"/>
          <w:sz w:val="28"/>
          <w:szCs w:val="28"/>
          <w:lang w:eastAsia="es-ES" w:bidi="hi-IN"/>
        </w:rPr>
        <w:t>3.5.8. Sector Público Autonómico. Incompatibilidades del Empleado Público.</w:t>
      </w:r>
    </w:p>
    <w:p w14:paraId="50BBE088" w14:textId="77777777" w:rsidR="009568B0" w:rsidRPr="00A07BE9" w:rsidRDefault="009568B0" w:rsidP="009568B0">
      <w:pPr>
        <w:spacing w:after="0" w:line="276" w:lineRule="auto"/>
        <w:jc w:val="both"/>
        <w:rPr>
          <w:rFonts w:ascii="Open Sans" w:eastAsia="NSimSun" w:hAnsi="Open Sans" w:cs="Open Sans"/>
          <w:b/>
          <w:bCs/>
          <w:kern w:val="2"/>
          <w:sz w:val="20"/>
          <w:szCs w:val="20"/>
          <w:u w:val="single"/>
          <w:lang w:eastAsia="zh-CN" w:bidi="hi-IN"/>
        </w:rPr>
      </w:pPr>
    </w:p>
    <w:p w14:paraId="52A1A18A" w14:textId="766843E4"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Mediante escrito a través del </w:t>
      </w:r>
      <w:hyperlink r:id="rId96" w:history="1">
        <w:r w:rsidR="008447AD" w:rsidRPr="00A07BE9">
          <w:rPr>
            <w:rStyle w:val="Hipervnculo"/>
            <w:rFonts w:ascii="Open Sans" w:eastAsia="NSimSun" w:hAnsi="Open Sans" w:cs="Open Sans"/>
            <w:kern w:val="2"/>
            <w:sz w:val="20"/>
            <w:szCs w:val="20"/>
            <w:lang w:eastAsia="zh-CN" w:bidi="hi-IN"/>
          </w:rPr>
          <w:t>B</w:t>
        </w:r>
        <w:r w:rsidRPr="00A07BE9">
          <w:rPr>
            <w:rStyle w:val="Hipervnculo"/>
            <w:rFonts w:ascii="Open Sans" w:eastAsia="NSimSun" w:hAnsi="Open Sans" w:cs="Open Sans"/>
            <w:kern w:val="2"/>
            <w:sz w:val="20"/>
            <w:szCs w:val="20"/>
            <w:lang w:eastAsia="zh-CN" w:bidi="hi-IN"/>
          </w:rPr>
          <w:t xml:space="preserve">uzón de </w:t>
        </w:r>
        <w:r w:rsidR="008447AD" w:rsidRPr="00A07BE9">
          <w:rPr>
            <w:rStyle w:val="Hipervnculo"/>
            <w:rFonts w:ascii="Open Sans" w:eastAsia="NSimSun" w:hAnsi="Open Sans" w:cs="Open Sans"/>
            <w:kern w:val="2"/>
            <w:sz w:val="20"/>
            <w:szCs w:val="20"/>
            <w:lang w:eastAsia="zh-CN" w:bidi="hi-IN"/>
          </w:rPr>
          <w:t>D</w:t>
        </w:r>
        <w:r w:rsidRPr="00A07BE9">
          <w:rPr>
            <w:rStyle w:val="Hipervnculo"/>
            <w:rFonts w:ascii="Open Sans" w:eastAsia="NSimSun" w:hAnsi="Open Sans" w:cs="Open Sans"/>
            <w:kern w:val="2"/>
            <w:sz w:val="20"/>
            <w:szCs w:val="20"/>
            <w:lang w:eastAsia="zh-CN" w:bidi="hi-IN"/>
          </w:rPr>
          <w:t>enuncias</w:t>
        </w:r>
      </w:hyperlink>
      <w:r w:rsidRPr="00A07BE9">
        <w:rPr>
          <w:rFonts w:ascii="Open Sans" w:eastAsia="NSimSun" w:hAnsi="Open Sans" w:cs="Open Sans"/>
          <w:kern w:val="2"/>
          <w:sz w:val="20"/>
          <w:szCs w:val="20"/>
          <w:lang w:eastAsia="zh-CN" w:bidi="hi-IN"/>
        </w:rPr>
        <w:t xml:space="preserve"> de esta Agencia se presentó denuncia anónima relativa a determinadas irregularidades cometidas en el seno de una entidad del sector público autonómico. La persona denunciante ponía de manifiesto que un empleado podría haber facturado a algunos organismos públicos la realización de determinados servicios, aprovechándose de su condición y puesto de trabajo en la entidad, localizándose facturas a nombre de esta persona remitidas por parte de Ayuntamientos, Mancomunidades, Cámaras de Comercio, con el fin de justificar gastos para la obtención de ayudas.</w:t>
      </w:r>
    </w:p>
    <w:p w14:paraId="1DBF06B3"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4470B328"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Entre las actuaciones de investigación desplegadas por la Agencia, se procedió a requerir a la persona informadora de una concreción de los datos de la denuncia, con la finalidad de evitar la iniciación de una investigación con carácter prospectivo. Tras el cumplimiento del requerimiento, se procedió a oficiar a la entidad denunciada para que aportase determinada documentación que obraba en su poder, a efectos de poder cumplimentar el análisis de la denuncia.</w:t>
      </w:r>
    </w:p>
    <w:p w14:paraId="3295CCDD"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37E11121"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Las actuaciones concluyeron tras la constatación de que las facturas a las que hacía referencia la denuncia existían y habían sido efectivamente presentadas como justificantes para la percepción de subvenciones públicas, pero que, tras la intervención de la Agencia, no fueron aceptadas por la entidad libradora de los fondos. Asimismo se constató la iniciación de un expediente de carácter disciplinario contra el empleado público autor de los hechos denunciados, por parte de la administración titular de la competencia, imponiéndosele una sanción de apercibimiento y accesoria de prohibición expresa de participación en eventos financiados, total o parcialmente, o patrocinados u organizados por la entidad.</w:t>
      </w:r>
    </w:p>
    <w:p w14:paraId="505AE678"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4A486E5F"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Por todo ello, y quedando acreditado que la entidad pública inició los mecanismos de protección y restauración de la legalidad de forma eficaz, procediendo a depurar las responsabilidades de carácter administrativo que procedieran, imponiendo sanción de carácter leve al empleado denunciado, se resolvió la conclusión de las actuaciones, sin perjuicio de la potestad de determinar la reapertura del procedimiento en el caso de que aparezcan nuevos indicios o hechos.</w:t>
      </w:r>
    </w:p>
    <w:p w14:paraId="590CF610" w14:textId="77777777" w:rsidR="009568B0" w:rsidRPr="00A07BE9" w:rsidRDefault="009568B0" w:rsidP="009568B0">
      <w:pPr>
        <w:spacing w:after="0" w:line="276" w:lineRule="auto"/>
        <w:jc w:val="both"/>
        <w:rPr>
          <w:rFonts w:ascii="Open Sans" w:eastAsia="NSimSun" w:hAnsi="Open Sans" w:cs="Open Sans"/>
          <w:b/>
          <w:bCs/>
          <w:kern w:val="2"/>
          <w:sz w:val="20"/>
          <w:szCs w:val="20"/>
          <w:u w:val="single"/>
          <w:lang w:eastAsia="zh-CN" w:bidi="hi-IN"/>
        </w:rPr>
      </w:pPr>
    </w:p>
    <w:p w14:paraId="6148A25F" w14:textId="77777777"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8"/>
          <w:szCs w:val="28"/>
          <w:lang w:eastAsia="es-ES" w:bidi="hi-IN"/>
        </w:rPr>
      </w:pPr>
      <w:r w:rsidRPr="00A07BE9">
        <w:rPr>
          <w:rFonts w:ascii="Open Sans" w:eastAsia="Times New Roman" w:hAnsi="Open Sans" w:cs="Open Sans"/>
          <w:b/>
          <w:bCs/>
          <w:smallCaps/>
          <w:color w:val="9D2235"/>
          <w:kern w:val="2"/>
          <w:sz w:val="28"/>
          <w:szCs w:val="28"/>
          <w:lang w:eastAsia="es-ES" w:bidi="hi-IN"/>
        </w:rPr>
        <w:lastRenderedPageBreak/>
        <w:t>3.5.9. Ayuntamiento. Posible Fraccionamiento de Contratos, Uso Indebido de la Figura del Enriquecimiento Injusto.</w:t>
      </w:r>
    </w:p>
    <w:p w14:paraId="3A89F931" w14:textId="77777777" w:rsidR="009568B0" w:rsidRPr="00A07BE9" w:rsidRDefault="009568B0" w:rsidP="009568B0">
      <w:pPr>
        <w:spacing w:after="0" w:line="276" w:lineRule="auto"/>
        <w:jc w:val="both"/>
        <w:rPr>
          <w:rFonts w:ascii="Open Sans" w:eastAsia="NSimSun" w:hAnsi="Open Sans" w:cs="Open Sans"/>
          <w:b/>
          <w:bCs/>
          <w:kern w:val="2"/>
          <w:sz w:val="20"/>
          <w:szCs w:val="20"/>
          <w:u w:val="single"/>
          <w:lang w:eastAsia="zh-CN" w:bidi="hi-IN"/>
        </w:rPr>
      </w:pPr>
    </w:p>
    <w:p w14:paraId="5A29AF1B"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En relación con la denuncia presentada ante esta Agencia, en la que se hacía referencia al presunto fraccionamiento de facturas en un Ayuntamiento durante los años 2016 y 2017, relativas a la contratación del servicio de asesoramiento, mediación de intermediación hipotecaria para personas afectadas por situaciones de riesgo residencial que puedan derivar en pérdida de la vivienda habitual, se iniciaron actuaciones de investigación.</w:t>
      </w:r>
    </w:p>
    <w:p w14:paraId="0C2F84A4"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1600354A"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Del estudio de la documentación e información facilitada a esta Agencia por el Ayuntamiento, en el informe final de actuaciones de investigación se obtuvieron las siguientes conclusiones: </w:t>
      </w:r>
    </w:p>
    <w:p w14:paraId="210903B8"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71E06748" w14:textId="4B7C893B"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1. Se ha acudido al procedimiento de reconocimiento extrajudicial de créditos (figura del enriquecimiento injusto) de forma habitual y en fraude de los principios y requisitos exigidos en la normativa relativa a la contratación administrativa, no acreditándose en el expediente la buena fe del proveedor y de la administración.  En </w:t>
      </w:r>
      <w:r w:rsidR="00916B9D" w:rsidRPr="00A07BE9">
        <w:rPr>
          <w:rFonts w:ascii="Open Sans" w:eastAsia="NSimSun" w:hAnsi="Open Sans" w:cs="Open Sans"/>
          <w:kern w:val="2"/>
          <w:sz w:val="20"/>
          <w:szCs w:val="20"/>
          <w:lang w:eastAsia="zh-CN" w:bidi="hi-IN"/>
        </w:rPr>
        <w:t>consecuencia,</w:t>
      </w:r>
      <w:r w:rsidRPr="00A07BE9">
        <w:rPr>
          <w:rFonts w:ascii="Open Sans" w:eastAsia="NSimSun" w:hAnsi="Open Sans" w:cs="Open Sans"/>
          <w:kern w:val="2"/>
          <w:sz w:val="20"/>
          <w:szCs w:val="20"/>
          <w:lang w:eastAsia="zh-CN" w:bidi="hi-IN"/>
        </w:rPr>
        <w:t xml:space="preserve"> se recomendó proceder a la revisión de oficio del acto.</w:t>
      </w:r>
    </w:p>
    <w:p w14:paraId="48E73343"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68A65FCA"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2. Los informes de la Intervención de omisión de fiscalización, declaraban expresamente que el encargo de la prestación se había realizado prescindiendo total y absolutamente del procedimiento legalmente establecido, incurriendo en causa de nulidad del acto administrativo principal y de los derivados del mismo, haciendo constar los informes que se emitían con independencia de las responsabilidades en que se hubiera podido incurrir.</w:t>
      </w:r>
    </w:p>
    <w:p w14:paraId="51B5A90A"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4122CA9C" w14:textId="0B20C505"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A juicio de esta Agencia, todo ello puede haber supuesto la comisión de una infracción muy grave según lo dispuesto en la </w:t>
      </w:r>
      <w:hyperlink r:id="rId97" w:history="1">
        <w:r w:rsidRPr="00A07BE9">
          <w:rPr>
            <w:rStyle w:val="Hipervnculo"/>
            <w:rFonts w:ascii="Open Sans" w:eastAsia="NSimSun" w:hAnsi="Open Sans" w:cs="Open Sans"/>
            <w:kern w:val="2"/>
            <w:sz w:val="20"/>
            <w:szCs w:val="20"/>
            <w:lang w:eastAsia="zh-CN" w:bidi="hi-IN"/>
          </w:rPr>
          <w:t>Ley 19/2013, de 9 de diciembre, de Transparencia, Acceso a la Información Pública y Buen Gobierno</w:t>
        </w:r>
      </w:hyperlink>
      <w:r w:rsidRPr="00A07BE9">
        <w:rPr>
          <w:rFonts w:ascii="Open Sans" w:eastAsia="NSimSun" w:hAnsi="Open Sans" w:cs="Open Sans"/>
          <w:kern w:val="2"/>
          <w:sz w:val="20"/>
          <w:szCs w:val="20"/>
          <w:lang w:eastAsia="zh-CN" w:bidi="hi-IN"/>
        </w:rPr>
        <w:t>, para que la Administración deba exigir las responsabilidades disciplinarias que pudieran resultar procedentes previo expediente informativo y así conocer las circunstancias que concurren en la actuación realizada por el Servicio gestor.</w:t>
      </w:r>
    </w:p>
    <w:p w14:paraId="6EC3A4AD"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6291712A"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La entidad denunciada respondió comunicando a la Agencia que había procedido a adoptar las medidas oportunas para evitar en el futuro la repetición de las circunstancias organizativas y de gestión al objeto de minimizar los supuestos en que resulte indispensable recurrir a la figura de la continuidad en la prestación de servicios públicos por razones de interés general y, en su caso, reducir al máximo el plazo de duración de dicha situación irregular.</w:t>
      </w:r>
    </w:p>
    <w:p w14:paraId="00AF3CE4"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5DBFA821" w14:textId="29043124" w:rsidR="009568B0" w:rsidRDefault="009568B0" w:rsidP="009568B0">
      <w:pPr>
        <w:spacing w:after="0" w:line="276" w:lineRule="auto"/>
        <w:jc w:val="both"/>
        <w:rPr>
          <w:rFonts w:ascii="Open Sans" w:eastAsia="NSimSun" w:hAnsi="Open Sans" w:cs="Open Sans"/>
          <w:kern w:val="2"/>
          <w:sz w:val="20"/>
          <w:szCs w:val="20"/>
          <w:lang w:eastAsia="zh-CN" w:bidi="hi-IN"/>
        </w:rPr>
      </w:pPr>
    </w:p>
    <w:p w14:paraId="20DDEB7A" w14:textId="7C9F600A" w:rsidR="00D9626F" w:rsidRDefault="00D9626F" w:rsidP="009568B0">
      <w:pPr>
        <w:spacing w:after="0" w:line="276" w:lineRule="auto"/>
        <w:jc w:val="both"/>
        <w:rPr>
          <w:rFonts w:ascii="Open Sans" w:eastAsia="NSimSun" w:hAnsi="Open Sans" w:cs="Open Sans"/>
          <w:kern w:val="2"/>
          <w:sz w:val="20"/>
          <w:szCs w:val="20"/>
          <w:lang w:eastAsia="zh-CN" w:bidi="hi-IN"/>
        </w:rPr>
      </w:pPr>
    </w:p>
    <w:p w14:paraId="09344CBB" w14:textId="36706765" w:rsidR="00D9626F" w:rsidRDefault="00D9626F" w:rsidP="009568B0">
      <w:pPr>
        <w:spacing w:after="0" w:line="276" w:lineRule="auto"/>
        <w:jc w:val="both"/>
        <w:rPr>
          <w:rFonts w:ascii="Open Sans" w:eastAsia="NSimSun" w:hAnsi="Open Sans" w:cs="Open Sans"/>
          <w:kern w:val="2"/>
          <w:sz w:val="20"/>
          <w:szCs w:val="20"/>
          <w:lang w:eastAsia="zh-CN" w:bidi="hi-IN"/>
        </w:rPr>
      </w:pPr>
    </w:p>
    <w:p w14:paraId="113B4FC8" w14:textId="2B706713" w:rsidR="00D9626F" w:rsidRDefault="00D9626F" w:rsidP="009568B0">
      <w:pPr>
        <w:spacing w:after="0" w:line="276" w:lineRule="auto"/>
        <w:jc w:val="both"/>
        <w:rPr>
          <w:rFonts w:ascii="Open Sans" w:eastAsia="NSimSun" w:hAnsi="Open Sans" w:cs="Open Sans"/>
          <w:kern w:val="2"/>
          <w:sz w:val="20"/>
          <w:szCs w:val="20"/>
          <w:lang w:eastAsia="zh-CN" w:bidi="hi-IN"/>
        </w:rPr>
      </w:pPr>
    </w:p>
    <w:p w14:paraId="122F1F51" w14:textId="77777777" w:rsidR="00D9626F" w:rsidRPr="00A07BE9" w:rsidRDefault="00D9626F" w:rsidP="009568B0">
      <w:pPr>
        <w:spacing w:after="0" w:line="276" w:lineRule="auto"/>
        <w:jc w:val="both"/>
        <w:rPr>
          <w:rFonts w:ascii="Open Sans" w:eastAsia="NSimSun" w:hAnsi="Open Sans" w:cs="Open Sans"/>
          <w:kern w:val="2"/>
          <w:sz w:val="20"/>
          <w:szCs w:val="20"/>
          <w:lang w:eastAsia="zh-CN" w:bidi="hi-IN"/>
        </w:rPr>
      </w:pPr>
    </w:p>
    <w:p w14:paraId="1CA1E7C3" w14:textId="77777777"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8"/>
          <w:szCs w:val="28"/>
          <w:lang w:eastAsia="es-ES" w:bidi="hi-IN"/>
        </w:rPr>
      </w:pPr>
      <w:r w:rsidRPr="00A07BE9">
        <w:rPr>
          <w:rFonts w:ascii="Open Sans" w:eastAsia="Times New Roman" w:hAnsi="Open Sans" w:cs="Open Sans"/>
          <w:b/>
          <w:bCs/>
          <w:smallCaps/>
          <w:color w:val="9D2235"/>
          <w:kern w:val="2"/>
          <w:sz w:val="28"/>
          <w:szCs w:val="28"/>
          <w:lang w:eastAsia="es-ES" w:bidi="hi-IN"/>
        </w:rPr>
        <w:lastRenderedPageBreak/>
        <w:t>3.5.10. Entidades Privadas. Fraude Formación Ocupacional.</w:t>
      </w:r>
    </w:p>
    <w:p w14:paraId="0A44E6C1" w14:textId="77777777" w:rsidR="009568B0" w:rsidRPr="00A07BE9" w:rsidRDefault="009568B0" w:rsidP="009568B0">
      <w:pPr>
        <w:spacing w:after="0" w:line="276" w:lineRule="auto"/>
        <w:jc w:val="both"/>
        <w:rPr>
          <w:rFonts w:ascii="Open Sans" w:eastAsia="NSimSun" w:hAnsi="Open Sans" w:cs="Open Sans"/>
          <w:b/>
          <w:bCs/>
          <w:kern w:val="2"/>
          <w:sz w:val="20"/>
          <w:szCs w:val="20"/>
          <w:u w:val="single"/>
          <w:lang w:eastAsia="zh-CN" w:bidi="hi-IN"/>
        </w:rPr>
      </w:pPr>
    </w:p>
    <w:p w14:paraId="10553576"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Con ocasión de la impartición por parte de academias privadas de cursos de formación ocupacional subvencionados con fondos públicos se iniciaron actuaciones de investigación por parte de la Agencia, a raíz de varias denuncias presentadas en la misma.</w:t>
      </w:r>
    </w:p>
    <w:p w14:paraId="2FF09DF3"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3CE841F4"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La presunta conducta defraudatoria que se denunciaba se realizaba de varias maneras, pero en todas ellas el resultado era siempre el mismo: se justificaba formalmente ante las administraciones concedentes de los fondos públicos unos importes por retribuciones el personal docente que presuntamente no eran las que realmente recibían estos, toda vez que los centros de formación privados que contrataban a este personal presuntamente eran los que en última instancia recibían y se beneficiaban realmente de una parte de dichos importes, a través de las plusvalías generadas.</w:t>
      </w:r>
    </w:p>
    <w:p w14:paraId="3536FCD7"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198E9DB9" w14:textId="18C35ABD"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La Agencia estimó que la conducta denunciada pudiera implicar la comisión presunta de delitos de falsedad documental y fraude de subvenciones. Asimismo, la presunta conducta defraudatoria que se denunciaba pudo suponer asimismo el presunto incumplimiento de obligaciones tributarias formales y materiales, pudiendo producirse una elusión fiscal del pago de las cuotas impositivas correspondientes al rendimiento real obtenido por las empresas que realizan </w:t>
      </w:r>
      <w:r w:rsidR="00916B9D" w:rsidRPr="00A07BE9">
        <w:rPr>
          <w:rFonts w:ascii="Open Sans" w:eastAsia="NSimSun" w:hAnsi="Open Sans" w:cs="Open Sans"/>
          <w:kern w:val="2"/>
          <w:sz w:val="20"/>
          <w:szCs w:val="20"/>
          <w:lang w:eastAsia="zh-CN" w:bidi="hi-IN"/>
        </w:rPr>
        <w:t>los cursos</w:t>
      </w:r>
      <w:r w:rsidRPr="00A07BE9">
        <w:rPr>
          <w:rFonts w:ascii="Open Sans" w:eastAsia="NSimSun" w:hAnsi="Open Sans" w:cs="Open Sans"/>
          <w:kern w:val="2"/>
          <w:sz w:val="20"/>
          <w:szCs w:val="20"/>
          <w:lang w:eastAsia="zh-CN" w:bidi="hi-IN"/>
        </w:rPr>
        <w:t>, que justificaban unos gastos de personal que no eran reales.</w:t>
      </w:r>
    </w:p>
    <w:p w14:paraId="0F457EFA"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7824FC35"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De la documentación y testimonios recabados se desprendía que la presunta conducta defraudatoria denunciada trascendía el ámbito territorial de la Comunitat Valenciana, al apreciarse indicios que la misma se reproducía por parte de academias y centros de formación radicados en otras comunidades autónomas y respecto de cursos de formación subvencionados por otras administraciones autonómicas, por lo que el asunto trascendía el ámbito territorial de actuación de la Agencia de Prevención y Lucha contra el Fraude y la Corrupción de la Comunitat Valenciana. Además de ello, la repetición y similitud de los patrones de conducta presuntamente delictiva por parte de todas las entidades objeto de este informe, hacía suponer la existencia de una trama a nivel nacional.</w:t>
      </w:r>
    </w:p>
    <w:p w14:paraId="3DEC70B8"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32AD193D" w14:textId="041DA679"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En este sentido, el artículo 16.4 de la </w:t>
      </w:r>
      <w:hyperlink r:id="rId98" w:history="1">
        <w:r w:rsidR="00F410BF" w:rsidRPr="00A07BE9">
          <w:rPr>
            <w:rStyle w:val="Hipervnculo"/>
            <w:rFonts w:ascii="Open Sans" w:eastAsia="NSimSun" w:hAnsi="Open Sans" w:cs="Open Sans"/>
            <w:kern w:val="2"/>
            <w:sz w:val="20"/>
            <w:szCs w:val="20"/>
            <w:lang w:eastAsia="zh-CN" w:bidi="hi-IN"/>
          </w:rPr>
          <w:t>L</w:t>
        </w:r>
        <w:r w:rsidRPr="00A07BE9">
          <w:rPr>
            <w:rStyle w:val="Hipervnculo"/>
            <w:rFonts w:ascii="Open Sans" w:eastAsia="NSimSun" w:hAnsi="Open Sans" w:cs="Open Sans"/>
            <w:kern w:val="2"/>
            <w:sz w:val="20"/>
            <w:szCs w:val="20"/>
            <w:lang w:eastAsia="zh-CN" w:bidi="hi-IN"/>
          </w:rPr>
          <w:t>ey 11/2016</w:t>
        </w:r>
      </w:hyperlink>
      <w:r w:rsidR="00890352" w:rsidRPr="00A07BE9">
        <w:rPr>
          <w:rFonts w:ascii="Open Sans" w:eastAsia="NSimSun" w:hAnsi="Open Sans" w:cs="Open Sans"/>
          <w:kern w:val="2"/>
          <w:sz w:val="20"/>
          <w:szCs w:val="20"/>
          <w:lang w:eastAsia="zh-CN" w:bidi="hi-IN"/>
        </w:rPr>
        <w:t xml:space="preserve">, </w:t>
      </w:r>
      <w:r w:rsidRPr="00A07BE9">
        <w:rPr>
          <w:rFonts w:ascii="Open Sans" w:eastAsia="NSimSun" w:hAnsi="Open Sans" w:cs="Open Sans"/>
          <w:kern w:val="2"/>
          <w:sz w:val="20"/>
          <w:szCs w:val="20"/>
          <w:lang w:eastAsia="zh-CN" w:bidi="hi-IN"/>
        </w:rPr>
        <w:t xml:space="preserve">de creación de la Agencia dispone que si hay indicios de que hayan tenido lugar conductas o hechos presumiblemente constitutivos de delito, se trasladará de forma inmediata y, en caso de que se pueda derivar una posible responsabilidad contable, se trasladará a la jurisdicción del Tribunal de Cuentas, por lo que a tenor de lo citado, se dió traslado de la denuncia y la documentación recibida en esta Agencia al Ministerio Fiscal, a los efectos oportunos, interrumpiendo las actuaciones y aportando toda la información de la que la Agencia disponía, además de proporcionar el apoyo y colaboración con la autoridad judicial y el </w:t>
      </w:r>
      <w:r w:rsidR="00A127BE" w:rsidRPr="00A07BE9">
        <w:rPr>
          <w:rFonts w:ascii="Open Sans" w:eastAsia="NSimSun" w:hAnsi="Open Sans" w:cs="Open Sans"/>
          <w:kern w:val="2"/>
          <w:sz w:val="20"/>
          <w:szCs w:val="20"/>
          <w:lang w:eastAsia="zh-CN" w:bidi="hi-IN"/>
        </w:rPr>
        <w:t>M</w:t>
      </w:r>
      <w:r w:rsidRPr="00A07BE9">
        <w:rPr>
          <w:rFonts w:ascii="Open Sans" w:eastAsia="NSimSun" w:hAnsi="Open Sans" w:cs="Open Sans"/>
          <w:kern w:val="2"/>
          <w:sz w:val="20"/>
          <w:szCs w:val="20"/>
          <w:lang w:eastAsia="zh-CN" w:bidi="hi-IN"/>
        </w:rPr>
        <w:t xml:space="preserve">inisterio </w:t>
      </w:r>
      <w:r w:rsidR="00A127BE" w:rsidRPr="00A07BE9">
        <w:rPr>
          <w:rFonts w:ascii="Open Sans" w:eastAsia="NSimSun" w:hAnsi="Open Sans" w:cs="Open Sans"/>
          <w:kern w:val="2"/>
          <w:sz w:val="20"/>
          <w:szCs w:val="20"/>
          <w:lang w:eastAsia="zh-CN" w:bidi="hi-IN"/>
        </w:rPr>
        <w:t>F</w:t>
      </w:r>
      <w:r w:rsidRPr="00A07BE9">
        <w:rPr>
          <w:rFonts w:ascii="Open Sans" w:eastAsia="NSimSun" w:hAnsi="Open Sans" w:cs="Open Sans"/>
          <w:kern w:val="2"/>
          <w:sz w:val="20"/>
          <w:szCs w:val="20"/>
          <w:lang w:eastAsia="zh-CN" w:bidi="hi-IN"/>
        </w:rPr>
        <w:t>iscal cuando fuere requerida.</w:t>
      </w:r>
    </w:p>
    <w:p w14:paraId="35ADFD32"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4AAC6FBF" w14:textId="34D130FB" w:rsidR="009568B0" w:rsidRPr="00D9626F" w:rsidRDefault="009568B0" w:rsidP="00D9626F">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lastRenderedPageBreak/>
        <w:t>Del traslado de las actuaciones a Fiscalía se acusó recibo de las mismas, procediéndose a aperturar las diligencias correspondientes por parte de la Fiscalía Especial contra la corrupción y criminalidad organizada.</w:t>
      </w:r>
    </w:p>
    <w:p w14:paraId="4722D160" w14:textId="1DC72020" w:rsidR="004A5F93" w:rsidRPr="00A07BE9" w:rsidRDefault="004A5F93" w:rsidP="009568B0">
      <w:pPr>
        <w:suppressAutoHyphens/>
        <w:spacing w:after="0" w:line="240" w:lineRule="auto"/>
        <w:jc w:val="both"/>
        <w:rPr>
          <w:rFonts w:ascii="Open Sans" w:eastAsia="Times New Roman" w:hAnsi="Open Sans" w:cs="Open Sans"/>
          <w:b/>
          <w:bCs/>
          <w:smallCaps/>
          <w:color w:val="9D2235"/>
          <w:kern w:val="2"/>
          <w:sz w:val="20"/>
          <w:szCs w:val="20"/>
          <w:lang w:eastAsia="es-ES" w:bidi="hi-IN"/>
        </w:rPr>
      </w:pPr>
    </w:p>
    <w:p w14:paraId="7B2833B4" w14:textId="77777777" w:rsidR="004A5F93" w:rsidRPr="00A07BE9" w:rsidRDefault="004A5F93" w:rsidP="009568B0">
      <w:pPr>
        <w:suppressAutoHyphens/>
        <w:spacing w:after="0" w:line="240" w:lineRule="auto"/>
        <w:jc w:val="both"/>
        <w:rPr>
          <w:rFonts w:ascii="Open Sans" w:eastAsia="Times New Roman" w:hAnsi="Open Sans" w:cs="Open Sans"/>
          <w:b/>
          <w:bCs/>
          <w:smallCaps/>
          <w:color w:val="9D2235"/>
          <w:kern w:val="2"/>
          <w:sz w:val="20"/>
          <w:szCs w:val="20"/>
          <w:lang w:eastAsia="es-ES" w:bidi="hi-IN"/>
        </w:rPr>
      </w:pPr>
    </w:p>
    <w:p w14:paraId="5447C10F" w14:textId="77777777"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8"/>
          <w:szCs w:val="28"/>
          <w:lang w:eastAsia="es-ES" w:bidi="hi-IN"/>
        </w:rPr>
      </w:pPr>
      <w:r w:rsidRPr="00A07BE9">
        <w:rPr>
          <w:rFonts w:ascii="Open Sans" w:eastAsia="Times New Roman" w:hAnsi="Open Sans" w:cs="Open Sans"/>
          <w:b/>
          <w:bCs/>
          <w:smallCaps/>
          <w:color w:val="9D2235"/>
          <w:kern w:val="2"/>
          <w:sz w:val="28"/>
          <w:szCs w:val="28"/>
          <w:lang w:eastAsia="es-ES" w:bidi="hi-IN"/>
        </w:rPr>
        <w:t>3.5.11. Ayuntamiento. Actividad Sin Licencia Consentida en el Tiempo.</w:t>
      </w:r>
    </w:p>
    <w:p w14:paraId="5FC65203" w14:textId="77777777" w:rsidR="009568B0" w:rsidRPr="00A07BE9" w:rsidRDefault="009568B0" w:rsidP="009568B0">
      <w:pPr>
        <w:spacing w:after="0" w:line="276" w:lineRule="auto"/>
        <w:jc w:val="both"/>
        <w:rPr>
          <w:rFonts w:ascii="Open Sans" w:eastAsia="NSimSun" w:hAnsi="Open Sans" w:cs="Open Sans"/>
          <w:b/>
          <w:bCs/>
          <w:kern w:val="2"/>
          <w:sz w:val="20"/>
          <w:szCs w:val="20"/>
          <w:u w:val="single"/>
          <w:lang w:eastAsia="zh-CN" w:bidi="hi-IN"/>
        </w:rPr>
      </w:pPr>
    </w:p>
    <w:p w14:paraId="564516B4" w14:textId="1FF48C55"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En la Dirección de Análisis e Investigación de la Agencia de Prevención y Lucha contra el Fraude y la Corrupción de la Comuni</w:t>
      </w:r>
      <w:r w:rsidR="009D7139" w:rsidRPr="00A07BE9">
        <w:rPr>
          <w:rFonts w:ascii="Open Sans" w:eastAsia="NSimSun" w:hAnsi="Open Sans" w:cs="Open Sans"/>
          <w:kern w:val="2"/>
          <w:sz w:val="20"/>
          <w:szCs w:val="20"/>
          <w:lang w:eastAsia="zh-CN" w:bidi="hi-IN"/>
        </w:rPr>
        <w:t>t</w:t>
      </w:r>
      <w:r w:rsidRPr="00A07BE9">
        <w:rPr>
          <w:rFonts w:ascii="Open Sans" w:eastAsia="NSimSun" w:hAnsi="Open Sans" w:cs="Open Sans"/>
          <w:kern w:val="2"/>
          <w:sz w:val="20"/>
          <w:szCs w:val="20"/>
          <w:lang w:eastAsia="zh-CN" w:bidi="hi-IN"/>
        </w:rPr>
        <w:t>a</w:t>
      </w:r>
      <w:r w:rsidR="009D7139" w:rsidRPr="00A07BE9">
        <w:rPr>
          <w:rFonts w:ascii="Open Sans" w:eastAsia="NSimSun" w:hAnsi="Open Sans" w:cs="Open Sans"/>
          <w:kern w:val="2"/>
          <w:sz w:val="20"/>
          <w:szCs w:val="20"/>
          <w:lang w:eastAsia="zh-CN" w:bidi="hi-IN"/>
        </w:rPr>
        <w:t>t</w:t>
      </w:r>
      <w:r w:rsidRPr="00A07BE9">
        <w:rPr>
          <w:rFonts w:ascii="Open Sans" w:eastAsia="NSimSun" w:hAnsi="Open Sans" w:cs="Open Sans"/>
          <w:kern w:val="2"/>
          <w:sz w:val="20"/>
          <w:szCs w:val="20"/>
          <w:lang w:eastAsia="zh-CN" w:bidi="hi-IN"/>
        </w:rPr>
        <w:t xml:space="preserve"> Valenciana se tramitaron actuaciones de investigación por denuncia sobre diversas irregularidades. En concreto, la denuncia apuntaba al desarrollo de la actividad de bar-restaurante de forma clandestina.</w:t>
      </w:r>
    </w:p>
    <w:p w14:paraId="3384DA86"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0AC00613" w14:textId="5009D9FE"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Del análisis de la documentación aportada con la denuncia, así como la aportada por la propia Entidad Local y de la </w:t>
      </w:r>
      <w:r w:rsidR="00F73F0B" w:rsidRPr="00A07BE9">
        <w:rPr>
          <w:rFonts w:ascii="Open Sans" w:eastAsia="NSimSun" w:hAnsi="Open Sans" w:cs="Open Sans"/>
          <w:kern w:val="2"/>
          <w:sz w:val="20"/>
          <w:szCs w:val="20"/>
          <w:lang w:eastAsia="zh-CN" w:bidi="hi-IN"/>
        </w:rPr>
        <w:t>c</w:t>
      </w:r>
      <w:r w:rsidRPr="00A07BE9">
        <w:rPr>
          <w:rFonts w:ascii="Open Sans" w:eastAsia="NSimSun" w:hAnsi="Open Sans" w:cs="Open Sans"/>
          <w:kern w:val="2"/>
          <w:sz w:val="20"/>
          <w:szCs w:val="20"/>
          <w:lang w:eastAsia="zh-CN" w:bidi="hi-IN"/>
        </w:rPr>
        <w:t>onselleria competente se constató indiciariamente que el Ayuntamiento pudiera estar consintiendo el ejercicio de la actividad referida en el párrafo anterior sin disponer de la correspondiente licencia y sin la concesión de ocupación al estar en terrenos pertenecientes al dominio marítimo terrestre.</w:t>
      </w:r>
    </w:p>
    <w:p w14:paraId="03B5ADA5"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6BD342E5"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Tras la realización de diversos requerimientos de información, se constató que la actividad que se ejerce no disponía de la preceptiva licencia municipal. Y no solo ello, sino que la misma resultó ser de imposible autorización en atención a la naturaleza del terreno donde se ubicaba. </w:t>
      </w:r>
    </w:p>
    <w:p w14:paraId="22BA2EA0"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5B9B6519" w14:textId="4427A8A3"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No se pudo obtener indicios de la incoación </w:t>
      </w:r>
      <w:r w:rsidR="00E12E92" w:rsidRPr="00A07BE9">
        <w:rPr>
          <w:rFonts w:ascii="Open Sans" w:eastAsia="NSimSun" w:hAnsi="Open Sans" w:cs="Open Sans"/>
          <w:kern w:val="2"/>
          <w:sz w:val="20"/>
          <w:szCs w:val="20"/>
          <w:lang w:eastAsia="zh-CN" w:bidi="hi-IN"/>
        </w:rPr>
        <w:t xml:space="preserve">de </w:t>
      </w:r>
      <w:r w:rsidRPr="00A07BE9">
        <w:rPr>
          <w:rFonts w:ascii="Open Sans" w:eastAsia="NSimSun" w:hAnsi="Open Sans" w:cs="Open Sans"/>
          <w:kern w:val="2"/>
          <w:sz w:val="20"/>
          <w:szCs w:val="20"/>
          <w:lang w:eastAsia="zh-CN" w:bidi="hi-IN"/>
        </w:rPr>
        <w:t xml:space="preserve">expediente sancionador alguno ordenando el cese de la actividad sin licencia instruido en materia de </w:t>
      </w:r>
      <w:r w:rsidR="004B0B5D" w:rsidRPr="00A07BE9">
        <w:rPr>
          <w:rFonts w:ascii="Open Sans" w:eastAsia="NSimSun" w:hAnsi="Open Sans" w:cs="Open Sans"/>
          <w:kern w:val="2"/>
          <w:sz w:val="20"/>
          <w:szCs w:val="20"/>
          <w:lang w:eastAsia="zh-CN" w:bidi="hi-IN"/>
        </w:rPr>
        <w:t>e</w:t>
      </w:r>
      <w:r w:rsidRPr="00A07BE9">
        <w:rPr>
          <w:rFonts w:ascii="Open Sans" w:eastAsia="NSimSun" w:hAnsi="Open Sans" w:cs="Open Sans"/>
          <w:kern w:val="2"/>
          <w:sz w:val="20"/>
          <w:szCs w:val="20"/>
          <w:lang w:eastAsia="zh-CN" w:bidi="hi-IN"/>
        </w:rPr>
        <w:t xml:space="preserve">stablecimientos </w:t>
      </w:r>
      <w:r w:rsidR="004B0B5D" w:rsidRPr="00A07BE9">
        <w:rPr>
          <w:rFonts w:ascii="Open Sans" w:eastAsia="NSimSun" w:hAnsi="Open Sans" w:cs="Open Sans"/>
          <w:kern w:val="2"/>
          <w:sz w:val="20"/>
          <w:szCs w:val="20"/>
          <w:lang w:eastAsia="zh-CN" w:bidi="hi-IN"/>
        </w:rPr>
        <w:t>p</w:t>
      </w:r>
      <w:r w:rsidRPr="00A07BE9">
        <w:rPr>
          <w:rFonts w:ascii="Open Sans" w:eastAsia="NSimSun" w:hAnsi="Open Sans" w:cs="Open Sans"/>
          <w:kern w:val="2"/>
          <w:sz w:val="20"/>
          <w:szCs w:val="20"/>
          <w:lang w:eastAsia="zh-CN" w:bidi="hi-IN"/>
        </w:rPr>
        <w:t xml:space="preserve">úblicos, en relación con el desarrollo de las mentadas actividades que se están desarrollando. Del mismo modo, </w:t>
      </w:r>
      <w:r w:rsidR="00E12E92" w:rsidRPr="00A07BE9">
        <w:rPr>
          <w:rFonts w:ascii="Open Sans" w:eastAsia="NSimSun" w:hAnsi="Open Sans" w:cs="Open Sans"/>
          <w:kern w:val="2"/>
          <w:sz w:val="20"/>
          <w:szCs w:val="20"/>
          <w:lang w:eastAsia="zh-CN" w:bidi="hi-IN"/>
        </w:rPr>
        <w:t>no</w:t>
      </w:r>
      <w:r w:rsidRPr="00A07BE9">
        <w:rPr>
          <w:rFonts w:ascii="Open Sans" w:eastAsia="NSimSun" w:hAnsi="Open Sans" w:cs="Open Sans"/>
          <w:kern w:val="2"/>
          <w:sz w:val="20"/>
          <w:szCs w:val="20"/>
          <w:lang w:eastAsia="zh-CN" w:bidi="hi-IN"/>
        </w:rPr>
        <w:t xml:space="preserve"> se ha realizado labor inspectora alguna por parte de la Policía Municipal relacionada con el desarrollo de la citada actividad y</w:t>
      </w:r>
      <w:r w:rsidR="00E12E92" w:rsidRPr="00A07BE9">
        <w:rPr>
          <w:rFonts w:ascii="Open Sans" w:eastAsia="NSimSun" w:hAnsi="Open Sans" w:cs="Open Sans"/>
          <w:kern w:val="2"/>
          <w:sz w:val="20"/>
          <w:szCs w:val="20"/>
          <w:lang w:eastAsia="zh-CN" w:bidi="hi-IN"/>
        </w:rPr>
        <w:t xml:space="preserve"> tampoco</w:t>
      </w:r>
      <w:r w:rsidRPr="00A07BE9">
        <w:rPr>
          <w:rFonts w:ascii="Open Sans" w:eastAsia="NSimSun" w:hAnsi="Open Sans" w:cs="Open Sans"/>
          <w:kern w:val="2"/>
          <w:sz w:val="20"/>
          <w:szCs w:val="20"/>
          <w:lang w:eastAsia="zh-CN" w:bidi="hi-IN"/>
        </w:rPr>
        <w:t xml:space="preserve"> se ha realizado labor inspectora alguna por parte del Servicio de Actividades relacionada con las instalaciones ubicadas en el término municipal.</w:t>
      </w:r>
    </w:p>
    <w:p w14:paraId="73825A07"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6AC4B899"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Lo que es más, considerando el cobro por parte del Ayuntamiento de determinadas cantidades que parecen amparar esta actividad como se ha indicado anteriormente, todo apuntaba a que se habría simulado una situación de legalidad que permitiría la explotación de la actividad de facto.</w:t>
      </w:r>
    </w:p>
    <w:p w14:paraId="17EAC1BE"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241748C0"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A la vista de todo lo anterior, la Agencia concluyó que los distintos alcaldes del Ayuntamiento habían hecho dejación de funciones durante años. Una licencia de actividad es el instrumento que permite verificar a la administración, entre otros, el cumplimiento de la normativa de seguridad de los locales de aforo público y la exigencia legal de disponer de un seguro que cubra la responsabilidad civil por daños al público asistente y a terceros. De los hechos expuestos a lo largo del informe elaborado se desprendía que, a pesar de tener </w:t>
      </w:r>
      <w:r w:rsidRPr="00A07BE9">
        <w:rPr>
          <w:rFonts w:ascii="Open Sans" w:eastAsia="NSimSun" w:hAnsi="Open Sans" w:cs="Open Sans"/>
          <w:kern w:val="2"/>
          <w:sz w:val="20"/>
          <w:szCs w:val="20"/>
          <w:lang w:eastAsia="zh-CN" w:bidi="hi-IN"/>
        </w:rPr>
        <w:lastRenderedPageBreak/>
        <w:t>cumplido conocimiento de esta actividad sin licencia alguna, por parte del consistorio no se actuó adoptando las medidas correspondientes. Asimismo, en relación con la función inspectora, se constató que se hubiera adoptado medida alguna conducente al cese de la actividad y, si fuera el caso, proceder a su clausura.</w:t>
      </w:r>
    </w:p>
    <w:p w14:paraId="2C4EC677"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65209F77" w14:textId="46C4B3D0"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A mayor abundamiento, incluso cuando la administración competente acordó la recuperación y la restitución de los terrenos a su estado anterior, con el consiguiente desahucio de las personas que la explotan, la actuación del consistorio consistió en oponerse a tal acuerdo y tratar de conseguir una concesión en una suerte de defensa de intereses particulares por encima de los derechos de su legítimo propietario e, incluso, de la defensa de un </w:t>
      </w:r>
      <w:r w:rsidR="00930EA0" w:rsidRPr="00A07BE9">
        <w:rPr>
          <w:rFonts w:ascii="Open Sans" w:eastAsia="NSimSun" w:hAnsi="Open Sans" w:cs="Open Sans"/>
          <w:kern w:val="2"/>
          <w:sz w:val="20"/>
          <w:szCs w:val="20"/>
          <w:lang w:eastAsia="zh-CN" w:bidi="hi-IN"/>
        </w:rPr>
        <w:t>p</w:t>
      </w:r>
      <w:r w:rsidRPr="00A07BE9">
        <w:rPr>
          <w:rFonts w:ascii="Open Sans" w:eastAsia="NSimSun" w:hAnsi="Open Sans" w:cs="Open Sans"/>
          <w:kern w:val="2"/>
          <w:sz w:val="20"/>
          <w:szCs w:val="20"/>
          <w:lang w:eastAsia="zh-CN" w:bidi="hi-IN"/>
        </w:rPr>
        <w:t xml:space="preserve">arque </w:t>
      </w:r>
      <w:r w:rsidR="00930EA0" w:rsidRPr="00A07BE9">
        <w:rPr>
          <w:rFonts w:ascii="Open Sans" w:eastAsia="NSimSun" w:hAnsi="Open Sans" w:cs="Open Sans"/>
          <w:kern w:val="2"/>
          <w:sz w:val="20"/>
          <w:szCs w:val="20"/>
          <w:lang w:eastAsia="zh-CN" w:bidi="hi-IN"/>
        </w:rPr>
        <w:t>n</w:t>
      </w:r>
      <w:r w:rsidRPr="00A07BE9">
        <w:rPr>
          <w:rFonts w:ascii="Open Sans" w:eastAsia="NSimSun" w:hAnsi="Open Sans" w:cs="Open Sans"/>
          <w:kern w:val="2"/>
          <w:sz w:val="20"/>
          <w:szCs w:val="20"/>
          <w:lang w:eastAsia="zh-CN" w:bidi="hi-IN"/>
        </w:rPr>
        <w:t>atural.</w:t>
      </w:r>
    </w:p>
    <w:p w14:paraId="2F928913"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23A16683"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Como consecuencia de dicha actuación se pudiera estar produciendo un resultado contrario al interés público, esto es, un desvío de la acción pública de los intereses generales. El resultado de consentir, sin título habilitante, el desarrollo de la actividad de un establecimiento público, bar-restaurante, en el entorno natural protegido, da como resultado un trato especial o de favor a los titulares de la explotación supuestamente fuera de la legalidad en contra no solo de la protección del entorno natural, sino de la legítima pretensión de terceros de explotar una actividad de tales características, actividad que habría sido otorgada a un particular con carácter exclusivo durante décadas. </w:t>
      </w:r>
    </w:p>
    <w:p w14:paraId="01E66372"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7E81B433"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Los documentos obrantes en el expediente inducen a pensar en un designio, una consciencia y voluntariedad de infringir el derecho torciendo los intereses generales. A este respecto, además del cobro irregular de “tasas” por actividad, la exigencia de responsabilidad patrimonial al consistorio derivada de esta actividad, la orden de restauración de los terrenos a su estado anterior, el hecho de que sea el propio Ayuntamiento quien haya llegado a denegar la licencia, sin adoptar las medidas derivadas de tal denegación, dejaba patente su plena consciencia sobre el desarrollo de esta actividad sin licencia ni ninguna otra autorización de las exigidas por la vigente normativa. Por lo tanto, su acción no estaba dirigida a lo que la ley exige y que sería ordenar el cese de la actividad supuestamente clandestina desconociéndose, por parte de esta Agencia, cual es la finalidad pretendida permitiendo la continuación de una actividad con estas características.</w:t>
      </w:r>
    </w:p>
    <w:p w14:paraId="50EAF3AD"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60931B06"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De todo lo actuado se ha dado traslado al </w:t>
      </w:r>
      <w:r w:rsidRPr="00A07BE9">
        <w:rPr>
          <w:rFonts w:ascii="Open Sans" w:eastAsia="NSimSun" w:hAnsi="Open Sans" w:cs="Open Sans"/>
          <w:b/>
          <w:bCs/>
          <w:kern w:val="2"/>
          <w:sz w:val="20"/>
          <w:szCs w:val="20"/>
          <w:lang w:eastAsia="zh-CN" w:bidi="hi-IN"/>
        </w:rPr>
        <w:t>Ministerio Fiscal</w:t>
      </w:r>
      <w:r w:rsidRPr="00A07BE9">
        <w:rPr>
          <w:rFonts w:ascii="Open Sans" w:eastAsia="NSimSun" w:hAnsi="Open Sans" w:cs="Open Sans"/>
          <w:kern w:val="2"/>
          <w:sz w:val="20"/>
          <w:szCs w:val="20"/>
          <w:lang w:eastAsia="zh-CN" w:bidi="hi-IN"/>
        </w:rPr>
        <w:t xml:space="preserve"> para la depuración de las posibles responsabilidades de carácter penal que pudieran haberse producido en relación con los anteriores hechos.</w:t>
      </w:r>
    </w:p>
    <w:p w14:paraId="06809398" w14:textId="77777777" w:rsidR="009568B0" w:rsidRPr="00A07BE9" w:rsidRDefault="009568B0" w:rsidP="009568B0">
      <w:pPr>
        <w:spacing w:after="0" w:line="276" w:lineRule="auto"/>
        <w:jc w:val="both"/>
        <w:rPr>
          <w:rFonts w:ascii="Open Sans" w:eastAsia="NSimSun" w:hAnsi="Open Sans" w:cs="Open Sans"/>
          <w:b/>
          <w:bCs/>
          <w:kern w:val="2"/>
          <w:sz w:val="20"/>
          <w:szCs w:val="20"/>
          <w:u w:val="single"/>
          <w:lang w:eastAsia="zh-CN" w:bidi="hi-IN"/>
        </w:rPr>
      </w:pPr>
    </w:p>
    <w:p w14:paraId="0DAADC9A" w14:textId="5850DCC2" w:rsidR="009568B0" w:rsidRDefault="009568B0" w:rsidP="009568B0">
      <w:pPr>
        <w:spacing w:after="0" w:line="276" w:lineRule="auto"/>
        <w:jc w:val="both"/>
        <w:rPr>
          <w:rFonts w:ascii="Open Sans" w:eastAsia="NSimSun" w:hAnsi="Open Sans" w:cs="Open Sans"/>
          <w:b/>
          <w:bCs/>
          <w:kern w:val="2"/>
          <w:sz w:val="20"/>
          <w:szCs w:val="20"/>
          <w:u w:val="single"/>
          <w:lang w:eastAsia="zh-CN" w:bidi="hi-IN"/>
        </w:rPr>
      </w:pPr>
    </w:p>
    <w:p w14:paraId="3131D492" w14:textId="5FB4B390" w:rsidR="00D9626F" w:rsidRDefault="00D9626F" w:rsidP="009568B0">
      <w:pPr>
        <w:spacing w:after="0" w:line="276" w:lineRule="auto"/>
        <w:jc w:val="both"/>
        <w:rPr>
          <w:rFonts w:ascii="Open Sans" w:eastAsia="NSimSun" w:hAnsi="Open Sans" w:cs="Open Sans"/>
          <w:b/>
          <w:bCs/>
          <w:kern w:val="2"/>
          <w:sz w:val="20"/>
          <w:szCs w:val="20"/>
          <w:u w:val="single"/>
          <w:lang w:eastAsia="zh-CN" w:bidi="hi-IN"/>
        </w:rPr>
      </w:pPr>
    </w:p>
    <w:p w14:paraId="325982F1" w14:textId="2F01130C" w:rsidR="00D9626F" w:rsidRDefault="00D9626F" w:rsidP="009568B0">
      <w:pPr>
        <w:spacing w:after="0" w:line="276" w:lineRule="auto"/>
        <w:jc w:val="both"/>
        <w:rPr>
          <w:rFonts w:ascii="Open Sans" w:eastAsia="NSimSun" w:hAnsi="Open Sans" w:cs="Open Sans"/>
          <w:b/>
          <w:bCs/>
          <w:kern w:val="2"/>
          <w:sz w:val="20"/>
          <w:szCs w:val="20"/>
          <w:u w:val="single"/>
          <w:lang w:eastAsia="zh-CN" w:bidi="hi-IN"/>
        </w:rPr>
      </w:pPr>
    </w:p>
    <w:p w14:paraId="57446F60" w14:textId="7771A2AB" w:rsidR="00D9626F" w:rsidRDefault="00D9626F" w:rsidP="009568B0">
      <w:pPr>
        <w:spacing w:after="0" w:line="276" w:lineRule="auto"/>
        <w:jc w:val="both"/>
        <w:rPr>
          <w:rFonts w:ascii="Open Sans" w:eastAsia="NSimSun" w:hAnsi="Open Sans" w:cs="Open Sans"/>
          <w:b/>
          <w:bCs/>
          <w:kern w:val="2"/>
          <w:sz w:val="20"/>
          <w:szCs w:val="20"/>
          <w:u w:val="single"/>
          <w:lang w:eastAsia="zh-CN" w:bidi="hi-IN"/>
        </w:rPr>
      </w:pPr>
    </w:p>
    <w:p w14:paraId="5D7A706E" w14:textId="77777777" w:rsidR="00D9626F" w:rsidRPr="00A07BE9" w:rsidRDefault="00D9626F" w:rsidP="009568B0">
      <w:pPr>
        <w:spacing w:after="0" w:line="276" w:lineRule="auto"/>
        <w:jc w:val="both"/>
        <w:rPr>
          <w:rFonts w:ascii="Open Sans" w:eastAsia="NSimSun" w:hAnsi="Open Sans" w:cs="Open Sans"/>
          <w:b/>
          <w:bCs/>
          <w:kern w:val="2"/>
          <w:sz w:val="20"/>
          <w:szCs w:val="20"/>
          <w:u w:val="single"/>
          <w:lang w:eastAsia="zh-CN" w:bidi="hi-IN"/>
        </w:rPr>
      </w:pPr>
    </w:p>
    <w:p w14:paraId="6EDDC421" w14:textId="77777777"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8"/>
          <w:szCs w:val="28"/>
          <w:lang w:eastAsia="es-ES" w:bidi="hi-IN"/>
        </w:rPr>
      </w:pPr>
      <w:r w:rsidRPr="00A07BE9">
        <w:rPr>
          <w:rFonts w:ascii="Open Sans" w:eastAsia="Times New Roman" w:hAnsi="Open Sans" w:cs="Open Sans"/>
          <w:b/>
          <w:bCs/>
          <w:smallCaps/>
          <w:color w:val="9D2235"/>
          <w:kern w:val="2"/>
          <w:sz w:val="28"/>
          <w:szCs w:val="28"/>
          <w:lang w:eastAsia="es-ES" w:bidi="hi-IN"/>
        </w:rPr>
        <w:lastRenderedPageBreak/>
        <w:t>3.5.12. Ayuntamiento. Irregularidades en el Servicio de Grúa Municipal.</w:t>
      </w:r>
    </w:p>
    <w:p w14:paraId="4CBA0B11" w14:textId="77777777" w:rsidR="009568B0" w:rsidRPr="00A07BE9" w:rsidRDefault="009568B0" w:rsidP="009568B0">
      <w:pPr>
        <w:spacing w:after="0" w:line="276" w:lineRule="auto"/>
        <w:jc w:val="both"/>
        <w:rPr>
          <w:rFonts w:ascii="Open Sans" w:eastAsia="NSimSun" w:hAnsi="Open Sans" w:cs="Open Sans"/>
          <w:b/>
          <w:bCs/>
          <w:kern w:val="2"/>
          <w:sz w:val="20"/>
          <w:szCs w:val="20"/>
          <w:u w:val="single"/>
          <w:lang w:eastAsia="zh-CN" w:bidi="hi-IN"/>
        </w:rPr>
      </w:pPr>
    </w:p>
    <w:p w14:paraId="1847665E"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Las actuaciones se iniciaron como consecuencia de una denuncia que tuvo entrada en el registro de la Agencia, en referencia a la resolución y continuación del contrato de servicio de grúa municipal.</w:t>
      </w:r>
    </w:p>
    <w:p w14:paraId="062ED9CD"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4E66430C"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En la resolución de inicio de actuaciones se requirió a la entidad local la remisión de copia completa del expediente de resolución del contrato suscrito para la prestación del servicio de grúa municipal, comprensivo de la retirada y depósito de los vehículos a motor en vías públicas.</w:t>
      </w:r>
    </w:p>
    <w:p w14:paraId="4426F854"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2611879B"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Tras la revisión de la documentación aportada a la Agencia, se concluyó que, aunque, no se hubieran acreditado hechos que pudieran ser calificados como corrupción en las actuaciones del Ayuntamiento, se recomendaba encarecidamente la iniciación, con la mayor celeridad posible, de los trámites para la contratación de este servicio, en aras a dar cumplimiento a la tramitación de urgencia de la contratación, y el acuerdo de la Junta de Gobierno que resolvió la resolución del contrato vigente.</w:t>
      </w:r>
    </w:p>
    <w:p w14:paraId="098C1E07"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5F68A86A" w14:textId="53AE201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Tal y como contempla el artículo 16.1 de la </w:t>
      </w:r>
      <w:hyperlink r:id="rId99" w:history="1">
        <w:r w:rsidR="00F410BF" w:rsidRPr="00A07BE9">
          <w:rPr>
            <w:rStyle w:val="Hipervnculo"/>
            <w:rFonts w:ascii="Open Sans" w:hAnsi="Open Sans" w:cs="Open Sans"/>
            <w:sz w:val="20"/>
            <w:szCs w:val="20"/>
          </w:rPr>
          <w:t>Ley 11/2016</w:t>
        </w:r>
      </w:hyperlink>
      <w:r w:rsidRPr="00A07BE9">
        <w:rPr>
          <w:rFonts w:ascii="Open Sans" w:eastAsia="NSimSun" w:hAnsi="Open Sans" w:cs="Open Sans"/>
          <w:kern w:val="2"/>
          <w:sz w:val="20"/>
          <w:szCs w:val="20"/>
          <w:lang w:eastAsia="zh-CN" w:bidi="hi-IN"/>
        </w:rPr>
        <w:t>, de la Agencia de Prevención y Lucha contra el Fraude y la Corrupción de la Comunitat Valenciana, se ha requerido que se informe de las medidas adoptadas y, en su caso, de los motivos que impiden actuar conforme a la recomendación formulada.</w:t>
      </w:r>
    </w:p>
    <w:p w14:paraId="4D11DB59"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4118D44D"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La entidad denunciada ha informado a la Agencia que ya se ha iniciado la tramitación del expediente habiéndose remitido junto con el pliego de condiciones técnicas y el de administrativas al Servicio Económico Presupuestario del Ayuntamiento para el informe preceptivo, así como al resto de servicios implicados en la ejecución del contrato.</w:t>
      </w:r>
    </w:p>
    <w:p w14:paraId="7095682F"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2323338D" w14:textId="5054768D" w:rsidR="009568B0" w:rsidRPr="00A07BE9" w:rsidRDefault="009568B0" w:rsidP="00A9342B">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Por ello, considerando que el Ayuntamiento ha realizado actuaciones para la subsanación de la situación irregular a requerimiento de la Agencia, se han declarado conclusas las actuaciones de investigación, iniciándose el seguimiento de la tramitación municipal del contrato.</w:t>
      </w:r>
    </w:p>
    <w:p w14:paraId="5354EA4B" w14:textId="7BAD2EBC" w:rsidR="004A5F93" w:rsidRPr="00A07BE9" w:rsidRDefault="004A5F93" w:rsidP="00A9342B">
      <w:pPr>
        <w:spacing w:after="0" w:line="276" w:lineRule="auto"/>
        <w:jc w:val="both"/>
        <w:rPr>
          <w:rFonts w:ascii="Open Sans" w:eastAsia="NSimSun" w:hAnsi="Open Sans" w:cs="Open Sans"/>
          <w:kern w:val="2"/>
          <w:sz w:val="20"/>
          <w:szCs w:val="20"/>
          <w:lang w:eastAsia="zh-CN" w:bidi="hi-IN"/>
        </w:rPr>
      </w:pPr>
    </w:p>
    <w:p w14:paraId="3DE6ED4A" w14:textId="77777777" w:rsidR="004A5F93" w:rsidRPr="00A07BE9" w:rsidRDefault="004A5F93" w:rsidP="00A9342B">
      <w:pPr>
        <w:spacing w:after="0" w:line="276" w:lineRule="auto"/>
        <w:jc w:val="both"/>
        <w:rPr>
          <w:rFonts w:ascii="Open Sans" w:eastAsia="NSimSun" w:hAnsi="Open Sans" w:cs="Open Sans"/>
          <w:kern w:val="2"/>
          <w:sz w:val="20"/>
          <w:szCs w:val="20"/>
          <w:lang w:eastAsia="zh-CN" w:bidi="hi-IN"/>
        </w:rPr>
      </w:pPr>
    </w:p>
    <w:p w14:paraId="187D5E40" w14:textId="77777777"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8"/>
          <w:szCs w:val="28"/>
          <w:lang w:eastAsia="es-ES" w:bidi="hi-IN"/>
        </w:rPr>
      </w:pPr>
      <w:r w:rsidRPr="00A07BE9">
        <w:rPr>
          <w:rFonts w:ascii="Open Sans" w:eastAsia="Times New Roman" w:hAnsi="Open Sans" w:cs="Open Sans"/>
          <w:b/>
          <w:bCs/>
          <w:smallCaps/>
          <w:color w:val="9D2235"/>
          <w:kern w:val="2"/>
          <w:sz w:val="28"/>
          <w:szCs w:val="28"/>
          <w:lang w:eastAsia="es-ES" w:bidi="hi-IN"/>
        </w:rPr>
        <w:t>3.5.13. Administración Autonómica. Filtración de Examen.</w:t>
      </w:r>
    </w:p>
    <w:p w14:paraId="1C956F4E" w14:textId="77777777"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0"/>
          <w:szCs w:val="20"/>
          <w:lang w:eastAsia="es-ES" w:bidi="hi-IN"/>
        </w:rPr>
      </w:pPr>
    </w:p>
    <w:p w14:paraId="28EF84FE" w14:textId="4D4EE9FB"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Las presentes actuaciones se iniciaron como consecuencia de poner en conocimiento de la Agencia los hechos consistentes en la presunta filtración de las respuestas de un examen en el seno de la convocatoria de pruebas selectivas de acceso al Cuerpo </w:t>
      </w:r>
      <w:r w:rsidR="00930EA0" w:rsidRPr="00A07BE9">
        <w:rPr>
          <w:rFonts w:ascii="Open Sans" w:eastAsia="NSimSun" w:hAnsi="Open Sans" w:cs="Open Sans"/>
          <w:kern w:val="2"/>
          <w:sz w:val="20"/>
          <w:szCs w:val="20"/>
          <w:lang w:eastAsia="zh-CN" w:bidi="hi-IN"/>
        </w:rPr>
        <w:t>S</w:t>
      </w:r>
      <w:r w:rsidRPr="00A07BE9">
        <w:rPr>
          <w:rFonts w:ascii="Open Sans" w:eastAsia="NSimSun" w:hAnsi="Open Sans" w:cs="Open Sans"/>
          <w:kern w:val="2"/>
          <w:sz w:val="20"/>
          <w:szCs w:val="20"/>
          <w:lang w:eastAsia="zh-CN" w:bidi="hi-IN"/>
        </w:rPr>
        <w:t xml:space="preserve">uperior </w:t>
      </w:r>
      <w:r w:rsidR="00930EA0" w:rsidRPr="00A07BE9">
        <w:rPr>
          <w:rFonts w:ascii="Open Sans" w:eastAsia="NSimSun" w:hAnsi="Open Sans" w:cs="Open Sans"/>
          <w:kern w:val="2"/>
          <w:sz w:val="20"/>
          <w:szCs w:val="20"/>
          <w:lang w:eastAsia="zh-CN" w:bidi="hi-IN"/>
        </w:rPr>
        <w:t>T</w:t>
      </w:r>
      <w:r w:rsidRPr="00A07BE9">
        <w:rPr>
          <w:rFonts w:ascii="Open Sans" w:eastAsia="NSimSun" w:hAnsi="Open Sans" w:cs="Open Sans"/>
          <w:kern w:val="2"/>
          <w:sz w:val="20"/>
          <w:szCs w:val="20"/>
          <w:lang w:eastAsia="zh-CN" w:bidi="hi-IN"/>
        </w:rPr>
        <w:t>écnico de Administración General, A1-01, sector administración general, turno de acceso libre y turno de personas con diversidad funcional, Convocatoria 22/15, correspondiente a la oferta de empleo público de 2015 para el personal de la administración de la Generalitat.</w:t>
      </w:r>
    </w:p>
    <w:p w14:paraId="07CDCB62" w14:textId="53843E42"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lastRenderedPageBreak/>
        <w:t>En relación con la realización del mencionado ejercicio, se puso en conocimiento de esta Agencia determinada información referida a la existencia de presuntas irregularidades cometidas por una funcionaria que actuaba como personal colaborador del órgano técnico de selección en el aula 109. La existencia de presuntas irregularidades en la realización del segundo ejercicio y la presunta intervención en las mismas de personal empleado público de la administración de la Generalitat fue asimismo objeto de publicación en medios de comunicación social, en los que se detallaba la comisión de hechos graves y la identificación de las personas empleadas públicas relacionadas.</w:t>
      </w:r>
    </w:p>
    <w:p w14:paraId="7D003089"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0B52F1FB" w14:textId="1308217F"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En el curso de las investigaciones se realizaron requerimientos de información tanto al órgano técnico de selección de la convocatoria como a la </w:t>
      </w:r>
      <w:r w:rsidR="00F73F0B" w:rsidRPr="00A07BE9">
        <w:rPr>
          <w:rFonts w:ascii="Open Sans" w:eastAsia="NSimSun" w:hAnsi="Open Sans" w:cs="Open Sans"/>
          <w:kern w:val="2"/>
          <w:sz w:val="20"/>
          <w:szCs w:val="20"/>
          <w:lang w:eastAsia="zh-CN" w:bidi="hi-IN"/>
        </w:rPr>
        <w:t>c</w:t>
      </w:r>
      <w:r w:rsidRPr="00A07BE9">
        <w:rPr>
          <w:rFonts w:ascii="Open Sans" w:eastAsia="NSimSun" w:hAnsi="Open Sans" w:cs="Open Sans"/>
          <w:kern w:val="2"/>
          <w:sz w:val="20"/>
          <w:szCs w:val="20"/>
          <w:lang w:eastAsia="zh-CN" w:bidi="hi-IN"/>
        </w:rPr>
        <w:t>onselleria competente en materia de función pública, que fueron debidamente atendidos.</w:t>
      </w:r>
    </w:p>
    <w:p w14:paraId="0819E78E"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64D4DCFE" w14:textId="0DC65791"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Durante la tramitación de la investigación se constató la existencia de un procedimiento penal de Diligencias Previas seguido en los Juzgados de Instrucción de Valencia, por lo que en aplicación del </w:t>
      </w:r>
      <w:r w:rsidR="003408CE" w:rsidRPr="00A07BE9">
        <w:rPr>
          <w:rFonts w:ascii="Open Sans" w:eastAsia="NSimSun" w:hAnsi="Open Sans" w:cs="Open Sans"/>
          <w:kern w:val="2"/>
          <w:sz w:val="20"/>
          <w:szCs w:val="20"/>
          <w:lang w:eastAsia="zh-CN" w:bidi="hi-IN"/>
        </w:rPr>
        <w:t>artículo</w:t>
      </w:r>
      <w:r w:rsidRPr="00A07BE9">
        <w:rPr>
          <w:rFonts w:ascii="Open Sans" w:eastAsia="NSimSun" w:hAnsi="Open Sans" w:cs="Open Sans"/>
          <w:kern w:val="2"/>
          <w:sz w:val="20"/>
          <w:szCs w:val="20"/>
          <w:lang w:eastAsia="zh-CN" w:bidi="hi-IN"/>
        </w:rPr>
        <w:t xml:space="preserve"> 5.2 de la </w:t>
      </w:r>
      <w:hyperlink r:id="rId100" w:history="1">
        <w:r w:rsidRPr="00A07BE9">
          <w:rPr>
            <w:rStyle w:val="Hipervnculo"/>
            <w:rFonts w:ascii="Open Sans" w:eastAsia="NSimSun" w:hAnsi="Open Sans" w:cs="Open Sans"/>
            <w:kern w:val="2"/>
            <w:sz w:val="20"/>
            <w:szCs w:val="20"/>
            <w:lang w:eastAsia="zh-CN" w:bidi="hi-IN"/>
          </w:rPr>
          <w:t>Ley 11/2016</w:t>
        </w:r>
      </w:hyperlink>
      <w:r w:rsidR="00181707" w:rsidRPr="00A07BE9">
        <w:rPr>
          <w:rStyle w:val="Hipervnculo"/>
          <w:rFonts w:ascii="Open Sans" w:eastAsia="NSimSun" w:hAnsi="Open Sans" w:cs="Open Sans"/>
          <w:kern w:val="2"/>
          <w:sz w:val="20"/>
          <w:szCs w:val="20"/>
          <w:lang w:eastAsia="zh-CN" w:bidi="hi-IN"/>
        </w:rPr>
        <w:t>,</w:t>
      </w:r>
      <w:r w:rsidRPr="00A07BE9">
        <w:rPr>
          <w:rFonts w:ascii="Open Sans" w:eastAsia="NSimSun" w:hAnsi="Open Sans" w:cs="Open Sans"/>
          <w:kern w:val="2"/>
          <w:sz w:val="20"/>
          <w:szCs w:val="20"/>
          <w:lang w:eastAsia="zh-CN" w:bidi="hi-IN"/>
        </w:rPr>
        <w:t xml:space="preserve"> se procedió a resolver la interrupción de las actuaciones y la remisión de todo lo actuado al órgano jurisdiccional penal, quedando la Agencia a la espera de la comunicación del resultado de las actuaciones que, según las informaciones obtenidas a la fecha de elaboración de la presente memoria, todavía se encuentran en trámite, pendientes de la apertura de juicio oral contra las personas implicadas en los hechos.</w:t>
      </w:r>
    </w:p>
    <w:p w14:paraId="1534C26A" w14:textId="241314B5" w:rsidR="00916B9D" w:rsidRPr="00A07BE9" w:rsidRDefault="00916B9D" w:rsidP="009568B0">
      <w:pPr>
        <w:spacing w:after="0" w:line="276" w:lineRule="auto"/>
        <w:jc w:val="both"/>
        <w:rPr>
          <w:rFonts w:ascii="Open Sans" w:eastAsia="NSimSun" w:hAnsi="Open Sans" w:cs="Open Sans"/>
          <w:b/>
          <w:bCs/>
          <w:kern w:val="2"/>
          <w:sz w:val="20"/>
          <w:szCs w:val="20"/>
          <w:u w:val="single"/>
          <w:lang w:eastAsia="zh-CN" w:bidi="hi-IN"/>
        </w:rPr>
      </w:pPr>
    </w:p>
    <w:p w14:paraId="0B0E2013" w14:textId="77777777" w:rsidR="00916B9D" w:rsidRPr="00A07BE9" w:rsidRDefault="00916B9D" w:rsidP="009568B0">
      <w:pPr>
        <w:spacing w:after="0" w:line="276" w:lineRule="auto"/>
        <w:jc w:val="both"/>
        <w:rPr>
          <w:rFonts w:ascii="Open Sans" w:eastAsia="NSimSun" w:hAnsi="Open Sans" w:cs="Open Sans"/>
          <w:b/>
          <w:bCs/>
          <w:kern w:val="2"/>
          <w:sz w:val="20"/>
          <w:szCs w:val="20"/>
          <w:u w:val="single"/>
          <w:lang w:eastAsia="zh-CN" w:bidi="hi-IN"/>
        </w:rPr>
      </w:pPr>
    </w:p>
    <w:p w14:paraId="72305160" w14:textId="77777777"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8"/>
          <w:szCs w:val="28"/>
          <w:lang w:eastAsia="es-ES" w:bidi="hi-IN"/>
        </w:rPr>
      </w:pPr>
      <w:r w:rsidRPr="00A07BE9">
        <w:rPr>
          <w:rFonts w:ascii="Open Sans" w:eastAsia="Times New Roman" w:hAnsi="Open Sans" w:cs="Open Sans"/>
          <w:b/>
          <w:bCs/>
          <w:smallCaps/>
          <w:color w:val="9D2235"/>
          <w:kern w:val="2"/>
          <w:sz w:val="28"/>
          <w:szCs w:val="28"/>
          <w:lang w:eastAsia="es-ES" w:bidi="hi-IN"/>
        </w:rPr>
        <w:t>3.5.14. Ayuntamiento. Oposiciones a Policía Local.</w:t>
      </w:r>
    </w:p>
    <w:p w14:paraId="42AEC61D" w14:textId="77777777"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0"/>
          <w:szCs w:val="20"/>
          <w:lang w:eastAsia="es-ES" w:bidi="hi-IN"/>
        </w:rPr>
      </w:pPr>
    </w:p>
    <w:p w14:paraId="45F3124A"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Mediante correo electrónico y diversas comunicaciones recibidas en la anualidad 2019 se incoaron actuaciones de investigación en referencia a las oposiciones de Policía Local convocadas en un Ayuntamiento. En concreto, la actividad denunciada consistía en la existencia de determinadas irregularidades en un proceso selectivo para la provisión en propiedad de 15 plazas de agente de policía local por oposición por turno libre, cuyas bases fueron aprobadas por la Junta de Gobierno Local en julio de 2017.</w:t>
      </w:r>
    </w:p>
    <w:p w14:paraId="19116CDD"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4C8A14CE"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Tras la emisión de la correspondiente resolución de inicio se realizaron las diligencias oportunas en orden a la concreción y fijación de hechos, obteniéndose como resultado la apreciación de indicios de responsabilidad penal en los hechos denunciados.</w:t>
      </w:r>
    </w:p>
    <w:p w14:paraId="684CF75A"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6BBA33B3" w14:textId="0D1A0CAD"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Por todo ello, y en cumplimiento de lo prevenido por el </w:t>
      </w:r>
      <w:r w:rsidR="003408CE" w:rsidRPr="00A07BE9">
        <w:rPr>
          <w:rFonts w:ascii="Open Sans" w:eastAsia="NSimSun" w:hAnsi="Open Sans" w:cs="Open Sans"/>
          <w:kern w:val="2"/>
          <w:sz w:val="20"/>
          <w:szCs w:val="20"/>
          <w:lang w:eastAsia="zh-CN" w:bidi="hi-IN"/>
        </w:rPr>
        <w:t>artículo</w:t>
      </w:r>
      <w:r w:rsidRPr="00A07BE9">
        <w:rPr>
          <w:rFonts w:ascii="Open Sans" w:eastAsia="NSimSun" w:hAnsi="Open Sans" w:cs="Open Sans"/>
          <w:kern w:val="2"/>
          <w:sz w:val="20"/>
          <w:szCs w:val="20"/>
          <w:lang w:eastAsia="zh-CN" w:bidi="hi-IN"/>
        </w:rPr>
        <w:t xml:space="preserve"> 5.2 de la </w:t>
      </w:r>
      <w:hyperlink r:id="rId101" w:history="1">
        <w:r w:rsidRPr="00A07BE9">
          <w:rPr>
            <w:rStyle w:val="Hipervnculo"/>
            <w:rFonts w:ascii="Open Sans" w:eastAsia="NSimSun" w:hAnsi="Open Sans" w:cs="Open Sans"/>
            <w:kern w:val="2"/>
            <w:sz w:val="20"/>
            <w:szCs w:val="20"/>
            <w:lang w:eastAsia="zh-CN" w:bidi="hi-IN"/>
          </w:rPr>
          <w:t>Ley 11/2016</w:t>
        </w:r>
      </w:hyperlink>
      <w:r w:rsidRPr="00A07BE9">
        <w:rPr>
          <w:rFonts w:ascii="Open Sans" w:eastAsia="NSimSun" w:hAnsi="Open Sans" w:cs="Open Sans"/>
          <w:kern w:val="2"/>
          <w:sz w:val="20"/>
          <w:szCs w:val="20"/>
          <w:lang w:eastAsia="zh-CN" w:bidi="hi-IN"/>
        </w:rPr>
        <w:t xml:space="preserve">, esta Agencia dictó resolución de </w:t>
      </w:r>
      <w:r w:rsidRPr="00A07BE9">
        <w:rPr>
          <w:rFonts w:ascii="Open Sans" w:eastAsia="NSimSun" w:hAnsi="Open Sans" w:cs="Open Sans"/>
          <w:b/>
          <w:bCs/>
          <w:kern w:val="2"/>
          <w:sz w:val="20"/>
          <w:szCs w:val="20"/>
          <w:lang w:eastAsia="zh-CN" w:bidi="hi-IN"/>
        </w:rPr>
        <w:t>interrupción</w:t>
      </w:r>
      <w:r w:rsidRPr="00A07BE9">
        <w:rPr>
          <w:rFonts w:ascii="Open Sans" w:eastAsia="NSimSun" w:hAnsi="Open Sans" w:cs="Open Sans"/>
          <w:kern w:val="2"/>
          <w:sz w:val="20"/>
          <w:szCs w:val="20"/>
          <w:lang w:eastAsia="zh-CN" w:bidi="hi-IN"/>
        </w:rPr>
        <w:t xml:space="preserve"> de las actuaciones y remisión a Fiscalía de todo lo actuado, ofreciendo el apoyo y colaboración necesarios a dicho organismo.</w:t>
      </w:r>
    </w:p>
    <w:p w14:paraId="615E4B78"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798214BB" w14:textId="677320BE" w:rsidR="009568B0" w:rsidRDefault="009568B0" w:rsidP="009568B0">
      <w:pPr>
        <w:spacing w:after="0" w:line="276" w:lineRule="auto"/>
        <w:jc w:val="both"/>
        <w:rPr>
          <w:rFonts w:ascii="Open Sans" w:eastAsia="NSimSun" w:hAnsi="Open Sans" w:cs="Open Sans"/>
          <w:b/>
          <w:bCs/>
          <w:kern w:val="2"/>
          <w:sz w:val="20"/>
          <w:szCs w:val="20"/>
          <w:u w:val="single"/>
          <w:lang w:eastAsia="zh-CN" w:bidi="hi-IN"/>
        </w:rPr>
      </w:pPr>
    </w:p>
    <w:p w14:paraId="46BBFBB4" w14:textId="77777777" w:rsidR="00EE6ED6" w:rsidRPr="00A07BE9" w:rsidRDefault="00EE6ED6" w:rsidP="009568B0">
      <w:pPr>
        <w:spacing w:after="0" w:line="276" w:lineRule="auto"/>
        <w:jc w:val="both"/>
        <w:rPr>
          <w:rFonts w:ascii="Open Sans" w:eastAsia="NSimSun" w:hAnsi="Open Sans" w:cs="Open Sans"/>
          <w:b/>
          <w:bCs/>
          <w:kern w:val="2"/>
          <w:sz w:val="20"/>
          <w:szCs w:val="20"/>
          <w:u w:val="single"/>
          <w:lang w:eastAsia="zh-CN" w:bidi="hi-IN"/>
        </w:rPr>
      </w:pPr>
    </w:p>
    <w:p w14:paraId="0E62377B" w14:textId="77777777"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8"/>
          <w:szCs w:val="28"/>
          <w:lang w:eastAsia="es-ES" w:bidi="hi-IN"/>
        </w:rPr>
      </w:pPr>
      <w:r w:rsidRPr="00A07BE9">
        <w:rPr>
          <w:rFonts w:ascii="Open Sans" w:eastAsia="Times New Roman" w:hAnsi="Open Sans" w:cs="Open Sans"/>
          <w:b/>
          <w:bCs/>
          <w:smallCaps/>
          <w:color w:val="9D2235"/>
          <w:kern w:val="2"/>
          <w:sz w:val="28"/>
          <w:szCs w:val="28"/>
          <w:lang w:eastAsia="es-ES" w:bidi="hi-IN"/>
        </w:rPr>
        <w:lastRenderedPageBreak/>
        <w:t>3.5.15. Ayuntamiento. Irregularidades en Adjudicación de Puesto de Trabajo.</w:t>
      </w:r>
    </w:p>
    <w:p w14:paraId="68F732BD" w14:textId="77777777"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0"/>
          <w:szCs w:val="20"/>
          <w:lang w:eastAsia="es-ES" w:bidi="hi-IN"/>
        </w:rPr>
      </w:pPr>
    </w:p>
    <w:p w14:paraId="6E625A51"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Las actuaciones de investigación realizadas por la Agencia sobre esta cuestión se han dirigido a la comprobación de la existencia de presuntas irregularidades en el procedimiento seguido para la selección de candidatos y adjudicación de un puesto de trabajo.</w:t>
      </w:r>
    </w:p>
    <w:p w14:paraId="4E2FD793"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1C6E0FE0" w14:textId="58564AB5"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En dichas actuaciones se concluyó que la valoración de un mérito específico no contemplado en las bases específicas de la convocatoria, para la provisión de un puesto de trabajo que en la RPT no viene determinado que sea exigible la valoración de méritos específicos, puesto de trabajo respecto del cual no consta que sea un puesto de dirección, resultó determinante para la selección de un candidato que, de no valorarse estos méritos específicos, no hubiera resultado seleccionado para el puesto, al haber otro candidato con mayor puntuación en los restantes méritos.</w:t>
      </w:r>
    </w:p>
    <w:p w14:paraId="4563C650"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1FBBBEE9"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De la documentación aportada por el Ayuntamiento cabía concluir que el concurso para la provisión del puesto no se ajustó a lo establecido en las Bases Generales Comunes establecidas por dicha Administración para la provisión con carácter definitivo de puestos de trabajo, ni a las bases específicas aprobadas para la provisión por concurso del citado puesto, al no aplicarse el baremo general que figura como Anexo en las Bases Generales Comunes al cual se remitían de forma expresa las bases específicas. </w:t>
      </w:r>
    </w:p>
    <w:p w14:paraId="0097ADF1"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55F899FE" w14:textId="3B85284C"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La valoración y puntuación asignada a un candidato de un mérito </w:t>
      </w:r>
      <w:r w:rsidR="00916B9D" w:rsidRPr="00A07BE9">
        <w:rPr>
          <w:rFonts w:ascii="Open Sans" w:eastAsia="NSimSun" w:hAnsi="Open Sans" w:cs="Open Sans"/>
          <w:kern w:val="2"/>
          <w:sz w:val="20"/>
          <w:szCs w:val="20"/>
          <w:lang w:eastAsia="zh-CN" w:bidi="hi-IN"/>
        </w:rPr>
        <w:t>específico</w:t>
      </w:r>
      <w:r w:rsidRPr="00A07BE9">
        <w:rPr>
          <w:rFonts w:ascii="Open Sans" w:eastAsia="NSimSun" w:hAnsi="Open Sans" w:cs="Open Sans"/>
          <w:kern w:val="2"/>
          <w:sz w:val="20"/>
          <w:szCs w:val="20"/>
          <w:lang w:eastAsia="zh-CN" w:bidi="hi-IN"/>
        </w:rPr>
        <w:t xml:space="preserve"> para la adjudicación de un puesto de trabajo que no lo tiene así determinado, en perjuicio de otros candidatos que de no valorarse dicho mérito obtendrían una puntuación superior, supone lesionar los derechos de los restantes candidatos, así como adquirir derechos careciendo los requisitos esenciales para su adquisición, ya que existen otras personas con mejor derecho a los mismos.</w:t>
      </w:r>
    </w:p>
    <w:p w14:paraId="3D387BE4"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3AF5BE3C" w14:textId="5F2A079F"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Las irregularidades constatadas en la realización del concurso de méritos para la provisión definitiva del puesto podrían haber tenido la suficiente relevancia para acordar la revisión del procedimiento, hecho que fue puesto en conocimiento del ayuntamiento.</w:t>
      </w:r>
    </w:p>
    <w:p w14:paraId="6A73537F" w14:textId="65572F30" w:rsidR="004A5F93" w:rsidRPr="00A07BE9" w:rsidRDefault="004A5F93" w:rsidP="009568B0">
      <w:pPr>
        <w:spacing w:after="0" w:line="276" w:lineRule="auto"/>
        <w:jc w:val="both"/>
        <w:rPr>
          <w:rFonts w:ascii="Open Sans" w:eastAsia="NSimSun" w:hAnsi="Open Sans" w:cs="Open Sans"/>
          <w:kern w:val="2"/>
          <w:sz w:val="20"/>
          <w:szCs w:val="20"/>
          <w:lang w:eastAsia="zh-CN" w:bidi="hi-IN"/>
        </w:rPr>
      </w:pPr>
    </w:p>
    <w:p w14:paraId="5CBA2E89" w14:textId="77777777" w:rsidR="004A5F93" w:rsidRPr="00A07BE9" w:rsidRDefault="004A5F93" w:rsidP="009568B0">
      <w:pPr>
        <w:spacing w:after="0" w:line="276" w:lineRule="auto"/>
        <w:jc w:val="both"/>
        <w:rPr>
          <w:rFonts w:ascii="Open Sans" w:eastAsia="NSimSun" w:hAnsi="Open Sans" w:cs="Open Sans"/>
          <w:kern w:val="2"/>
          <w:sz w:val="20"/>
          <w:szCs w:val="20"/>
          <w:lang w:eastAsia="zh-CN" w:bidi="hi-IN"/>
        </w:rPr>
      </w:pPr>
    </w:p>
    <w:p w14:paraId="5C508288" w14:textId="77777777" w:rsidR="009568B0" w:rsidRPr="00A07BE9" w:rsidRDefault="009568B0" w:rsidP="009568B0">
      <w:pPr>
        <w:spacing w:after="0" w:line="276" w:lineRule="auto"/>
        <w:jc w:val="both"/>
        <w:rPr>
          <w:rFonts w:ascii="Open Sans" w:eastAsia="NSimSun" w:hAnsi="Open Sans" w:cs="Arial"/>
          <w:b/>
          <w:bCs/>
          <w:color w:val="9D2235"/>
          <w:kern w:val="2"/>
          <w:sz w:val="32"/>
          <w:szCs w:val="32"/>
          <w:lang w:eastAsia="zh-CN" w:bidi="hi-IN"/>
        </w:rPr>
      </w:pPr>
      <w:r w:rsidRPr="00A07BE9">
        <w:rPr>
          <w:rFonts w:ascii="Open Sans" w:eastAsia="NSimSun" w:hAnsi="Open Sans" w:cs="Arial"/>
          <w:b/>
          <w:bCs/>
          <w:color w:val="9D2235"/>
          <w:kern w:val="2"/>
          <w:sz w:val="32"/>
          <w:szCs w:val="32"/>
          <w:lang w:eastAsia="zh-CN" w:bidi="hi-IN"/>
        </w:rPr>
        <w:t>3.6. LÍNEAS DE ACTUACIÓN EN 2020.</w:t>
      </w:r>
    </w:p>
    <w:p w14:paraId="17AC74D6"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4E0AF43B"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Por lo que respecta a las principales líneas de investigación iniciadas en la anualidad 2019 y cuya tramitación se prevé concluir dentro del primer trimestre de 2020, cabe hacer referencia, como más significativas, las siguientes:</w:t>
      </w:r>
    </w:p>
    <w:p w14:paraId="15486802" w14:textId="113199EA"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36EA54FD" w14:textId="77777777" w:rsidR="004A3C1B" w:rsidRPr="00A07BE9" w:rsidRDefault="004A3C1B" w:rsidP="009568B0">
      <w:pPr>
        <w:spacing w:after="0" w:line="276" w:lineRule="auto"/>
        <w:jc w:val="both"/>
        <w:rPr>
          <w:rFonts w:ascii="Open Sans" w:eastAsia="NSimSun" w:hAnsi="Open Sans" w:cs="Open Sans"/>
          <w:kern w:val="2"/>
          <w:sz w:val="20"/>
          <w:szCs w:val="20"/>
          <w:lang w:eastAsia="zh-CN" w:bidi="hi-IN"/>
        </w:rPr>
      </w:pPr>
    </w:p>
    <w:p w14:paraId="15CACFC6" w14:textId="77777777"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8"/>
          <w:szCs w:val="28"/>
          <w:lang w:eastAsia="es-ES" w:bidi="hi-IN"/>
        </w:rPr>
      </w:pPr>
      <w:r w:rsidRPr="00A07BE9">
        <w:rPr>
          <w:rFonts w:ascii="Open Sans" w:eastAsia="Times New Roman" w:hAnsi="Open Sans" w:cs="Open Sans"/>
          <w:b/>
          <w:bCs/>
          <w:smallCaps/>
          <w:color w:val="9D2235"/>
          <w:kern w:val="2"/>
          <w:sz w:val="28"/>
          <w:szCs w:val="28"/>
          <w:lang w:eastAsia="es-ES" w:bidi="hi-IN"/>
        </w:rPr>
        <w:lastRenderedPageBreak/>
        <w:t>3.6.1. Disfunciones Detectadas en los Contratos de Centrales de Medios Publicitarios en Diversos Organismos.</w:t>
      </w:r>
    </w:p>
    <w:p w14:paraId="20919781" w14:textId="77777777" w:rsidR="009568B0" w:rsidRPr="00A07BE9" w:rsidRDefault="009568B0" w:rsidP="009568B0">
      <w:pPr>
        <w:spacing w:after="0" w:line="276" w:lineRule="auto"/>
        <w:jc w:val="both"/>
        <w:rPr>
          <w:rFonts w:ascii="Open Sans" w:eastAsia="NSimSun" w:hAnsi="Open Sans" w:cs="Open Sans"/>
          <w:b/>
          <w:bCs/>
          <w:kern w:val="2"/>
          <w:sz w:val="20"/>
          <w:szCs w:val="20"/>
          <w:u w:val="single"/>
          <w:lang w:eastAsia="zh-CN" w:bidi="hi-IN"/>
        </w:rPr>
      </w:pPr>
    </w:p>
    <w:p w14:paraId="0C6DE8AA"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Como consecuencia de una denuncia presentada, durante la anualidad 2019 se iniciaron actuaciones con el objeto de analizar en detalle los contratos de centrales de medios publicitarios que habían licitado determinados organismos públicos y que podrían haber sido adjudicados en fraude de ley, al haber sido falseadas las condiciones económicas en que accedían los contratistas a la licitación, condiciones que se han visto incorporadas a los contratos resultantes de las licitaciones y que comportan, indiciariamente y a expensas de los resultados de las actuaciones, ninguna mejora técnica ni ningún ahorro económico o de costes para el organismo licitante.</w:t>
      </w:r>
    </w:p>
    <w:p w14:paraId="6F836918"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1F63A56C"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Para la tramitación de dicho expediente se han formalizado requerimientos de documentación a organismos con contratos de centrales de medios publicitarios vigentes, y se ha procedido a recopilar información de fuentes abiertas, como por ejemplo la contenida en plataformas de contratación.</w:t>
      </w:r>
    </w:p>
    <w:p w14:paraId="4CCDE2B2"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117EA4ED"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El valor estimado de los contratos en estudio y análisis por esta Agencia asciende a una cuantía de </w:t>
      </w:r>
      <w:r w:rsidRPr="00A07BE9">
        <w:rPr>
          <w:rFonts w:ascii="Open Sans" w:eastAsia="NSimSun" w:hAnsi="Open Sans" w:cs="Open Sans"/>
          <w:b/>
          <w:bCs/>
          <w:kern w:val="2"/>
          <w:sz w:val="20"/>
          <w:szCs w:val="20"/>
          <w:lang w:eastAsia="zh-CN" w:bidi="hi-IN"/>
        </w:rPr>
        <w:t>2.000.000 €</w:t>
      </w:r>
      <w:r w:rsidRPr="00A07BE9">
        <w:rPr>
          <w:rFonts w:ascii="Open Sans" w:eastAsia="NSimSun" w:hAnsi="Open Sans" w:cs="Open Sans"/>
          <w:kern w:val="2"/>
          <w:sz w:val="20"/>
          <w:szCs w:val="20"/>
          <w:lang w:eastAsia="zh-CN" w:bidi="hi-IN"/>
        </w:rPr>
        <w:t>.</w:t>
      </w:r>
    </w:p>
    <w:p w14:paraId="3E3936B5" w14:textId="56CB437A"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4EE889CB" w14:textId="77777777" w:rsidR="004A3C1B" w:rsidRPr="00A07BE9" w:rsidRDefault="004A3C1B" w:rsidP="009568B0">
      <w:pPr>
        <w:spacing w:after="0" w:line="276" w:lineRule="auto"/>
        <w:jc w:val="both"/>
        <w:rPr>
          <w:rFonts w:ascii="Open Sans" w:eastAsia="NSimSun" w:hAnsi="Open Sans" w:cs="Open Sans"/>
          <w:kern w:val="2"/>
          <w:sz w:val="20"/>
          <w:szCs w:val="20"/>
          <w:lang w:eastAsia="zh-CN" w:bidi="hi-IN"/>
        </w:rPr>
      </w:pPr>
    </w:p>
    <w:p w14:paraId="33F4A215" w14:textId="77777777"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8"/>
          <w:szCs w:val="28"/>
          <w:lang w:eastAsia="es-ES" w:bidi="hi-IN"/>
        </w:rPr>
      </w:pPr>
      <w:r w:rsidRPr="00A07BE9">
        <w:rPr>
          <w:rFonts w:ascii="Open Sans" w:eastAsia="Times New Roman" w:hAnsi="Open Sans" w:cs="Open Sans"/>
          <w:b/>
          <w:bCs/>
          <w:smallCaps/>
          <w:color w:val="9D2235"/>
          <w:kern w:val="2"/>
          <w:sz w:val="28"/>
          <w:szCs w:val="28"/>
          <w:lang w:eastAsia="es-ES" w:bidi="hi-IN"/>
        </w:rPr>
        <w:t>3.6.2. Empresa Pública Local. Fraude en Relación con un Convenio Suscrito.</w:t>
      </w:r>
    </w:p>
    <w:p w14:paraId="4AFAE1C9" w14:textId="77777777" w:rsidR="009568B0" w:rsidRPr="00A07BE9" w:rsidRDefault="009568B0" w:rsidP="009568B0">
      <w:pPr>
        <w:spacing w:after="0" w:line="276" w:lineRule="auto"/>
        <w:jc w:val="both"/>
        <w:rPr>
          <w:rFonts w:ascii="Open Sans" w:eastAsia="NSimSun" w:hAnsi="Open Sans" w:cs="Open Sans"/>
          <w:b/>
          <w:bCs/>
          <w:kern w:val="2"/>
          <w:sz w:val="20"/>
          <w:szCs w:val="20"/>
          <w:u w:val="single"/>
          <w:lang w:eastAsia="zh-CN" w:bidi="hi-IN"/>
        </w:rPr>
      </w:pPr>
    </w:p>
    <w:p w14:paraId="15B4B3EA" w14:textId="6141C7E9"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Durante las anualidades 2018 y 2019 han tenido entrada diversas denuncias en relación con el presunto uso fraudulento de la figura del convenio administrativo por parte de una mercantil pública con el fin de sufragar los costes de creación de una </w:t>
      </w:r>
      <w:r w:rsidR="00930EA0" w:rsidRPr="00A07BE9">
        <w:rPr>
          <w:rFonts w:ascii="Open Sans" w:eastAsia="NSimSun" w:hAnsi="Open Sans" w:cs="Open Sans"/>
          <w:kern w:val="2"/>
          <w:sz w:val="20"/>
          <w:szCs w:val="20"/>
          <w:lang w:eastAsia="zh-CN" w:bidi="hi-IN"/>
        </w:rPr>
        <w:t>f</w:t>
      </w:r>
      <w:r w:rsidRPr="00A07BE9">
        <w:rPr>
          <w:rFonts w:ascii="Open Sans" w:eastAsia="NSimSun" w:hAnsi="Open Sans" w:cs="Open Sans"/>
          <w:kern w:val="2"/>
          <w:sz w:val="20"/>
          <w:szCs w:val="20"/>
          <w:lang w:eastAsia="zh-CN" w:bidi="hi-IN"/>
        </w:rPr>
        <w:t>undación privada.</w:t>
      </w:r>
    </w:p>
    <w:p w14:paraId="5066CDF5"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12F80174"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En dichas actuaciones se han practicado requerimientos de documentación con el fin de cruzar datos e informaciones para la constatación de hechos relevantes.</w:t>
      </w:r>
    </w:p>
    <w:p w14:paraId="4F5C83A0"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2B326BB7"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Del estudio y análisis en profundidad de la documentación aportada, se han hallado indicios de que podría haber sido utilizada fraudulentamente la figura de un convenio de colaboración para ocultar lo que en realidad ha sido una subvención directa, potestad pública de la que carecen las sociedades mercantiles, y ello en base a que aunque el convenio instrumentalizaba la colaboración entre ambas entidades para la realización de unos estudios, de la documentación se ha constatado que la mercantil únicamente participó en el acto de la revisión de la cuenta justificativa presentada para la percepción de la cuantía económica.</w:t>
      </w:r>
    </w:p>
    <w:p w14:paraId="485B161C"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696C06B6"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A mayor abundamiento, se ha procedido a estudiar a fondo la documentación que integra la cuenta justificativa de los trabajos desarrollados en cumplimiento del convenio, concluyéndose por la Agencia la necesidad de proceder a la revisión de la cuantía a imputar </w:t>
      </w:r>
      <w:r w:rsidRPr="00A07BE9">
        <w:rPr>
          <w:rFonts w:ascii="Open Sans" w:eastAsia="NSimSun" w:hAnsi="Open Sans" w:cs="Open Sans"/>
          <w:kern w:val="2"/>
          <w:sz w:val="20"/>
          <w:szCs w:val="20"/>
          <w:lang w:eastAsia="zh-CN" w:bidi="hi-IN"/>
        </w:rPr>
        <w:lastRenderedPageBreak/>
        <w:t>al convenio, dada la insuficiente acreditación de la realidad de los trabajos alegados y su relación con el objeto del convenio.</w:t>
      </w:r>
    </w:p>
    <w:p w14:paraId="704A6C73"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722F6D0A"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En particular, se han localizado imputaciones de nóminas de trabajadores basadas en porcentajes de participación en el proyecto certificados sin mayor justificación que la simple existencia del certificado; de igual forma ocurre con los gastos generales imputados al convenio, que siendo cuantificados en 3.544,48 € en la primera reunión de la comisión mixta de seguimiento del convenio, pasaron a ser redondeados a 9.600 € en la justificación final, simplemente por la aplicación de un porcentaje sobre el total de la aportación económica, basado en la práctica habitual en este tipo de convenios,  de nuevo sin justificar mínimamente el uso o destino de dichos gastos de carácter general; en tercer lugar, se detectó un caso de plagio en uno de los documentos aportados junto con la cuenta justificativa, así como la imputación de varios gastos que </w:t>
      </w:r>
      <w:r w:rsidRPr="00A07BE9">
        <w:rPr>
          <w:rFonts w:ascii="Open Sans" w:eastAsia="NSimSun" w:hAnsi="Open Sans" w:cs="Open Sans"/>
          <w:i/>
          <w:iCs/>
          <w:kern w:val="2"/>
          <w:sz w:val="20"/>
          <w:szCs w:val="20"/>
          <w:lang w:eastAsia="zh-CN" w:bidi="hi-IN"/>
        </w:rPr>
        <w:t>a priori</w:t>
      </w:r>
      <w:r w:rsidRPr="00A07BE9">
        <w:rPr>
          <w:rFonts w:ascii="Open Sans" w:eastAsia="NSimSun" w:hAnsi="Open Sans" w:cs="Open Sans"/>
          <w:kern w:val="2"/>
          <w:sz w:val="20"/>
          <w:szCs w:val="20"/>
          <w:lang w:eastAsia="zh-CN" w:bidi="hi-IN"/>
        </w:rPr>
        <w:t xml:space="preserve"> ninguna relación tendrían con el objeto del convenio.</w:t>
      </w:r>
    </w:p>
    <w:p w14:paraId="2076FCD0"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0FCD8BDC"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Finalmente, se hallaron indicios de un posible fraccionamiento irregular de contratos, realizado de forma conjunta entre ambas entidades, de forma que la primera contrató los servicios jurídicos de una abogada durante dos meses, mientras que a la finalización de dicho contrato la abogada pasaría a estar contratada por la segunda, superando la cuantía acumulada de ambas contrataciones el máximo legal para la contratación menor.</w:t>
      </w:r>
    </w:p>
    <w:p w14:paraId="5B7B37A9"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211325D7"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Tras la recepción de las correspondientes alegaciones presentadas durante el trámite de audiencia, se prevé la finalización de las investigaciones en referencia a este asunto durante el primer trimestre de 2020.</w:t>
      </w:r>
    </w:p>
    <w:p w14:paraId="769F5B9B"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5A8A337B"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El importe del convenio asciende a un total de 120.000 €, de los que se han abonado 40.000 €, constando retenidas las facturas correspondientes al importe pendiente de abonar por parte de la entidad denunciada, a expensas de los resultados de la investigación, sumando las facturas pendientes un importe agregado de </w:t>
      </w:r>
      <w:r w:rsidRPr="00A07BE9">
        <w:rPr>
          <w:rFonts w:ascii="Open Sans" w:eastAsia="NSimSun" w:hAnsi="Open Sans" w:cs="Open Sans"/>
          <w:b/>
          <w:bCs/>
          <w:kern w:val="2"/>
          <w:sz w:val="20"/>
          <w:szCs w:val="20"/>
          <w:lang w:eastAsia="zh-CN" w:bidi="hi-IN"/>
        </w:rPr>
        <w:t>66.958,43 €</w:t>
      </w:r>
      <w:r w:rsidRPr="00A07BE9">
        <w:rPr>
          <w:rFonts w:ascii="Open Sans" w:eastAsia="NSimSun" w:hAnsi="Open Sans" w:cs="Open Sans"/>
          <w:kern w:val="2"/>
          <w:sz w:val="20"/>
          <w:szCs w:val="20"/>
          <w:lang w:eastAsia="zh-CN" w:bidi="hi-IN"/>
        </w:rPr>
        <w:t>.</w:t>
      </w:r>
    </w:p>
    <w:p w14:paraId="02E5DE5D" w14:textId="77777777" w:rsidR="009568B0" w:rsidRPr="00A07BE9" w:rsidRDefault="009568B0" w:rsidP="009568B0">
      <w:pPr>
        <w:spacing w:after="0" w:line="276" w:lineRule="auto"/>
        <w:jc w:val="both"/>
        <w:rPr>
          <w:rFonts w:ascii="Open Sans" w:eastAsia="NSimSun" w:hAnsi="Open Sans" w:cs="Open Sans"/>
          <w:b/>
          <w:bCs/>
          <w:kern w:val="2"/>
          <w:sz w:val="20"/>
          <w:szCs w:val="20"/>
          <w:u w:val="single"/>
          <w:lang w:eastAsia="zh-CN" w:bidi="hi-IN"/>
        </w:rPr>
      </w:pPr>
    </w:p>
    <w:p w14:paraId="47903FBF" w14:textId="77777777" w:rsidR="009568B0" w:rsidRPr="00A07BE9" w:rsidRDefault="009568B0" w:rsidP="009568B0">
      <w:pPr>
        <w:spacing w:after="0" w:line="276" w:lineRule="auto"/>
        <w:jc w:val="both"/>
        <w:rPr>
          <w:rFonts w:ascii="Open Sans" w:eastAsia="NSimSun" w:hAnsi="Open Sans" w:cs="Open Sans"/>
          <w:b/>
          <w:bCs/>
          <w:kern w:val="2"/>
          <w:sz w:val="21"/>
          <w:szCs w:val="21"/>
          <w:u w:val="single"/>
          <w:lang w:eastAsia="zh-CN" w:bidi="hi-IN"/>
        </w:rPr>
      </w:pPr>
    </w:p>
    <w:p w14:paraId="03EA5171" w14:textId="77777777"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8"/>
          <w:szCs w:val="28"/>
          <w:lang w:eastAsia="es-ES" w:bidi="hi-IN"/>
        </w:rPr>
      </w:pPr>
      <w:r w:rsidRPr="00A07BE9">
        <w:rPr>
          <w:rFonts w:ascii="Open Sans" w:eastAsia="Times New Roman" w:hAnsi="Open Sans" w:cs="Open Sans"/>
          <w:b/>
          <w:bCs/>
          <w:smallCaps/>
          <w:color w:val="9D2235"/>
          <w:kern w:val="2"/>
          <w:sz w:val="28"/>
          <w:szCs w:val="28"/>
          <w:lang w:eastAsia="es-ES" w:bidi="hi-IN"/>
        </w:rPr>
        <w:t>3.6.3. Empresa Pública Local. Fraude en la Contratación de la Producción de una Serie Programas de Televisión.</w:t>
      </w:r>
    </w:p>
    <w:p w14:paraId="4F43185E" w14:textId="77777777" w:rsidR="009568B0" w:rsidRPr="00A07BE9" w:rsidRDefault="009568B0" w:rsidP="009568B0">
      <w:pPr>
        <w:spacing w:after="0" w:line="276" w:lineRule="auto"/>
        <w:jc w:val="both"/>
        <w:rPr>
          <w:rFonts w:ascii="Open Sans" w:eastAsia="NSimSun" w:hAnsi="Open Sans" w:cs="Open Sans"/>
          <w:b/>
          <w:bCs/>
          <w:kern w:val="2"/>
          <w:sz w:val="20"/>
          <w:szCs w:val="20"/>
          <w:u w:val="single"/>
          <w:lang w:eastAsia="zh-CN" w:bidi="hi-IN"/>
        </w:rPr>
      </w:pPr>
    </w:p>
    <w:p w14:paraId="5C0AB074"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Durante la anualidad 2019 se han finalizado las actuaciones de investigación referentes a la contratación por parte de una mercantil pública de la producción de una serie de capítulos para la emisión en televisión.</w:t>
      </w:r>
    </w:p>
    <w:p w14:paraId="212037F8"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6C0FF929" w14:textId="60509304"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De las actuaciones se ha constatado, como incumplimientos más relevantes que la mercantil publicó de forma errónea la información derivada del contrato celebrado en el portal de transparencia, haciendo constar que se trataba de 5 contratos diferentes en lugar de un único contrato. Ello no revestiría mayor importancia de no ser porque el importe agregado de la prestación superaba el umbral legalmente establecido como límite para la contratación </w:t>
      </w:r>
      <w:r w:rsidRPr="00A07BE9">
        <w:rPr>
          <w:rFonts w:ascii="Open Sans" w:eastAsia="NSimSun" w:hAnsi="Open Sans" w:cs="Open Sans"/>
          <w:kern w:val="2"/>
          <w:sz w:val="20"/>
          <w:szCs w:val="20"/>
          <w:lang w:eastAsia="zh-CN" w:bidi="hi-IN"/>
        </w:rPr>
        <w:lastRenderedPageBreak/>
        <w:t xml:space="preserve">menor. Ello ha comportado la concurrencia de una presunta infracción del principio de veracidad, contemplado en la legislación sobre transparencia y publicidad activas, artículos 31 y siguientes, de la </w:t>
      </w:r>
      <w:hyperlink r:id="rId102" w:history="1">
        <w:r w:rsidRPr="00A07BE9">
          <w:rPr>
            <w:rStyle w:val="Hipervnculo"/>
            <w:rFonts w:ascii="Open Sans" w:eastAsia="NSimSun" w:hAnsi="Open Sans" w:cs="Open Sans"/>
            <w:kern w:val="2"/>
            <w:sz w:val="20"/>
            <w:szCs w:val="20"/>
            <w:lang w:eastAsia="zh-CN" w:bidi="hi-IN"/>
          </w:rPr>
          <w:t>Ley 2/2015, de 2 de abril, de la Generalitat, de Transparencia, Buen Gobierno y Participación Ciudadana de la Comunitat Valenciana</w:t>
        </w:r>
      </w:hyperlink>
      <w:r w:rsidRPr="00A07BE9">
        <w:rPr>
          <w:rFonts w:ascii="Open Sans" w:eastAsia="NSimSun" w:hAnsi="Open Sans" w:cs="Open Sans"/>
          <w:kern w:val="2"/>
          <w:sz w:val="20"/>
          <w:szCs w:val="20"/>
          <w:lang w:eastAsia="zh-CN" w:bidi="hi-IN"/>
        </w:rPr>
        <w:t xml:space="preserve">. </w:t>
      </w:r>
    </w:p>
    <w:p w14:paraId="3BD69274"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31BD5005"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En el mismo sentido, la mercantil empleó un procedimiento de adjudicación directa, cuando debido al importe del valor del contrato debió haber sometido la licitación a los principios de publicidad y concurrencia.</w:t>
      </w:r>
    </w:p>
    <w:p w14:paraId="46B3AE87"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763B3B4B" w14:textId="044DAF2F"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No </w:t>
      </w:r>
      <w:r w:rsidR="00916B9D" w:rsidRPr="00A07BE9">
        <w:rPr>
          <w:rFonts w:ascii="Open Sans" w:eastAsia="NSimSun" w:hAnsi="Open Sans" w:cs="Open Sans"/>
          <w:kern w:val="2"/>
          <w:sz w:val="20"/>
          <w:szCs w:val="20"/>
          <w:lang w:eastAsia="zh-CN" w:bidi="hi-IN"/>
        </w:rPr>
        <w:t>obstante</w:t>
      </w:r>
      <w:r w:rsidRPr="00A07BE9">
        <w:rPr>
          <w:rFonts w:ascii="Open Sans" w:eastAsia="NSimSun" w:hAnsi="Open Sans" w:cs="Open Sans"/>
          <w:kern w:val="2"/>
          <w:sz w:val="20"/>
          <w:szCs w:val="20"/>
          <w:lang w:eastAsia="zh-CN" w:bidi="hi-IN"/>
        </w:rPr>
        <w:t xml:space="preserve"> lo anterior, el aspecto crítico de la investigación ha venido dado por la llamada prueba de servicios. Y es que se ha constatado que la prestación del contrato consistía en la grabación de 16 capítulos, hallándose pruebas únicamente de la grabación de 10 de ellos, y siendo que las facturas se habían abonado en su totalidad. </w:t>
      </w:r>
    </w:p>
    <w:p w14:paraId="595EACAC"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20132937"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Llama la atención que, realizadas las actuaciones de investigación, se aportase por la empresa una factura rectificativa que contemplaba el abono de tres programas no realizados, factura que fue emitida 8 meses después de la emisión de la última factura pagada, y 2 meses después del primer requerimiento de la Agencia. En cualquier caso, este documento seguiría sin justificar la diferencia de otros tres programas cuya realidad no ha podido ser constatada.</w:t>
      </w:r>
    </w:p>
    <w:p w14:paraId="1A20D795"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78FB363C"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Así pues, el personal que intervino en la prestación de conformidad de las facturas (especialmente de la factura rectificada), así como en la tramitación de la contabilización y el pago incurrieron en grave negligencia en el ejercicio de sus responsabilidades, dado que conformaron y pagaron facturas por servicios realmente no prestados, lo que necesariamente debe llevar la incoación de los procedimientos disciplinarios que correspondan para la exigencia de responsabilidad y resarcimiento de daños y perjuicios para con la mercantil pública local.</w:t>
      </w:r>
    </w:p>
    <w:p w14:paraId="585C8419"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704486ED"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El importe total de los programas contratados asciende a 25.884,30 €, mientras que el importe de los programas no realizados asciende a </w:t>
      </w:r>
      <w:r w:rsidRPr="00A07BE9">
        <w:rPr>
          <w:rFonts w:ascii="Open Sans" w:eastAsia="NSimSun" w:hAnsi="Open Sans" w:cs="Open Sans"/>
          <w:b/>
          <w:bCs/>
          <w:kern w:val="2"/>
          <w:sz w:val="20"/>
          <w:szCs w:val="20"/>
          <w:lang w:eastAsia="zh-CN" w:bidi="hi-IN"/>
        </w:rPr>
        <w:t>9.706,62 €</w:t>
      </w:r>
      <w:r w:rsidRPr="00A07BE9">
        <w:rPr>
          <w:rFonts w:ascii="Open Sans" w:eastAsia="NSimSun" w:hAnsi="Open Sans" w:cs="Open Sans"/>
          <w:kern w:val="2"/>
          <w:sz w:val="20"/>
          <w:szCs w:val="20"/>
          <w:lang w:eastAsia="zh-CN" w:bidi="hi-IN"/>
        </w:rPr>
        <w:t>.</w:t>
      </w:r>
    </w:p>
    <w:p w14:paraId="0FF915C1"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61C45711"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Actualmente las actuaciones de investigación se hallan en fase de seguimiento.</w:t>
      </w:r>
    </w:p>
    <w:p w14:paraId="444D0BBB"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5AC7D5A1"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3F5B7361" w14:textId="77777777" w:rsidR="009568B0" w:rsidRPr="00A07BE9" w:rsidRDefault="009568B0" w:rsidP="009568B0">
      <w:pPr>
        <w:suppressAutoHyphens/>
        <w:spacing w:after="0" w:line="240" w:lineRule="auto"/>
        <w:jc w:val="both"/>
        <w:rPr>
          <w:rFonts w:ascii="Open Sans" w:eastAsia="Times New Roman" w:hAnsi="Open Sans" w:cs="Open Sans"/>
          <w:b/>
          <w:bCs/>
          <w:smallCaps/>
          <w:color w:val="9D2235"/>
          <w:kern w:val="2"/>
          <w:sz w:val="28"/>
          <w:szCs w:val="28"/>
          <w:lang w:eastAsia="es-ES" w:bidi="hi-IN"/>
        </w:rPr>
      </w:pPr>
      <w:r w:rsidRPr="00A07BE9">
        <w:rPr>
          <w:rFonts w:ascii="Open Sans" w:eastAsia="Times New Roman" w:hAnsi="Open Sans" w:cs="Open Sans"/>
          <w:b/>
          <w:bCs/>
          <w:smallCaps/>
          <w:color w:val="9D2235"/>
          <w:kern w:val="2"/>
          <w:sz w:val="28"/>
          <w:szCs w:val="28"/>
          <w:lang w:eastAsia="es-ES" w:bidi="hi-IN"/>
        </w:rPr>
        <w:t>3.6.4. Sector Público Autonómico. Impago del Uso de un Espacio Público.</w:t>
      </w:r>
    </w:p>
    <w:p w14:paraId="32662DAD"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14F30CBC"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En la anualidad 2018 se iniciaron actuaciones en referencia al uso de las instalaciones de una entidad del sector público autonómico con carácter privativo por parte de un partido político, habiéndose constatado que no se emitió la factura correspondiente ni se realizaron gestiones para el cobro de la prestación.</w:t>
      </w:r>
    </w:p>
    <w:p w14:paraId="4B3C3554"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5FD6B7B9" w14:textId="08DFE451" w:rsidR="009568B0" w:rsidRPr="00A07BE9" w:rsidRDefault="009568B0" w:rsidP="009568B0">
      <w:pPr>
        <w:spacing w:after="0" w:line="276" w:lineRule="auto"/>
        <w:jc w:val="both"/>
        <w:rPr>
          <w:rStyle w:val="Hipervnculo"/>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lastRenderedPageBreak/>
        <w:t xml:space="preserve">Inicialmente las actuaciones de la Agencia fueron interrumpidas ante la constatación de la existencia de un procedimiento penal con identidad de sujeto y objeto, articulándose la prohibición expresa contemplada en el </w:t>
      </w:r>
      <w:r w:rsidR="003408CE" w:rsidRPr="00A07BE9">
        <w:rPr>
          <w:rFonts w:ascii="Open Sans" w:eastAsia="NSimSun" w:hAnsi="Open Sans" w:cs="Open Sans"/>
          <w:kern w:val="2"/>
          <w:sz w:val="20"/>
          <w:szCs w:val="20"/>
          <w:lang w:eastAsia="zh-CN" w:bidi="hi-IN"/>
        </w:rPr>
        <w:t>artículo</w:t>
      </w:r>
      <w:r w:rsidRPr="00A07BE9">
        <w:rPr>
          <w:rFonts w:ascii="Open Sans" w:eastAsia="NSimSun" w:hAnsi="Open Sans" w:cs="Open Sans"/>
          <w:kern w:val="2"/>
          <w:sz w:val="20"/>
          <w:szCs w:val="20"/>
          <w:lang w:eastAsia="zh-CN" w:bidi="hi-IN"/>
        </w:rPr>
        <w:t xml:space="preserve"> 5 de la </w:t>
      </w:r>
      <w:r w:rsidR="00CB3D31" w:rsidRPr="00A07BE9">
        <w:rPr>
          <w:rFonts w:ascii="Open Sans" w:eastAsia="NSimSun" w:hAnsi="Open Sans" w:cs="Open Sans"/>
          <w:kern w:val="2"/>
          <w:sz w:val="20"/>
          <w:szCs w:val="20"/>
          <w:lang w:eastAsia="zh-CN" w:bidi="hi-IN"/>
        </w:rPr>
        <w:fldChar w:fldCharType="begin"/>
      </w:r>
      <w:r w:rsidR="00CB3D31" w:rsidRPr="00A07BE9">
        <w:rPr>
          <w:rFonts w:ascii="Open Sans" w:eastAsia="NSimSun" w:hAnsi="Open Sans" w:cs="Open Sans"/>
          <w:kern w:val="2"/>
          <w:sz w:val="20"/>
          <w:szCs w:val="20"/>
          <w:lang w:eastAsia="zh-CN" w:bidi="hi-IN"/>
        </w:rPr>
        <w:instrText xml:space="preserve"> HYPERLINK "https://www.boe.es/buscar/pdf/2016/BOE-A-2016-12048-consolidado.pdf" </w:instrText>
      </w:r>
      <w:r w:rsidR="00CB3D31" w:rsidRPr="00A07BE9">
        <w:rPr>
          <w:rFonts w:ascii="Open Sans" w:eastAsia="NSimSun" w:hAnsi="Open Sans" w:cs="Open Sans"/>
          <w:kern w:val="2"/>
          <w:sz w:val="20"/>
          <w:szCs w:val="20"/>
          <w:lang w:eastAsia="zh-CN" w:bidi="hi-IN"/>
        </w:rPr>
      </w:r>
      <w:r w:rsidR="00CB3D31" w:rsidRPr="00A07BE9">
        <w:rPr>
          <w:rFonts w:ascii="Open Sans" w:eastAsia="NSimSun" w:hAnsi="Open Sans" w:cs="Open Sans"/>
          <w:kern w:val="2"/>
          <w:sz w:val="20"/>
          <w:szCs w:val="20"/>
          <w:lang w:eastAsia="zh-CN" w:bidi="hi-IN"/>
        </w:rPr>
        <w:fldChar w:fldCharType="separate"/>
      </w:r>
      <w:r w:rsidRPr="00A07BE9">
        <w:rPr>
          <w:rStyle w:val="Hipervnculo"/>
          <w:rFonts w:ascii="Open Sans" w:eastAsia="NSimSun" w:hAnsi="Open Sans" w:cs="Open Sans"/>
          <w:kern w:val="2"/>
          <w:sz w:val="20"/>
          <w:szCs w:val="20"/>
          <w:lang w:eastAsia="zh-CN" w:bidi="hi-IN"/>
        </w:rPr>
        <w:t>Ley 11/2016.</w:t>
      </w:r>
    </w:p>
    <w:p w14:paraId="4B5316BD" w14:textId="14093045" w:rsidR="009568B0" w:rsidRPr="00A07BE9" w:rsidRDefault="00CB3D31"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fldChar w:fldCharType="end"/>
      </w:r>
    </w:p>
    <w:p w14:paraId="4D9C2507"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Finalizado el procedimiento penal con expresa exclusión de la responsabilidad penal por los hechos, quedó expedita la vía administrativa. Durante el último trimestre de 2019 se ha procedido a requerir a ambas partes implicadas declaración sobre las gestiones a realizar en orden a efectuar el pago correspondiente al uso privativo de unas instalaciones públicas.</w:t>
      </w:r>
    </w:p>
    <w:p w14:paraId="7A456B9C"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543E395B"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Se prevé la conclusión de las anteriores actuaciones en el primer trimestre de 2020.</w:t>
      </w:r>
    </w:p>
    <w:p w14:paraId="722B314C"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7E0F1742" w14:textId="12FDA0B8"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El importe de la facturación por el uso de las instalaciones públicas ascienda al importe de </w:t>
      </w:r>
      <w:r w:rsidRPr="00A07BE9">
        <w:rPr>
          <w:rFonts w:ascii="Open Sans" w:eastAsia="NSimSun" w:hAnsi="Open Sans" w:cs="Open Sans"/>
          <w:b/>
          <w:bCs/>
          <w:kern w:val="2"/>
          <w:sz w:val="20"/>
          <w:szCs w:val="20"/>
          <w:lang w:eastAsia="zh-CN" w:bidi="hi-IN"/>
        </w:rPr>
        <w:t>8.357,99 €</w:t>
      </w:r>
      <w:r w:rsidRPr="00A07BE9">
        <w:rPr>
          <w:rFonts w:ascii="Open Sans" w:eastAsia="NSimSun" w:hAnsi="Open Sans" w:cs="Open Sans"/>
          <w:kern w:val="2"/>
          <w:sz w:val="20"/>
          <w:szCs w:val="20"/>
          <w:lang w:eastAsia="zh-CN" w:bidi="hi-IN"/>
        </w:rPr>
        <w:t>.</w:t>
      </w:r>
    </w:p>
    <w:p w14:paraId="3A38607D" w14:textId="6D981F66" w:rsidR="000B390D" w:rsidRPr="00A07BE9" w:rsidRDefault="000B390D" w:rsidP="009568B0">
      <w:pPr>
        <w:spacing w:after="0" w:line="276" w:lineRule="auto"/>
        <w:jc w:val="both"/>
        <w:rPr>
          <w:rFonts w:ascii="Open Sans" w:eastAsia="NSimSun" w:hAnsi="Open Sans" w:cs="Open Sans"/>
          <w:kern w:val="2"/>
          <w:sz w:val="20"/>
          <w:szCs w:val="20"/>
          <w:lang w:eastAsia="zh-CN" w:bidi="hi-IN"/>
        </w:rPr>
      </w:pPr>
    </w:p>
    <w:p w14:paraId="7FF97FE4" w14:textId="77777777" w:rsidR="004A5F93" w:rsidRPr="00A07BE9" w:rsidRDefault="004A5F93" w:rsidP="009568B0">
      <w:pPr>
        <w:spacing w:after="0" w:line="276" w:lineRule="auto"/>
        <w:jc w:val="both"/>
        <w:rPr>
          <w:rFonts w:ascii="Open Sans" w:eastAsia="NSimSun" w:hAnsi="Open Sans" w:cs="Open Sans"/>
          <w:kern w:val="2"/>
          <w:sz w:val="20"/>
          <w:szCs w:val="20"/>
          <w:lang w:eastAsia="zh-CN" w:bidi="hi-IN"/>
        </w:rPr>
      </w:pPr>
    </w:p>
    <w:p w14:paraId="23FC397D" w14:textId="77777777" w:rsidR="009568B0" w:rsidRPr="00A07BE9" w:rsidRDefault="009568B0" w:rsidP="009568B0">
      <w:pPr>
        <w:spacing w:after="0" w:line="276" w:lineRule="auto"/>
        <w:jc w:val="both"/>
        <w:rPr>
          <w:rFonts w:ascii="Open Sans" w:eastAsia="NSimSun" w:hAnsi="Open Sans" w:cs="Arial"/>
          <w:b/>
          <w:bCs/>
          <w:color w:val="9D2235"/>
          <w:kern w:val="2"/>
          <w:sz w:val="32"/>
          <w:szCs w:val="32"/>
          <w:lang w:eastAsia="zh-CN" w:bidi="hi-IN"/>
        </w:rPr>
      </w:pPr>
      <w:r w:rsidRPr="00A07BE9">
        <w:rPr>
          <w:rFonts w:ascii="Open Sans" w:eastAsia="NSimSun" w:hAnsi="Open Sans" w:cs="Arial"/>
          <w:b/>
          <w:bCs/>
          <w:color w:val="9D2235"/>
          <w:kern w:val="2"/>
          <w:sz w:val="32"/>
          <w:szCs w:val="32"/>
          <w:lang w:eastAsia="zh-CN" w:bidi="hi-IN"/>
        </w:rPr>
        <w:t>3.7. COLABORACIÓN CON OTRAS INSTITUCIONES</w:t>
      </w:r>
    </w:p>
    <w:p w14:paraId="1E36234A" w14:textId="77777777" w:rsidR="009568B0" w:rsidRPr="00A07BE9" w:rsidRDefault="009568B0" w:rsidP="009568B0">
      <w:pPr>
        <w:spacing w:after="0" w:line="276" w:lineRule="auto"/>
        <w:jc w:val="both"/>
        <w:rPr>
          <w:rFonts w:ascii="Open Sans" w:eastAsia="NSimSun" w:hAnsi="Open Sans" w:cs="Open Sans"/>
          <w:b/>
          <w:bCs/>
          <w:kern w:val="2"/>
          <w:sz w:val="20"/>
          <w:szCs w:val="20"/>
          <w:u w:val="single"/>
          <w:lang w:eastAsia="zh-CN" w:bidi="hi-IN"/>
        </w:rPr>
      </w:pPr>
    </w:p>
    <w:p w14:paraId="1DF48E2C" w14:textId="5013C52A"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Se entiende en todo caso que las funciones de la </w:t>
      </w:r>
      <w:r w:rsidR="004A5499" w:rsidRPr="00A07BE9">
        <w:rPr>
          <w:rFonts w:ascii="Open Sans" w:eastAsia="NSimSun" w:hAnsi="Open Sans" w:cs="Open Sans"/>
          <w:kern w:val="2"/>
          <w:sz w:val="20"/>
          <w:szCs w:val="20"/>
          <w:lang w:eastAsia="zh-CN" w:bidi="hi-IN"/>
        </w:rPr>
        <w:t>A</w:t>
      </w:r>
      <w:r w:rsidRPr="00A07BE9">
        <w:rPr>
          <w:rFonts w:ascii="Open Sans" w:eastAsia="NSimSun" w:hAnsi="Open Sans" w:cs="Open Sans"/>
          <w:kern w:val="2"/>
          <w:sz w:val="20"/>
          <w:szCs w:val="20"/>
          <w:lang w:eastAsia="zh-CN" w:bidi="hi-IN"/>
        </w:rPr>
        <w:t xml:space="preserve">gencia lo son, sin perjuicio de las que ejercen, de acuerdo con la normativa reguladora específica, la Sindicatura de Comptes, el Síndic de Greuges, el Consejo de Transparencia, Acceso a la Información Pública y Buen Gobierno, la Intervención General de la Generalitat, la Inspección General de Servicios, los órganos competentes en materia de incompatibilidades y conflictos de intereses y los órganos de control, supervisión y protectorado de las entidades incluidas en el ámbito de actuación correspondiente, y que actúa en todo caso en colaboración con estas instituciones y órganos. La </w:t>
      </w:r>
      <w:r w:rsidR="0003243A" w:rsidRPr="00A07BE9">
        <w:rPr>
          <w:rFonts w:ascii="Open Sans" w:eastAsia="NSimSun" w:hAnsi="Open Sans" w:cs="Open Sans"/>
          <w:kern w:val="2"/>
          <w:sz w:val="20"/>
          <w:szCs w:val="20"/>
          <w:lang w:eastAsia="zh-CN" w:bidi="hi-IN"/>
        </w:rPr>
        <w:t>A</w:t>
      </w:r>
      <w:r w:rsidRPr="00A07BE9">
        <w:rPr>
          <w:rFonts w:ascii="Open Sans" w:eastAsia="NSimSun" w:hAnsi="Open Sans" w:cs="Open Sans"/>
          <w:kern w:val="2"/>
          <w:sz w:val="20"/>
          <w:szCs w:val="20"/>
          <w:lang w:eastAsia="zh-CN" w:bidi="hi-IN"/>
        </w:rPr>
        <w:t>gencia aportará toda la información de que disponga y proporcionará el apoyo necesario a la institución u órgano que lleve a cabo la investigación o fiscalización correspondiente.</w:t>
      </w:r>
    </w:p>
    <w:p w14:paraId="49FF01FB"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56FBC569" w14:textId="3C03A88C"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En cumplimiento de sus tareas la </w:t>
      </w:r>
      <w:r w:rsidR="0003243A" w:rsidRPr="00A07BE9">
        <w:rPr>
          <w:rFonts w:ascii="Open Sans" w:eastAsia="NSimSun" w:hAnsi="Open Sans" w:cs="Open Sans"/>
          <w:kern w:val="2"/>
          <w:sz w:val="20"/>
          <w:szCs w:val="20"/>
          <w:lang w:eastAsia="zh-CN" w:bidi="hi-IN"/>
        </w:rPr>
        <w:t>A</w:t>
      </w:r>
      <w:r w:rsidRPr="00A07BE9">
        <w:rPr>
          <w:rFonts w:ascii="Open Sans" w:eastAsia="NSimSun" w:hAnsi="Open Sans" w:cs="Open Sans"/>
          <w:kern w:val="2"/>
          <w:sz w:val="20"/>
          <w:szCs w:val="20"/>
          <w:lang w:eastAsia="zh-CN" w:bidi="hi-IN"/>
        </w:rPr>
        <w:t>gencia podrá proporcionar la colaboración, la asistencia y el intercambio de información con otras instituciones, órganos o entidades públicas mediante planes y programas conjuntos, convenios y protocolos de colaboración funcional, en el marco de la normativa aplicable.</w:t>
      </w:r>
    </w:p>
    <w:p w14:paraId="13D13513" w14:textId="77777777"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p>
    <w:p w14:paraId="4C8DF82D" w14:textId="3D6BB1AF"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t xml:space="preserve">La </w:t>
      </w:r>
      <w:r w:rsidR="0003243A" w:rsidRPr="00A07BE9">
        <w:rPr>
          <w:rFonts w:ascii="Open Sans" w:eastAsia="NSimSun" w:hAnsi="Open Sans" w:cs="Open Sans"/>
          <w:kern w:val="2"/>
          <w:sz w:val="20"/>
          <w:szCs w:val="20"/>
          <w:lang w:eastAsia="zh-CN" w:bidi="hi-IN"/>
        </w:rPr>
        <w:t>A</w:t>
      </w:r>
      <w:r w:rsidRPr="00A07BE9">
        <w:rPr>
          <w:rFonts w:ascii="Open Sans" w:eastAsia="NSimSun" w:hAnsi="Open Sans" w:cs="Open Sans"/>
          <w:kern w:val="2"/>
          <w:sz w:val="20"/>
          <w:szCs w:val="20"/>
          <w:lang w:eastAsia="zh-CN" w:bidi="hi-IN"/>
        </w:rPr>
        <w:t xml:space="preserve">gencia no tiene competencias en las funciones y materias que corresponden a la autoridad judicial, el </w:t>
      </w:r>
      <w:r w:rsidR="0072308F" w:rsidRPr="00A07BE9">
        <w:rPr>
          <w:rFonts w:ascii="Open Sans" w:eastAsia="NSimSun" w:hAnsi="Open Sans" w:cs="Open Sans"/>
          <w:kern w:val="2"/>
          <w:sz w:val="20"/>
          <w:szCs w:val="20"/>
          <w:lang w:eastAsia="zh-CN" w:bidi="hi-IN"/>
        </w:rPr>
        <w:t>M</w:t>
      </w:r>
      <w:r w:rsidRPr="00A07BE9">
        <w:rPr>
          <w:rFonts w:ascii="Open Sans" w:eastAsia="NSimSun" w:hAnsi="Open Sans" w:cs="Open Sans"/>
          <w:kern w:val="2"/>
          <w:sz w:val="20"/>
          <w:szCs w:val="20"/>
          <w:lang w:eastAsia="zh-CN" w:bidi="hi-IN"/>
        </w:rPr>
        <w:t xml:space="preserve">inisterio </w:t>
      </w:r>
      <w:r w:rsidR="0072308F" w:rsidRPr="00A07BE9">
        <w:rPr>
          <w:rFonts w:ascii="Open Sans" w:eastAsia="NSimSun" w:hAnsi="Open Sans" w:cs="Open Sans"/>
          <w:kern w:val="2"/>
          <w:sz w:val="20"/>
          <w:szCs w:val="20"/>
          <w:lang w:eastAsia="zh-CN" w:bidi="hi-IN"/>
        </w:rPr>
        <w:t>F</w:t>
      </w:r>
      <w:r w:rsidRPr="00A07BE9">
        <w:rPr>
          <w:rFonts w:ascii="Open Sans" w:eastAsia="NSimSun" w:hAnsi="Open Sans" w:cs="Open Sans"/>
          <w:kern w:val="2"/>
          <w:sz w:val="20"/>
          <w:szCs w:val="20"/>
          <w:lang w:eastAsia="zh-CN" w:bidi="hi-IN"/>
        </w:rPr>
        <w:t xml:space="preserve">iscal y la policía judicial ni puede investigar los mismos hechos que han sido objeto de sus investigaciones. En caso de que la autoridad judicial o el </w:t>
      </w:r>
      <w:r w:rsidR="0072308F" w:rsidRPr="00A07BE9">
        <w:rPr>
          <w:rFonts w:ascii="Open Sans" w:eastAsia="NSimSun" w:hAnsi="Open Sans" w:cs="Open Sans"/>
          <w:kern w:val="2"/>
          <w:sz w:val="20"/>
          <w:szCs w:val="20"/>
          <w:lang w:eastAsia="zh-CN" w:bidi="hi-IN"/>
        </w:rPr>
        <w:t xml:space="preserve">Ministerio Fiscal </w:t>
      </w:r>
      <w:r w:rsidRPr="00A07BE9">
        <w:rPr>
          <w:rFonts w:ascii="Open Sans" w:eastAsia="NSimSun" w:hAnsi="Open Sans" w:cs="Open Sans"/>
          <w:kern w:val="2"/>
          <w:sz w:val="20"/>
          <w:szCs w:val="20"/>
          <w:lang w:eastAsia="zh-CN" w:bidi="hi-IN"/>
        </w:rPr>
        <w:t xml:space="preserve">inicien un procedimiento para determinar el relieve penal de unos hechos que constituyen al mismo tiempo el objeto de actuaciones de investigación de la </w:t>
      </w:r>
      <w:r w:rsidR="0003243A" w:rsidRPr="00A07BE9">
        <w:rPr>
          <w:rFonts w:ascii="Open Sans" w:eastAsia="NSimSun" w:hAnsi="Open Sans" w:cs="Open Sans"/>
          <w:kern w:val="2"/>
          <w:sz w:val="20"/>
          <w:szCs w:val="20"/>
          <w:lang w:eastAsia="zh-CN" w:bidi="hi-IN"/>
        </w:rPr>
        <w:t>A</w:t>
      </w:r>
      <w:r w:rsidRPr="00A07BE9">
        <w:rPr>
          <w:rFonts w:ascii="Open Sans" w:eastAsia="NSimSun" w:hAnsi="Open Sans" w:cs="Open Sans"/>
          <w:kern w:val="2"/>
          <w:sz w:val="20"/>
          <w:szCs w:val="20"/>
          <w:lang w:eastAsia="zh-CN" w:bidi="hi-IN"/>
        </w:rPr>
        <w:t xml:space="preserve">gencia, esta deberá </w:t>
      </w:r>
      <w:r w:rsidRPr="00A07BE9">
        <w:rPr>
          <w:rFonts w:ascii="Open Sans" w:eastAsia="NSimSun" w:hAnsi="Open Sans" w:cs="Open Sans"/>
          <w:b/>
          <w:bCs/>
          <w:kern w:val="2"/>
          <w:sz w:val="20"/>
          <w:szCs w:val="20"/>
          <w:lang w:eastAsia="zh-CN" w:bidi="hi-IN"/>
        </w:rPr>
        <w:t>interrumpir</w:t>
      </w:r>
      <w:r w:rsidRPr="00A07BE9">
        <w:rPr>
          <w:rFonts w:ascii="Open Sans" w:eastAsia="NSimSun" w:hAnsi="Open Sans" w:cs="Open Sans"/>
          <w:kern w:val="2"/>
          <w:sz w:val="20"/>
          <w:szCs w:val="20"/>
          <w:lang w:eastAsia="zh-CN" w:bidi="hi-IN"/>
        </w:rPr>
        <w:t xml:space="preserve"> sus actuaciones y aportar inmediatamente toda la información de la que dispone, además de proporcionar el apoyo necesario, siendo un órgano de </w:t>
      </w:r>
      <w:r w:rsidRPr="00A07BE9">
        <w:rPr>
          <w:rFonts w:ascii="Open Sans" w:eastAsia="NSimSun" w:hAnsi="Open Sans" w:cs="Open Sans"/>
          <w:b/>
          <w:bCs/>
          <w:kern w:val="2"/>
          <w:sz w:val="20"/>
          <w:szCs w:val="20"/>
          <w:lang w:eastAsia="zh-CN" w:bidi="hi-IN"/>
        </w:rPr>
        <w:t>apoyo y colaboración</w:t>
      </w:r>
      <w:r w:rsidRPr="00A07BE9">
        <w:rPr>
          <w:rFonts w:ascii="Open Sans" w:eastAsia="NSimSun" w:hAnsi="Open Sans" w:cs="Open Sans"/>
          <w:kern w:val="2"/>
          <w:sz w:val="20"/>
          <w:szCs w:val="20"/>
          <w:lang w:eastAsia="zh-CN" w:bidi="hi-IN"/>
        </w:rPr>
        <w:t xml:space="preserve"> con la autoridad judicial y el </w:t>
      </w:r>
      <w:r w:rsidR="0072308F" w:rsidRPr="00A07BE9">
        <w:rPr>
          <w:rFonts w:ascii="Open Sans" w:eastAsia="NSimSun" w:hAnsi="Open Sans" w:cs="Open Sans"/>
          <w:kern w:val="2"/>
          <w:sz w:val="20"/>
          <w:szCs w:val="20"/>
          <w:lang w:eastAsia="zh-CN" w:bidi="hi-IN"/>
        </w:rPr>
        <w:t xml:space="preserve">Ministerio Fiscal </w:t>
      </w:r>
      <w:r w:rsidRPr="00A07BE9">
        <w:rPr>
          <w:rFonts w:ascii="Open Sans" w:eastAsia="NSimSun" w:hAnsi="Open Sans" w:cs="Open Sans"/>
          <w:kern w:val="2"/>
          <w:sz w:val="20"/>
          <w:szCs w:val="20"/>
          <w:lang w:eastAsia="zh-CN" w:bidi="hi-IN"/>
        </w:rPr>
        <w:t xml:space="preserve">cuando sea requerida. La </w:t>
      </w:r>
      <w:r w:rsidR="0003243A" w:rsidRPr="00A07BE9">
        <w:rPr>
          <w:rFonts w:ascii="Open Sans" w:eastAsia="NSimSun" w:hAnsi="Open Sans" w:cs="Open Sans"/>
          <w:kern w:val="2"/>
          <w:sz w:val="20"/>
          <w:szCs w:val="20"/>
          <w:lang w:eastAsia="zh-CN" w:bidi="hi-IN"/>
        </w:rPr>
        <w:t>A</w:t>
      </w:r>
      <w:r w:rsidRPr="00A07BE9">
        <w:rPr>
          <w:rFonts w:ascii="Open Sans" w:eastAsia="NSimSun" w:hAnsi="Open Sans" w:cs="Open Sans"/>
          <w:kern w:val="2"/>
          <w:sz w:val="20"/>
          <w:szCs w:val="20"/>
          <w:lang w:eastAsia="zh-CN" w:bidi="hi-IN"/>
        </w:rPr>
        <w:t>gencia solicitará a la fiscalía información periódica respecto del trámite en que se encuentran las actuaciones iniciadas a instancia suya.</w:t>
      </w:r>
    </w:p>
    <w:p w14:paraId="7D76C4A4" w14:textId="380202DD" w:rsidR="009568B0" w:rsidRPr="00A07BE9" w:rsidRDefault="009568B0" w:rsidP="009568B0">
      <w:pPr>
        <w:spacing w:after="0" w:line="276" w:lineRule="auto"/>
        <w:jc w:val="both"/>
        <w:rPr>
          <w:rFonts w:ascii="Open Sans" w:eastAsia="NSimSun" w:hAnsi="Open Sans" w:cs="Open Sans"/>
          <w:kern w:val="2"/>
          <w:sz w:val="20"/>
          <w:szCs w:val="20"/>
          <w:lang w:eastAsia="zh-CN" w:bidi="hi-IN"/>
        </w:rPr>
      </w:pPr>
      <w:r w:rsidRPr="00A07BE9">
        <w:rPr>
          <w:rFonts w:ascii="Open Sans" w:eastAsia="NSimSun" w:hAnsi="Open Sans" w:cs="Open Sans"/>
          <w:kern w:val="2"/>
          <w:sz w:val="20"/>
          <w:szCs w:val="20"/>
          <w:lang w:eastAsia="zh-CN" w:bidi="hi-IN"/>
        </w:rPr>
        <w:lastRenderedPageBreak/>
        <w:t xml:space="preserve">En cumplimiento de lo prevenido en el </w:t>
      </w:r>
      <w:r w:rsidR="003408CE" w:rsidRPr="00A07BE9">
        <w:rPr>
          <w:rFonts w:ascii="Open Sans" w:eastAsia="NSimSun" w:hAnsi="Open Sans" w:cs="Open Sans"/>
          <w:kern w:val="2"/>
          <w:sz w:val="20"/>
          <w:szCs w:val="20"/>
          <w:lang w:eastAsia="zh-CN" w:bidi="hi-IN"/>
        </w:rPr>
        <w:t>artículo</w:t>
      </w:r>
      <w:r w:rsidRPr="00A07BE9">
        <w:rPr>
          <w:rFonts w:ascii="Open Sans" w:eastAsia="NSimSun" w:hAnsi="Open Sans" w:cs="Open Sans"/>
          <w:kern w:val="2"/>
          <w:sz w:val="20"/>
          <w:szCs w:val="20"/>
          <w:lang w:eastAsia="zh-CN" w:bidi="hi-IN"/>
        </w:rPr>
        <w:t xml:space="preserve"> 5.2 de la </w:t>
      </w:r>
      <w:hyperlink r:id="rId103" w:history="1">
        <w:r w:rsidRPr="00A07BE9">
          <w:rPr>
            <w:rStyle w:val="Hipervnculo"/>
            <w:rFonts w:ascii="Open Sans" w:eastAsia="NSimSun" w:hAnsi="Open Sans" w:cs="Open Sans"/>
            <w:kern w:val="2"/>
            <w:sz w:val="20"/>
            <w:szCs w:val="20"/>
            <w:lang w:eastAsia="zh-CN" w:bidi="hi-IN"/>
          </w:rPr>
          <w:t>Ley 11/2016</w:t>
        </w:r>
        <w:r w:rsidR="005941CB" w:rsidRPr="00A07BE9">
          <w:rPr>
            <w:rStyle w:val="Hipervnculo"/>
            <w:rFonts w:ascii="Open Sans" w:eastAsia="NSimSun" w:hAnsi="Open Sans" w:cs="Open Sans"/>
            <w:kern w:val="2"/>
            <w:sz w:val="20"/>
            <w:szCs w:val="20"/>
            <w:lang w:eastAsia="zh-CN" w:bidi="hi-IN"/>
          </w:rPr>
          <w:t>,</w:t>
        </w:r>
        <w:r w:rsidR="00CB3D31" w:rsidRPr="00A07BE9">
          <w:rPr>
            <w:rStyle w:val="Hipervnculo"/>
            <w:rFonts w:ascii="Open Sans" w:eastAsia="NSimSun" w:hAnsi="Open Sans" w:cs="Open Sans"/>
            <w:kern w:val="2"/>
            <w:sz w:val="20"/>
            <w:szCs w:val="20"/>
            <w:lang w:eastAsia="zh-CN" w:bidi="hi-IN"/>
          </w:rPr>
          <w:t xml:space="preserve"> </w:t>
        </w:r>
      </w:hyperlink>
      <w:r w:rsidRPr="00A07BE9">
        <w:rPr>
          <w:rFonts w:ascii="Open Sans" w:eastAsia="NSimSun" w:hAnsi="Open Sans" w:cs="Open Sans"/>
          <w:kern w:val="2"/>
          <w:sz w:val="20"/>
          <w:szCs w:val="20"/>
          <w:lang w:eastAsia="zh-CN" w:bidi="hi-IN"/>
        </w:rPr>
        <w:t>la Agencia ha aceptado y ejecutado durante la anualidad 2019 un total de 5 colaboraciones con órganos judiciales, al objeto de emitir informes periciales, estando en la actualidad finalizados dos de ellos, y previéndose la conclusión de las restantes durante el primer semestre de 2020.</w:t>
      </w:r>
    </w:p>
    <w:p w14:paraId="74FF3EC9" w14:textId="59A6278B" w:rsidR="009568B0" w:rsidRDefault="009568B0" w:rsidP="009568B0">
      <w:pPr>
        <w:spacing w:after="0" w:line="276" w:lineRule="auto"/>
        <w:rPr>
          <w:rFonts w:ascii="Open Sans" w:eastAsia="NSimSun" w:hAnsi="Open Sans" w:cs="Open Sans"/>
          <w:b/>
          <w:bCs/>
          <w:kern w:val="2"/>
          <w:sz w:val="21"/>
          <w:szCs w:val="21"/>
          <w:lang w:eastAsia="zh-CN" w:bidi="hi-IN"/>
        </w:rPr>
      </w:pPr>
    </w:p>
    <w:p w14:paraId="5647E579" w14:textId="77777777" w:rsidR="00D9626F" w:rsidRPr="00A07BE9" w:rsidRDefault="00D9626F" w:rsidP="009568B0">
      <w:pPr>
        <w:spacing w:after="0" w:line="276" w:lineRule="auto"/>
        <w:rPr>
          <w:rFonts w:ascii="Open Sans" w:eastAsia="NSimSun" w:hAnsi="Open Sans" w:cs="Open Sans"/>
          <w:b/>
          <w:bCs/>
          <w:kern w:val="2"/>
          <w:sz w:val="21"/>
          <w:szCs w:val="21"/>
          <w:lang w:eastAsia="zh-CN" w:bidi="hi-IN"/>
        </w:rPr>
      </w:pPr>
    </w:p>
    <w:p w14:paraId="7F1893C3" w14:textId="1F8644EE" w:rsidR="009568B0" w:rsidRPr="00A07BE9" w:rsidRDefault="009568B0" w:rsidP="009568B0">
      <w:pPr>
        <w:spacing w:after="0" w:line="276" w:lineRule="auto"/>
        <w:jc w:val="both"/>
        <w:rPr>
          <w:rFonts w:ascii="Open Sans" w:eastAsia="NSimSun" w:hAnsi="Open Sans" w:cs="Arial"/>
          <w:b/>
          <w:bCs/>
          <w:color w:val="9D2235"/>
          <w:kern w:val="2"/>
          <w:sz w:val="32"/>
          <w:szCs w:val="32"/>
          <w:lang w:eastAsia="zh-CN" w:bidi="hi-IN"/>
        </w:rPr>
      </w:pPr>
      <w:r w:rsidRPr="00A07BE9">
        <w:rPr>
          <w:rFonts w:ascii="Open Sans" w:eastAsia="NSimSun" w:hAnsi="Open Sans" w:cs="Arial"/>
          <w:b/>
          <w:bCs/>
          <w:color w:val="9D2235"/>
          <w:kern w:val="2"/>
          <w:sz w:val="32"/>
          <w:szCs w:val="32"/>
          <w:lang w:eastAsia="zh-CN" w:bidi="hi-IN"/>
        </w:rPr>
        <w:t>3.8. SISTEMAS DE INFORMACIÓN</w:t>
      </w:r>
    </w:p>
    <w:p w14:paraId="6CE98BA9" w14:textId="77777777" w:rsidR="009568B0" w:rsidRPr="00A07BE9" w:rsidRDefault="009568B0" w:rsidP="009568B0">
      <w:pPr>
        <w:spacing w:after="0" w:line="276" w:lineRule="auto"/>
        <w:rPr>
          <w:rFonts w:ascii="Open Sans" w:eastAsia="NSimSun" w:hAnsi="Open Sans" w:cs="Open Sans"/>
          <w:kern w:val="2"/>
          <w:sz w:val="20"/>
          <w:szCs w:val="20"/>
          <w:lang w:eastAsia="zh-CN" w:bidi="hi-IN"/>
        </w:rPr>
      </w:pPr>
    </w:p>
    <w:p w14:paraId="569FBAEB" w14:textId="452DF381" w:rsidR="009568B0" w:rsidRPr="00A07BE9" w:rsidRDefault="009568B0" w:rsidP="009568B0">
      <w:pPr>
        <w:spacing w:after="0" w:line="276" w:lineRule="auto"/>
        <w:jc w:val="both"/>
        <w:rPr>
          <w:rFonts w:ascii="Open Sans" w:eastAsia="NSimSun" w:hAnsi="Open Sans" w:cs="Open Sans"/>
          <w:color w:val="000000"/>
          <w:kern w:val="2"/>
          <w:sz w:val="20"/>
          <w:szCs w:val="20"/>
          <w:lang w:eastAsia="zh-CN" w:bidi="hi-IN"/>
        </w:rPr>
      </w:pPr>
      <w:r w:rsidRPr="00A07BE9">
        <w:rPr>
          <w:rFonts w:ascii="Open Sans" w:eastAsia="NSimSun" w:hAnsi="Open Sans" w:cs="Open Sans"/>
          <w:color w:val="000000"/>
          <w:kern w:val="2"/>
          <w:sz w:val="20"/>
          <w:szCs w:val="20"/>
          <w:lang w:eastAsia="zh-CN" w:bidi="hi-IN"/>
        </w:rPr>
        <w:t>El proyecto más relevante ha sido el de implantación de una Plataforma de Administración Electrónica, habiéndose finalizado los primeros hitos durante este año con la puesta en marcha de la sede electrónica, el registro electrónico, el portafirmas, el gestor de expedientes, el motor de tramitación y gestor documental, así como el gestor de órganos colegiados.</w:t>
      </w:r>
    </w:p>
    <w:p w14:paraId="48D2B232" w14:textId="77777777" w:rsidR="009568B0" w:rsidRPr="00A07BE9" w:rsidRDefault="009568B0" w:rsidP="009568B0">
      <w:pPr>
        <w:spacing w:after="0" w:line="276" w:lineRule="auto"/>
        <w:jc w:val="both"/>
        <w:rPr>
          <w:rFonts w:ascii="Open Sans" w:eastAsia="NSimSun" w:hAnsi="Open Sans" w:cs="Open Sans"/>
          <w:color w:val="000000"/>
          <w:kern w:val="2"/>
          <w:sz w:val="20"/>
          <w:szCs w:val="20"/>
          <w:lang w:eastAsia="zh-CN" w:bidi="hi-IN"/>
        </w:rPr>
      </w:pPr>
    </w:p>
    <w:p w14:paraId="560B066C" w14:textId="77777777" w:rsidR="009568B0" w:rsidRPr="00A07BE9" w:rsidRDefault="009568B0" w:rsidP="009568B0">
      <w:pPr>
        <w:spacing w:after="0" w:line="276" w:lineRule="auto"/>
        <w:jc w:val="both"/>
        <w:rPr>
          <w:rFonts w:ascii="Open Sans" w:eastAsia="NSimSun" w:hAnsi="Open Sans" w:cs="Open Sans"/>
          <w:color w:val="000000"/>
          <w:kern w:val="2"/>
          <w:sz w:val="20"/>
          <w:szCs w:val="20"/>
          <w:lang w:eastAsia="zh-CN" w:bidi="hi-IN"/>
        </w:rPr>
      </w:pPr>
      <w:r w:rsidRPr="00A07BE9">
        <w:rPr>
          <w:rFonts w:ascii="Open Sans" w:eastAsia="NSimSun" w:hAnsi="Open Sans" w:cs="Open Sans"/>
          <w:color w:val="000000"/>
          <w:kern w:val="2"/>
          <w:sz w:val="20"/>
          <w:szCs w:val="20"/>
          <w:lang w:eastAsia="zh-CN" w:bidi="hi-IN"/>
        </w:rPr>
        <w:t>En cuanto a la infraestructura tecnológica, se ha mejorado la dotación para poder prestar nuevos servicios: la ampliación del sistema de almacenamiento, la implantación de un sistema de virtualización de servidores, la puesta en marcha de un servicio de alojamiento de archivos, la implantación de un sistema para la monitoración de equipos, la ampliación de la electrónica de red, la configuración de la segmentación de la redes y la red privada virtual, la instalación de la red inalámbrica, la puesta en marcha de la telefonía fija y la conectividad con la red SARA.</w:t>
      </w:r>
    </w:p>
    <w:p w14:paraId="00024A69" w14:textId="77777777" w:rsidR="009568B0" w:rsidRPr="00A07BE9" w:rsidRDefault="009568B0" w:rsidP="009568B0">
      <w:pPr>
        <w:spacing w:after="0" w:line="276" w:lineRule="auto"/>
        <w:jc w:val="both"/>
        <w:rPr>
          <w:rFonts w:ascii="Open Sans" w:eastAsia="NSimSun" w:hAnsi="Open Sans" w:cs="Open Sans"/>
          <w:color w:val="000000"/>
          <w:kern w:val="2"/>
          <w:sz w:val="20"/>
          <w:szCs w:val="20"/>
          <w:lang w:eastAsia="zh-CN" w:bidi="hi-IN"/>
        </w:rPr>
      </w:pPr>
    </w:p>
    <w:p w14:paraId="72ED4435" w14:textId="6CA664A0" w:rsidR="009568B0" w:rsidRPr="00A07BE9" w:rsidRDefault="009568B0" w:rsidP="009568B0">
      <w:pPr>
        <w:spacing w:after="0" w:line="276" w:lineRule="auto"/>
        <w:jc w:val="both"/>
        <w:rPr>
          <w:rFonts w:ascii="Open Sans" w:eastAsia="NSimSun" w:hAnsi="Open Sans" w:cs="Open Sans"/>
          <w:color w:val="000000"/>
          <w:kern w:val="2"/>
          <w:sz w:val="20"/>
          <w:szCs w:val="20"/>
          <w:lang w:eastAsia="zh-CN" w:bidi="hi-IN"/>
        </w:rPr>
      </w:pPr>
      <w:r w:rsidRPr="00A07BE9">
        <w:rPr>
          <w:rFonts w:ascii="Open Sans" w:eastAsia="NSimSun" w:hAnsi="Open Sans" w:cs="Open Sans"/>
          <w:color w:val="000000"/>
          <w:kern w:val="2"/>
          <w:sz w:val="20"/>
          <w:szCs w:val="20"/>
          <w:lang w:eastAsia="zh-CN" w:bidi="hi-IN"/>
        </w:rPr>
        <w:t>Referente a la mejora de la seguridad de los sistemas</w:t>
      </w:r>
      <w:r w:rsidR="00D37276" w:rsidRPr="00A07BE9">
        <w:rPr>
          <w:rFonts w:ascii="Open Sans" w:eastAsia="NSimSun" w:hAnsi="Open Sans" w:cs="Open Sans"/>
          <w:color w:val="000000"/>
          <w:kern w:val="2"/>
          <w:sz w:val="20"/>
          <w:szCs w:val="20"/>
          <w:lang w:eastAsia="zh-CN" w:bidi="hi-IN"/>
        </w:rPr>
        <w:t>,</w:t>
      </w:r>
      <w:r w:rsidRPr="00A07BE9">
        <w:rPr>
          <w:rFonts w:ascii="Open Sans" w:eastAsia="NSimSun" w:hAnsi="Open Sans" w:cs="Open Sans"/>
          <w:color w:val="000000"/>
          <w:kern w:val="2"/>
          <w:sz w:val="20"/>
          <w:szCs w:val="20"/>
          <w:lang w:eastAsia="zh-CN" w:bidi="hi-IN"/>
        </w:rPr>
        <w:t xml:space="preserve"> se ha finalizado el análisis de riesgos de la Plataforma de Administración electrónica obteniendo la declaración de aplicabilidad del Esquema Nacional de Seguridad, se ha definido la normativa general de utilización de los recursos y sistemas de información y se ha cumplimentado el Informe Nacional del Estado de Seguridad.</w:t>
      </w:r>
    </w:p>
    <w:p w14:paraId="135E8996" w14:textId="77777777" w:rsidR="009568B0" w:rsidRPr="00A07BE9" w:rsidRDefault="009568B0" w:rsidP="009568B0">
      <w:pPr>
        <w:spacing w:after="0" w:line="276" w:lineRule="auto"/>
        <w:jc w:val="both"/>
        <w:rPr>
          <w:rFonts w:ascii="Open Sans" w:eastAsia="NSimSun" w:hAnsi="Open Sans" w:cs="Open Sans"/>
          <w:color w:val="000000"/>
          <w:kern w:val="2"/>
          <w:sz w:val="20"/>
          <w:szCs w:val="20"/>
          <w:lang w:eastAsia="zh-CN" w:bidi="hi-IN"/>
        </w:rPr>
      </w:pPr>
    </w:p>
    <w:p w14:paraId="2CD10926" w14:textId="77777777" w:rsidR="009568B0" w:rsidRPr="00A07BE9" w:rsidRDefault="009568B0" w:rsidP="009568B0">
      <w:pPr>
        <w:spacing w:after="0" w:line="276" w:lineRule="auto"/>
        <w:jc w:val="both"/>
        <w:rPr>
          <w:rFonts w:ascii="Open Sans" w:eastAsia="NSimSun" w:hAnsi="Open Sans" w:cs="Open Sans"/>
          <w:color w:val="000000"/>
          <w:kern w:val="2"/>
          <w:sz w:val="20"/>
          <w:szCs w:val="20"/>
          <w:lang w:eastAsia="zh-CN" w:bidi="hi-IN"/>
        </w:rPr>
      </w:pPr>
      <w:r w:rsidRPr="00A07BE9">
        <w:rPr>
          <w:rFonts w:ascii="Open Sans" w:eastAsia="NSimSun" w:hAnsi="Open Sans" w:cs="Open Sans"/>
          <w:color w:val="000000"/>
          <w:kern w:val="2"/>
          <w:sz w:val="20"/>
          <w:szCs w:val="20"/>
          <w:lang w:eastAsia="zh-CN" w:bidi="hi-IN"/>
        </w:rPr>
        <w:t>Respecto a los equipos informáticos correspondientes a los puestos de trabajo, cuyo número ha aumentado considerablemente debido a la ampliación de la plantilla, se han incorporado nuevos componentes con el fin de mejorar sus prestaciones: una suite ofimática profesional, una terminal de telefonía IP y un gestor de contraseñas.</w:t>
      </w:r>
    </w:p>
    <w:p w14:paraId="6A58BF7C" w14:textId="77777777" w:rsidR="009568B0" w:rsidRPr="00A07BE9" w:rsidRDefault="009568B0" w:rsidP="009568B0">
      <w:pPr>
        <w:spacing w:after="0" w:line="276" w:lineRule="auto"/>
        <w:jc w:val="both"/>
        <w:rPr>
          <w:rFonts w:ascii="Open Sans" w:eastAsia="NSimSun" w:hAnsi="Open Sans" w:cs="Open Sans"/>
          <w:color w:val="000000"/>
          <w:kern w:val="2"/>
          <w:sz w:val="20"/>
          <w:szCs w:val="20"/>
          <w:lang w:eastAsia="zh-CN" w:bidi="hi-IN"/>
        </w:rPr>
      </w:pPr>
    </w:p>
    <w:p w14:paraId="69B6D93A" w14:textId="77777777" w:rsidR="009568B0" w:rsidRPr="00A07BE9" w:rsidRDefault="009568B0" w:rsidP="009568B0">
      <w:pPr>
        <w:spacing w:after="0" w:line="276" w:lineRule="auto"/>
        <w:jc w:val="both"/>
        <w:rPr>
          <w:rFonts w:ascii="Open Sans" w:eastAsia="NSimSun" w:hAnsi="Open Sans" w:cs="Open Sans"/>
          <w:color w:val="000000"/>
          <w:kern w:val="2"/>
          <w:sz w:val="20"/>
          <w:szCs w:val="20"/>
          <w:lang w:eastAsia="zh-CN" w:bidi="hi-IN"/>
        </w:rPr>
      </w:pPr>
      <w:r w:rsidRPr="00A07BE9">
        <w:rPr>
          <w:rFonts w:ascii="Open Sans" w:eastAsia="NSimSun" w:hAnsi="Open Sans" w:cs="Open Sans"/>
          <w:color w:val="000000"/>
          <w:kern w:val="2"/>
          <w:sz w:val="20"/>
          <w:szCs w:val="20"/>
          <w:lang w:eastAsia="zh-CN" w:bidi="hi-IN"/>
        </w:rPr>
        <w:t>Finalmente, se ha designado a un empleado de este servicio como Delegado de Protección de Datos de la Agencia.</w:t>
      </w:r>
    </w:p>
    <w:p w14:paraId="26B87677" w14:textId="77777777" w:rsidR="009568B0" w:rsidRPr="00A07BE9" w:rsidRDefault="009568B0" w:rsidP="009568B0">
      <w:pPr>
        <w:spacing w:after="0" w:line="276" w:lineRule="auto"/>
        <w:jc w:val="both"/>
        <w:rPr>
          <w:rFonts w:ascii="Open Sans" w:eastAsia="NSimSun" w:hAnsi="Open Sans" w:cs="Arial"/>
          <w:kern w:val="2"/>
          <w:sz w:val="20"/>
          <w:szCs w:val="20"/>
          <w:lang w:eastAsia="zh-CN" w:bidi="hi-IN"/>
        </w:rPr>
      </w:pPr>
    </w:p>
    <w:bookmarkEnd w:id="13"/>
    <w:p w14:paraId="200860E8" w14:textId="77777777" w:rsidR="009568B0" w:rsidRPr="00A07BE9" w:rsidRDefault="009568B0" w:rsidP="009568B0">
      <w:pPr>
        <w:spacing w:after="0" w:line="240" w:lineRule="auto"/>
        <w:jc w:val="both"/>
        <w:rPr>
          <w:rFonts w:ascii="Open Sans" w:eastAsia="NSimSun" w:hAnsi="Open Sans" w:cs="Arial"/>
          <w:kern w:val="2"/>
          <w:sz w:val="20"/>
          <w:szCs w:val="20"/>
          <w:lang w:eastAsia="zh-CN" w:bidi="hi-IN"/>
        </w:rPr>
      </w:pPr>
    </w:p>
    <w:p w14:paraId="474A89AF" w14:textId="77777777" w:rsidR="00D075FF" w:rsidRPr="00A07BE9" w:rsidRDefault="00D075FF" w:rsidP="00671CE2">
      <w:pPr>
        <w:keepNext/>
        <w:spacing w:after="0" w:line="240" w:lineRule="auto"/>
        <w:jc w:val="both"/>
        <w:rPr>
          <w:rFonts w:ascii="Open Sans" w:eastAsia="Times New Roman" w:hAnsi="Open Sans" w:cs="Open Sans"/>
          <w:b/>
          <w:bCs/>
          <w:smallCaps/>
          <w:color w:val="9D2235"/>
          <w:spacing w:val="-14"/>
          <w:kern w:val="2"/>
          <w:sz w:val="20"/>
          <w:szCs w:val="20"/>
          <w:lang w:eastAsia="es-ES"/>
        </w:rPr>
      </w:pPr>
    </w:p>
    <w:p w14:paraId="7DD96005" w14:textId="77777777" w:rsidR="00D075FF" w:rsidRPr="00A07BE9" w:rsidRDefault="00D075FF" w:rsidP="00671CE2">
      <w:pPr>
        <w:keepNext/>
        <w:spacing w:after="0" w:line="240" w:lineRule="auto"/>
        <w:jc w:val="both"/>
        <w:rPr>
          <w:rFonts w:ascii="Open Sans" w:eastAsia="Times New Roman" w:hAnsi="Open Sans" w:cs="Open Sans"/>
          <w:b/>
          <w:bCs/>
          <w:smallCaps/>
          <w:color w:val="9D2235"/>
          <w:spacing w:val="-14"/>
          <w:kern w:val="2"/>
          <w:sz w:val="20"/>
          <w:szCs w:val="20"/>
          <w:lang w:eastAsia="es-ES"/>
        </w:rPr>
      </w:pPr>
    </w:p>
    <w:p w14:paraId="0B3C77AA" w14:textId="1190DF76" w:rsidR="00671CE2" w:rsidRPr="00A07BE9" w:rsidRDefault="00671CE2" w:rsidP="00671CE2">
      <w:pPr>
        <w:keepNext/>
        <w:spacing w:after="0" w:line="240" w:lineRule="auto"/>
        <w:jc w:val="both"/>
        <w:rPr>
          <w:rFonts w:ascii="Open Sans" w:eastAsia="Times New Roman" w:hAnsi="Open Sans" w:cs="Open Sans"/>
          <w:b/>
          <w:bCs/>
          <w:smallCaps/>
          <w:color w:val="9D2235"/>
          <w:spacing w:val="-14"/>
          <w:kern w:val="2"/>
          <w:sz w:val="200"/>
          <w:szCs w:val="200"/>
          <w:lang w:eastAsia="es-ES"/>
        </w:rPr>
      </w:pPr>
      <w:r w:rsidRPr="00A07BE9">
        <w:rPr>
          <w:rFonts w:ascii="Open Sans" w:eastAsia="Times New Roman" w:hAnsi="Open Sans" w:cs="Open Sans"/>
          <w:b/>
          <w:bCs/>
          <w:smallCaps/>
          <w:color w:val="9D2235"/>
          <w:spacing w:val="-14"/>
          <w:kern w:val="2"/>
          <w:sz w:val="200"/>
          <w:szCs w:val="200"/>
          <w:lang w:eastAsia="es-ES"/>
        </w:rPr>
        <w:t>04</w:t>
      </w:r>
    </w:p>
    <w:p w14:paraId="29C75B6C" w14:textId="1BC46570" w:rsidR="00671CE2" w:rsidRPr="00A07BE9" w:rsidRDefault="00671CE2" w:rsidP="00671CE2">
      <w:pPr>
        <w:keepNext/>
        <w:spacing w:after="0" w:line="240" w:lineRule="auto"/>
        <w:jc w:val="both"/>
        <w:rPr>
          <w:rFonts w:ascii="Open Sans" w:eastAsia="Times New Roman" w:hAnsi="Open Sans" w:cs="Nirmala UI Semilight"/>
          <w:b/>
          <w:bCs/>
          <w:color w:val="9D2235"/>
          <w:spacing w:val="-24"/>
          <w:kern w:val="2"/>
          <w:sz w:val="80"/>
          <w:szCs w:val="80"/>
          <w:lang w:eastAsia="es-ES"/>
        </w:rPr>
      </w:pPr>
      <w:r w:rsidRPr="00A07BE9">
        <w:rPr>
          <w:rFonts w:ascii="Open Sans" w:eastAsia="Times New Roman" w:hAnsi="Open Sans" w:cs="Nirmala UI Semilight"/>
          <w:b/>
          <w:bCs/>
          <w:color w:val="9D2235"/>
          <w:spacing w:val="-24"/>
          <w:kern w:val="2"/>
          <w:sz w:val="80"/>
          <w:szCs w:val="80"/>
          <w:lang w:eastAsia="es-ES"/>
        </w:rPr>
        <w:t xml:space="preserve">Asuntos </w:t>
      </w:r>
      <w:r w:rsidR="004F2FD1" w:rsidRPr="00A07BE9">
        <w:rPr>
          <w:rFonts w:ascii="Open Sans" w:eastAsia="Times New Roman" w:hAnsi="Open Sans" w:cs="Nirmala UI Semilight"/>
          <w:b/>
          <w:bCs/>
          <w:color w:val="9D2235"/>
          <w:spacing w:val="-24"/>
          <w:kern w:val="2"/>
          <w:sz w:val="80"/>
          <w:szCs w:val="80"/>
          <w:lang w:eastAsia="es-ES"/>
        </w:rPr>
        <w:t>j</w:t>
      </w:r>
      <w:r w:rsidRPr="00A07BE9">
        <w:rPr>
          <w:rFonts w:ascii="Open Sans" w:eastAsia="Times New Roman" w:hAnsi="Open Sans" w:cs="Nirmala UI Semilight"/>
          <w:b/>
          <w:bCs/>
          <w:color w:val="9D2235"/>
          <w:spacing w:val="-24"/>
          <w:kern w:val="2"/>
          <w:sz w:val="80"/>
          <w:szCs w:val="80"/>
          <w:lang w:eastAsia="es-ES"/>
        </w:rPr>
        <w:t xml:space="preserve">urídicos </w:t>
      </w:r>
    </w:p>
    <w:p w14:paraId="600B0D95" w14:textId="2F472A32" w:rsidR="00671CE2" w:rsidRPr="00A07BE9" w:rsidRDefault="00671CE2" w:rsidP="00671CE2">
      <w:pPr>
        <w:keepNext/>
        <w:spacing w:after="0" w:line="240" w:lineRule="auto"/>
        <w:jc w:val="both"/>
        <w:rPr>
          <w:rFonts w:ascii="Open Sans" w:eastAsia="Times New Roman" w:hAnsi="Open Sans" w:cs="Open Sans"/>
          <w:b/>
          <w:bCs/>
          <w:smallCaps/>
          <w:color w:val="9D2235"/>
          <w:sz w:val="32"/>
          <w:szCs w:val="32"/>
          <w:lang w:eastAsia="es-ES"/>
        </w:rPr>
      </w:pPr>
    </w:p>
    <w:p w14:paraId="582A7A4F" w14:textId="77777777" w:rsidR="002432B6" w:rsidRPr="00A07BE9" w:rsidRDefault="002432B6" w:rsidP="00671CE2">
      <w:pPr>
        <w:keepNext/>
        <w:spacing w:after="0" w:line="240" w:lineRule="auto"/>
        <w:jc w:val="both"/>
        <w:rPr>
          <w:rFonts w:ascii="Open Sans" w:eastAsia="Times New Roman" w:hAnsi="Open Sans" w:cs="Open Sans"/>
          <w:b/>
          <w:bCs/>
          <w:smallCaps/>
          <w:color w:val="9D2235"/>
          <w:sz w:val="32"/>
          <w:szCs w:val="32"/>
          <w:lang w:eastAsia="es-ES"/>
        </w:rPr>
      </w:pPr>
    </w:p>
    <w:p w14:paraId="2314F4AF" w14:textId="77777777" w:rsidR="00671CE2" w:rsidRPr="00A07BE9" w:rsidRDefault="00671CE2" w:rsidP="00671CE2">
      <w:pPr>
        <w:spacing w:after="0" w:line="240" w:lineRule="auto"/>
        <w:jc w:val="both"/>
        <w:rPr>
          <w:rFonts w:ascii="Open Sans" w:eastAsia="Times New Roman" w:hAnsi="Open Sans" w:cs="Open Sans"/>
          <w:b/>
          <w:bCs/>
          <w:smallCaps/>
          <w:color w:val="9D2235"/>
          <w:sz w:val="32"/>
          <w:szCs w:val="32"/>
          <w:lang w:eastAsia="es-ES"/>
        </w:rPr>
      </w:pPr>
      <w:r w:rsidRPr="00A07BE9">
        <w:rPr>
          <w:rFonts w:ascii="Open Sans" w:eastAsia="Times New Roman" w:hAnsi="Open Sans" w:cs="Open Sans"/>
          <w:b/>
          <w:bCs/>
          <w:smallCaps/>
          <w:color w:val="9D2235"/>
          <w:sz w:val="32"/>
          <w:szCs w:val="32"/>
          <w:lang w:eastAsia="es-ES"/>
        </w:rPr>
        <w:t>4.1. FUNCIONES</w:t>
      </w:r>
    </w:p>
    <w:p w14:paraId="75FB9219" w14:textId="77777777" w:rsidR="00671CE2" w:rsidRPr="00A07BE9" w:rsidRDefault="00671CE2" w:rsidP="00671CE2">
      <w:pPr>
        <w:spacing w:after="0" w:line="240" w:lineRule="auto"/>
        <w:jc w:val="both"/>
        <w:rPr>
          <w:rFonts w:ascii="Open Sans" w:eastAsia="Times New Roman" w:hAnsi="Open Sans" w:cs="Times New Roman"/>
          <w:smallCaps/>
          <w:sz w:val="20"/>
          <w:szCs w:val="20"/>
          <w:lang w:eastAsia="es-ES"/>
        </w:rPr>
      </w:pPr>
    </w:p>
    <w:p w14:paraId="4F20AF95" w14:textId="49F3A90E" w:rsidR="00671CE2" w:rsidRPr="00A07BE9" w:rsidRDefault="00671CE2" w:rsidP="00671CE2">
      <w:pPr>
        <w:spacing w:after="0" w:line="276" w:lineRule="auto"/>
        <w:jc w:val="both"/>
        <w:rPr>
          <w:rFonts w:ascii="Open Sans" w:hAnsi="Open Sans"/>
          <w:sz w:val="20"/>
          <w:szCs w:val="20"/>
        </w:rPr>
      </w:pPr>
      <w:r w:rsidRPr="00A07BE9">
        <w:rPr>
          <w:rFonts w:ascii="Open Sans" w:eastAsia="Times New Roman" w:hAnsi="Open Sans" w:cs="Open Sans"/>
          <w:sz w:val="20"/>
          <w:szCs w:val="20"/>
          <w:lang w:eastAsia="es-ES"/>
        </w:rPr>
        <w:t xml:space="preserve">Establece el artículo 21 del </w:t>
      </w:r>
      <w:hyperlink r:id="rId104" w:history="1">
        <w:r w:rsidRPr="00A07BE9">
          <w:rPr>
            <w:rStyle w:val="Hipervnculo"/>
            <w:rFonts w:ascii="Open Sans" w:eastAsia="Times New Roman" w:hAnsi="Open Sans" w:cs="Open Sans"/>
            <w:sz w:val="20"/>
            <w:szCs w:val="20"/>
            <w:lang w:eastAsia="es-ES"/>
          </w:rPr>
          <w:t>Reglamento de 27 de junio de 2019 de funcionamiento y régimen interior</w:t>
        </w:r>
      </w:hyperlink>
      <w:r w:rsidRPr="00A07BE9">
        <w:rPr>
          <w:rFonts w:ascii="Open Sans" w:eastAsia="Times New Roman" w:hAnsi="Open Sans" w:cs="Open Sans"/>
          <w:sz w:val="20"/>
          <w:szCs w:val="20"/>
          <w:lang w:eastAsia="es-ES"/>
        </w:rPr>
        <w:t xml:space="preserve"> de la Agencia que la unidad administrativa denominada </w:t>
      </w:r>
      <w:r w:rsidR="0001775B" w:rsidRPr="00A07BE9">
        <w:rPr>
          <w:rFonts w:ascii="Open Sans" w:eastAsia="Times New Roman" w:hAnsi="Open Sans" w:cs="Open Sans"/>
          <w:i/>
          <w:iCs/>
          <w:sz w:val="20"/>
          <w:szCs w:val="20"/>
          <w:lang w:eastAsia="es-ES"/>
        </w:rPr>
        <w:t>D</w:t>
      </w:r>
      <w:r w:rsidRPr="00A07BE9">
        <w:rPr>
          <w:rFonts w:ascii="Open Sans" w:eastAsia="Times New Roman" w:hAnsi="Open Sans" w:cs="Open Sans"/>
          <w:i/>
          <w:iCs/>
          <w:sz w:val="20"/>
          <w:szCs w:val="20"/>
          <w:lang w:eastAsia="es-ES"/>
        </w:rPr>
        <w:t xml:space="preserve">irección de Asuntos Jurídicos </w:t>
      </w:r>
      <w:r w:rsidRPr="00A07BE9">
        <w:rPr>
          <w:rFonts w:ascii="Open Sans" w:eastAsia="Times New Roman" w:hAnsi="Open Sans" w:cs="Open Sans"/>
          <w:sz w:val="20"/>
          <w:szCs w:val="20"/>
          <w:lang w:eastAsia="es-ES"/>
        </w:rPr>
        <w:t>tiene las siguientes funciones:</w:t>
      </w:r>
    </w:p>
    <w:p w14:paraId="33FCD38D" w14:textId="77777777" w:rsidR="00671CE2" w:rsidRPr="00A07BE9" w:rsidRDefault="00671CE2" w:rsidP="00671CE2">
      <w:pPr>
        <w:spacing w:after="0" w:line="276" w:lineRule="auto"/>
        <w:jc w:val="both"/>
        <w:rPr>
          <w:rFonts w:ascii="Open Sans" w:eastAsia="Times New Roman" w:hAnsi="Open Sans" w:cs="Open Sans"/>
          <w:sz w:val="20"/>
          <w:szCs w:val="20"/>
          <w:lang w:eastAsia="es-ES"/>
        </w:rPr>
      </w:pPr>
    </w:p>
    <w:p w14:paraId="054C9BB2" w14:textId="77777777" w:rsidR="00671CE2" w:rsidRPr="00A07BE9" w:rsidRDefault="00671CE2" w:rsidP="00671CE2">
      <w:pPr>
        <w:spacing w:after="0" w:line="276" w:lineRule="auto"/>
        <w:ind w:left="567"/>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a) Dirigir, coordinar y supervisar el funcionamiento y la organización de las unidades dependientes.</w:t>
      </w:r>
    </w:p>
    <w:p w14:paraId="66FDBC7A" w14:textId="71AE5DEC" w:rsidR="00671CE2" w:rsidRPr="00A07BE9" w:rsidRDefault="00671CE2" w:rsidP="00671CE2">
      <w:pPr>
        <w:spacing w:after="0" w:line="276" w:lineRule="auto"/>
        <w:ind w:left="567"/>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 xml:space="preserve">b) Efectuar las tareas correspondientes al asesoramiento jurídico de la Agencia, así como emitir los informes jurídicos preceptivos y aquellos otros que se soliciten por la </w:t>
      </w:r>
      <w:r w:rsidR="0001775B" w:rsidRPr="00A07BE9">
        <w:rPr>
          <w:rFonts w:ascii="Open Sans" w:eastAsia="Times New Roman" w:hAnsi="Open Sans" w:cs="Open Sans"/>
          <w:sz w:val="20"/>
          <w:szCs w:val="20"/>
          <w:lang w:eastAsia="es-ES"/>
        </w:rPr>
        <w:t>Dirección de la Agencia</w:t>
      </w:r>
      <w:r w:rsidRPr="00A07BE9">
        <w:rPr>
          <w:rFonts w:ascii="Open Sans" w:eastAsia="Times New Roman" w:hAnsi="Open Sans" w:cs="Open Sans"/>
          <w:sz w:val="20"/>
          <w:szCs w:val="20"/>
          <w:lang w:eastAsia="es-ES"/>
        </w:rPr>
        <w:t>.</w:t>
      </w:r>
    </w:p>
    <w:p w14:paraId="2F3472BB" w14:textId="77777777" w:rsidR="00671CE2" w:rsidRPr="00A07BE9" w:rsidRDefault="00671CE2" w:rsidP="00671CE2">
      <w:pPr>
        <w:spacing w:after="0" w:line="276" w:lineRule="auto"/>
        <w:ind w:left="567"/>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c) Prestar asesoría legal a la persona denunciante sobre los hechos relacionados con la denuncia, así como sobre los procedimientos que se interpongan en su contra con motivo de la misma.</w:t>
      </w:r>
    </w:p>
    <w:p w14:paraId="0A2244AE" w14:textId="77777777" w:rsidR="00671CE2" w:rsidRPr="00A07BE9" w:rsidRDefault="00671CE2" w:rsidP="00671CE2">
      <w:pPr>
        <w:spacing w:after="0" w:line="276" w:lineRule="auto"/>
        <w:ind w:left="567"/>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d) Velar por la protección de las personas denunciantes, informantes y alertadoras, proponer la adopción de medidas que garanticen su protección, y en particular preservar su indemnidad personal y profesional.</w:t>
      </w:r>
    </w:p>
    <w:p w14:paraId="5FB18B65" w14:textId="77777777" w:rsidR="00671CE2" w:rsidRPr="00A07BE9" w:rsidRDefault="00671CE2" w:rsidP="00671CE2">
      <w:pPr>
        <w:spacing w:after="0" w:line="276" w:lineRule="auto"/>
        <w:ind w:left="567"/>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e) Efectuar las propuestas de otorgamiento del estatuto de la persona denunciante y de resolución de cualquier incidencia que pueda surgir en relación con el mismo.</w:t>
      </w:r>
    </w:p>
    <w:p w14:paraId="393D86C5" w14:textId="77777777" w:rsidR="00671CE2" w:rsidRPr="00A07BE9" w:rsidRDefault="00671CE2" w:rsidP="00671CE2">
      <w:pPr>
        <w:spacing w:after="0" w:line="276" w:lineRule="auto"/>
        <w:ind w:left="567"/>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f) Elaborar y proponer las modificaciones legislativas y reglamentarias que afecten o se refieran a la Agencia.</w:t>
      </w:r>
    </w:p>
    <w:p w14:paraId="08680EAF" w14:textId="77777777" w:rsidR="00671CE2" w:rsidRPr="00A07BE9" w:rsidRDefault="00671CE2" w:rsidP="00671CE2">
      <w:pPr>
        <w:spacing w:after="0" w:line="276" w:lineRule="auto"/>
        <w:ind w:left="567"/>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g) Cumplir con la función certificadora de las actuaciones generadas por la Agencia y de secretaria general.</w:t>
      </w:r>
    </w:p>
    <w:p w14:paraId="1B07FE42" w14:textId="77777777" w:rsidR="00671CE2" w:rsidRPr="00A07BE9" w:rsidRDefault="00671CE2" w:rsidP="00671CE2">
      <w:pPr>
        <w:spacing w:after="0" w:line="276" w:lineRule="auto"/>
        <w:ind w:left="567"/>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h) Tramitar los convenios a suscribir por la Agencia, sin perjuicio de la elaboración de propuestas, impulso y seguimiento por la unidad administrativa que corresponda.</w:t>
      </w:r>
    </w:p>
    <w:p w14:paraId="1CB1E3AD" w14:textId="77777777" w:rsidR="00671CE2" w:rsidRPr="00A07BE9" w:rsidRDefault="00671CE2" w:rsidP="00671CE2">
      <w:pPr>
        <w:spacing w:after="0" w:line="276" w:lineRule="auto"/>
        <w:ind w:left="567"/>
        <w:jc w:val="both"/>
        <w:rPr>
          <w:rFonts w:ascii="Open Sans" w:hAnsi="Open Sans"/>
          <w:sz w:val="20"/>
          <w:szCs w:val="20"/>
        </w:rPr>
      </w:pPr>
      <w:r w:rsidRPr="00A07BE9">
        <w:rPr>
          <w:rFonts w:ascii="Open Sans" w:eastAsia="Times New Roman" w:hAnsi="Open Sans" w:cs="Open Sans"/>
          <w:color w:val="000000"/>
          <w:sz w:val="20"/>
          <w:szCs w:val="20"/>
          <w:lang w:eastAsia="es-ES"/>
        </w:rPr>
        <w:t>i) Instruir y tramitar</w:t>
      </w:r>
      <w:r w:rsidRPr="00A07BE9">
        <w:rPr>
          <w:rFonts w:ascii="Open Sans" w:eastAsia="Times New Roman" w:hAnsi="Open Sans" w:cs="Open Sans"/>
          <w:sz w:val="20"/>
          <w:szCs w:val="20"/>
          <w:lang w:eastAsia="es-ES"/>
        </w:rPr>
        <w:t xml:space="preserve"> los expedientes relativos a la imposición de las sanciones previstas en la Ley 11/2016, de 28 de noviembre, de la Generalitat.</w:t>
      </w:r>
    </w:p>
    <w:p w14:paraId="6F781213" w14:textId="77777777" w:rsidR="00671CE2" w:rsidRPr="00A07BE9" w:rsidRDefault="00671CE2" w:rsidP="00671CE2">
      <w:pPr>
        <w:spacing w:after="0" w:line="276" w:lineRule="auto"/>
        <w:ind w:left="567"/>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lastRenderedPageBreak/>
        <w:t>j) Ejercer la representación y defensa en juicio de la Agencia.</w:t>
      </w:r>
    </w:p>
    <w:p w14:paraId="6C5A65E0" w14:textId="77777777" w:rsidR="00671CE2" w:rsidRPr="00A07BE9" w:rsidRDefault="00671CE2" w:rsidP="00671CE2">
      <w:pPr>
        <w:spacing w:after="0" w:line="276" w:lineRule="auto"/>
        <w:ind w:left="567"/>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k) Tramitar y proponer la resolución de las peticiones de acceso a la información pública que se formulen.</w:t>
      </w:r>
    </w:p>
    <w:p w14:paraId="63032FB2" w14:textId="77777777" w:rsidR="00671CE2" w:rsidRPr="00A07BE9" w:rsidRDefault="00671CE2" w:rsidP="00671CE2">
      <w:pPr>
        <w:spacing w:after="0" w:line="276" w:lineRule="auto"/>
        <w:ind w:left="567"/>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l) Tramitar los procedimientos de responsabilidad patrimonial.</w:t>
      </w:r>
    </w:p>
    <w:p w14:paraId="0C499A1B" w14:textId="77777777" w:rsidR="00671CE2" w:rsidRPr="00A07BE9" w:rsidRDefault="00671CE2" w:rsidP="00671CE2">
      <w:pPr>
        <w:spacing w:after="0" w:line="276" w:lineRule="auto"/>
        <w:ind w:left="567"/>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m) Instruir y tramitar los expedientes disciplinarios del personal de la Agencia.</w:t>
      </w:r>
    </w:p>
    <w:p w14:paraId="7EA9BA7F" w14:textId="77777777" w:rsidR="00671CE2" w:rsidRPr="00A07BE9" w:rsidRDefault="00671CE2" w:rsidP="00671CE2">
      <w:pPr>
        <w:spacing w:after="0" w:line="276" w:lineRule="auto"/>
        <w:ind w:left="567"/>
        <w:jc w:val="both"/>
        <w:rPr>
          <w:rFonts w:ascii="Open Sans" w:hAnsi="Open Sans"/>
          <w:sz w:val="20"/>
          <w:szCs w:val="20"/>
        </w:rPr>
      </w:pPr>
      <w:r w:rsidRPr="00A07BE9">
        <w:rPr>
          <w:rFonts w:ascii="Open Sans" w:eastAsia="Times New Roman" w:hAnsi="Open Sans" w:cs="Open Sans"/>
          <w:color w:val="000000"/>
          <w:sz w:val="20"/>
          <w:szCs w:val="20"/>
          <w:lang w:eastAsia="es-ES"/>
        </w:rPr>
        <w:t>n) Aquellas otras que se</w:t>
      </w:r>
      <w:r w:rsidRPr="00A07BE9">
        <w:rPr>
          <w:rFonts w:ascii="Open Sans" w:eastAsia="Times New Roman" w:hAnsi="Open Sans" w:cs="Open Sans"/>
          <w:sz w:val="20"/>
          <w:szCs w:val="20"/>
          <w:lang w:eastAsia="es-ES"/>
        </w:rPr>
        <w:t xml:space="preserve"> le asignen por el director o directora de la Agencia.</w:t>
      </w:r>
    </w:p>
    <w:p w14:paraId="50649F49" w14:textId="77777777"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p>
    <w:p w14:paraId="3F3F84D1" w14:textId="7F49145B" w:rsidR="00671CE2" w:rsidRPr="00A07BE9" w:rsidRDefault="00671CE2" w:rsidP="00671CE2">
      <w:pPr>
        <w:spacing w:after="0" w:line="276" w:lineRule="auto"/>
        <w:jc w:val="both"/>
        <w:rPr>
          <w:rFonts w:ascii="Open Sans" w:hAnsi="Open Sans"/>
          <w:color w:val="000000"/>
          <w:sz w:val="20"/>
          <w:szCs w:val="20"/>
        </w:rPr>
      </w:pPr>
      <w:r w:rsidRPr="00A07BE9">
        <w:rPr>
          <w:rFonts w:ascii="Open Sans" w:eastAsia="Times New Roman" w:hAnsi="Open Sans" w:cs="Open Sans"/>
          <w:color w:val="000000"/>
          <w:sz w:val="20"/>
          <w:szCs w:val="20"/>
          <w:lang w:eastAsia="es-ES"/>
        </w:rPr>
        <w:t xml:space="preserve">Asimismo, corresponde a la </w:t>
      </w:r>
      <w:r w:rsidR="0001775B" w:rsidRPr="00A07BE9">
        <w:rPr>
          <w:rFonts w:ascii="Open Sans" w:eastAsia="Times New Roman" w:hAnsi="Open Sans" w:cs="Open Sans"/>
          <w:color w:val="000000"/>
          <w:sz w:val="20"/>
          <w:szCs w:val="20"/>
          <w:lang w:eastAsia="es-ES"/>
        </w:rPr>
        <w:t>D</w:t>
      </w:r>
      <w:r w:rsidRPr="00A07BE9">
        <w:rPr>
          <w:rFonts w:ascii="Open Sans" w:eastAsia="Times New Roman" w:hAnsi="Open Sans" w:cs="Open Sans"/>
          <w:color w:val="000000"/>
          <w:sz w:val="20"/>
          <w:szCs w:val="20"/>
          <w:lang w:eastAsia="es-ES"/>
        </w:rPr>
        <w:t xml:space="preserve">irección de Asuntos Jurídicos ejercer la secretaría del </w:t>
      </w:r>
      <w:hyperlink r:id="rId105" w:history="1">
        <w:r w:rsidRPr="00A07BE9">
          <w:rPr>
            <w:rStyle w:val="Hipervnculo"/>
            <w:rFonts w:ascii="Open Sans" w:eastAsia="Times New Roman" w:hAnsi="Open Sans" w:cs="Open Sans"/>
            <w:sz w:val="20"/>
            <w:szCs w:val="20"/>
            <w:lang w:eastAsia="es-ES"/>
          </w:rPr>
          <w:t>Consejo de Participación de la Agencia</w:t>
        </w:r>
      </w:hyperlink>
      <w:r w:rsidRPr="00A07BE9">
        <w:rPr>
          <w:rFonts w:ascii="Open Sans" w:eastAsia="Times New Roman" w:hAnsi="Open Sans" w:cs="Open Sans"/>
          <w:color w:val="000000"/>
          <w:sz w:val="20"/>
          <w:szCs w:val="20"/>
          <w:lang w:eastAsia="es-ES"/>
        </w:rPr>
        <w:t xml:space="preserve"> previsto en el artículo 25.1 del </w:t>
      </w:r>
      <w:hyperlink r:id="rId106" w:history="1">
        <w:r w:rsidRPr="00A07BE9">
          <w:rPr>
            <w:rStyle w:val="Hipervnculo"/>
            <w:rFonts w:ascii="Open Sans" w:eastAsia="Times New Roman" w:hAnsi="Open Sans" w:cs="Open Sans"/>
            <w:sz w:val="20"/>
            <w:szCs w:val="20"/>
            <w:lang w:eastAsia="es-ES"/>
          </w:rPr>
          <w:t>Reglamento</w:t>
        </w:r>
      </w:hyperlink>
      <w:r w:rsidRPr="00A07BE9">
        <w:rPr>
          <w:rFonts w:ascii="Open Sans" w:eastAsia="Times New Roman" w:hAnsi="Open Sans" w:cs="Open Sans"/>
          <w:color w:val="000000"/>
          <w:sz w:val="20"/>
          <w:szCs w:val="20"/>
          <w:lang w:eastAsia="es-ES"/>
        </w:rPr>
        <w:t xml:space="preserve">, las tareas relacionadas con el Registro de convenios de la Agencia contemplado en el artículo 87 del </w:t>
      </w:r>
      <w:hyperlink r:id="rId107" w:history="1">
        <w:r w:rsidR="00700270" w:rsidRPr="00A07BE9">
          <w:rPr>
            <w:rStyle w:val="Hipervnculo"/>
            <w:rFonts w:ascii="Open Sans" w:eastAsia="Times New Roman" w:hAnsi="Open Sans" w:cs="Open Sans"/>
            <w:sz w:val="20"/>
            <w:szCs w:val="20"/>
            <w:lang w:eastAsia="es-ES"/>
          </w:rPr>
          <w:t>Reglamento</w:t>
        </w:r>
      </w:hyperlink>
      <w:r w:rsidRPr="00A07BE9">
        <w:rPr>
          <w:rFonts w:ascii="Open Sans" w:eastAsia="Times New Roman" w:hAnsi="Open Sans" w:cs="Open Sans"/>
          <w:color w:val="000000"/>
          <w:sz w:val="20"/>
          <w:szCs w:val="20"/>
          <w:lang w:eastAsia="es-ES"/>
        </w:rPr>
        <w:t xml:space="preserve"> (adscrito a dicha unidad), y la gestión del Registro de acuerdos y resoluciones de la </w:t>
      </w:r>
      <w:r w:rsidR="0001775B" w:rsidRPr="00A07BE9">
        <w:rPr>
          <w:rFonts w:ascii="Open Sans" w:eastAsia="Times New Roman" w:hAnsi="Open Sans" w:cs="Open Sans"/>
          <w:color w:val="000000"/>
          <w:sz w:val="20"/>
          <w:szCs w:val="20"/>
          <w:lang w:eastAsia="es-ES"/>
        </w:rPr>
        <w:t>Dirección de la Agencia</w:t>
      </w:r>
      <w:r w:rsidRPr="00A07BE9">
        <w:rPr>
          <w:rFonts w:ascii="Open Sans" w:eastAsia="Times New Roman" w:hAnsi="Open Sans" w:cs="Open Sans"/>
          <w:color w:val="000000"/>
          <w:sz w:val="20"/>
          <w:szCs w:val="20"/>
          <w:lang w:eastAsia="es-ES"/>
        </w:rPr>
        <w:t xml:space="preserve"> del artículo 89 del </w:t>
      </w:r>
      <w:hyperlink r:id="rId108" w:history="1">
        <w:r w:rsidR="00700270" w:rsidRPr="00A07BE9">
          <w:rPr>
            <w:rStyle w:val="Hipervnculo"/>
            <w:rFonts w:ascii="Open Sans" w:eastAsia="Times New Roman" w:hAnsi="Open Sans" w:cs="Open Sans"/>
            <w:sz w:val="20"/>
            <w:szCs w:val="20"/>
            <w:lang w:eastAsia="es-ES"/>
          </w:rPr>
          <w:t>Reglamento</w:t>
        </w:r>
      </w:hyperlink>
      <w:r w:rsidRPr="00A07BE9">
        <w:rPr>
          <w:rFonts w:ascii="Open Sans" w:eastAsia="Times New Roman" w:hAnsi="Open Sans" w:cs="Open Sans"/>
          <w:color w:val="000000"/>
          <w:sz w:val="20"/>
          <w:szCs w:val="20"/>
          <w:lang w:eastAsia="es-ES"/>
        </w:rPr>
        <w:t>.</w:t>
      </w:r>
    </w:p>
    <w:p w14:paraId="02D722D7" w14:textId="77777777"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p>
    <w:p w14:paraId="12604E93" w14:textId="601AF327" w:rsidR="00671CE2" w:rsidRPr="00A07BE9" w:rsidRDefault="00671CE2" w:rsidP="00671CE2">
      <w:pPr>
        <w:spacing w:after="0" w:line="276" w:lineRule="auto"/>
        <w:jc w:val="both"/>
        <w:rPr>
          <w:rFonts w:ascii="Open Sans" w:hAnsi="Open Sans"/>
          <w:sz w:val="20"/>
          <w:szCs w:val="20"/>
        </w:rPr>
      </w:pPr>
      <w:r w:rsidRPr="00A07BE9">
        <w:rPr>
          <w:rFonts w:ascii="Open Sans" w:eastAsia="Times New Roman" w:hAnsi="Open Sans" w:cs="Open Sans"/>
          <w:color w:val="000000"/>
          <w:sz w:val="20"/>
          <w:szCs w:val="20"/>
          <w:lang w:eastAsia="es-ES"/>
        </w:rPr>
        <w:t xml:space="preserve">Además de lo anterior, dadas la función certificadora de las actuaciones generadas por la Agencia y de secretaría general atribuida a la </w:t>
      </w:r>
      <w:r w:rsidR="0001775B" w:rsidRPr="00A07BE9">
        <w:rPr>
          <w:rFonts w:ascii="Open Sans" w:eastAsia="Times New Roman" w:hAnsi="Open Sans" w:cs="Open Sans"/>
          <w:color w:val="000000"/>
          <w:sz w:val="20"/>
          <w:szCs w:val="20"/>
          <w:lang w:eastAsia="es-ES"/>
        </w:rPr>
        <w:t>D</w:t>
      </w:r>
      <w:r w:rsidRPr="00A07BE9">
        <w:rPr>
          <w:rFonts w:ascii="Open Sans" w:eastAsia="Times New Roman" w:hAnsi="Open Sans" w:cs="Open Sans"/>
          <w:color w:val="000000"/>
          <w:sz w:val="20"/>
          <w:szCs w:val="20"/>
          <w:lang w:eastAsia="es-ES"/>
        </w:rPr>
        <w:t>irección de Asuntos Jurídicos, corre</w:t>
      </w:r>
      <w:r w:rsidRPr="00A07BE9">
        <w:rPr>
          <w:rFonts w:ascii="Open Sans" w:eastAsia="Times New Roman" w:hAnsi="Open Sans" w:cs="Open Sans"/>
          <w:sz w:val="20"/>
          <w:szCs w:val="20"/>
          <w:lang w:eastAsia="es-ES"/>
        </w:rPr>
        <w:t>sponde</w:t>
      </w:r>
      <w:r w:rsidRPr="00A07BE9">
        <w:rPr>
          <w:rFonts w:ascii="Open Sans" w:eastAsia="Times New Roman" w:hAnsi="Open Sans" w:cs="Open Sans"/>
          <w:color w:val="000000"/>
          <w:sz w:val="20"/>
          <w:szCs w:val="20"/>
          <w:lang w:eastAsia="es-ES"/>
        </w:rPr>
        <w:t xml:space="preserve"> a esta ser miembro de hecho y de derecho de las mesas técnicas y de negociación de las condiciones de trabajo del personal al servicio de la Agencia, a cuyo efecto realiza las tareas ordinarias de secretaría y elaboración de las actas de sus reuniones, reflejo de los derechos a la negociación colectiva, representación y participación institucional de las empleadas y empleados públicos para la determinación de sus condiciones de trabajo, así como el asesoramiento jurídico.</w:t>
      </w:r>
    </w:p>
    <w:p w14:paraId="13B32749" w14:textId="77777777" w:rsidR="00671CE2" w:rsidRPr="00A07BE9" w:rsidRDefault="00671CE2" w:rsidP="00671CE2">
      <w:pPr>
        <w:spacing w:after="0" w:line="240" w:lineRule="auto"/>
        <w:jc w:val="both"/>
        <w:rPr>
          <w:rFonts w:ascii="Open Sans" w:eastAsia="Times New Roman" w:hAnsi="Open Sans" w:cs="Open Sans"/>
          <w:sz w:val="20"/>
          <w:szCs w:val="20"/>
          <w:lang w:eastAsia="es-ES"/>
        </w:rPr>
      </w:pPr>
    </w:p>
    <w:p w14:paraId="5AF6E9BE" w14:textId="77777777" w:rsidR="00671CE2" w:rsidRPr="00A07BE9" w:rsidRDefault="00671CE2" w:rsidP="00671CE2">
      <w:pPr>
        <w:spacing w:after="0" w:line="240" w:lineRule="auto"/>
        <w:jc w:val="both"/>
        <w:rPr>
          <w:rFonts w:ascii="Open Sans" w:eastAsia="Times New Roman" w:hAnsi="Open Sans" w:cs="Times New Roman"/>
          <w:sz w:val="20"/>
          <w:szCs w:val="20"/>
          <w:lang w:eastAsia="es-ES"/>
        </w:rPr>
      </w:pPr>
    </w:p>
    <w:p w14:paraId="4D721024" w14:textId="77777777" w:rsidR="00671CE2" w:rsidRPr="00A07BE9" w:rsidRDefault="00671CE2" w:rsidP="00671CE2">
      <w:pPr>
        <w:spacing w:after="0" w:line="240" w:lineRule="auto"/>
        <w:jc w:val="both"/>
        <w:rPr>
          <w:rFonts w:ascii="Open Sans" w:eastAsia="Times New Roman" w:hAnsi="Open Sans" w:cs="Open Sans"/>
          <w:b/>
          <w:bCs/>
          <w:smallCaps/>
          <w:color w:val="9D2235"/>
          <w:sz w:val="32"/>
          <w:szCs w:val="32"/>
          <w:lang w:eastAsia="es-ES"/>
        </w:rPr>
      </w:pPr>
      <w:r w:rsidRPr="00A07BE9">
        <w:rPr>
          <w:rFonts w:ascii="Open Sans" w:eastAsia="Times New Roman" w:hAnsi="Open Sans" w:cs="Open Sans"/>
          <w:b/>
          <w:bCs/>
          <w:smallCaps/>
          <w:color w:val="9D2235"/>
          <w:sz w:val="32"/>
          <w:szCs w:val="32"/>
          <w:lang w:eastAsia="es-ES"/>
        </w:rPr>
        <w:t>4.2. LAS NORMAS DE ACTUACIÓN</w:t>
      </w:r>
    </w:p>
    <w:p w14:paraId="184F56F9" w14:textId="70A300BD" w:rsidR="00B43B0D" w:rsidRPr="00A07BE9" w:rsidRDefault="00B43B0D" w:rsidP="00671CE2">
      <w:pPr>
        <w:spacing w:after="0" w:line="240" w:lineRule="auto"/>
        <w:jc w:val="both"/>
        <w:rPr>
          <w:rFonts w:ascii="Open Sans" w:eastAsia="Times New Roman" w:hAnsi="Open Sans" w:cs="Times New Roman"/>
          <w:smallCaps/>
          <w:color w:val="9D2235"/>
          <w:sz w:val="20"/>
          <w:szCs w:val="20"/>
          <w:lang w:eastAsia="es-ES"/>
        </w:rPr>
      </w:pPr>
    </w:p>
    <w:p w14:paraId="38603CE9" w14:textId="77777777" w:rsidR="002432B6" w:rsidRPr="00A07BE9" w:rsidRDefault="002432B6" w:rsidP="00671CE2">
      <w:pPr>
        <w:spacing w:after="0" w:line="240" w:lineRule="auto"/>
        <w:jc w:val="both"/>
        <w:rPr>
          <w:rFonts w:ascii="Open Sans" w:eastAsia="Times New Roman" w:hAnsi="Open Sans" w:cs="Times New Roman"/>
          <w:smallCaps/>
          <w:color w:val="9D2235"/>
          <w:sz w:val="20"/>
          <w:szCs w:val="20"/>
          <w:lang w:eastAsia="es-ES"/>
        </w:rPr>
      </w:pPr>
    </w:p>
    <w:p w14:paraId="36C83C9D" w14:textId="77777777" w:rsidR="00671CE2" w:rsidRPr="00A07BE9" w:rsidRDefault="00671CE2" w:rsidP="00671CE2">
      <w:pPr>
        <w:spacing w:after="0" w:line="240" w:lineRule="auto"/>
        <w:jc w:val="both"/>
        <w:rPr>
          <w:rFonts w:ascii="Open Sans" w:eastAsia="Times New Roman" w:hAnsi="Open Sans" w:cs="Open Sans"/>
          <w:b/>
          <w:bCs/>
          <w:smallCaps/>
          <w:color w:val="9D2235"/>
          <w:sz w:val="28"/>
          <w:szCs w:val="28"/>
          <w:lang w:eastAsia="es-ES"/>
        </w:rPr>
      </w:pPr>
      <w:r w:rsidRPr="00A07BE9">
        <w:rPr>
          <w:rFonts w:ascii="Open Sans" w:eastAsia="Times New Roman" w:hAnsi="Open Sans" w:cs="Open Sans"/>
          <w:b/>
          <w:bCs/>
          <w:smallCaps/>
          <w:color w:val="9D2235"/>
          <w:sz w:val="28"/>
          <w:szCs w:val="28"/>
          <w:lang w:eastAsia="es-ES"/>
        </w:rPr>
        <w:t>4.2.1. La Ley Fundacional</w:t>
      </w:r>
    </w:p>
    <w:p w14:paraId="3ACA28AE" w14:textId="77777777" w:rsidR="00671CE2" w:rsidRPr="00A07BE9" w:rsidRDefault="00671CE2" w:rsidP="00671CE2">
      <w:pPr>
        <w:spacing w:after="0" w:line="240" w:lineRule="auto"/>
        <w:jc w:val="both"/>
        <w:rPr>
          <w:rFonts w:ascii="Open Sans" w:eastAsia="Times New Roman" w:hAnsi="Open Sans" w:cs="Times New Roman"/>
          <w:smallCaps/>
          <w:color w:val="9D2235"/>
          <w:sz w:val="20"/>
          <w:szCs w:val="20"/>
          <w:lang w:eastAsia="es-ES"/>
        </w:rPr>
      </w:pPr>
    </w:p>
    <w:p w14:paraId="78876649" w14:textId="5BFBC428" w:rsidR="00671CE2" w:rsidRPr="00A07BE9" w:rsidRDefault="00671CE2" w:rsidP="00671CE2">
      <w:pPr>
        <w:spacing w:after="0" w:line="276" w:lineRule="auto"/>
        <w:jc w:val="both"/>
        <w:rPr>
          <w:rFonts w:ascii="Open Sans" w:hAnsi="Open Sans" w:cs="Open Sans"/>
          <w:sz w:val="20"/>
          <w:szCs w:val="20"/>
        </w:rPr>
      </w:pPr>
      <w:r w:rsidRPr="00A07BE9">
        <w:rPr>
          <w:rFonts w:ascii="Open Sans" w:eastAsia="Times New Roman" w:hAnsi="Open Sans" w:cs="Open Sans"/>
          <w:sz w:val="20"/>
          <w:szCs w:val="20"/>
          <w:lang w:eastAsia="es-ES"/>
        </w:rPr>
        <w:t xml:space="preserve">En este segundo año completo de funcionamiento de la Agencia, la </w:t>
      </w:r>
      <w:hyperlink r:id="rId109" w:history="1">
        <w:r w:rsidRPr="00A07BE9">
          <w:rPr>
            <w:rStyle w:val="Hipervnculo"/>
            <w:rFonts w:ascii="Open Sans" w:eastAsia="Times New Roman" w:hAnsi="Open Sans" w:cs="Open Sans"/>
            <w:sz w:val="20"/>
            <w:szCs w:val="20"/>
            <w:lang w:eastAsia="es-ES"/>
          </w:rPr>
          <w:t>Ley 11/2016, de 28 de noviembre, de la Agencia de Prevención y Lucha contra el Fraude y la Corrupción de la Comunitat Valenciana</w:t>
        </w:r>
      </w:hyperlink>
      <w:r w:rsidRPr="00A07BE9">
        <w:rPr>
          <w:rFonts w:ascii="Open Sans" w:eastAsia="Times New Roman" w:hAnsi="Open Sans" w:cs="Open Sans"/>
          <w:sz w:val="20"/>
          <w:szCs w:val="20"/>
          <w:lang w:eastAsia="es-ES"/>
        </w:rPr>
        <w:t xml:space="preserve"> </w:t>
      </w:r>
      <w:r w:rsidRPr="00A07BE9">
        <w:rPr>
          <w:rFonts w:ascii="Open Sans" w:eastAsia="Times New Roman" w:hAnsi="Open Sans" w:cs="Open Sans"/>
          <w:color w:val="000000" w:themeColor="text1"/>
          <w:sz w:val="20"/>
          <w:szCs w:val="20"/>
          <w:lang w:eastAsia="es-ES"/>
        </w:rPr>
        <w:t xml:space="preserve">sigue mostrándose, dentro del ordenamiento </w:t>
      </w:r>
      <w:r w:rsidRPr="00A07BE9">
        <w:rPr>
          <w:rFonts w:ascii="Open Sans" w:eastAsia="Times New Roman" w:hAnsi="Open Sans" w:cs="Open Sans"/>
          <w:sz w:val="20"/>
          <w:szCs w:val="20"/>
          <w:lang w:eastAsia="es-ES"/>
        </w:rPr>
        <w:t xml:space="preserve">jurídico valenciano, como una herramienta eficaz para la prevención, investigación y combate del fraude y la </w:t>
      </w:r>
      <w:r w:rsidRPr="00A07BE9">
        <w:rPr>
          <w:rFonts w:ascii="Open Sans" w:eastAsia="Times New Roman" w:hAnsi="Open Sans" w:cs="Open Sans"/>
          <w:color w:val="000000"/>
          <w:sz w:val="20"/>
          <w:szCs w:val="20"/>
          <w:lang w:eastAsia="es-ES"/>
        </w:rPr>
        <w:t xml:space="preserve">corrupción de las instituciones públicas valencianas, lo cual comporta un fortalecimiento progresivo de la integridad y la ética de los diferentes sujetos integrantes del sector público que constituyen el ámbito de actuación de la Agencia. </w:t>
      </w:r>
    </w:p>
    <w:p w14:paraId="7D6BFEDE" w14:textId="77777777"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p>
    <w:p w14:paraId="1044D4DC" w14:textId="4A63A020" w:rsidR="00671CE2" w:rsidRPr="00A07BE9" w:rsidRDefault="00671CE2" w:rsidP="00671CE2">
      <w:pPr>
        <w:spacing w:after="0" w:line="276" w:lineRule="auto"/>
        <w:jc w:val="both"/>
        <w:rPr>
          <w:rFonts w:ascii="Open Sans" w:hAnsi="Open Sans" w:cs="Open Sans"/>
          <w:sz w:val="20"/>
          <w:szCs w:val="20"/>
        </w:rPr>
      </w:pPr>
      <w:r w:rsidRPr="00A07BE9">
        <w:rPr>
          <w:rFonts w:ascii="Open Sans" w:eastAsia="Times New Roman" w:hAnsi="Open Sans" w:cs="Open Sans"/>
          <w:color w:val="000000"/>
          <w:sz w:val="20"/>
          <w:szCs w:val="20"/>
          <w:lang w:eastAsia="es-ES"/>
        </w:rPr>
        <w:t xml:space="preserve">En este sentido, debe recordarse que conforme al artículo 3 de la </w:t>
      </w:r>
      <w:hyperlink r:id="rId110" w:history="1">
        <w:r w:rsidRPr="00A07BE9">
          <w:rPr>
            <w:rStyle w:val="Hipervnculo"/>
            <w:rFonts w:ascii="Open Sans" w:eastAsia="Times New Roman" w:hAnsi="Open Sans" w:cs="Open Sans"/>
            <w:sz w:val="20"/>
            <w:szCs w:val="20"/>
            <w:lang w:eastAsia="es-ES"/>
          </w:rPr>
          <w:t>Ley fundacional de la Agencia</w:t>
        </w:r>
      </w:hyperlink>
      <w:r w:rsidRPr="00A07BE9">
        <w:rPr>
          <w:rFonts w:ascii="Open Sans" w:eastAsia="Times New Roman" w:hAnsi="Open Sans" w:cs="Open Sans"/>
          <w:color w:val="000000"/>
          <w:sz w:val="20"/>
          <w:szCs w:val="20"/>
          <w:lang w:eastAsia="es-ES"/>
        </w:rPr>
        <w:t>, esta extiende su actuación no solo sobre las administraciones autonómica y local y sus diferentes organismos o entidades dependientes, sino también sobre otras entidades del tejido social público de nuestra Comunidad, como partidos políticos, organizaciones sindicales o empresariales, concesionarios de servicios, contratistas, perceptores de ayudas o subvenciones públicas, y cualquier entidad, independientemente de su tipología o forma jurídica, que esté financiada mayoritariamente por las administraciones públicas o sujeta a su dominio efectivo.</w:t>
      </w:r>
    </w:p>
    <w:p w14:paraId="3BA6A762" w14:textId="2D425078" w:rsidR="00671CE2" w:rsidRPr="00A07BE9" w:rsidRDefault="00671CE2" w:rsidP="00671CE2">
      <w:pPr>
        <w:spacing w:after="0" w:line="276" w:lineRule="auto"/>
        <w:jc w:val="both"/>
        <w:rPr>
          <w:rFonts w:ascii="Open Sans" w:hAnsi="Open Sans" w:cs="Open Sans"/>
          <w:sz w:val="20"/>
          <w:szCs w:val="20"/>
        </w:rPr>
      </w:pPr>
      <w:r w:rsidRPr="00A07BE9">
        <w:rPr>
          <w:rFonts w:ascii="Open Sans" w:eastAsia="Times New Roman" w:hAnsi="Open Sans" w:cs="Open Sans"/>
          <w:sz w:val="20"/>
          <w:szCs w:val="20"/>
          <w:lang w:eastAsia="es-ES"/>
        </w:rPr>
        <w:lastRenderedPageBreak/>
        <w:t xml:space="preserve">En este año 2019, </w:t>
      </w:r>
      <w:r w:rsidRPr="00A07BE9">
        <w:rPr>
          <w:rFonts w:ascii="Open Sans" w:eastAsia="Times New Roman" w:hAnsi="Open Sans" w:cs="Open Sans"/>
          <w:color w:val="000000"/>
          <w:sz w:val="20"/>
          <w:szCs w:val="20"/>
          <w:lang w:eastAsia="es-ES"/>
        </w:rPr>
        <w:t>la</w:t>
      </w:r>
      <w:r w:rsidRPr="00A07BE9">
        <w:rPr>
          <w:rFonts w:ascii="Open Sans" w:eastAsia="Times New Roman" w:hAnsi="Open Sans" w:cs="Open Sans"/>
          <w:sz w:val="20"/>
          <w:szCs w:val="20"/>
          <w:lang w:eastAsia="es-ES"/>
        </w:rPr>
        <w:t xml:space="preserve"> estructura legal, creadora de la Agencia, de su régimen jurídico y de sus actuaciones y fines, se ha comple</w:t>
      </w:r>
      <w:r w:rsidRPr="00A07BE9">
        <w:rPr>
          <w:rFonts w:ascii="Open Sans" w:eastAsia="Times New Roman" w:hAnsi="Open Sans" w:cs="Open Sans"/>
          <w:color w:val="000000"/>
          <w:sz w:val="20"/>
          <w:szCs w:val="20"/>
          <w:lang w:eastAsia="es-ES"/>
        </w:rPr>
        <w:t>tado</w:t>
      </w:r>
      <w:r w:rsidRPr="00A07BE9">
        <w:rPr>
          <w:rFonts w:ascii="Open Sans" w:eastAsia="Times New Roman" w:hAnsi="Open Sans" w:cs="Open Sans"/>
          <w:sz w:val="20"/>
          <w:szCs w:val="20"/>
          <w:lang w:eastAsia="es-ES"/>
        </w:rPr>
        <w:t xml:space="preserve"> con la aprobación del </w:t>
      </w:r>
      <w:hyperlink r:id="rId111" w:history="1">
        <w:r w:rsidRPr="00A07BE9">
          <w:rPr>
            <w:rStyle w:val="Hipervnculo"/>
            <w:rFonts w:ascii="Open Sans" w:eastAsia="Times New Roman" w:hAnsi="Open Sans" w:cs="Open Sans"/>
            <w:sz w:val="20"/>
            <w:szCs w:val="20"/>
            <w:lang w:eastAsia="es-ES"/>
          </w:rPr>
          <w:t>Reglamento de 27 de junio de 2019 de funcionamiento y régimen interior</w:t>
        </w:r>
      </w:hyperlink>
      <w:r w:rsidRPr="00A07BE9">
        <w:rPr>
          <w:rFonts w:ascii="Open Sans" w:eastAsia="Times New Roman" w:hAnsi="Open Sans" w:cs="Open Sans"/>
          <w:sz w:val="20"/>
          <w:szCs w:val="20"/>
          <w:lang w:eastAsia="es-ES"/>
        </w:rPr>
        <w:t xml:space="preserve"> de la Agencia de Prevención y Lucha contra el Fraude y la Corrupción de la Comunitat Valenciana (DOGV núm. 8582 de 2 de julio de 2019 y BOCV núm. 17 de 26 de julio de 2019)</w:t>
      </w:r>
      <w:r w:rsidRPr="00A07BE9">
        <w:rPr>
          <w:rFonts w:ascii="Open Sans" w:eastAsia="Times New Roman" w:hAnsi="Open Sans" w:cs="Open Sans"/>
          <w:color w:val="000000"/>
          <w:sz w:val="20"/>
          <w:szCs w:val="20"/>
          <w:lang w:eastAsia="es-ES"/>
        </w:rPr>
        <w:t>, y su entrada en vigor el pasado 3 de julio de 2019.</w:t>
      </w:r>
    </w:p>
    <w:p w14:paraId="03701B92" w14:textId="77777777"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p>
    <w:p w14:paraId="7EDE4FA8" w14:textId="238AB62F" w:rsidR="00671CE2" w:rsidRPr="00A07BE9" w:rsidRDefault="00671CE2" w:rsidP="00671CE2">
      <w:pPr>
        <w:spacing w:after="0" w:line="276" w:lineRule="auto"/>
        <w:jc w:val="both"/>
        <w:rPr>
          <w:rFonts w:ascii="Open Sans" w:hAnsi="Open Sans" w:cs="Open Sans"/>
          <w:sz w:val="20"/>
          <w:szCs w:val="20"/>
        </w:rPr>
      </w:pPr>
      <w:r w:rsidRPr="00A07BE9">
        <w:rPr>
          <w:rFonts w:ascii="Open Sans" w:eastAsia="Times New Roman" w:hAnsi="Open Sans" w:cs="Open Sans"/>
          <w:color w:val="000000"/>
          <w:sz w:val="20"/>
          <w:szCs w:val="20"/>
          <w:lang w:eastAsia="es-ES"/>
        </w:rPr>
        <w:t xml:space="preserve">Igualmente este año, con objeto de dar cumplimiento a lo prevenido en los artículos 25 y 4, letras l), m) y n), de la </w:t>
      </w:r>
      <w:hyperlink r:id="rId112" w:history="1">
        <w:r w:rsidRPr="00A07BE9">
          <w:rPr>
            <w:rStyle w:val="Hipervnculo"/>
            <w:rFonts w:ascii="Open Sans" w:eastAsia="Times New Roman" w:hAnsi="Open Sans" w:cs="Open Sans"/>
            <w:sz w:val="20"/>
            <w:szCs w:val="20"/>
            <w:lang w:eastAsia="es-ES"/>
          </w:rPr>
          <w:t>Ley 11/2016</w:t>
        </w:r>
        <w:r w:rsidRPr="00A07BE9">
          <w:rPr>
            <w:rStyle w:val="Hipervnculo"/>
            <w:rFonts w:ascii="Open Sans" w:eastAsia="Times New Roman" w:hAnsi="Open Sans" w:cs="Open Sans"/>
            <w:color w:val="auto"/>
            <w:sz w:val="20"/>
            <w:szCs w:val="20"/>
            <w:u w:val="none"/>
            <w:lang w:eastAsia="es-ES"/>
          </w:rPr>
          <w:t>, de 28 de noviembre, de la Generalitat</w:t>
        </w:r>
      </w:hyperlink>
      <w:r w:rsidRPr="00A07BE9">
        <w:rPr>
          <w:rFonts w:ascii="Open Sans" w:eastAsia="Times New Roman" w:hAnsi="Open Sans" w:cs="Open Sans"/>
          <w:color w:val="000000"/>
          <w:sz w:val="20"/>
          <w:szCs w:val="20"/>
          <w:lang w:eastAsia="es-ES"/>
        </w:rPr>
        <w:t xml:space="preserve">, y en virtud de lo dispuesto en el artículo 25.2 del </w:t>
      </w:r>
      <w:hyperlink r:id="rId113" w:history="1">
        <w:r w:rsidRPr="00A07BE9">
          <w:rPr>
            <w:rStyle w:val="Hipervnculo"/>
            <w:rFonts w:ascii="Open Sans" w:eastAsia="Times New Roman" w:hAnsi="Open Sans" w:cs="Open Sans"/>
            <w:sz w:val="20"/>
            <w:szCs w:val="20"/>
            <w:lang w:eastAsia="es-ES"/>
          </w:rPr>
          <w:t>Reglamento de funcionamiento y régimen interior</w:t>
        </w:r>
      </w:hyperlink>
      <w:r w:rsidRPr="00A07BE9">
        <w:rPr>
          <w:rFonts w:ascii="Open Sans" w:eastAsia="Times New Roman" w:hAnsi="Open Sans" w:cs="Open Sans"/>
          <w:color w:val="000000"/>
          <w:sz w:val="20"/>
          <w:szCs w:val="20"/>
          <w:lang w:eastAsia="es-ES"/>
        </w:rPr>
        <w:t xml:space="preserve">, se ha aprobado la Resolución de 15 de octubre de 2019 por la que se determina la composición del </w:t>
      </w:r>
      <w:hyperlink r:id="rId114" w:history="1">
        <w:r w:rsidRPr="00A07BE9">
          <w:rPr>
            <w:rStyle w:val="Hipervnculo"/>
            <w:rFonts w:ascii="Open Sans" w:eastAsia="Times New Roman" w:hAnsi="Open Sans" w:cs="Open Sans"/>
            <w:sz w:val="20"/>
            <w:szCs w:val="20"/>
            <w:lang w:eastAsia="es-ES"/>
          </w:rPr>
          <w:t>Consejo de Participación</w:t>
        </w:r>
      </w:hyperlink>
      <w:r w:rsidRPr="00A07BE9">
        <w:rPr>
          <w:rFonts w:ascii="Open Sans" w:eastAsia="Times New Roman" w:hAnsi="Open Sans" w:cs="Open Sans"/>
          <w:color w:val="000000"/>
          <w:sz w:val="20"/>
          <w:szCs w:val="20"/>
          <w:lang w:eastAsia="es-ES"/>
        </w:rPr>
        <w:t xml:space="preserve"> (DOGV núm. 8665 de 28 de octubre de 2019 y BOCV núm. 31 de 25 de octubre de 2019),</w:t>
      </w:r>
      <w:r w:rsidRPr="00A07BE9">
        <w:rPr>
          <w:rFonts w:ascii="Open Sans" w:eastAsia="Times New Roman" w:hAnsi="Open Sans" w:cs="Open Sans"/>
          <w:color w:val="729FCF"/>
          <w:sz w:val="20"/>
          <w:szCs w:val="20"/>
          <w:lang w:eastAsia="es-ES"/>
        </w:rPr>
        <w:t xml:space="preserve"> </w:t>
      </w:r>
      <w:r w:rsidRPr="00A07BE9">
        <w:rPr>
          <w:rFonts w:ascii="Open Sans" w:eastAsia="Times New Roman" w:hAnsi="Open Sans" w:cs="Open Sans"/>
          <w:color w:val="000000"/>
          <w:sz w:val="20"/>
          <w:szCs w:val="20"/>
          <w:lang w:eastAsia="es-ES"/>
        </w:rPr>
        <w:t xml:space="preserve">órgano asesor y de consulta de la Agencia y cauce de participación de la sociedad civil y de expertos en la prevención y lucha contra el fraude y la corrupción, la transparencia pública y la calidad democrática. </w:t>
      </w:r>
    </w:p>
    <w:p w14:paraId="31A2D2E6" w14:textId="77777777"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p>
    <w:p w14:paraId="4E818690" w14:textId="20B4F9ED" w:rsidR="00671CE2" w:rsidRPr="00A07BE9" w:rsidRDefault="00671CE2" w:rsidP="00671CE2">
      <w:pPr>
        <w:spacing w:after="0" w:line="276" w:lineRule="auto"/>
        <w:jc w:val="both"/>
        <w:rPr>
          <w:rFonts w:ascii="Open Sans" w:hAnsi="Open Sans" w:cs="Open Sans"/>
          <w:sz w:val="20"/>
          <w:szCs w:val="20"/>
        </w:rPr>
      </w:pPr>
      <w:r w:rsidRPr="00A07BE9">
        <w:rPr>
          <w:rFonts w:ascii="Open Sans" w:eastAsia="Times New Roman" w:hAnsi="Open Sans" w:cs="Open Sans"/>
          <w:color w:val="000000"/>
          <w:sz w:val="20"/>
          <w:szCs w:val="20"/>
          <w:lang w:eastAsia="es-ES"/>
        </w:rPr>
        <w:t xml:space="preserve">La anterior regulación, junto con la </w:t>
      </w:r>
      <w:hyperlink r:id="rId115" w:history="1">
        <w:r w:rsidRPr="00A07BE9">
          <w:rPr>
            <w:rStyle w:val="Hipervnculo"/>
            <w:rFonts w:ascii="Open Sans" w:eastAsia="Times New Roman" w:hAnsi="Open Sans" w:cs="Open Sans"/>
            <w:color w:val="auto"/>
            <w:sz w:val="20"/>
            <w:szCs w:val="20"/>
            <w:u w:val="none"/>
            <w:lang w:eastAsia="es-ES"/>
          </w:rPr>
          <w:t>Resolución de 25 de abril de 2018 de creación del</w:t>
        </w:r>
        <w:r w:rsidRPr="00A07BE9">
          <w:rPr>
            <w:rStyle w:val="Hipervnculo"/>
            <w:rFonts w:ascii="Open Sans" w:eastAsia="Times New Roman" w:hAnsi="Open Sans" w:cs="Open Sans"/>
            <w:sz w:val="20"/>
            <w:szCs w:val="20"/>
            <w:lang w:eastAsia="es-ES"/>
          </w:rPr>
          <w:t xml:space="preserve"> Buzón de Denuncias</w:t>
        </w:r>
        <w:r w:rsidRPr="00A07BE9">
          <w:rPr>
            <w:rStyle w:val="Hipervnculo"/>
            <w:rFonts w:ascii="Open Sans" w:eastAsia="Times New Roman" w:hAnsi="Open Sans" w:cs="Open Sans"/>
            <w:color w:val="auto"/>
            <w:sz w:val="20"/>
            <w:szCs w:val="20"/>
            <w:u w:val="none"/>
            <w:lang w:eastAsia="es-ES"/>
          </w:rPr>
          <w:t xml:space="preserve"> y de regulación de su funcionamiento</w:t>
        </w:r>
      </w:hyperlink>
      <w:r w:rsidRPr="00A07BE9">
        <w:rPr>
          <w:rFonts w:ascii="Open Sans" w:eastAsia="Times New Roman" w:hAnsi="Open Sans" w:cs="Open Sans"/>
          <w:color w:val="000000"/>
          <w:sz w:val="20"/>
          <w:szCs w:val="20"/>
          <w:lang w:eastAsia="es-ES"/>
        </w:rPr>
        <w:t xml:space="preserve"> (DOGV núm. 8301, de 23 de mayo de 2018), viene a integrar el bloque normativo básico con el que la Agencia de Prevención y Lucha contra el Fraude y la Corrupción desarrolla sus funciones.</w:t>
      </w:r>
    </w:p>
    <w:p w14:paraId="5A142751" w14:textId="77777777"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p>
    <w:p w14:paraId="52352292" w14:textId="3C0A6C6D" w:rsidR="00671CE2" w:rsidRPr="00A07BE9" w:rsidRDefault="00671CE2" w:rsidP="00671CE2">
      <w:pPr>
        <w:spacing w:after="0" w:line="276" w:lineRule="auto"/>
        <w:jc w:val="both"/>
        <w:rPr>
          <w:rFonts w:ascii="Open Sans" w:hAnsi="Open Sans" w:cs="Open Sans"/>
          <w:sz w:val="20"/>
          <w:szCs w:val="20"/>
        </w:rPr>
      </w:pPr>
      <w:r w:rsidRPr="00A07BE9">
        <w:rPr>
          <w:rFonts w:ascii="Open Sans" w:eastAsia="Times New Roman" w:hAnsi="Open Sans" w:cs="Open Sans"/>
          <w:color w:val="000000"/>
          <w:sz w:val="20"/>
          <w:szCs w:val="20"/>
          <w:lang w:eastAsia="es-ES"/>
        </w:rPr>
        <w:t xml:space="preserve">Las anteriores normas han sido incorporadas al </w:t>
      </w:r>
      <w:hyperlink r:id="rId116" w:history="1">
        <w:r w:rsidRPr="00A07BE9">
          <w:rPr>
            <w:rStyle w:val="Hipervnculo"/>
            <w:rFonts w:ascii="Open Sans" w:eastAsia="Times New Roman" w:hAnsi="Open Sans" w:cs="Open Sans"/>
            <w:sz w:val="20"/>
            <w:szCs w:val="20"/>
            <w:lang w:eastAsia="es-ES"/>
          </w:rPr>
          <w:t>Código de Lucha contra el Fraude y la Corrupción</w:t>
        </w:r>
      </w:hyperlink>
      <w:r w:rsidRPr="00A07BE9">
        <w:rPr>
          <w:rFonts w:ascii="Open Sans" w:eastAsia="Times New Roman" w:hAnsi="Open Sans" w:cs="Open Sans"/>
          <w:color w:val="000000"/>
          <w:sz w:val="20"/>
          <w:szCs w:val="20"/>
          <w:lang w:eastAsia="es-ES"/>
        </w:rPr>
        <w:t>, el cual puede visualizarse en la página web del Boletín Oficial del Estado.</w:t>
      </w:r>
    </w:p>
    <w:p w14:paraId="5B7C1434" w14:textId="77777777"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p>
    <w:p w14:paraId="421FEE93" w14:textId="77777777"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Con fundamento en su Ley fundacional y dentro de este marco normativo de desarrollo, la Agencia investiga denuncias que pueden ser calificadas como fraude o corrupción, previene la aparición de estos hechos o conductas, impulsa la integridad y la ética pública, protege a personas que denuncian, informan o alertan de este tipo de actos nocivos para el Estado de Derecho y nuestras instituciones, y establece relaciones de cooperación y colaboración con organismos con fines y objetivos comunes.</w:t>
      </w:r>
    </w:p>
    <w:p w14:paraId="5E105584" w14:textId="77777777"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p>
    <w:p w14:paraId="4DD8C686" w14:textId="77777777" w:rsidR="00340E47" w:rsidRPr="00A07BE9" w:rsidRDefault="00340E47" w:rsidP="00340E47">
      <w:pPr>
        <w:spacing w:after="0" w:line="276" w:lineRule="auto"/>
        <w:jc w:val="both"/>
        <w:rPr>
          <w:rFonts w:ascii="Open Sans" w:hAnsi="Open Sans" w:cs="Open Sans"/>
          <w:sz w:val="20"/>
          <w:szCs w:val="20"/>
        </w:rPr>
      </w:pPr>
      <w:r w:rsidRPr="00A07BE9">
        <w:rPr>
          <w:rFonts w:ascii="Open Sans" w:eastAsia="Times New Roman" w:hAnsi="Open Sans" w:cs="Open Sans"/>
          <w:color w:val="000000"/>
          <w:sz w:val="20"/>
          <w:szCs w:val="20"/>
          <w:lang w:eastAsia="es-ES"/>
        </w:rPr>
        <w:t xml:space="preserve">Dentro de este ámbito, y cumpliendo lo establecido en la Resolución 58/4 de la Asamblea General de Naciones Unidas por la que se aprueba la </w:t>
      </w:r>
      <w:hyperlink r:id="rId117" w:history="1">
        <w:r w:rsidRPr="00A07BE9">
          <w:rPr>
            <w:rStyle w:val="Hipervnculo"/>
            <w:rFonts w:ascii="Open Sans" w:eastAsia="Times New Roman" w:hAnsi="Open Sans" w:cs="Open Sans"/>
            <w:sz w:val="20"/>
            <w:szCs w:val="20"/>
            <w:lang w:eastAsia="es-ES"/>
          </w:rPr>
          <w:t>Convención de las Naciones Unidas contra la Corrupción</w:t>
        </w:r>
      </w:hyperlink>
      <w:r w:rsidRPr="00A07BE9">
        <w:rPr>
          <w:rFonts w:ascii="Open Sans" w:eastAsia="Times New Roman" w:hAnsi="Open Sans" w:cs="Open Sans"/>
          <w:color w:val="000000"/>
          <w:sz w:val="20"/>
          <w:szCs w:val="20"/>
          <w:lang w:eastAsia="es-ES"/>
        </w:rPr>
        <w:t xml:space="preserve"> suscrita en </w:t>
      </w:r>
      <w:r w:rsidRPr="00A07BE9">
        <w:rPr>
          <w:rFonts w:ascii="Open Sans" w:hAnsi="Open Sans" w:cs="Open Sans"/>
          <w:color w:val="000000"/>
          <w:sz w:val="20"/>
          <w:szCs w:val="20"/>
        </w:rPr>
        <w:t>Nueva York el 31 de octubre de 2003 y en vigor en España tras su ratificación el 19 de julio de 2006 (BOE núm. 171 de 19 de julio de 2006), en 2019 hemos asistido a la presentación, tanto en el Congreso de los Diputados como en diferentes órganos autonómicos de poder legislativo, de numerosas iniciativas legislativas relacionadas con esta materia.</w:t>
      </w:r>
    </w:p>
    <w:p w14:paraId="1044EC55" w14:textId="77777777" w:rsidR="00340E47" w:rsidRPr="00A07BE9" w:rsidRDefault="00340E47" w:rsidP="00340E47">
      <w:pPr>
        <w:spacing w:after="0" w:line="276" w:lineRule="auto"/>
        <w:jc w:val="both"/>
        <w:rPr>
          <w:rFonts w:ascii="Open Sans" w:hAnsi="Open Sans" w:cs="Open Sans"/>
          <w:color w:val="000000"/>
          <w:sz w:val="20"/>
          <w:szCs w:val="20"/>
        </w:rPr>
      </w:pPr>
    </w:p>
    <w:p w14:paraId="3F2B30B3" w14:textId="77777777" w:rsidR="00340E47" w:rsidRPr="00A07BE9" w:rsidRDefault="00340E47" w:rsidP="00340E47">
      <w:pPr>
        <w:spacing w:after="0" w:line="276" w:lineRule="auto"/>
        <w:jc w:val="both"/>
        <w:rPr>
          <w:rFonts w:ascii="Open Sans" w:hAnsi="Open Sans" w:cs="Open Sans"/>
          <w:sz w:val="20"/>
          <w:szCs w:val="20"/>
        </w:rPr>
      </w:pPr>
      <w:r w:rsidRPr="00A07BE9">
        <w:rPr>
          <w:rFonts w:ascii="Open Sans" w:hAnsi="Open Sans" w:cs="Open Sans"/>
          <w:color w:val="000000"/>
          <w:sz w:val="20"/>
          <w:szCs w:val="20"/>
        </w:rPr>
        <w:t>Así, en el contexto estatal puede citarse, durante la pasada legislatura ya finalizada, la presentación de</w:t>
      </w:r>
      <w:r w:rsidRPr="00A07BE9">
        <w:rPr>
          <w:rFonts w:ascii="Open Sans" w:hAnsi="Open Sans" w:cs="Open Sans"/>
          <w:color w:val="729FCF"/>
          <w:sz w:val="20"/>
          <w:szCs w:val="20"/>
        </w:rPr>
        <w:t xml:space="preserve"> </w:t>
      </w:r>
      <w:r w:rsidRPr="00A07BE9">
        <w:rPr>
          <w:rFonts w:ascii="Open Sans" w:hAnsi="Open Sans" w:cs="Open Sans"/>
          <w:color w:val="000000"/>
          <w:sz w:val="20"/>
          <w:szCs w:val="20"/>
        </w:rPr>
        <w:t xml:space="preserve">tres proposiciones de ley en el Congreso de los Diputados: la </w:t>
      </w:r>
      <w:hyperlink r:id="rId118" w:history="1">
        <w:r w:rsidRPr="00A07BE9">
          <w:rPr>
            <w:rStyle w:val="Hipervnculo"/>
            <w:rFonts w:ascii="Open Sans" w:hAnsi="Open Sans" w:cs="Open Sans"/>
            <w:sz w:val="20"/>
            <w:szCs w:val="20"/>
          </w:rPr>
          <w:t>proposición de Ley de protección integral de los alertadores de 11 de junio de 2019</w:t>
        </w:r>
      </w:hyperlink>
      <w:r w:rsidRPr="00A07BE9">
        <w:rPr>
          <w:rFonts w:ascii="Open Sans" w:hAnsi="Open Sans" w:cs="Open Sans"/>
          <w:sz w:val="20"/>
          <w:szCs w:val="20"/>
        </w:rPr>
        <w:t>,</w:t>
      </w:r>
      <w:r w:rsidRPr="00A07BE9">
        <w:rPr>
          <w:rFonts w:ascii="Open Sans" w:hAnsi="Open Sans" w:cs="Open Sans"/>
          <w:color w:val="729FCF"/>
          <w:sz w:val="20"/>
          <w:szCs w:val="20"/>
        </w:rPr>
        <w:t xml:space="preserve"> </w:t>
      </w:r>
      <w:r w:rsidRPr="00A07BE9">
        <w:rPr>
          <w:rFonts w:ascii="Open Sans" w:hAnsi="Open Sans" w:cs="Open Sans"/>
          <w:color w:val="000000"/>
          <w:sz w:val="20"/>
          <w:szCs w:val="20"/>
        </w:rPr>
        <w:t>a iniciativa del</w:t>
      </w:r>
      <w:r w:rsidRPr="00A07BE9">
        <w:rPr>
          <w:rFonts w:ascii="Open Sans" w:hAnsi="Open Sans" w:cs="Open Sans"/>
          <w:sz w:val="20"/>
          <w:szCs w:val="20"/>
        </w:rPr>
        <w:t xml:space="preserve"> Grupo Mixto y 14 Diputados; </w:t>
      </w:r>
      <w:r w:rsidRPr="00A07BE9">
        <w:rPr>
          <w:rFonts w:ascii="Open Sans" w:hAnsi="Open Sans" w:cs="Open Sans"/>
          <w:sz w:val="20"/>
          <w:szCs w:val="20"/>
          <w:u w:val="single"/>
        </w:rPr>
        <w:t xml:space="preserve">la </w:t>
      </w:r>
      <w:hyperlink r:id="rId119" w:history="1">
        <w:r w:rsidRPr="00A07BE9">
          <w:rPr>
            <w:rStyle w:val="Hipervnculo"/>
            <w:rFonts w:ascii="Open Sans" w:hAnsi="Open Sans" w:cs="Open Sans"/>
            <w:sz w:val="20"/>
            <w:szCs w:val="20"/>
          </w:rPr>
          <w:t>proposición de Ley de protección integral de los denunciantes de corrupción de 25 de junio de 2019</w:t>
        </w:r>
      </w:hyperlink>
      <w:r w:rsidRPr="00A07BE9">
        <w:rPr>
          <w:rFonts w:ascii="Open Sans" w:hAnsi="Open Sans" w:cs="Open Sans"/>
          <w:color w:val="000000"/>
          <w:sz w:val="20"/>
          <w:szCs w:val="20"/>
        </w:rPr>
        <w:t xml:space="preserve">, suscrita por el Grupo Parlamentario VOX; y </w:t>
      </w:r>
      <w:r w:rsidRPr="00A07BE9">
        <w:rPr>
          <w:rFonts w:ascii="Open Sans" w:hAnsi="Open Sans" w:cs="Open Sans"/>
          <w:color w:val="000000"/>
          <w:sz w:val="20"/>
          <w:szCs w:val="20"/>
          <w:u w:val="single"/>
        </w:rPr>
        <w:t xml:space="preserve">la </w:t>
      </w:r>
      <w:hyperlink r:id="rId120" w:history="1">
        <w:r w:rsidRPr="00A07BE9">
          <w:rPr>
            <w:rStyle w:val="Hipervnculo"/>
            <w:rFonts w:ascii="Open Sans" w:hAnsi="Open Sans" w:cs="Open Sans"/>
            <w:sz w:val="20"/>
            <w:szCs w:val="20"/>
          </w:rPr>
          <w:t xml:space="preserve">proposición de Ley Orgánica de prevención de los intereses privados en el sector público, de protección </w:t>
        </w:r>
        <w:r w:rsidRPr="00A07BE9">
          <w:rPr>
            <w:rStyle w:val="Hipervnculo"/>
            <w:rFonts w:ascii="Open Sans" w:hAnsi="Open Sans" w:cs="Open Sans"/>
            <w:sz w:val="20"/>
            <w:szCs w:val="20"/>
          </w:rPr>
          <w:lastRenderedPageBreak/>
          <w:t>del Estado frente a la corrupción y contra las puertas giratorias de 6 de septiembre de 2019</w:t>
        </w:r>
      </w:hyperlink>
      <w:r w:rsidRPr="00A07BE9">
        <w:rPr>
          <w:rFonts w:ascii="Open Sans" w:hAnsi="Open Sans" w:cs="Open Sans"/>
          <w:color w:val="000000"/>
          <w:sz w:val="20"/>
          <w:szCs w:val="20"/>
        </w:rPr>
        <w:t xml:space="preserve">, presentada por el Grupo Parlamentario Unidas Podemos </w:t>
      </w:r>
      <w:r w:rsidRPr="00A07BE9">
        <w:rPr>
          <w:rFonts w:ascii="Open Sans" w:hAnsi="Open Sans" w:cs="Open Sans"/>
          <w:i/>
          <w:iCs/>
          <w:color w:val="000000"/>
          <w:sz w:val="20"/>
          <w:szCs w:val="20"/>
        </w:rPr>
        <w:t xml:space="preserve">- </w:t>
      </w:r>
      <w:r w:rsidRPr="00A07BE9">
        <w:rPr>
          <w:rFonts w:ascii="Open Sans" w:hAnsi="Open Sans" w:cs="Open Sans"/>
          <w:color w:val="000000"/>
          <w:sz w:val="20"/>
          <w:szCs w:val="20"/>
        </w:rPr>
        <w:t>En Comú Podem - Galicia en Común.</w:t>
      </w:r>
    </w:p>
    <w:p w14:paraId="76F8293A" w14:textId="77777777" w:rsidR="00340E47" w:rsidRPr="00A07BE9" w:rsidRDefault="00340E47" w:rsidP="00340E47">
      <w:pPr>
        <w:spacing w:after="0" w:line="276" w:lineRule="auto"/>
        <w:jc w:val="both"/>
        <w:rPr>
          <w:rFonts w:ascii="Open Sans" w:hAnsi="Open Sans" w:cs="Open Sans"/>
          <w:color w:val="000000"/>
          <w:sz w:val="20"/>
          <w:szCs w:val="20"/>
        </w:rPr>
      </w:pPr>
    </w:p>
    <w:p w14:paraId="29528CFC" w14:textId="77777777" w:rsidR="00340E47" w:rsidRPr="00A07BE9" w:rsidRDefault="00340E47" w:rsidP="00340E47">
      <w:pPr>
        <w:spacing w:after="0" w:line="276" w:lineRule="auto"/>
        <w:jc w:val="both"/>
        <w:rPr>
          <w:rFonts w:ascii="Open Sans" w:hAnsi="Open Sans" w:cs="Open Sans"/>
          <w:sz w:val="20"/>
          <w:szCs w:val="20"/>
        </w:rPr>
      </w:pPr>
      <w:r w:rsidRPr="00A07BE9">
        <w:rPr>
          <w:rFonts w:ascii="Open Sans" w:hAnsi="Open Sans" w:cs="Open Sans"/>
          <w:color w:val="000000"/>
          <w:sz w:val="20"/>
          <w:szCs w:val="20"/>
        </w:rPr>
        <w:t xml:space="preserve">En la presente legislatura, se han presentado en el Congreso de los Diputados tres nuevas proposiciones de ley relacionadas con la corrupción: la </w:t>
      </w:r>
      <w:hyperlink r:id="rId121" w:history="1">
        <w:r w:rsidRPr="00A07BE9">
          <w:rPr>
            <w:rStyle w:val="Hipervnculo"/>
            <w:rFonts w:ascii="Open Sans" w:hAnsi="Open Sans" w:cs="Open Sans"/>
            <w:sz w:val="20"/>
            <w:szCs w:val="20"/>
          </w:rPr>
          <w:t>proposición de Ley de protección integral de los alertadores</w:t>
        </w:r>
        <w:r w:rsidRPr="00A07BE9">
          <w:rPr>
            <w:rStyle w:val="Hipervnculo"/>
            <w:rFonts w:ascii="Open Sans" w:hAnsi="Open Sans" w:cs="Open Sans"/>
            <w:i/>
            <w:iCs/>
            <w:sz w:val="20"/>
            <w:szCs w:val="20"/>
          </w:rPr>
          <w:t xml:space="preserve"> </w:t>
        </w:r>
        <w:r w:rsidRPr="00A07BE9">
          <w:rPr>
            <w:rStyle w:val="Hipervnculo"/>
            <w:rFonts w:ascii="Open Sans" w:hAnsi="Open Sans" w:cs="Open Sans"/>
            <w:sz w:val="20"/>
            <w:szCs w:val="20"/>
          </w:rPr>
          <w:t>de 20 de diciembre de 2019</w:t>
        </w:r>
      </w:hyperlink>
      <w:r w:rsidRPr="00A07BE9">
        <w:rPr>
          <w:rFonts w:ascii="Open Sans" w:hAnsi="Open Sans" w:cs="Open Sans"/>
          <w:color w:val="000000"/>
          <w:sz w:val="20"/>
          <w:szCs w:val="20"/>
        </w:rPr>
        <w:t xml:space="preserve">, presentada por el Grupo Mixto y 15 Diputados; la </w:t>
      </w:r>
      <w:hyperlink r:id="rId122" w:history="1">
        <w:r w:rsidRPr="00A07BE9">
          <w:rPr>
            <w:rStyle w:val="Hipervnculo"/>
            <w:rFonts w:ascii="Open Sans" w:hAnsi="Open Sans" w:cs="Open Sans"/>
            <w:sz w:val="20"/>
            <w:szCs w:val="20"/>
          </w:rPr>
          <w:t>proposición de Ley de medidas de lucha contra la corrupción de 17 de enero de 2020</w:t>
        </w:r>
      </w:hyperlink>
      <w:r w:rsidRPr="00A07BE9">
        <w:rPr>
          <w:rFonts w:ascii="Open Sans" w:hAnsi="Open Sans" w:cs="Open Sans"/>
          <w:color w:val="000000"/>
          <w:sz w:val="20"/>
          <w:szCs w:val="20"/>
        </w:rPr>
        <w:t xml:space="preserve">, a iniciativa del Grupo Parlamentario Ciudadanos; y la </w:t>
      </w:r>
      <w:hyperlink r:id="rId123" w:history="1">
        <w:r w:rsidRPr="00A07BE9">
          <w:rPr>
            <w:rStyle w:val="Hipervnculo"/>
            <w:rFonts w:ascii="Open Sans" w:hAnsi="Open Sans" w:cs="Open Sans"/>
            <w:sz w:val="20"/>
            <w:szCs w:val="20"/>
          </w:rPr>
          <w:t>proposición de Ley de protección integral de los denunciantes de corrupción de 21 de febrero de 2020</w:t>
        </w:r>
      </w:hyperlink>
      <w:r w:rsidRPr="00A07BE9">
        <w:rPr>
          <w:rFonts w:ascii="Open Sans" w:hAnsi="Open Sans" w:cs="Open Sans"/>
          <w:color w:val="000000"/>
          <w:sz w:val="20"/>
          <w:szCs w:val="20"/>
        </w:rPr>
        <w:t>, por el Grupo Parlamentario VOX.</w:t>
      </w:r>
    </w:p>
    <w:p w14:paraId="5EF75D36" w14:textId="77777777" w:rsidR="00340E47" w:rsidRPr="00A07BE9" w:rsidRDefault="00340E47" w:rsidP="00340E47">
      <w:pPr>
        <w:spacing w:after="0" w:line="276" w:lineRule="auto"/>
        <w:jc w:val="both"/>
        <w:rPr>
          <w:rFonts w:ascii="Open Sans" w:hAnsi="Open Sans" w:cs="Open Sans"/>
          <w:color w:val="000000"/>
          <w:sz w:val="20"/>
          <w:szCs w:val="20"/>
        </w:rPr>
      </w:pPr>
    </w:p>
    <w:p w14:paraId="52BFCD43" w14:textId="06FB6686" w:rsidR="00340E47" w:rsidRPr="00A07BE9" w:rsidRDefault="00340E47" w:rsidP="00340E47">
      <w:pPr>
        <w:spacing w:after="0" w:line="276" w:lineRule="auto"/>
        <w:jc w:val="both"/>
        <w:rPr>
          <w:rFonts w:ascii="Open Sans" w:hAnsi="Open Sans" w:cs="Open Sans"/>
          <w:sz w:val="20"/>
          <w:szCs w:val="20"/>
        </w:rPr>
      </w:pPr>
      <w:r w:rsidRPr="00A07BE9">
        <w:rPr>
          <w:rFonts w:ascii="Open Sans" w:hAnsi="Open Sans" w:cs="Open Sans"/>
          <w:color w:val="000000"/>
          <w:sz w:val="20"/>
          <w:szCs w:val="20"/>
        </w:rPr>
        <w:t xml:space="preserve">En el ámbito autonómico, además de las leyes ya existentes en esta materia en </w:t>
      </w:r>
      <w:hyperlink r:id="rId124" w:history="1">
        <w:r w:rsidRPr="00A07BE9">
          <w:rPr>
            <w:rStyle w:val="Hipervnculo"/>
            <w:rFonts w:ascii="Open Sans" w:hAnsi="Open Sans" w:cs="Open Sans"/>
            <w:sz w:val="20"/>
            <w:szCs w:val="20"/>
          </w:rPr>
          <w:t>Cataluña</w:t>
        </w:r>
      </w:hyperlink>
      <w:r w:rsidRPr="00A07BE9">
        <w:rPr>
          <w:rFonts w:ascii="Open Sans" w:hAnsi="Open Sans" w:cs="Open Sans"/>
          <w:color w:val="000000"/>
          <w:sz w:val="20"/>
          <w:szCs w:val="20"/>
        </w:rPr>
        <w:t xml:space="preserve"> (2008), </w:t>
      </w:r>
      <w:hyperlink r:id="rId125" w:history="1">
        <w:r w:rsidRPr="00A07BE9">
          <w:rPr>
            <w:rStyle w:val="Hipervnculo"/>
            <w:rFonts w:ascii="Open Sans" w:hAnsi="Open Sans" w:cs="Open Sans"/>
            <w:sz w:val="20"/>
            <w:szCs w:val="20"/>
          </w:rPr>
          <w:t>Comunitat Valenciana</w:t>
        </w:r>
      </w:hyperlink>
      <w:r w:rsidRPr="00A07BE9">
        <w:rPr>
          <w:rFonts w:ascii="Open Sans" w:hAnsi="Open Sans" w:cs="Open Sans"/>
          <w:color w:val="000000"/>
          <w:sz w:val="20"/>
          <w:szCs w:val="20"/>
        </w:rPr>
        <w:t xml:space="preserve"> (2016), </w:t>
      </w:r>
      <w:hyperlink r:id="rId126" w:history="1">
        <w:r w:rsidRPr="00A07BE9">
          <w:rPr>
            <w:rStyle w:val="Hipervnculo"/>
            <w:rFonts w:ascii="Open Sans" w:hAnsi="Open Sans" w:cs="Open Sans"/>
            <w:sz w:val="20"/>
            <w:szCs w:val="20"/>
          </w:rPr>
          <w:t>I</w:t>
        </w:r>
        <w:r w:rsidR="00072D60" w:rsidRPr="00A07BE9">
          <w:rPr>
            <w:rStyle w:val="Hipervnculo"/>
            <w:rFonts w:ascii="Open Sans" w:hAnsi="Open Sans" w:cs="Open Sans"/>
            <w:sz w:val="20"/>
            <w:szCs w:val="20"/>
          </w:rPr>
          <w:t>ll</w:t>
        </w:r>
        <w:r w:rsidRPr="00A07BE9">
          <w:rPr>
            <w:rStyle w:val="Hipervnculo"/>
            <w:rFonts w:ascii="Open Sans" w:hAnsi="Open Sans" w:cs="Open Sans"/>
            <w:sz w:val="20"/>
            <w:szCs w:val="20"/>
          </w:rPr>
          <w:t>es Balears</w:t>
        </w:r>
      </w:hyperlink>
      <w:r w:rsidRPr="00A07BE9">
        <w:rPr>
          <w:rFonts w:ascii="Open Sans" w:hAnsi="Open Sans" w:cs="Open Sans"/>
          <w:color w:val="000000"/>
          <w:sz w:val="20"/>
          <w:szCs w:val="20"/>
        </w:rPr>
        <w:t xml:space="preserve"> (2016), </w:t>
      </w:r>
      <w:hyperlink r:id="rId127" w:history="1">
        <w:r w:rsidRPr="00A07BE9">
          <w:rPr>
            <w:rStyle w:val="Hipervnculo"/>
            <w:rFonts w:ascii="Open Sans" w:hAnsi="Open Sans" w:cs="Open Sans"/>
            <w:sz w:val="20"/>
            <w:szCs w:val="20"/>
          </w:rPr>
          <w:t>Aragón</w:t>
        </w:r>
      </w:hyperlink>
      <w:r w:rsidRPr="00A07BE9">
        <w:rPr>
          <w:rFonts w:ascii="Open Sans" w:hAnsi="Open Sans" w:cs="Open Sans"/>
          <w:color w:val="000000"/>
          <w:sz w:val="20"/>
          <w:szCs w:val="20"/>
        </w:rPr>
        <w:t xml:space="preserve"> (2017), </w:t>
      </w:r>
      <w:hyperlink r:id="rId128" w:history="1">
        <w:r w:rsidRPr="00A07BE9">
          <w:rPr>
            <w:rStyle w:val="Hipervnculo"/>
            <w:rFonts w:ascii="Open Sans" w:hAnsi="Open Sans" w:cs="Open Sans"/>
            <w:sz w:val="20"/>
            <w:szCs w:val="20"/>
          </w:rPr>
          <w:t>Navarra</w:t>
        </w:r>
      </w:hyperlink>
      <w:r w:rsidRPr="00A07BE9">
        <w:rPr>
          <w:rFonts w:ascii="Open Sans" w:hAnsi="Open Sans" w:cs="Open Sans"/>
          <w:color w:val="000000"/>
          <w:sz w:val="20"/>
          <w:szCs w:val="20"/>
        </w:rPr>
        <w:t xml:space="preserve"> (2018) y </w:t>
      </w:r>
      <w:hyperlink r:id="rId129" w:history="1">
        <w:r w:rsidRPr="00A07BE9">
          <w:rPr>
            <w:rStyle w:val="Hipervnculo"/>
            <w:rFonts w:ascii="Open Sans" w:hAnsi="Open Sans" w:cs="Open Sans"/>
            <w:sz w:val="20"/>
            <w:szCs w:val="20"/>
          </w:rPr>
          <w:t>Asturias</w:t>
        </w:r>
      </w:hyperlink>
      <w:r w:rsidRPr="00A07BE9">
        <w:rPr>
          <w:rFonts w:ascii="Open Sans" w:hAnsi="Open Sans" w:cs="Open Sans"/>
          <w:color w:val="000000"/>
          <w:sz w:val="20"/>
          <w:szCs w:val="20"/>
        </w:rPr>
        <w:t xml:space="preserve"> (2018), la aprobada en </w:t>
      </w:r>
      <w:hyperlink r:id="rId130" w:history="1">
        <w:r w:rsidRPr="00A07BE9">
          <w:rPr>
            <w:rStyle w:val="Hipervnculo"/>
            <w:rFonts w:ascii="Open Sans" w:hAnsi="Open Sans" w:cs="Open Sans"/>
            <w:sz w:val="20"/>
            <w:szCs w:val="20"/>
          </w:rPr>
          <w:t>Galicia</w:t>
        </w:r>
      </w:hyperlink>
      <w:r w:rsidRPr="00A07BE9">
        <w:rPr>
          <w:rFonts w:ascii="Open Sans" w:hAnsi="Open Sans" w:cs="Open Sans"/>
          <w:color w:val="000000"/>
          <w:sz w:val="20"/>
          <w:szCs w:val="20"/>
        </w:rPr>
        <w:t xml:space="preserve"> en 2015 en materia de prevención, y la normativa municipal de los Ayuntamientos de </w:t>
      </w:r>
      <w:hyperlink r:id="rId131" w:history="1">
        <w:r w:rsidRPr="00A07BE9">
          <w:rPr>
            <w:rStyle w:val="Hipervnculo"/>
            <w:rFonts w:ascii="Open Sans" w:hAnsi="Open Sans" w:cs="Open Sans"/>
            <w:sz w:val="20"/>
            <w:szCs w:val="20"/>
          </w:rPr>
          <w:t>Barcelona</w:t>
        </w:r>
      </w:hyperlink>
      <w:r w:rsidRPr="00A07BE9">
        <w:rPr>
          <w:rFonts w:ascii="Open Sans" w:hAnsi="Open Sans" w:cs="Open Sans"/>
          <w:color w:val="000000"/>
          <w:sz w:val="20"/>
          <w:szCs w:val="20"/>
        </w:rPr>
        <w:t xml:space="preserve"> (2015) y </w:t>
      </w:r>
      <w:hyperlink r:id="rId132" w:history="1">
        <w:r w:rsidRPr="00A07BE9">
          <w:rPr>
            <w:rStyle w:val="Hipervnculo"/>
            <w:rFonts w:ascii="Open Sans" w:hAnsi="Open Sans" w:cs="Open Sans"/>
            <w:sz w:val="20"/>
            <w:szCs w:val="20"/>
          </w:rPr>
          <w:t>Madrid</w:t>
        </w:r>
      </w:hyperlink>
      <w:r w:rsidRPr="00A07BE9">
        <w:rPr>
          <w:rFonts w:ascii="Open Sans" w:hAnsi="Open Sans" w:cs="Open Sans"/>
          <w:color w:val="000000"/>
          <w:sz w:val="20"/>
          <w:szCs w:val="20"/>
        </w:rPr>
        <w:t xml:space="preserve"> (2016), en este año 2019, las iniciativas legislativas han sido las siguientes:</w:t>
      </w:r>
    </w:p>
    <w:p w14:paraId="23326BB8" w14:textId="77777777" w:rsidR="00340E47" w:rsidRPr="00A07BE9" w:rsidRDefault="00340E47" w:rsidP="00340E47">
      <w:pPr>
        <w:spacing w:after="0" w:line="276" w:lineRule="auto"/>
        <w:jc w:val="both"/>
        <w:rPr>
          <w:rFonts w:ascii="Open Sans" w:hAnsi="Open Sans" w:cs="Open Sans"/>
          <w:color w:val="000000"/>
          <w:sz w:val="20"/>
          <w:szCs w:val="20"/>
        </w:rPr>
      </w:pPr>
    </w:p>
    <w:p w14:paraId="605B264B" w14:textId="77777777" w:rsidR="00340E47" w:rsidRPr="00A07BE9" w:rsidRDefault="00000000" w:rsidP="00340E47">
      <w:pPr>
        <w:pStyle w:val="Prrafodelista"/>
        <w:numPr>
          <w:ilvl w:val="0"/>
          <w:numId w:val="2"/>
        </w:numPr>
        <w:spacing w:after="0" w:line="276" w:lineRule="auto"/>
        <w:ind w:left="924" w:hanging="357"/>
        <w:jc w:val="both"/>
        <w:rPr>
          <w:rFonts w:ascii="Open Sans" w:hAnsi="Open Sans" w:cs="Open Sans"/>
          <w:sz w:val="20"/>
          <w:szCs w:val="20"/>
          <w:u w:val="single"/>
        </w:rPr>
      </w:pPr>
      <w:hyperlink r:id="rId133" w:history="1">
        <w:r w:rsidR="00340E47" w:rsidRPr="00A07BE9">
          <w:rPr>
            <w:rStyle w:val="Hipervnculo"/>
            <w:rFonts w:ascii="Open Sans" w:hAnsi="Open Sans" w:cs="Open Sans"/>
            <w:sz w:val="20"/>
            <w:szCs w:val="20"/>
          </w:rPr>
          <w:t>Proposición de Ley relativa a las personas que alerten de infracciones legales, abusos de derecho y malas prácticas contra el bien común en Euskadi, presentada por el Grupo Parlamentario Elkarrekin Podemos</w:t>
        </w:r>
      </w:hyperlink>
      <w:r w:rsidR="00340E47" w:rsidRPr="00A07BE9">
        <w:rPr>
          <w:rFonts w:ascii="Open Sans" w:hAnsi="Open Sans" w:cs="Open Sans"/>
          <w:color w:val="000000"/>
          <w:sz w:val="20"/>
          <w:szCs w:val="20"/>
          <w:u w:val="single"/>
        </w:rPr>
        <w:t>.</w:t>
      </w:r>
    </w:p>
    <w:p w14:paraId="23D8EAC8" w14:textId="77777777" w:rsidR="00340E47" w:rsidRPr="00A07BE9" w:rsidRDefault="00000000" w:rsidP="00340E47">
      <w:pPr>
        <w:pStyle w:val="Prrafodelista"/>
        <w:numPr>
          <w:ilvl w:val="0"/>
          <w:numId w:val="2"/>
        </w:numPr>
        <w:spacing w:after="0" w:line="276" w:lineRule="auto"/>
        <w:ind w:left="924" w:hanging="357"/>
        <w:jc w:val="both"/>
        <w:rPr>
          <w:rFonts w:ascii="Open Sans" w:hAnsi="Open Sans" w:cs="Open Sans"/>
          <w:sz w:val="20"/>
          <w:szCs w:val="20"/>
          <w:u w:val="single"/>
        </w:rPr>
      </w:pPr>
      <w:hyperlink r:id="rId134" w:history="1">
        <w:r w:rsidR="00340E47" w:rsidRPr="00A07BE9">
          <w:rPr>
            <w:rStyle w:val="Hipervnculo"/>
            <w:rFonts w:ascii="Open Sans" w:hAnsi="Open Sans" w:cs="Open Sans"/>
            <w:sz w:val="20"/>
            <w:szCs w:val="20"/>
          </w:rPr>
          <w:t>Anteproyecto de Ley referido a la lucha integral contra el fraude y la corrupción, creación de una oficina andaluza de lucha contra el fraude y a la protección de las personas denunciantes</w:t>
        </w:r>
      </w:hyperlink>
      <w:r w:rsidR="00340E47" w:rsidRPr="00A07BE9">
        <w:rPr>
          <w:rFonts w:ascii="Open Sans" w:hAnsi="Open Sans" w:cs="Open Sans"/>
          <w:color w:val="000000"/>
          <w:sz w:val="20"/>
          <w:szCs w:val="20"/>
          <w:u w:val="single"/>
        </w:rPr>
        <w:t xml:space="preserve">. </w:t>
      </w:r>
    </w:p>
    <w:p w14:paraId="53B3C4D6" w14:textId="77777777" w:rsidR="00340E47" w:rsidRPr="00A07BE9" w:rsidRDefault="00000000" w:rsidP="00340E47">
      <w:pPr>
        <w:pStyle w:val="Prrafodelista"/>
        <w:numPr>
          <w:ilvl w:val="0"/>
          <w:numId w:val="2"/>
        </w:numPr>
        <w:spacing w:after="0" w:line="276" w:lineRule="auto"/>
        <w:ind w:left="924" w:hanging="357"/>
        <w:jc w:val="both"/>
        <w:rPr>
          <w:rFonts w:ascii="Open Sans" w:hAnsi="Open Sans" w:cs="Open Sans"/>
          <w:sz w:val="20"/>
          <w:szCs w:val="20"/>
          <w:u w:val="single"/>
        </w:rPr>
      </w:pPr>
      <w:hyperlink r:id="rId135" w:history="1">
        <w:r w:rsidR="00340E47" w:rsidRPr="00A07BE9">
          <w:rPr>
            <w:rStyle w:val="Hipervnculo"/>
            <w:rFonts w:ascii="Open Sans" w:hAnsi="Open Sans" w:cs="Open Sans"/>
            <w:sz w:val="20"/>
            <w:szCs w:val="20"/>
          </w:rPr>
          <w:t>Anteproyecto de Ley de Defensor de los Denunciantes de Corrupción Política de la Comunidad de Madrid</w:t>
        </w:r>
      </w:hyperlink>
      <w:r w:rsidR="00340E47" w:rsidRPr="00A07BE9">
        <w:rPr>
          <w:rFonts w:ascii="Open Sans" w:hAnsi="Open Sans" w:cs="Open Sans"/>
          <w:color w:val="000000"/>
          <w:sz w:val="20"/>
          <w:szCs w:val="20"/>
          <w:u w:val="single"/>
        </w:rPr>
        <w:t xml:space="preserve">. </w:t>
      </w:r>
    </w:p>
    <w:p w14:paraId="329318D7" w14:textId="77777777" w:rsidR="00340E47" w:rsidRPr="00A07BE9" w:rsidRDefault="00000000" w:rsidP="00340E47">
      <w:pPr>
        <w:pStyle w:val="Prrafodelista"/>
        <w:numPr>
          <w:ilvl w:val="0"/>
          <w:numId w:val="2"/>
        </w:numPr>
        <w:spacing w:after="0" w:line="276" w:lineRule="auto"/>
        <w:ind w:left="924" w:hanging="357"/>
        <w:jc w:val="both"/>
        <w:rPr>
          <w:rFonts w:ascii="Open Sans" w:hAnsi="Open Sans" w:cs="Open Sans"/>
          <w:sz w:val="20"/>
          <w:szCs w:val="20"/>
          <w:u w:val="single"/>
        </w:rPr>
      </w:pPr>
      <w:hyperlink r:id="rId136" w:history="1">
        <w:r w:rsidR="00340E47" w:rsidRPr="00A07BE9">
          <w:rPr>
            <w:rStyle w:val="Hipervnculo"/>
            <w:rFonts w:ascii="Open Sans" w:hAnsi="Open Sans" w:cs="Open Sans"/>
            <w:sz w:val="20"/>
            <w:szCs w:val="20"/>
          </w:rPr>
          <w:t>Proposición de Ley 79, de creación de la Agencia de prevención y lucha contra el fraude y la corrupción de la Comunidad Autónoma de la Región de Murcia, formulada por el Grupo Parlamentario Podemos</w:t>
        </w:r>
      </w:hyperlink>
      <w:r w:rsidR="00340E47" w:rsidRPr="00A07BE9">
        <w:rPr>
          <w:rFonts w:ascii="Open Sans" w:hAnsi="Open Sans" w:cs="Open Sans"/>
          <w:color w:val="000000"/>
          <w:sz w:val="20"/>
          <w:szCs w:val="20"/>
          <w:u w:val="single"/>
        </w:rPr>
        <w:t xml:space="preserve">. </w:t>
      </w:r>
    </w:p>
    <w:p w14:paraId="502CB470" w14:textId="77777777" w:rsidR="00340E47" w:rsidRPr="00A07BE9" w:rsidRDefault="00000000" w:rsidP="00340E47">
      <w:pPr>
        <w:pStyle w:val="Prrafodelista"/>
        <w:numPr>
          <w:ilvl w:val="0"/>
          <w:numId w:val="2"/>
        </w:numPr>
        <w:spacing w:after="0" w:line="276" w:lineRule="auto"/>
        <w:ind w:left="924" w:hanging="357"/>
        <w:jc w:val="both"/>
        <w:rPr>
          <w:rFonts w:ascii="Open Sans" w:hAnsi="Open Sans" w:cs="Open Sans"/>
          <w:sz w:val="20"/>
          <w:szCs w:val="20"/>
        </w:rPr>
      </w:pPr>
      <w:hyperlink r:id="rId137" w:history="1">
        <w:r w:rsidR="00340E47" w:rsidRPr="00A07BE9">
          <w:rPr>
            <w:rStyle w:val="Hipervnculo"/>
            <w:rFonts w:ascii="Open Sans" w:hAnsi="Open Sans" w:cs="Open Sans"/>
            <w:sz w:val="20"/>
            <w:szCs w:val="20"/>
          </w:rPr>
          <w:t>Proposición de Ley 91, de gobierno abierto y lucha contra la corrupción en la Región de Murcia, del Grupo Parlamentario Ciudadanos - Partido de la Ciudadanía</w:t>
        </w:r>
      </w:hyperlink>
      <w:r w:rsidR="00340E47" w:rsidRPr="00A07BE9">
        <w:rPr>
          <w:rFonts w:ascii="Open Sans" w:hAnsi="Open Sans" w:cs="Open Sans"/>
          <w:color w:val="000000"/>
          <w:sz w:val="20"/>
          <w:szCs w:val="20"/>
        </w:rPr>
        <w:t xml:space="preserve">. </w:t>
      </w:r>
    </w:p>
    <w:p w14:paraId="5E131FB3" w14:textId="77777777" w:rsidR="00340E47" w:rsidRPr="00A07BE9" w:rsidRDefault="00000000" w:rsidP="00340E47">
      <w:pPr>
        <w:pStyle w:val="Prrafodelista"/>
        <w:numPr>
          <w:ilvl w:val="0"/>
          <w:numId w:val="2"/>
        </w:numPr>
        <w:spacing w:after="0" w:line="276" w:lineRule="auto"/>
        <w:ind w:left="924" w:hanging="357"/>
        <w:jc w:val="both"/>
        <w:rPr>
          <w:rFonts w:ascii="Open Sans" w:hAnsi="Open Sans" w:cs="Open Sans"/>
          <w:sz w:val="20"/>
          <w:szCs w:val="20"/>
          <w:u w:val="single"/>
        </w:rPr>
      </w:pPr>
      <w:hyperlink r:id="rId138" w:history="1">
        <w:r w:rsidR="00340E47" w:rsidRPr="00A07BE9">
          <w:rPr>
            <w:rStyle w:val="Hipervnculo"/>
            <w:rFonts w:ascii="Open Sans" w:hAnsi="Open Sans" w:cs="Open Sans"/>
            <w:sz w:val="20"/>
            <w:szCs w:val="20"/>
          </w:rPr>
          <w:t>Proposición de Ley de Protección Integral de los denunciantes de corrupción de la Comunidad Autónoma de Cantabria, presentada por el Grupo Parlamentario Mixto</w:t>
        </w:r>
      </w:hyperlink>
      <w:r w:rsidR="00340E47" w:rsidRPr="00A07BE9">
        <w:rPr>
          <w:rFonts w:ascii="Open Sans" w:hAnsi="Open Sans" w:cs="Open Sans"/>
          <w:color w:val="000000"/>
          <w:sz w:val="20"/>
          <w:szCs w:val="20"/>
          <w:u w:val="single"/>
        </w:rPr>
        <w:t>.</w:t>
      </w:r>
    </w:p>
    <w:p w14:paraId="1EB40F44" w14:textId="77777777" w:rsidR="00340E47" w:rsidRPr="00A07BE9" w:rsidRDefault="00340E47" w:rsidP="00340E47">
      <w:pPr>
        <w:spacing w:after="0" w:line="276" w:lineRule="auto"/>
        <w:ind w:left="567"/>
        <w:jc w:val="both"/>
        <w:rPr>
          <w:rFonts w:ascii="Open Sans" w:hAnsi="Open Sans" w:cs="Open Sans"/>
          <w:color w:val="000000"/>
          <w:sz w:val="20"/>
          <w:szCs w:val="20"/>
        </w:rPr>
      </w:pPr>
    </w:p>
    <w:p w14:paraId="7CBA5321" w14:textId="4AE98A15" w:rsidR="00340E47" w:rsidRPr="00A07BE9" w:rsidRDefault="00340E47" w:rsidP="00340E47">
      <w:pPr>
        <w:spacing w:after="0" w:line="276" w:lineRule="auto"/>
        <w:jc w:val="both"/>
        <w:rPr>
          <w:rFonts w:ascii="Open Sans" w:hAnsi="Open Sans" w:cs="Open Sans"/>
          <w:sz w:val="20"/>
          <w:szCs w:val="20"/>
        </w:rPr>
      </w:pPr>
      <w:r w:rsidRPr="00A07BE9">
        <w:rPr>
          <w:rFonts w:ascii="Open Sans" w:hAnsi="Open Sans" w:cs="Open Sans"/>
          <w:color w:val="000000"/>
          <w:sz w:val="20"/>
          <w:szCs w:val="20"/>
        </w:rPr>
        <w:t xml:space="preserve">Además, a fecha de redacción de esta Memoria, se ha abierto fase de participación pública sobre el </w:t>
      </w:r>
      <w:hyperlink r:id="rId139" w:history="1">
        <w:r w:rsidRPr="00A07BE9">
          <w:rPr>
            <w:rStyle w:val="Hipervnculo"/>
            <w:rFonts w:ascii="Open Sans" w:hAnsi="Open Sans" w:cs="Open Sans"/>
            <w:sz w:val="20"/>
            <w:szCs w:val="20"/>
          </w:rPr>
          <w:t xml:space="preserve">Anteproyecto de </w:t>
        </w:r>
        <w:r w:rsidR="001B2790" w:rsidRPr="00A07BE9">
          <w:rPr>
            <w:rStyle w:val="Hipervnculo"/>
            <w:rFonts w:ascii="Open Sans" w:hAnsi="Open Sans" w:cs="Open Sans"/>
            <w:sz w:val="20"/>
            <w:szCs w:val="20"/>
          </w:rPr>
          <w:t>L</w:t>
        </w:r>
        <w:r w:rsidRPr="00A07BE9">
          <w:rPr>
            <w:rStyle w:val="Hipervnculo"/>
            <w:rFonts w:ascii="Open Sans" w:hAnsi="Open Sans" w:cs="Open Sans"/>
            <w:sz w:val="20"/>
            <w:szCs w:val="20"/>
          </w:rPr>
          <w:t>ey por la que se regula la Agencia de Prevención y Lucha contra el Fraude y la Corrupción de la Comunidad de Castilla y León</w:t>
        </w:r>
      </w:hyperlink>
      <w:r w:rsidRPr="00A07BE9">
        <w:rPr>
          <w:rFonts w:ascii="Open Sans" w:hAnsi="Open Sans" w:cs="Open Sans"/>
          <w:color w:val="000000"/>
          <w:sz w:val="20"/>
          <w:szCs w:val="20"/>
        </w:rPr>
        <w:t xml:space="preserve"> y se establece el estatuto de las personas denunciantes.</w:t>
      </w:r>
    </w:p>
    <w:p w14:paraId="1314185F" w14:textId="77777777" w:rsidR="00340E47" w:rsidRPr="00A07BE9" w:rsidRDefault="00340E47" w:rsidP="00340E47">
      <w:pPr>
        <w:spacing w:after="0" w:line="276" w:lineRule="auto"/>
        <w:jc w:val="both"/>
        <w:rPr>
          <w:rFonts w:ascii="Open Sans" w:hAnsi="Open Sans" w:cs="Open Sans"/>
          <w:color w:val="000000"/>
          <w:sz w:val="20"/>
          <w:szCs w:val="20"/>
        </w:rPr>
      </w:pPr>
    </w:p>
    <w:p w14:paraId="04F79FE6" w14:textId="375509E8" w:rsidR="00340E47" w:rsidRPr="00A07BE9" w:rsidRDefault="00340E47" w:rsidP="00340E47">
      <w:pPr>
        <w:spacing w:after="0" w:line="276" w:lineRule="auto"/>
        <w:jc w:val="both"/>
        <w:rPr>
          <w:rFonts w:ascii="Open Sans" w:hAnsi="Open Sans" w:cs="Open Sans"/>
          <w:color w:val="000000"/>
          <w:sz w:val="20"/>
          <w:szCs w:val="20"/>
        </w:rPr>
      </w:pPr>
      <w:r w:rsidRPr="00A07BE9">
        <w:rPr>
          <w:rFonts w:ascii="Open Sans" w:hAnsi="Open Sans" w:cs="Open Sans"/>
          <w:color w:val="000000"/>
          <w:sz w:val="20"/>
          <w:szCs w:val="20"/>
        </w:rPr>
        <w:t xml:space="preserve">Como puede observarse en el contenido de muchos de estos textos legislativos, la </w:t>
      </w:r>
      <w:hyperlink r:id="rId140" w:history="1">
        <w:r w:rsidRPr="00A07BE9">
          <w:rPr>
            <w:rStyle w:val="Hipervnculo"/>
            <w:rFonts w:ascii="Open Sans" w:hAnsi="Open Sans" w:cs="Open Sans"/>
            <w:sz w:val="20"/>
            <w:szCs w:val="20"/>
          </w:rPr>
          <w:t>Ley 11/2016</w:t>
        </w:r>
        <w:r w:rsidRPr="00A07BE9">
          <w:rPr>
            <w:rStyle w:val="Hipervnculo"/>
            <w:rFonts w:ascii="Open Sans" w:hAnsi="Open Sans" w:cs="Open Sans"/>
            <w:color w:val="auto"/>
            <w:sz w:val="20"/>
            <w:szCs w:val="20"/>
            <w:u w:val="none"/>
          </w:rPr>
          <w:t>, de 28 de noviembre, de la Generalitat</w:t>
        </w:r>
      </w:hyperlink>
      <w:r w:rsidRPr="00A07BE9">
        <w:rPr>
          <w:rFonts w:ascii="Open Sans" w:hAnsi="Open Sans" w:cs="Open Sans"/>
          <w:color w:val="000000"/>
          <w:sz w:val="20"/>
          <w:szCs w:val="20"/>
        </w:rPr>
        <w:t xml:space="preserve">, de la Agencia de Prevención y Lucha contra el Fraude y la Corrupción de la Comunitat Valenciana ha ejercido una clara e importante </w:t>
      </w:r>
      <w:r w:rsidRPr="00A07BE9">
        <w:rPr>
          <w:rFonts w:ascii="Open Sans" w:hAnsi="Open Sans" w:cs="Open Sans"/>
          <w:color w:val="000000"/>
          <w:sz w:val="20"/>
          <w:szCs w:val="20"/>
        </w:rPr>
        <w:lastRenderedPageBreak/>
        <w:t>influencia sobre estas normas, en especial en lo referente al régimen jurídico de la protección a las personas denunciantes y a la potestad sancionadora dentro de este ámbito.</w:t>
      </w:r>
    </w:p>
    <w:p w14:paraId="2ABDF48D" w14:textId="77777777" w:rsidR="00340E47" w:rsidRPr="00A07BE9" w:rsidRDefault="00340E47" w:rsidP="00340E47">
      <w:pPr>
        <w:spacing w:after="0" w:line="276" w:lineRule="auto"/>
        <w:jc w:val="both"/>
        <w:rPr>
          <w:rFonts w:ascii="Open Sans" w:hAnsi="Open Sans" w:cs="Open Sans"/>
          <w:color w:val="000000"/>
          <w:sz w:val="20"/>
          <w:szCs w:val="20"/>
        </w:rPr>
      </w:pPr>
    </w:p>
    <w:p w14:paraId="545B8F53" w14:textId="0892F2F0" w:rsidR="00340E47" w:rsidRPr="00A07BE9" w:rsidRDefault="00340E47" w:rsidP="00340E47">
      <w:pPr>
        <w:spacing w:after="0" w:line="276" w:lineRule="auto"/>
        <w:jc w:val="both"/>
        <w:rPr>
          <w:rFonts w:ascii="Open Sans" w:hAnsi="Open Sans" w:cs="Open Sans"/>
          <w:color w:val="000000"/>
          <w:sz w:val="20"/>
          <w:szCs w:val="20"/>
        </w:rPr>
      </w:pPr>
      <w:r w:rsidRPr="00A07BE9">
        <w:rPr>
          <w:rFonts w:ascii="Open Sans" w:hAnsi="Open Sans" w:cs="Open Sans"/>
          <w:color w:val="000000"/>
          <w:sz w:val="20"/>
          <w:szCs w:val="20"/>
        </w:rPr>
        <w:t xml:space="preserve">No obstante la existencia de estos reconocimientos a la Ley valenciana, fruto de la experiencia alcanzada y con la intención de seguir perfeccionando el texto de la Ley fundacional de la Agencia y de lograr una deseada cohesión con otras leyes similares en un terreno tan novedoso dentro del ordenamiento jurídico español y autonómico como el que nos ocupa, en octubre de 2019, la dirección de la Agencia elaboró y remitió al president de les Corts, a la Mesa y a los síndics de los Grupos Parlamentarios, una propuesta de modificación puntual de la citada </w:t>
      </w:r>
      <w:hyperlink r:id="rId141" w:history="1">
        <w:r w:rsidR="00CB3D31" w:rsidRPr="00A07BE9">
          <w:rPr>
            <w:rStyle w:val="Hipervnculo"/>
            <w:rFonts w:ascii="Open Sans" w:hAnsi="Open Sans" w:cs="Open Sans"/>
            <w:sz w:val="20"/>
            <w:szCs w:val="20"/>
          </w:rPr>
          <w:t>Ley 11/2016</w:t>
        </w:r>
        <w:r w:rsidR="00CB3D31" w:rsidRPr="00A07BE9">
          <w:rPr>
            <w:rStyle w:val="Hipervnculo"/>
            <w:rFonts w:ascii="Open Sans" w:hAnsi="Open Sans"/>
            <w:sz w:val="20"/>
            <w:szCs w:val="20"/>
          </w:rPr>
          <w:t>,</w:t>
        </w:r>
      </w:hyperlink>
      <w:r w:rsidRPr="00A07BE9">
        <w:rPr>
          <w:rFonts w:ascii="Open Sans" w:hAnsi="Open Sans" w:cs="Open Sans"/>
          <w:color w:val="000000"/>
          <w:sz w:val="20"/>
          <w:szCs w:val="20"/>
        </w:rPr>
        <w:t xml:space="preserve"> y otra propuesta para integrar la Agencia, en el texto de la disposición adicional primera de la Ley de Presupuestos de la Generalitat para 2020, junto con las demás instituciones comisionadas de les Corts. </w:t>
      </w:r>
    </w:p>
    <w:p w14:paraId="579655A4" w14:textId="77777777" w:rsidR="00340E47" w:rsidRPr="00A07BE9" w:rsidRDefault="00340E47" w:rsidP="00340E47">
      <w:pPr>
        <w:spacing w:after="0" w:line="276" w:lineRule="auto"/>
        <w:jc w:val="both"/>
        <w:rPr>
          <w:rFonts w:ascii="Open Sans" w:hAnsi="Open Sans" w:cs="Open Sans"/>
          <w:color w:val="000000"/>
          <w:sz w:val="20"/>
          <w:szCs w:val="20"/>
        </w:rPr>
      </w:pPr>
    </w:p>
    <w:p w14:paraId="3D606366" w14:textId="77777777" w:rsidR="00340E47" w:rsidRPr="00A07BE9" w:rsidRDefault="00340E47" w:rsidP="00340E47">
      <w:pPr>
        <w:spacing w:after="0" w:line="276" w:lineRule="auto"/>
        <w:jc w:val="both"/>
        <w:rPr>
          <w:rFonts w:ascii="Open Sans" w:hAnsi="Open Sans" w:cs="Open Sans"/>
          <w:color w:val="000000"/>
          <w:sz w:val="20"/>
          <w:szCs w:val="20"/>
        </w:rPr>
      </w:pPr>
      <w:r w:rsidRPr="00A07BE9">
        <w:rPr>
          <w:rFonts w:ascii="Open Sans" w:hAnsi="Open Sans" w:cs="Open Sans"/>
          <w:color w:val="000000"/>
          <w:sz w:val="20"/>
          <w:szCs w:val="20"/>
        </w:rPr>
        <w:t>Dichas propuestas no fueron objeto de tramitación parlamentaria en los últimos meses del pasado ejercicio. Es por ello que se exponen en la presente Memoria a fin de insistir en la necesidad y oportunidad de ser atendidas.</w:t>
      </w:r>
    </w:p>
    <w:p w14:paraId="38B5E0A0" w14:textId="77777777" w:rsidR="00671CE2" w:rsidRPr="00A07BE9" w:rsidRDefault="00671CE2" w:rsidP="00671CE2">
      <w:pPr>
        <w:spacing w:after="0" w:line="240" w:lineRule="auto"/>
        <w:jc w:val="both"/>
        <w:rPr>
          <w:rFonts w:ascii="Open Sans" w:hAnsi="Open Sans"/>
          <w:color w:val="000000"/>
          <w:sz w:val="20"/>
          <w:szCs w:val="20"/>
        </w:rPr>
      </w:pPr>
    </w:p>
    <w:p w14:paraId="34771E50" w14:textId="77777777" w:rsidR="00671CE2" w:rsidRPr="00A07BE9" w:rsidRDefault="00671CE2" w:rsidP="00671CE2">
      <w:pPr>
        <w:spacing w:after="0" w:line="240" w:lineRule="auto"/>
        <w:jc w:val="both"/>
        <w:rPr>
          <w:rFonts w:ascii="Open Sans" w:hAnsi="Open Sans"/>
          <w:color w:val="000000"/>
          <w:sz w:val="20"/>
          <w:szCs w:val="20"/>
        </w:rPr>
      </w:pPr>
    </w:p>
    <w:p w14:paraId="58D2A1C7" w14:textId="77777777" w:rsidR="00671CE2" w:rsidRPr="00A07BE9" w:rsidRDefault="00671CE2" w:rsidP="00671CE2">
      <w:pPr>
        <w:spacing w:after="0" w:line="240" w:lineRule="auto"/>
        <w:jc w:val="both"/>
        <w:rPr>
          <w:rFonts w:ascii="Open Sans" w:eastAsia="Times New Roman" w:hAnsi="Open Sans" w:cs="Open Sans"/>
          <w:b/>
          <w:bCs/>
          <w:smallCaps/>
          <w:color w:val="9D2235"/>
          <w:sz w:val="28"/>
          <w:szCs w:val="28"/>
          <w:lang w:eastAsia="es-ES"/>
        </w:rPr>
      </w:pPr>
      <w:r w:rsidRPr="00A07BE9">
        <w:rPr>
          <w:rFonts w:ascii="Open Sans" w:eastAsia="Times New Roman" w:hAnsi="Open Sans" w:cs="Open Sans"/>
          <w:b/>
          <w:bCs/>
          <w:smallCaps/>
          <w:color w:val="9D2235"/>
          <w:sz w:val="28"/>
          <w:szCs w:val="28"/>
          <w:lang w:eastAsia="es-ES"/>
        </w:rPr>
        <w:t>4.2.2. La Modificación de la Ley Fundacional. Propuesta.</w:t>
      </w:r>
    </w:p>
    <w:p w14:paraId="23952A68" w14:textId="77777777" w:rsidR="00671CE2" w:rsidRPr="00A07BE9" w:rsidRDefault="00671CE2" w:rsidP="00671CE2">
      <w:pPr>
        <w:spacing w:after="0" w:line="240" w:lineRule="auto"/>
        <w:jc w:val="both"/>
        <w:rPr>
          <w:rFonts w:ascii="Open Sans" w:hAnsi="Open Sans"/>
          <w:color w:val="9D2235"/>
          <w:sz w:val="20"/>
          <w:szCs w:val="20"/>
        </w:rPr>
      </w:pPr>
    </w:p>
    <w:p w14:paraId="2C88ACD4" w14:textId="31B5E2C5" w:rsidR="00671CE2" w:rsidRPr="00A07BE9" w:rsidRDefault="00671CE2" w:rsidP="00671CE2">
      <w:pPr>
        <w:spacing w:after="0" w:line="276" w:lineRule="auto"/>
        <w:jc w:val="both"/>
        <w:rPr>
          <w:rFonts w:ascii="Open Sans" w:hAnsi="Open Sans"/>
          <w:color w:val="000000"/>
          <w:sz w:val="20"/>
          <w:szCs w:val="20"/>
        </w:rPr>
      </w:pPr>
      <w:r w:rsidRPr="00A07BE9">
        <w:rPr>
          <w:rFonts w:ascii="Open Sans" w:hAnsi="Open Sans"/>
          <w:color w:val="000000"/>
          <w:sz w:val="20"/>
          <w:szCs w:val="20"/>
        </w:rPr>
        <w:t xml:space="preserve">La propuesta de modificación de la </w:t>
      </w:r>
      <w:bookmarkStart w:id="14" w:name="_Hlk36034159"/>
      <w:r w:rsidR="00CB3D31" w:rsidRPr="00A07BE9">
        <w:rPr>
          <w:rFonts w:ascii="Open Sans" w:hAnsi="Open Sans" w:cs="Open Sans"/>
          <w:sz w:val="20"/>
          <w:szCs w:val="20"/>
        </w:rPr>
        <w:fldChar w:fldCharType="begin"/>
      </w:r>
      <w:r w:rsidR="00CB3D31" w:rsidRPr="00A07BE9">
        <w:rPr>
          <w:rFonts w:ascii="Open Sans" w:hAnsi="Open Sans" w:cs="Open Sans"/>
          <w:sz w:val="20"/>
          <w:szCs w:val="20"/>
        </w:rPr>
        <w:instrText xml:space="preserve"> HYPERLINK "https://www.boe.es/buscar/pdf/2016/BOE-A-2016-12048-consolidado.pdf" </w:instrText>
      </w:r>
      <w:r w:rsidR="00CB3D31" w:rsidRPr="00A07BE9">
        <w:rPr>
          <w:rFonts w:ascii="Open Sans" w:hAnsi="Open Sans" w:cs="Open Sans"/>
          <w:sz w:val="20"/>
          <w:szCs w:val="20"/>
        </w:rPr>
      </w:r>
      <w:r w:rsidR="00CB3D31" w:rsidRPr="00A07BE9">
        <w:rPr>
          <w:rFonts w:ascii="Open Sans" w:hAnsi="Open Sans" w:cs="Open Sans"/>
          <w:sz w:val="20"/>
          <w:szCs w:val="20"/>
        </w:rPr>
        <w:fldChar w:fldCharType="separate"/>
      </w:r>
      <w:r w:rsidR="007D3C02" w:rsidRPr="00A07BE9">
        <w:rPr>
          <w:rStyle w:val="Hipervnculo"/>
          <w:rFonts w:ascii="Open Sans" w:hAnsi="Open Sans" w:cs="Open Sans"/>
          <w:sz w:val="20"/>
          <w:szCs w:val="20"/>
        </w:rPr>
        <w:t>Ley 11/2016</w:t>
      </w:r>
      <w:r w:rsidRPr="00A07BE9">
        <w:rPr>
          <w:rStyle w:val="Hipervnculo"/>
          <w:rFonts w:ascii="Open Sans" w:hAnsi="Open Sans"/>
          <w:sz w:val="20"/>
          <w:szCs w:val="20"/>
        </w:rPr>
        <w:t>, de 28 de noviembre, de la Generalitat</w:t>
      </w:r>
      <w:r w:rsidR="00CB3D31" w:rsidRPr="00A07BE9">
        <w:rPr>
          <w:rFonts w:ascii="Open Sans" w:hAnsi="Open Sans" w:cs="Open Sans"/>
          <w:sz w:val="20"/>
          <w:szCs w:val="20"/>
        </w:rPr>
        <w:fldChar w:fldCharType="end"/>
      </w:r>
      <w:bookmarkEnd w:id="14"/>
      <w:r w:rsidRPr="00A07BE9">
        <w:rPr>
          <w:rFonts w:ascii="Open Sans" w:hAnsi="Open Sans"/>
          <w:color w:val="000000"/>
          <w:sz w:val="20"/>
          <w:szCs w:val="20"/>
        </w:rPr>
        <w:t>, de la Agencia de Prevención y Lucha contra el Fraude y la Corrupción de la Comunitat Valenciana, a incorporar, en su caso, en la Ley de Medidas Fiscales, de Gestión Administrativa y de Organización de la Generalitat, se fundamenta, sintéticamente, en los argumentos que se indican a continuación.</w:t>
      </w:r>
    </w:p>
    <w:p w14:paraId="125AFAB7" w14:textId="77777777" w:rsidR="00671CE2" w:rsidRPr="00A07BE9" w:rsidRDefault="00671CE2" w:rsidP="00671CE2">
      <w:pPr>
        <w:spacing w:after="0" w:line="276" w:lineRule="auto"/>
        <w:jc w:val="both"/>
        <w:rPr>
          <w:rFonts w:ascii="Open Sans" w:hAnsi="Open Sans"/>
          <w:color w:val="000000"/>
          <w:sz w:val="20"/>
          <w:szCs w:val="20"/>
        </w:rPr>
      </w:pPr>
    </w:p>
    <w:p w14:paraId="4750ECB6" w14:textId="2BAC0AF1" w:rsidR="00671CE2" w:rsidRPr="00A07BE9" w:rsidRDefault="00671CE2" w:rsidP="00671CE2">
      <w:pPr>
        <w:spacing w:after="0" w:line="276" w:lineRule="auto"/>
        <w:jc w:val="both"/>
        <w:rPr>
          <w:rFonts w:ascii="Open Sans" w:hAnsi="Open Sans"/>
          <w:sz w:val="20"/>
          <w:szCs w:val="20"/>
        </w:rPr>
      </w:pPr>
      <w:r w:rsidRPr="00A07BE9">
        <w:rPr>
          <w:rFonts w:ascii="Open Sans" w:hAnsi="Open Sans"/>
          <w:color w:val="000000"/>
          <w:sz w:val="20"/>
          <w:szCs w:val="20"/>
        </w:rPr>
        <w:t>De un lado, en la</w:t>
      </w:r>
      <w:r w:rsidRPr="00A07BE9">
        <w:rPr>
          <w:rFonts w:ascii="Open Sans" w:hAnsi="Open Sans"/>
          <w:b/>
          <w:bCs/>
          <w:color w:val="000000"/>
          <w:sz w:val="20"/>
          <w:szCs w:val="20"/>
        </w:rPr>
        <w:t xml:space="preserve"> traslación a la normativa autonómica </w:t>
      </w:r>
      <w:r w:rsidRPr="00A07BE9">
        <w:rPr>
          <w:rFonts w:ascii="Open Sans" w:hAnsi="Open Sans"/>
          <w:color w:val="000000"/>
          <w:sz w:val="20"/>
          <w:szCs w:val="20"/>
        </w:rPr>
        <w:t xml:space="preserve">de la previsión contemplada en el </w:t>
      </w:r>
      <w:r w:rsidRPr="00A07BE9">
        <w:rPr>
          <w:rFonts w:ascii="Open Sans" w:hAnsi="Open Sans"/>
          <w:b/>
          <w:bCs/>
          <w:color w:val="000000"/>
          <w:sz w:val="20"/>
          <w:szCs w:val="20"/>
        </w:rPr>
        <w:t xml:space="preserve">artículo 332, apartado 12, de la </w:t>
      </w:r>
      <w:hyperlink r:id="rId142" w:history="1">
        <w:r w:rsidRPr="00A07BE9">
          <w:rPr>
            <w:rStyle w:val="Hipervnculo"/>
            <w:rFonts w:ascii="Open Sans" w:hAnsi="Open Sans"/>
            <w:b/>
            <w:bCs/>
            <w:sz w:val="20"/>
            <w:szCs w:val="20"/>
          </w:rPr>
          <w:t>Ley 9/2017, de 8 de noviembre, de Contratos del Sector Público</w:t>
        </w:r>
      </w:hyperlink>
      <w:r w:rsidRPr="00A07BE9">
        <w:rPr>
          <w:rFonts w:ascii="Open Sans" w:hAnsi="Open Sans"/>
          <w:b/>
          <w:bCs/>
          <w:color w:val="000000"/>
          <w:sz w:val="20"/>
          <w:szCs w:val="20"/>
        </w:rPr>
        <w:t>,</w:t>
      </w:r>
      <w:r w:rsidRPr="00A07BE9">
        <w:rPr>
          <w:rFonts w:ascii="Open Sans" w:hAnsi="Open Sans"/>
          <w:color w:val="000000"/>
          <w:sz w:val="20"/>
          <w:szCs w:val="20"/>
        </w:rPr>
        <w:t xml:space="preserve"> por la que se transponen al ordenamiento jurídico español las Directivas del Parlamento Europeo y del Consejo 2014/23/UE y 2014/24/UE, de 26 de febrero de 2014, que prevé que las Comunidades Autónomas puedan crear sus propias Oficinas de Supervisión de la Contratación, y cuyas funciones (relacionadas en el apartado 6 del mismo precepto), en la Comunitat Valenciana, vienen ya siendo asumidas por la Agencia con base a lo establecido en los artículos 1, 3, 4, 6 y siguientes, y 16, entre otros, de la</w:t>
      </w:r>
      <w:r w:rsidR="00CB3D31" w:rsidRPr="00A07BE9">
        <w:rPr>
          <w:rFonts w:ascii="Open Sans" w:hAnsi="Open Sans"/>
          <w:color w:val="000000"/>
          <w:sz w:val="20"/>
          <w:szCs w:val="20"/>
        </w:rPr>
        <w:t xml:space="preserve"> </w:t>
      </w:r>
      <w:hyperlink r:id="rId143" w:history="1">
        <w:r w:rsidR="00CB3D31" w:rsidRPr="00A07BE9">
          <w:rPr>
            <w:rStyle w:val="Hipervnculo"/>
            <w:rFonts w:ascii="Open Sans" w:hAnsi="Open Sans" w:cs="Open Sans"/>
            <w:sz w:val="20"/>
            <w:szCs w:val="20"/>
          </w:rPr>
          <w:t>Ley 11/2016</w:t>
        </w:r>
        <w:r w:rsidR="00CB3D31" w:rsidRPr="00A07BE9">
          <w:rPr>
            <w:rStyle w:val="Hipervnculo"/>
            <w:rFonts w:ascii="Open Sans" w:hAnsi="Open Sans"/>
            <w:sz w:val="20"/>
            <w:szCs w:val="20"/>
          </w:rPr>
          <w:t xml:space="preserve">, </w:t>
        </w:r>
        <w:r w:rsidR="00CB3D31" w:rsidRPr="00A07BE9">
          <w:rPr>
            <w:rStyle w:val="Hipervnculo"/>
            <w:rFonts w:ascii="Open Sans" w:hAnsi="Open Sans"/>
            <w:color w:val="auto"/>
            <w:sz w:val="20"/>
            <w:szCs w:val="20"/>
            <w:u w:val="none"/>
          </w:rPr>
          <w:t>de 28</w:t>
        </w:r>
        <w:r w:rsidR="00CB3D31" w:rsidRPr="00A07BE9">
          <w:rPr>
            <w:rStyle w:val="Hipervnculo"/>
            <w:rFonts w:ascii="Open Sans" w:hAnsi="Open Sans"/>
            <w:sz w:val="20"/>
            <w:szCs w:val="20"/>
          </w:rPr>
          <w:t xml:space="preserve"> </w:t>
        </w:r>
        <w:r w:rsidR="00CB3D31" w:rsidRPr="00A07BE9">
          <w:rPr>
            <w:rStyle w:val="Hipervnculo"/>
            <w:rFonts w:ascii="Open Sans" w:hAnsi="Open Sans"/>
            <w:color w:val="auto"/>
            <w:sz w:val="20"/>
            <w:szCs w:val="20"/>
            <w:u w:val="none"/>
          </w:rPr>
          <w:t>de noviembre, de la Generalitat</w:t>
        </w:r>
      </w:hyperlink>
      <w:r w:rsidRPr="00A07BE9">
        <w:rPr>
          <w:rFonts w:ascii="Open Sans" w:hAnsi="Open Sans"/>
          <w:color w:val="000000"/>
          <w:sz w:val="20"/>
          <w:szCs w:val="20"/>
        </w:rPr>
        <w:t xml:space="preserve">, de su creación. Para ello se prevé </w:t>
      </w:r>
      <w:r w:rsidRPr="00A07BE9">
        <w:rPr>
          <w:rFonts w:ascii="Open Sans" w:hAnsi="Open Sans" w:cs="Open Sans"/>
          <w:color w:val="000000"/>
          <w:sz w:val="20"/>
          <w:szCs w:val="20"/>
        </w:rPr>
        <w:t>adicionar un nuevo apartado 2 al artículo 4 de la citada Ley.</w:t>
      </w:r>
    </w:p>
    <w:p w14:paraId="0695DEBB" w14:textId="77777777" w:rsidR="00671CE2" w:rsidRPr="00A07BE9" w:rsidRDefault="00671CE2" w:rsidP="00671CE2">
      <w:pPr>
        <w:spacing w:after="0" w:line="276" w:lineRule="auto"/>
        <w:jc w:val="both"/>
        <w:rPr>
          <w:rFonts w:ascii="Open Sans" w:hAnsi="Open Sans" w:cs="Open Sans"/>
          <w:color w:val="000000"/>
          <w:sz w:val="20"/>
          <w:szCs w:val="20"/>
        </w:rPr>
      </w:pPr>
    </w:p>
    <w:p w14:paraId="3E8E72E4" w14:textId="0772770C" w:rsidR="00671CE2" w:rsidRPr="00A07BE9" w:rsidRDefault="00671CE2" w:rsidP="00671CE2">
      <w:pPr>
        <w:spacing w:after="0" w:line="276" w:lineRule="auto"/>
        <w:jc w:val="both"/>
        <w:rPr>
          <w:rFonts w:ascii="Open Sans" w:hAnsi="Open Sans"/>
          <w:color w:val="000000"/>
          <w:sz w:val="20"/>
          <w:szCs w:val="20"/>
        </w:rPr>
      </w:pPr>
      <w:r w:rsidRPr="00A07BE9">
        <w:rPr>
          <w:rFonts w:ascii="Open Sans" w:hAnsi="Open Sans"/>
          <w:color w:val="000000"/>
          <w:sz w:val="20"/>
          <w:szCs w:val="20"/>
        </w:rPr>
        <w:t xml:space="preserve">Y de otro lado, en la necesidad de </w:t>
      </w:r>
      <w:r w:rsidRPr="00A07BE9">
        <w:rPr>
          <w:rFonts w:ascii="Open Sans" w:hAnsi="Open Sans"/>
          <w:b/>
          <w:bCs/>
          <w:color w:val="000000"/>
          <w:sz w:val="20"/>
          <w:szCs w:val="20"/>
        </w:rPr>
        <w:t xml:space="preserve">mejorar la redacción de dos apartados de sendos artículos de la </w:t>
      </w:r>
      <w:hyperlink r:id="rId144" w:history="1">
        <w:r w:rsidR="00CB3D31" w:rsidRPr="00A07BE9">
          <w:rPr>
            <w:rStyle w:val="Hipervnculo"/>
            <w:rFonts w:ascii="Open Sans" w:hAnsi="Open Sans" w:cs="Open Sans"/>
            <w:b/>
            <w:sz w:val="20"/>
            <w:szCs w:val="20"/>
          </w:rPr>
          <w:t>Ley 11/2016</w:t>
        </w:r>
        <w:r w:rsidR="00CB3D31" w:rsidRPr="00A07BE9">
          <w:rPr>
            <w:rStyle w:val="Hipervnculo"/>
            <w:rFonts w:ascii="Open Sans" w:hAnsi="Open Sans"/>
            <w:color w:val="auto"/>
            <w:sz w:val="20"/>
            <w:szCs w:val="20"/>
            <w:u w:val="none"/>
          </w:rPr>
          <w:t xml:space="preserve">, </w:t>
        </w:r>
      </w:hyperlink>
      <w:r w:rsidRPr="00A07BE9">
        <w:rPr>
          <w:rFonts w:ascii="Open Sans" w:hAnsi="Open Sans"/>
          <w:color w:val="000000"/>
          <w:sz w:val="20"/>
          <w:szCs w:val="20"/>
        </w:rPr>
        <w:t xml:space="preserve">que han inducido últimamente a confusión. </w:t>
      </w:r>
    </w:p>
    <w:p w14:paraId="79DA6F30" w14:textId="77777777" w:rsidR="00671CE2" w:rsidRPr="00A07BE9" w:rsidRDefault="00671CE2" w:rsidP="00671CE2">
      <w:pPr>
        <w:spacing w:after="0" w:line="276" w:lineRule="auto"/>
        <w:jc w:val="both"/>
        <w:rPr>
          <w:rFonts w:ascii="Open Sans" w:hAnsi="Open Sans"/>
          <w:color w:val="000000"/>
          <w:sz w:val="20"/>
          <w:szCs w:val="20"/>
        </w:rPr>
      </w:pPr>
    </w:p>
    <w:p w14:paraId="4BE886E3" w14:textId="77777777" w:rsidR="00671CE2" w:rsidRPr="00A07BE9" w:rsidRDefault="00671CE2" w:rsidP="00671CE2">
      <w:pPr>
        <w:spacing w:after="0" w:line="276" w:lineRule="auto"/>
        <w:jc w:val="both"/>
        <w:rPr>
          <w:rFonts w:ascii="Open Sans" w:hAnsi="Open Sans"/>
          <w:color w:val="000000"/>
          <w:sz w:val="20"/>
          <w:szCs w:val="20"/>
        </w:rPr>
      </w:pPr>
      <w:r w:rsidRPr="00A07BE9">
        <w:rPr>
          <w:rFonts w:ascii="Open Sans" w:hAnsi="Open Sans"/>
          <w:color w:val="000000"/>
          <w:sz w:val="20"/>
          <w:szCs w:val="20"/>
        </w:rPr>
        <w:t>Uno de ellos es el</w:t>
      </w:r>
      <w:r w:rsidRPr="00A07BE9">
        <w:rPr>
          <w:rFonts w:ascii="Open Sans" w:hAnsi="Open Sans"/>
          <w:b/>
          <w:bCs/>
          <w:color w:val="000000"/>
          <w:sz w:val="20"/>
          <w:szCs w:val="20"/>
        </w:rPr>
        <w:t xml:space="preserve"> artículo 5, que en su apartado 5</w:t>
      </w:r>
      <w:r w:rsidRPr="00A07BE9">
        <w:rPr>
          <w:rFonts w:ascii="Open Sans" w:hAnsi="Open Sans"/>
          <w:color w:val="000000"/>
          <w:sz w:val="20"/>
          <w:szCs w:val="20"/>
        </w:rPr>
        <w:t>, establece en su actual</w:t>
      </w:r>
      <w:r w:rsidRPr="00A07BE9">
        <w:rPr>
          <w:rFonts w:ascii="Open Sans" w:hAnsi="Open Sans"/>
          <w:color w:val="729FCF"/>
          <w:sz w:val="20"/>
          <w:szCs w:val="20"/>
        </w:rPr>
        <w:t xml:space="preserve"> </w:t>
      </w:r>
      <w:r w:rsidRPr="00A07BE9">
        <w:rPr>
          <w:rFonts w:ascii="Open Sans" w:hAnsi="Open Sans"/>
          <w:color w:val="000000"/>
          <w:sz w:val="20"/>
          <w:szCs w:val="20"/>
        </w:rPr>
        <w:t xml:space="preserve">redacción que la Agencia se relaciona con el Consell de la Generalitat, </w:t>
      </w:r>
      <w:r w:rsidRPr="00A07BE9">
        <w:rPr>
          <w:rFonts w:ascii="Open Sans" w:hAnsi="Open Sans"/>
          <w:i/>
          <w:iCs/>
          <w:color w:val="000000"/>
          <w:sz w:val="20"/>
          <w:szCs w:val="20"/>
        </w:rPr>
        <w:t xml:space="preserve">a través de la </w:t>
      </w:r>
      <w:r w:rsidRPr="00A07BE9">
        <w:rPr>
          <w:rFonts w:ascii="Open Sans" w:hAnsi="Open Sans"/>
          <w:b/>
          <w:bCs/>
          <w:i/>
          <w:iCs/>
          <w:color w:val="000000"/>
          <w:sz w:val="20"/>
          <w:szCs w:val="20"/>
        </w:rPr>
        <w:t>persona titular de la conselleria competente en materia de Transparencia</w:t>
      </w:r>
      <w:r w:rsidRPr="00A07BE9">
        <w:rPr>
          <w:rFonts w:ascii="Open Sans" w:hAnsi="Open Sans"/>
          <w:i/>
          <w:iCs/>
          <w:color w:val="000000"/>
          <w:sz w:val="20"/>
          <w:szCs w:val="20"/>
        </w:rPr>
        <w:t>.</w:t>
      </w:r>
      <w:r w:rsidRPr="00A07BE9">
        <w:rPr>
          <w:rFonts w:ascii="Open Sans" w:hAnsi="Open Sans"/>
          <w:color w:val="000000"/>
          <w:sz w:val="20"/>
          <w:szCs w:val="20"/>
        </w:rPr>
        <w:t xml:space="preserve"> </w:t>
      </w:r>
    </w:p>
    <w:p w14:paraId="328B9572" w14:textId="77777777" w:rsidR="00671CE2" w:rsidRPr="00A07BE9" w:rsidRDefault="00671CE2" w:rsidP="00671CE2">
      <w:pPr>
        <w:spacing w:after="0" w:line="276" w:lineRule="auto"/>
        <w:jc w:val="both"/>
        <w:rPr>
          <w:rFonts w:ascii="Open Sans" w:hAnsi="Open Sans"/>
          <w:color w:val="000000"/>
          <w:sz w:val="20"/>
          <w:szCs w:val="20"/>
        </w:rPr>
      </w:pPr>
    </w:p>
    <w:p w14:paraId="2FF10E3B" w14:textId="401483B4" w:rsidR="00671CE2" w:rsidRPr="00A07BE9" w:rsidRDefault="00671CE2" w:rsidP="00671CE2">
      <w:pPr>
        <w:spacing w:after="0" w:line="276" w:lineRule="auto"/>
        <w:jc w:val="both"/>
        <w:rPr>
          <w:rFonts w:ascii="Open Sans" w:hAnsi="Open Sans"/>
          <w:color w:val="000000"/>
          <w:sz w:val="20"/>
          <w:szCs w:val="20"/>
        </w:rPr>
      </w:pPr>
      <w:r w:rsidRPr="00A07BE9">
        <w:rPr>
          <w:rFonts w:ascii="Open Sans" w:hAnsi="Open Sans"/>
          <w:color w:val="000000"/>
          <w:sz w:val="20"/>
          <w:szCs w:val="20"/>
        </w:rPr>
        <w:lastRenderedPageBreak/>
        <w:t xml:space="preserve">La modificación propuesta consiste en ampliar el cauce de relación con el Consell (por lógicas cuestiones de eficacia práctica), no solo a la </w:t>
      </w:r>
      <w:r w:rsidR="00F73F0B" w:rsidRPr="00A07BE9">
        <w:rPr>
          <w:rFonts w:ascii="Open Sans" w:hAnsi="Open Sans"/>
          <w:color w:val="000000"/>
          <w:sz w:val="20"/>
          <w:szCs w:val="20"/>
        </w:rPr>
        <w:t>c</w:t>
      </w:r>
      <w:r w:rsidRPr="00A07BE9">
        <w:rPr>
          <w:rFonts w:ascii="Open Sans" w:hAnsi="Open Sans"/>
          <w:color w:val="000000"/>
          <w:sz w:val="20"/>
          <w:szCs w:val="20"/>
        </w:rPr>
        <w:t>onselleria competente en materia de transparencia, sino también mediante cualquier otro departamento del Consell que asuma funciones que se relacionen con las atribuidas a la Agencia, lo que dependerá de la estructura organizativa que pueda establecer en cada momento el propio Consell por vía reglamentaria.</w:t>
      </w:r>
    </w:p>
    <w:p w14:paraId="4DBBC2C7" w14:textId="77777777" w:rsidR="00671CE2" w:rsidRPr="00A07BE9" w:rsidRDefault="00671CE2" w:rsidP="00671CE2">
      <w:pPr>
        <w:spacing w:after="0" w:line="276" w:lineRule="auto"/>
        <w:jc w:val="both"/>
        <w:rPr>
          <w:rFonts w:ascii="Open Sans" w:hAnsi="Open Sans"/>
          <w:b/>
          <w:bCs/>
          <w:color w:val="000000"/>
          <w:sz w:val="20"/>
          <w:szCs w:val="20"/>
        </w:rPr>
      </w:pPr>
    </w:p>
    <w:p w14:paraId="372C21DD" w14:textId="77777777" w:rsidR="00671CE2" w:rsidRPr="00A07BE9" w:rsidRDefault="00671CE2" w:rsidP="00671CE2">
      <w:pPr>
        <w:spacing w:after="0" w:line="276" w:lineRule="auto"/>
        <w:jc w:val="both"/>
        <w:rPr>
          <w:rFonts w:ascii="Open Sans" w:hAnsi="Open Sans"/>
          <w:color w:val="000000"/>
          <w:sz w:val="20"/>
          <w:szCs w:val="20"/>
        </w:rPr>
      </w:pPr>
      <w:r w:rsidRPr="00A07BE9">
        <w:rPr>
          <w:rFonts w:ascii="Open Sans" w:hAnsi="Open Sans"/>
          <w:b/>
          <w:bCs/>
          <w:color w:val="000000"/>
          <w:sz w:val="20"/>
          <w:szCs w:val="20"/>
        </w:rPr>
        <w:t>El otro es el artículo 29, en su apartado 2</w:t>
      </w:r>
      <w:r w:rsidRPr="00A07BE9">
        <w:rPr>
          <w:rFonts w:ascii="Open Sans" w:hAnsi="Open Sans"/>
          <w:strike/>
          <w:color w:val="000000"/>
          <w:sz w:val="20"/>
          <w:szCs w:val="20"/>
        </w:rPr>
        <w:t>,</w:t>
      </w:r>
      <w:r w:rsidRPr="00A07BE9">
        <w:rPr>
          <w:rFonts w:ascii="Open Sans" w:hAnsi="Open Sans"/>
          <w:color w:val="000000"/>
          <w:sz w:val="20"/>
          <w:szCs w:val="20"/>
        </w:rPr>
        <w:t xml:space="preserve"> respecto del que, además de clarificar y completar el </w:t>
      </w:r>
      <w:r w:rsidRPr="00A07BE9">
        <w:rPr>
          <w:rFonts w:ascii="Open Sans" w:hAnsi="Open Sans"/>
          <w:b/>
          <w:bCs/>
          <w:color w:val="000000"/>
          <w:sz w:val="20"/>
          <w:szCs w:val="20"/>
        </w:rPr>
        <w:t xml:space="preserve">régimen jurídico que debe regir el personal de la Agencia </w:t>
      </w:r>
      <w:r w:rsidRPr="00A07BE9">
        <w:rPr>
          <w:rFonts w:ascii="Open Sans" w:hAnsi="Open Sans"/>
          <w:color w:val="000000"/>
          <w:sz w:val="20"/>
          <w:szCs w:val="20"/>
        </w:rPr>
        <w:t xml:space="preserve">(como entidad adscrita a les Corts e independiente de las administraciones públicas), se propone añadir, de forma expresa, la procedencia de la </w:t>
      </w:r>
      <w:r w:rsidRPr="00A07BE9">
        <w:rPr>
          <w:rFonts w:ascii="Open Sans" w:hAnsi="Open Sans"/>
          <w:b/>
          <w:bCs/>
          <w:color w:val="000000"/>
          <w:sz w:val="20"/>
          <w:szCs w:val="20"/>
        </w:rPr>
        <w:t xml:space="preserve">situación administrativa de servicios especiales </w:t>
      </w:r>
      <w:r w:rsidRPr="00A07BE9">
        <w:rPr>
          <w:rFonts w:ascii="Open Sans" w:hAnsi="Open Sans"/>
          <w:color w:val="000000"/>
          <w:sz w:val="20"/>
          <w:szCs w:val="20"/>
        </w:rPr>
        <w:t>para todos las funcionarias y funcionarios que se adscriban a la misma con carácter definitivo; y ello con base en el principio de igualdad de trato y a la necesidad de garantizar los derechos laborales y profesionales previos de todo su personal, pues en caso de no existir esta mención expresa, estos pueden verse mermados en el supuesto de vuelta o reingreso a la administración de procedencia, como consecuencia de la asunción de funciones de fiscalización, control, investigación, e incluso sanción, efectuadas en el ejercicio del puesto al servicio de la Agencia, que afectan o recaen sobre las administraciones públicas a las que originariamente pertenecen aquéllos, sobre sus autoridades o sobre su personal. La situación administrativa de servicios especiales es una medida garantista para la protección de los funcionarios y funcionarias de la Agencia.</w:t>
      </w:r>
    </w:p>
    <w:p w14:paraId="466CC8CB" w14:textId="565FE69E" w:rsidR="00534257" w:rsidRPr="00A07BE9" w:rsidRDefault="00534257" w:rsidP="00671CE2">
      <w:pPr>
        <w:spacing w:after="0" w:line="240" w:lineRule="auto"/>
        <w:jc w:val="both"/>
        <w:rPr>
          <w:rFonts w:ascii="Open Sans" w:eastAsia="Times New Roman" w:hAnsi="Open Sans" w:cs="Times New Roman"/>
          <w:color w:val="000000"/>
          <w:sz w:val="20"/>
          <w:szCs w:val="20"/>
          <w:lang w:eastAsia="es-ES"/>
        </w:rPr>
      </w:pPr>
    </w:p>
    <w:p w14:paraId="381F1131" w14:textId="77777777" w:rsidR="00534257" w:rsidRPr="00A07BE9" w:rsidRDefault="00534257" w:rsidP="00671CE2">
      <w:pPr>
        <w:spacing w:after="0" w:line="240" w:lineRule="auto"/>
        <w:jc w:val="both"/>
        <w:rPr>
          <w:rFonts w:ascii="Open Sans" w:eastAsia="Times New Roman" w:hAnsi="Open Sans" w:cs="Times New Roman"/>
          <w:color w:val="000000"/>
          <w:sz w:val="20"/>
          <w:szCs w:val="20"/>
          <w:lang w:eastAsia="es-ES"/>
        </w:rPr>
      </w:pPr>
    </w:p>
    <w:p w14:paraId="31DCAEB5" w14:textId="77777777" w:rsidR="00671CE2" w:rsidRPr="00A07BE9" w:rsidRDefault="00671CE2" w:rsidP="00671CE2">
      <w:pPr>
        <w:spacing w:after="0" w:line="240" w:lineRule="auto"/>
        <w:jc w:val="both"/>
        <w:rPr>
          <w:rFonts w:ascii="Open Sans" w:eastAsia="Times New Roman" w:hAnsi="Open Sans" w:cs="Open Sans"/>
          <w:b/>
          <w:bCs/>
          <w:smallCaps/>
          <w:color w:val="9D2235"/>
          <w:sz w:val="24"/>
          <w:szCs w:val="24"/>
          <w:lang w:eastAsia="es-ES"/>
        </w:rPr>
      </w:pPr>
      <w:r w:rsidRPr="00A07BE9">
        <w:rPr>
          <w:rFonts w:ascii="Open Sans" w:eastAsia="Times New Roman" w:hAnsi="Open Sans" w:cs="Open Sans"/>
          <w:b/>
          <w:bCs/>
          <w:smallCaps/>
          <w:color w:val="9D2235"/>
          <w:sz w:val="24"/>
          <w:szCs w:val="24"/>
          <w:lang w:eastAsia="es-ES"/>
        </w:rPr>
        <w:t>4.2.2.1. Funciones de la agencia. Adición de un nuevo apartado 2 en el artículo 4 de la ley 11/2016, de 28 de noviembre, de la generalitat.</w:t>
      </w:r>
    </w:p>
    <w:p w14:paraId="7A272A6B" w14:textId="77777777" w:rsidR="00671CE2" w:rsidRPr="00A07BE9" w:rsidRDefault="00671CE2" w:rsidP="00671CE2">
      <w:pPr>
        <w:spacing w:after="0" w:line="276" w:lineRule="auto"/>
        <w:jc w:val="both"/>
        <w:rPr>
          <w:rFonts w:ascii="Open Sans" w:eastAsia="Times New Roman" w:hAnsi="Open Sans" w:cs="Open Sans"/>
          <w:b/>
          <w:bCs/>
          <w:smallCaps/>
          <w:color w:val="993333"/>
          <w:sz w:val="20"/>
          <w:szCs w:val="20"/>
          <w:lang w:eastAsia="es-ES"/>
        </w:rPr>
      </w:pPr>
    </w:p>
    <w:p w14:paraId="6E2998D6" w14:textId="12B8CFD5" w:rsidR="00671CE2" w:rsidRPr="00A07BE9" w:rsidRDefault="00671CE2" w:rsidP="00671CE2">
      <w:pPr>
        <w:spacing w:after="0" w:line="276" w:lineRule="auto"/>
        <w:jc w:val="both"/>
        <w:rPr>
          <w:sz w:val="20"/>
          <w:szCs w:val="20"/>
        </w:rPr>
      </w:pPr>
      <w:r w:rsidRPr="00A07BE9">
        <w:rPr>
          <w:rStyle w:val="EnlacedeInternet"/>
          <w:rFonts w:ascii="Open Sans" w:eastAsia="Times New Roman" w:hAnsi="Open Sans" w:cs="Open Sans"/>
          <w:color w:val="000000" w:themeColor="text1"/>
          <w:sz w:val="20"/>
          <w:szCs w:val="20"/>
          <w:u w:val="none"/>
          <w:lang w:eastAsia="es-ES"/>
        </w:rPr>
        <w:t xml:space="preserve">Una de las novedades más sobresalientes de la </w:t>
      </w:r>
      <w:hyperlink r:id="rId145" w:history="1">
        <w:r w:rsidRPr="00A07BE9">
          <w:rPr>
            <w:rStyle w:val="Hipervnculo"/>
            <w:rFonts w:ascii="Open Sans" w:eastAsia="Times New Roman" w:hAnsi="Open Sans" w:cs="Open Sans"/>
            <w:sz w:val="20"/>
            <w:szCs w:val="20"/>
            <w:lang w:eastAsia="es-ES"/>
          </w:rPr>
          <w:t>Ley 9/2017, de 8 de noviembre, de Contratos del Sector Público</w:t>
        </w:r>
      </w:hyperlink>
      <w:r w:rsidRPr="00A07BE9">
        <w:rPr>
          <w:rStyle w:val="EnlacedeInternet"/>
          <w:rFonts w:ascii="Open Sans" w:eastAsia="Times New Roman" w:hAnsi="Open Sans" w:cs="Open Sans"/>
          <w:color w:val="000000" w:themeColor="text1"/>
          <w:sz w:val="20"/>
          <w:szCs w:val="20"/>
          <w:u w:val="none"/>
          <w:lang w:eastAsia="es-ES"/>
        </w:rPr>
        <w:t>, por la que se transponen al ordenamiento jurídico español las Directivas del Parlamento Europeo y del Consejo 2014/3/UE y 2017/24/UE, de 26 de febrero de 2014 (</w:t>
      </w:r>
      <w:r w:rsidRPr="00A07BE9">
        <w:rPr>
          <w:rStyle w:val="Muydestacado"/>
          <w:rFonts w:ascii="Open Sans" w:eastAsia="Times New Roman" w:hAnsi="Open Sans" w:cs="Open Sans"/>
          <w:b w:val="0"/>
          <w:bCs w:val="0"/>
          <w:color w:val="000000" w:themeColor="text1"/>
          <w:sz w:val="20"/>
          <w:szCs w:val="20"/>
          <w:lang w:eastAsia="es-ES"/>
        </w:rPr>
        <w:t>en adelante LCSP), ha sido el establecimiento de</w:t>
      </w:r>
      <w:r w:rsidRPr="00A07BE9">
        <w:rPr>
          <w:rStyle w:val="Muydestacado"/>
          <w:rFonts w:ascii="Open Sans" w:eastAsia="Times New Roman" w:hAnsi="Open Sans" w:cs="Open Sans"/>
          <w:color w:val="000000" w:themeColor="text1"/>
          <w:sz w:val="20"/>
          <w:szCs w:val="20"/>
          <w:lang w:eastAsia="es-ES"/>
        </w:rPr>
        <w:t xml:space="preserve"> límites a determinadas conductas que </w:t>
      </w:r>
      <w:r w:rsidRPr="00A07BE9">
        <w:rPr>
          <w:rStyle w:val="Muydestacado"/>
          <w:rFonts w:ascii="Open Sans" w:eastAsia="Times New Roman" w:hAnsi="Open Sans" w:cs="Open Sans"/>
          <w:color w:val="000000"/>
          <w:sz w:val="20"/>
          <w:szCs w:val="20"/>
          <w:lang w:eastAsia="es-ES"/>
        </w:rPr>
        <w:t>pueden constituir formas de corrupción en el seno de la contratación pública</w:t>
      </w:r>
      <w:r w:rsidRPr="00A07BE9">
        <w:rPr>
          <w:rFonts w:ascii="Open Sans" w:eastAsia="Times New Roman" w:hAnsi="Open Sans" w:cs="Open Sans"/>
          <w:color w:val="000000"/>
          <w:sz w:val="20"/>
          <w:szCs w:val="20"/>
          <w:lang w:eastAsia="es-ES"/>
        </w:rPr>
        <w:t>.</w:t>
      </w:r>
    </w:p>
    <w:p w14:paraId="4CD92B73" w14:textId="0D58CD5A" w:rsidR="00671CE2" w:rsidRPr="00A07BE9" w:rsidRDefault="00671CE2" w:rsidP="00671CE2">
      <w:pPr>
        <w:spacing w:after="0" w:line="276" w:lineRule="auto"/>
        <w:jc w:val="both"/>
        <w:rPr>
          <w:rFonts w:ascii="Open Sans" w:hAnsi="Open Sans"/>
          <w:sz w:val="20"/>
          <w:szCs w:val="20"/>
        </w:rPr>
      </w:pPr>
      <w:r w:rsidRPr="00A07BE9">
        <w:rPr>
          <w:rFonts w:ascii="Open Sans" w:eastAsia="Times New Roman" w:hAnsi="Open Sans" w:cs="Open Sans"/>
          <w:color w:val="000000"/>
          <w:sz w:val="20"/>
          <w:szCs w:val="20"/>
          <w:lang w:eastAsia="es-ES"/>
        </w:rPr>
        <w:t xml:space="preserve">En este sentido, la </w:t>
      </w:r>
      <w:r w:rsidRPr="00A07BE9">
        <w:rPr>
          <w:rFonts w:ascii="Open Sans" w:eastAsia="Times New Roman" w:hAnsi="Open Sans" w:cs="Open Sans"/>
          <w:b/>
          <w:bCs/>
          <w:color w:val="000000"/>
          <w:sz w:val="20"/>
          <w:szCs w:val="20"/>
          <w:lang w:eastAsia="es-ES"/>
        </w:rPr>
        <w:t xml:space="preserve">Exposición de Motivos de la </w:t>
      </w:r>
      <w:hyperlink r:id="rId146" w:history="1">
        <w:r w:rsidRPr="00A07BE9">
          <w:rPr>
            <w:rStyle w:val="Hipervnculo"/>
            <w:rFonts w:ascii="Open Sans" w:eastAsia="Times New Roman" w:hAnsi="Open Sans" w:cs="Open Sans"/>
            <w:b/>
            <w:bCs/>
            <w:sz w:val="20"/>
            <w:szCs w:val="20"/>
            <w:lang w:eastAsia="es-ES"/>
          </w:rPr>
          <w:t>LCSP</w:t>
        </w:r>
      </w:hyperlink>
      <w:r w:rsidRPr="00A07BE9">
        <w:rPr>
          <w:rFonts w:ascii="Open Sans" w:eastAsia="Times New Roman" w:hAnsi="Open Sans" w:cs="Open Sans"/>
          <w:color w:val="000000"/>
          <w:sz w:val="20"/>
          <w:szCs w:val="20"/>
          <w:lang w:eastAsia="es-ES"/>
        </w:rPr>
        <w:t xml:space="preserve"> expresa textualmente:</w:t>
      </w:r>
    </w:p>
    <w:p w14:paraId="4264AF39" w14:textId="77777777"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p>
    <w:p w14:paraId="2BA2EC62" w14:textId="77777777" w:rsidR="00671CE2" w:rsidRPr="00A07BE9" w:rsidRDefault="00671CE2" w:rsidP="00671CE2">
      <w:pPr>
        <w:spacing w:after="0" w:line="276" w:lineRule="auto"/>
        <w:ind w:left="567"/>
        <w:jc w:val="both"/>
        <w:rPr>
          <w:rFonts w:ascii="Open Sans" w:hAnsi="Open Sans"/>
          <w:sz w:val="18"/>
          <w:szCs w:val="18"/>
        </w:rPr>
      </w:pPr>
      <w:r w:rsidRPr="00A07BE9">
        <w:rPr>
          <w:rFonts w:ascii="Open Sans" w:eastAsia="Times New Roman" w:hAnsi="Open Sans" w:cs="Open Sans"/>
          <w:iCs/>
          <w:color w:val="000000"/>
          <w:sz w:val="20"/>
          <w:szCs w:val="20"/>
          <w:lang w:eastAsia="es-ES"/>
        </w:rPr>
        <w:t>“</w:t>
      </w:r>
      <w:r w:rsidRPr="00A07BE9">
        <w:rPr>
          <w:rFonts w:ascii="Open Sans" w:eastAsia="Times New Roman" w:hAnsi="Open Sans" w:cs="Open Sans"/>
          <w:iCs/>
          <w:color w:val="000000"/>
          <w:sz w:val="18"/>
          <w:szCs w:val="18"/>
          <w:lang w:eastAsia="es-ES"/>
        </w:rPr>
        <w:t>También dentro del Libro I se introduce una norma especial relativa a la</w:t>
      </w:r>
      <w:r w:rsidRPr="00A07BE9">
        <w:rPr>
          <w:rFonts w:ascii="Open Sans" w:eastAsia="Times New Roman" w:hAnsi="Open Sans" w:cs="Open Sans"/>
          <w:b/>
          <w:bCs/>
          <w:iCs/>
          <w:color w:val="000000"/>
          <w:sz w:val="18"/>
          <w:szCs w:val="18"/>
          <w:lang w:eastAsia="es-ES"/>
        </w:rPr>
        <w:t xml:space="preserve"> lucha contra la corrupción y prevención de los conflictos de intereses</w:t>
      </w:r>
      <w:r w:rsidRPr="00A07BE9">
        <w:rPr>
          <w:rFonts w:ascii="Open Sans" w:eastAsia="Times New Roman" w:hAnsi="Open Sans" w:cs="Open Sans"/>
          <w:iCs/>
          <w:color w:val="000000"/>
          <w:sz w:val="18"/>
          <w:szCs w:val="18"/>
          <w:lang w:eastAsia="es-ES"/>
        </w:rPr>
        <w:t xml:space="preserve">, mediante la cual se impone a los órganos de contratación la obligación de tomar las medidas adecuadas para </w:t>
      </w:r>
      <w:r w:rsidRPr="00A07BE9">
        <w:rPr>
          <w:rFonts w:ascii="Open Sans" w:eastAsia="Times New Roman" w:hAnsi="Open Sans" w:cs="Open Sans"/>
          <w:b/>
          <w:bCs/>
          <w:iCs/>
          <w:color w:val="000000"/>
          <w:sz w:val="18"/>
          <w:szCs w:val="18"/>
          <w:lang w:eastAsia="es-ES"/>
        </w:rPr>
        <w:t xml:space="preserve">luchar contra el fraude, el favoritismo y la corrupción, y prevenir, detectar y solucionar </w:t>
      </w:r>
      <w:r w:rsidRPr="00A07BE9">
        <w:rPr>
          <w:rFonts w:ascii="Open Sans" w:eastAsia="Times New Roman" w:hAnsi="Open Sans" w:cs="Open Sans"/>
          <w:iCs/>
          <w:color w:val="000000"/>
          <w:sz w:val="18"/>
          <w:szCs w:val="18"/>
          <w:lang w:eastAsia="es-ES"/>
        </w:rPr>
        <w:t xml:space="preserve">de modo efectivo los </w:t>
      </w:r>
      <w:r w:rsidRPr="00A07BE9">
        <w:rPr>
          <w:rFonts w:ascii="Open Sans" w:eastAsia="Times New Roman" w:hAnsi="Open Sans" w:cs="Open Sans"/>
          <w:b/>
          <w:bCs/>
          <w:iCs/>
          <w:color w:val="000000"/>
          <w:sz w:val="18"/>
          <w:szCs w:val="18"/>
          <w:lang w:eastAsia="es-ES"/>
        </w:rPr>
        <w:t>conflictos de intereses</w:t>
      </w:r>
      <w:r w:rsidRPr="00A07BE9">
        <w:rPr>
          <w:rFonts w:ascii="Open Sans" w:eastAsia="Times New Roman" w:hAnsi="Open Sans" w:cs="Open Sans"/>
          <w:iCs/>
          <w:color w:val="000000"/>
          <w:sz w:val="18"/>
          <w:szCs w:val="18"/>
          <w:lang w:eastAsia="es-ES"/>
        </w:rPr>
        <w:t xml:space="preserve"> que puedan surgir en los procedimientos de licitación. En línea con las medidas para luchar contra la corrupción, se hace una nueva regulación de las prohibiciones de contratar (…).”</w:t>
      </w:r>
    </w:p>
    <w:p w14:paraId="24533ACE" w14:textId="77777777" w:rsidR="00671CE2" w:rsidRPr="00A07BE9" w:rsidRDefault="00671CE2" w:rsidP="00671CE2">
      <w:pPr>
        <w:spacing w:after="0" w:line="276" w:lineRule="auto"/>
        <w:jc w:val="both"/>
        <w:rPr>
          <w:rFonts w:ascii="Open Sans" w:eastAsia="Times New Roman" w:hAnsi="Open Sans" w:cs="Open Sans"/>
          <w:i/>
          <w:iCs/>
          <w:color w:val="000000"/>
          <w:sz w:val="20"/>
          <w:szCs w:val="20"/>
          <w:lang w:eastAsia="es-ES"/>
        </w:rPr>
      </w:pPr>
    </w:p>
    <w:p w14:paraId="2EBAC320" w14:textId="21AC4724" w:rsidR="00671CE2" w:rsidRPr="00A07BE9" w:rsidRDefault="00671CE2" w:rsidP="00671CE2">
      <w:pPr>
        <w:spacing w:after="0" w:line="276" w:lineRule="auto"/>
        <w:jc w:val="both"/>
        <w:rPr>
          <w:rFonts w:ascii="Open Sans" w:hAnsi="Open Sans"/>
          <w:sz w:val="20"/>
          <w:szCs w:val="20"/>
        </w:rPr>
      </w:pPr>
      <w:r w:rsidRPr="00A07BE9">
        <w:rPr>
          <w:rFonts w:ascii="Open Sans" w:eastAsia="Times New Roman" w:hAnsi="Open Sans" w:cs="Open Sans"/>
          <w:color w:val="000000"/>
          <w:sz w:val="20"/>
          <w:szCs w:val="20"/>
          <w:lang w:eastAsia="es-ES"/>
        </w:rPr>
        <w:t xml:space="preserve">Tras la Exposición de Motivos y siguiendo el articulado de la </w:t>
      </w:r>
      <w:hyperlink r:id="rId147" w:history="1">
        <w:r w:rsidRPr="00A07BE9">
          <w:rPr>
            <w:rStyle w:val="Hipervnculo"/>
            <w:rFonts w:ascii="Open Sans" w:eastAsia="Times New Roman" w:hAnsi="Open Sans" w:cs="Open Sans"/>
            <w:sz w:val="20"/>
            <w:szCs w:val="20"/>
            <w:lang w:eastAsia="es-ES"/>
          </w:rPr>
          <w:t>LCSP</w:t>
        </w:r>
      </w:hyperlink>
      <w:r w:rsidRPr="00A07BE9">
        <w:rPr>
          <w:rFonts w:ascii="Open Sans" w:eastAsia="Times New Roman" w:hAnsi="Open Sans" w:cs="Open Sans"/>
          <w:color w:val="000000"/>
          <w:sz w:val="20"/>
          <w:szCs w:val="20"/>
          <w:lang w:eastAsia="es-ES"/>
        </w:rPr>
        <w:t>, cabe destacar, como medidas anticorrupción, entre otras, la</w:t>
      </w:r>
      <w:r w:rsidRPr="00A07BE9">
        <w:rPr>
          <w:rFonts w:ascii="Open Sans" w:eastAsia="Times New Roman" w:hAnsi="Open Sans" w:cs="Open Sans"/>
          <w:b/>
          <w:bCs/>
          <w:color w:val="000000"/>
          <w:sz w:val="20"/>
          <w:szCs w:val="20"/>
          <w:lang w:eastAsia="es-ES"/>
        </w:rPr>
        <w:t xml:space="preserve"> </w:t>
      </w:r>
      <w:r w:rsidRPr="00A07BE9">
        <w:rPr>
          <w:rFonts w:ascii="Open Sans" w:eastAsia="Times New Roman" w:hAnsi="Open Sans" w:cs="Open Sans"/>
          <w:color w:val="000000"/>
          <w:sz w:val="20"/>
          <w:szCs w:val="20"/>
          <w:lang w:eastAsia="es-ES"/>
        </w:rPr>
        <w:t xml:space="preserve">nueva regulación de los contratos menores, la </w:t>
      </w:r>
      <w:r w:rsidRPr="00A07BE9">
        <w:rPr>
          <w:rFonts w:ascii="Open Sans" w:eastAsia="Times New Roman" w:hAnsi="Open Sans" w:cs="Open Sans"/>
          <w:color w:val="000000"/>
          <w:sz w:val="20"/>
          <w:szCs w:val="20"/>
          <w:lang w:eastAsia="es-ES"/>
        </w:rPr>
        <w:lastRenderedPageBreak/>
        <w:t xml:space="preserve">desaparición de los procedimientos negociados por razón de la cuantía, la transparencia de los contratos o la </w:t>
      </w:r>
      <w:r w:rsidRPr="00A07BE9">
        <w:rPr>
          <w:rFonts w:ascii="Open Sans" w:eastAsia="Times New Roman" w:hAnsi="Open Sans" w:cs="Open Sans"/>
          <w:b/>
          <w:bCs/>
          <w:color w:val="000000"/>
          <w:sz w:val="20"/>
          <w:szCs w:val="20"/>
          <w:lang w:eastAsia="es-ES"/>
        </w:rPr>
        <w:t xml:space="preserve">creación de varios organismos de control. </w:t>
      </w:r>
    </w:p>
    <w:p w14:paraId="4DDC6204" w14:textId="56D487AC"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Asimismo, especial relevancia en la materia tiene el artículo 64 </w:t>
      </w:r>
      <w:hyperlink r:id="rId148" w:history="1">
        <w:r w:rsidRPr="00A07BE9">
          <w:rPr>
            <w:rStyle w:val="Hipervnculo"/>
            <w:rFonts w:ascii="Open Sans" w:eastAsia="Times New Roman" w:hAnsi="Open Sans" w:cs="Open Sans"/>
            <w:sz w:val="20"/>
            <w:szCs w:val="20"/>
            <w:lang w:eastAsia="es-ES"/>
          </w:rPr>
          <w:t>LCSP</w:t>
        </w:r>
      </w:hyperlink>
      <w:r w:rsidRPr="00A07BE9">
        <w:rPr>
          <w:rFonts w:ascii="Open Sans" w:eastAsia="Times New Roman" w:hAnsi="Open Sans" w:cs="Open Sans"/>
          <w:color w:val="000000"/>
          <w:sz w:val="20"/>
          <w:szCs w:val="20"/>
          <w:lang w:eastAsia="es-ES"/>
        </w:rPr>
        <w:t>, a cuyo tenor literal:</w:t>
      </w:r>
    </w:p>
    <w:p w14:paraId="1AA9008F" w14:textId="77777777" w:rsidR="00671CE2" w:rsidRPr="00A07BE9" w:rsidRDefault="00671CE2" w:rsidP="00671CE2">
      <w:pPr>
        <w:spacing w:after="0" w:line="276" w:lineRule="auto"/>
        <w:jc w:val="both"/>
        <w:rPr>
          <w:rFonts w:ascii="Open Sans" w:eastAsia="Times New Roman" w:hAnsi="Open Sans" w:cs="Open Sans"/>
          <w:i/>
          <w:iCs/>
          <w:color w:val="000000"/>
          <w:sz w:val="20"/>
          <w:szCs w:val="20"/>
          <w:lang w:eastAsia="es-ES"/>
        </w:rPr>
      </w:pPr>
    </w:p>
    <w:p w14:paraId="60871DE7" w14:textId="77777777" w:rsidR="00671CE2" w:rsidRPr="00A07BE9" w:rsidRDefault="00671CE2" w:rsidP="00671CE2">
      <w:pPr>
        <w:spacing w:after="0" w:line="276" w:lineRule="auto"/>
        <w:ind w:left="567"/>
        <w:jc w:val="both"/>
        <w:rPr>
          <w:rFonts w:ascii="Open Sans" w:hAnsi="Open Sans"/>
          <w:iCs/>
          <w:sz w:val="18"/>
          <w:szCs w:val="18"/>
        </w:rPr>
      </w:pPr>
      <w:r w:rsidRPr="00A07BE9">
        <w:rPr>
          <w:rFonts w:ascii="Open Sans" w:eastAsia="Times New Roman" w:hAnsi="Open Sans" w:cs="Open Sans"/>
          <w:iCs/>
          <w:color w:val="000000"/>
          <w:sz w:val="18"/>
          <w:szCs w:val="18"/>
          <w:lang w:eastAsia="es-ES"/>
        </w:rPr>
        <w:t>“</w:t>
      </w:r>
      <w:r w:rsidRPr="00A07BE9">
        <w:rPr>
          <w:rFonts w:ascii="Open Sans" w:eastAsia="Times New Roman" w:hAnsi="Open Sans" w:cs="Open Sans"/>
          <w:b/>
          <w:bCs/>
          <w:iCs/>
          <w:color w:val="000000"/>
          <w:sz w:val="18"/>
          <w:szCs w:val="18"/>
          <w:lang w:eastAsia="es-ES"/>
        </w:rPr>
        <w:t>Artículo 64. Lucha contra la corrupción y prevención de los conflictos de intereses</w:t>
      </w:r>
      <w:r w:rsidRPr="00A07BE9">
        <w:rPr>
          <w:rFonts w:ascii="Open Sans" w:eastAsia="Times New Roman" w:hAnsi="Open Sans" w:cs="Open Sans"/>
          <w:iCs/>
          <w:color w:val="000000"/>
          <w:sz w:val="18"/>
          <w:szCs w:val="18"/>
          <w:lang w:eastAsia="es-ES"/>
        </w:rPr>
        <w:t>.</w:t>
      </w:r>
    </w:p>
    <w:p w14:paraId="3A930A59" w14:textId="77777777" w:rsidR="00671CE2" w:rsidRPr="00A07BE9" w:rsidRDefault="00671CE2" w:rsidP="00671CE2">
      <w:pPr>
        <w:spacing w:after="0" w:line="276" w:lineRule="auto"/>
        <w:ind w:left="567"/>
        <w:jc w:val="both"/>
        <w:rPr>
          <w:rFonts w:ascii="Open Sans" w:hAnsi="Open Sans"/>
          <w:iCs/>
          <w:sz w:val="18"/>
          <w:szCs w:val="18"/>
        </w:rPr>
      </w:pPr>
      <w:r w:rsidRPr="00A07BE9">
        <w:rPr>
          <w:rFonts w:ascii="Open Sans" w:eastAsia="Times New Roman" w:hAnsi="Open Sans" w:cs="Open Sans"/>
          <w:iCs/>
          <w:color w:val="000000"/>
          <w:sz w:val="18"/>
          <w:szCs w:val="18"/>
          <w:lang w:eastAsia="es-ES"/>
        </w:rPr>
        <w:t xml:space="preserve">1. Los órganos de contratación deberán tomar las medidas adecuadas para </w:t>
      </w:r>
      <w:r w:rsidRPr="00A07BE9">
        <w:rPr>
          <w:rFonts w:ascii="Open Sans" w:eastAsia="Times New Roman" w:hAnsi="Open Sans" w:cs="Open Sans"/>
          <w:b/>
          <w:bCs/>
          <w:iCs/>
          <w:color w:val="000000"/>
          <w:sz w:val="18"/>
          <w:szCs w:val="18"/>
          <w:lang w:eastAsia="es-ES"/>
        </w:rPr>
        <w:t xml:space="preserve">luchar contra el fraude, el favoritismo y la corrupción, y prevenir, detectar y solucionar de modo efectivo los conflictos de intereses </w:t>
      </w:r>
      <w:r w:rsidRPr="00A07BE9">
        <w:rPr>
          <w:rFonts w:ascii="Open Sans" w:eastAsia="Times New Roman" w:hAnsi="Open Sans" w:cs="Open Sans"/>
          <w:iCs/>
          <w:color w:val="000000"/>
          <w:sz w:val="18"/>
          <w:szCs w:val="18"/>
          <w:lang w:eastAsia="es-ES"/>
        </w:rPr>
        <w:t xml:space="preserve">que puedan surgir en los procedimientos de licitación con el fin de </w:t>
      </w:r>
      <w:r w:rsidRPr="00A07BE9">
        <w:rPr>
          <w:rFonts w:ascii="Open Sans" w:eastAsia="Times New Roman" w:hAnsi="Open Sans" w:cs="Open Sans"/>
          <w:b/>
          <w:bCs/>
          <w:iCs/>
          <w:color w:val="000000"/>
          <w:sz w:val="18"/>
          <w:szCs w:val="18"/>
          <w:lang w:eastAsia="es-ES"/>
        </w:rPr>
        <w:t>evitar cualquier distorsión de la competencia y garantizar la transparencia en el procedimiento y la igualdad de trato</w:t>
      </w:r>
      <w:r w:rsidRPr="00A07BE9">
        <w:rPr>
          <w:rFonts w:ascii="Open Sans" w:eastAsia="Times New Roman" w:hAnsi="Open Sans" w:cs="Open Sans"/>
          <w:iCs/>
          <w:color w:val="000000"/>
          <w:sz w:val="18"/>
          <w:szCs w:val="18"/>
          <w:lang w:eastAsia="es-ES"/>
        </w:rPr>
        <w:t xml:space="preserve"> a todos los candidatos y licitadores.</w:t>
      </w:r>
    </w:p>
    <w:p w14:paraId="3600D398" w14:textId="77777777" w:rsidR="00671CE2" w:rsidRPr="00A07BE9" w:rsidRDefault="00671CE2" w:rsidP="00671CE2">
      <w:pPr>
        <w:spacing w:after="0" w:line="276" w:lineRule="auto"/>
        <w:ind w:left="567"/>
        <w:jc w:val="both"/>
        <w:rPr>
          <w:rFonts w:ascii="Open Sans" w:hAnsi="Open Sans"/>
          <w:iCs/>
          <w:sz w:val="18"/>
          <w:szCs w:val="18"/>
        </w:rPr>
      </w:pPr>
      <w:r w:rsidRPr="00A07BE9">
        <w:rPr>
          <w:rFonts w:ascii="Open Sans" w:eastAsia="Times New Roman" w:hAnsi="Open Sans" w:cs="Open Sans"/>
          <w:iCs/>
          <w:color w:val="000000"/>
          <w:sz w:val="18"/>
          <w:szCs w:val="18"/>
          <w:lang w:eastAsia="es-ES"/>
        </w:rPr>
        <w:t xml:space="preserve">2. A estos efectos el </w:t>
      </w:r>
      <w:r w:rsidRPr="00A07BE9">
        <w:rPr>
          <w:rFonts w:ascii="Open Sans" w:eastAsia="Times New Roman" w:hAnsi="Open Sans" w:cs="Open Sans"/>
          <w:b/>
          <w:bCs/>
          <w:iCs/>
          <w:color w:val="000000"/>
          <w:sz w:val="18"/>
          <w:szCs w:val="18"/>
          <w:lang w:eastAsia="es-ES"/>
        </w:rPr>
        <w:t>concepto de conflicto de intereses</w:t>
      </w:r>
      <w:r w:rsidRPr="00A07BE9">
        <w:rPr>
          <w:rFonts w:ascii="Open Sans" w:eastAsia="Times New Roman" w:hAnsi="Open Sans" w:cs="Open Sans"/>
          <w:iCs/>
          <w:color w:val="000000"/>
          <w:sz w:val="18"/>
          <w:szCs w:val="18"/>
          <w:lang w:eastAsia="es-ES"/>
        </w:rPr>
        <w:t xml:space="preserve"> abarcará, al menos, cualquier situación en la que el personal al servicio del órgano de contratación, que además participe en el desarrollo del procedimiento de licitación o pueda influir en el resultado del mismo, tenga directa o indirectamente un interés financiero, económico o personal que pudiera parecer que compromete su imparcialidad e independencia en el contexto del procedimiento de licitación.</w:t>
      </w:r>
    </w:p>
    <w:p w14:paraId="58C25133" w14:textId="77777777" w:rsidR="00671CE2" w:rsidRPr="00A07BE9" w:rsidRDefault="00671CE2" w:rsidP="00671CE2">
      <w:pPr>
        <w:spacing w:after="0" w:line="276" w:lineRule="auto"/>
        <w:ind w:left="567"/>
        <w:jc w:val="both"/>
        <w:rPr>
          <w:rFonts w:ascii="Open Sans" w:eastAsia="Times New Roman" w:hAnsi="Open Sans" w:cs="Open Sans"/>
          <w:iCs/>
          <w:color w:val="000000"/>
          <w:sz w:val="18"/>
          <w:szCs w:val="18"/>
          <w:lang w:eastAsia="es-ES"/>
        </w:rPr>
      </w:pPr>
      <w:r w:rsidRPr="00A07BE9">
        <w:rPr>
          <w:rFonts w:ascii="Open Sans" w:eastAsia="Times New Roman" w:hAnsi="Open Sans" w:cs="Open Sans"/>
          <w:iCs/>
          <w:color w:val="000000"/>
          <w:sz w:val="18"/>
          <w:szCs w:val="18"/>
          <w:lang w:eastAsia="es-ES"/>
        </w:rPr>
        <w:t>Aquellas personas o entidades que tengan conocimiento de un posible conflicto de interés deberán ponerlo inmediatamente en conocimiento del órgano de contratación.”</w:t>
      </w:r>
    </w:p>
    <w:p w14:paraId="31B1E958" w14:textId="77777777"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p>
    <w:p w14:paraId="1151AA51" w14:textId="1E497E6A" w:rsidR="00671CE2" w:rsidRPr="00A07BE9" w:rsidRDefault="00671CE2" w:rsidP="00671CE2">
      <w:pPr>
        <w:spacing w:after="0" w:line="276" w:lineRule="auto"/>
        <w:jc w:val="both"/>
        <w:rPr>
          <w:rFonts w:ascii="Open Sans" w:hAnsi="Open Sans"/>
          <w:sz w:val="20"/>
          <w:szCs w:val="20"/>
        </w:rPr>
      </w:pPr>
      <w:r w:rsidRPr="00A07BE9">
        <w:rPr>
          <w:rFonts w:ascii="Open Sans" w:eastAsia="Times New Roman" w:hAnsi="Open Sans" w:cs="Open Sans"/>
          <w:color w:val="000000"/>
          <w:sz w:val="20"/>
          <w:szCs w:val="20"/>
          <w:lang w:eastAsia="es-ES"/>
        </w:rPr>
        <w:t xml:space="preserve">Igualmente, otra de las importantes medidas anticorrupción de la nueva </w:t>
      </w:r>
      <w:hyperlink r:id="rId149" w:history="1">
        <w:r w:rsidRPr="00A07BE9">
          <w:rPr>
            <w:rStyle w:val="Hipervnculo"/>
            <w:rFonts w:ascii="Open Sans" w:eastAsia="Times New Roman" w:hAnsi="Open Sans" w:cs="Open Sans"/>
            <w:sz w:val="20"/>
            <w:szCs w:val="20"/>
            <w:lang w:eastAsia="es-ES"/>
          </w:rPr>
          <w:t>LCSP</w:t>
        </w:r>
      </w:hyperlink>
      <w:r w:rsidRPr="00A07BE9">
        <w:rPr>
          <w:rFonts w:ascii="Open Sans" w:eastAsia="Times New Roman" w:hAnsi="Open Sans" w:cs="Open Sans"/>
          <w:color w:val="000000"/>
          <w:sz w:val="20"/>
          <w:szCs w:val="20"/>
          <w:lang w:eastAsia="es-ES"/>
        </w:rPr>
        <w:t xml:space="preserve">, es la </w:t>
      </w:r>
      <w:r w:rsidRPr="00A07BE9">
        <w:rPr>
          <w:rFonts w:ascii="Open Sans" w:eastAsia="Times New Roman" w:hAnsi="Open Sans" w:cs="Open Sans"/>
          <w:b/>
          <w:bCs/>
          <w:color w:val="000000"/>
          <w:sz w:val="20"/>
          <w:szCs w:val="20"/>
          <w:lang w:eastAsia="es-ES"/>
        </w:rPr>
        <w:t xml:space="preserve">introducción de la Oficina Independiente de Regulación y Supervisión de la Contratación </w:t>
      </w:r>
      <w:r w:rsidRPr="00A07BE9">
        <w:rPr>
          <w:rFonts w:ascii="Open Sans" w:eastAsia="Times New Roman" w:hAnsi="Open Sans" w:cs="Open Sans"/>
          <w:color w:val="000000"/>
          <w:sz w:val="20"/>
          <w:szCs w:val="20"/>
          <w:lang w:eastAsia="es-ES"/>
        </w:rPr>
        <w:t>(</w:t>
      </w:r>
      <w:r w:rsidR="00236910" w:rsidRPr="00A07BE9">
        <w:rPr>
          <w:rFonts w:ascii="Open Sans" w:eastAsia="Times New Roman" w:hAnsi="Open Sans" w:cs="Open Sans"/>
          <w:color w:val="000000"/>
          <w:sz w:val="20"/>
          <w:szCs w:val="20"/>
          <w:lang w:eastAsia="es-ES"/>
        </w:rPr>
        <w:t>OIReScon</w:t>
      </w:r>
      <w:r w:rsidRPr="00A07BE9">
        <w:rPr>
          <w:rFonts w:ascii="Open Sans" w:eastAsia="Times New Roman" w:hAnsi="Open Sans" w:cs="Open Sans"/>
          <w:color w:val="000000"/>
          <w:sz w:val="20"/>
          <w:szCs w:val="20"/>
          <w:lang w:eastAsia="es-ES"/>
        </w:rPr>
        <w:t xml:space="preserve">), prevista en el artículo 332, con la finalidad de </w:t>
      </w:r>
      <w:r w:rsidRPr="00A07BE9">
        <w:rPr>
          <w:rFonts w:ascii="Open Sans" w:eastAsia="Times New Roman" w:hAnsi="Open Sans" w:cs="Open Sans"/>
          <w:b/>
          <w:bCs/>
          <w:color w:val="000000"/>
          <w:sz w:val="20"/>
          <w:szCs w:val="20"/>
          <w:lang w:eastAsia="es-ES"/>
        </w:rPr>
        <w:t xml:space="preserve">velar por la correcta aplicación de la legislación </w:t>
      </w:r>
      <w:r w:rsidRPr="00A07BE9">
        <w:rPr>
          <w:rFonts w:ascii="Open Sans" w:eastAsia="Times New Roman" w:hAnsi="Open Sans" w:cs="Open Sans"/>
          <w:color w:val="000000"/>
          <w:sz w:val="20"/>
          <w:szCs w:val="20"/>
          <w:lang w:eastAsia="es-ES"/>
        </w:rPr>
        <w:t xml:space="preserve">y, en particular, </w:t>
      </w:r>
      <w:r w:rsidRPr="00A07BE9">
        <w:rPr>
          <w:rFonts w:ascii="Open Sans" w:eastAsia="Times New Roman" w:hAnsi="Open Sans" w:cs="Open Sans"/>
          <w:b/>
          <w:bCs/>
          <w:color w:val="000000"/>
          <w:sz w:val="20"/>
          <w:szCs w:val="20"/>
          <w:lang w:eastAsia="es-ES"/>
        </w:rPr>
        <w:t>promover la concurrencia y combatir las ilegalidades</w:t>
      </w:r>
      <w:r w:rsidRPr="00A07BE9">
        <w:rPr>
          <w:rFonts w:ascii="Open Sans" w:eastAsia="Times New Roman" w:hAnsi="Open Sans" w:cs="Open Sans"/>
          <w:color w:val="000000"/>
          <w:sz w:val="20"/>
          <w:szCs w:val="20"/>
          <w:lang w:eastAsia="es-ES"/>
        </w:rPr>
        <w:t xml:space="preserve">, en relación con la contratación pública. Para la consecución de estos objetivos, la Oficina debe actuar en el desarrollo de su actividad y el cumplimiento de sus fines con plena </w:t>
      </w:r>
      <w:r w:rsidRPr="00A07BE9">
        <w:rPr>
          <w:rFonts w:ascii="Open Sans" w:eastAsia="Times New Roman" w:hAnsi="Open Sans" w:cs="Open Sans"/>
          <w:b/>
          <w:bCs/>
          <w:color w:val="000000"/>
          <w:sz w:val="20"/>
          <w:szCs w:val="20"/>
          <w:lang w:eastAsia="es-ES"/>
        </w:rPr>
        <w:t>independencia orgánica y funcional.</w:t>
      </w:r>
    </w:p>
    <w:p w14:paraId="04FF94A2" w14:textId="77777777"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p>
    <w:p w14:paraId="5BF5CEF6" w14:textId="1864CC0F" w:rsidR="00671CE2" w:rsidRPr="00A07BE9" w:rsidRDefault="00671CE2" w:rsidP="00671CE2">
      <w:pPr>
        <w:spacing w:after="0" w:line="276" w:lineRule="auto"/>
        <w:jc w:val="both"/>
        <w:rPr>
          <w:rFonts w:ascii="Open Sans" w:hAnsi="Open Sans"/>
          <w:sz w:val="20"/>
          <w:szCs w:val="20"/>
        </w:rPr>
      </w:pPr>
      <w:r w:rsidRPr="00A07BE9">
        <w:rPr>
          <w:rFonts w:ascii="Open Sans" w:eastAsia="Times New Roman" w:hAnsi="Open Sans" w:cs="Open Sans"/>
          <w:color w:val="000000"/>
          <w:sz w:val="20"/>
          <w:szCs w:val="20"/>
          <w:lang w:eastAsia="es-ES"/>
        </w:rPr>
        <w:t xml:space="preserve">Con ella, el legislador pretende reforzar el principio de integridad (ya expresamente reconocido en el artículo 1 de la </w:t>
      </w:r>
      <w:hyperlink r:id="rId150" w:history="1">
        <w:r w:rsidRPr="00A07BE9">
          <w:rPr>
            <w:rStyle w:val="Hipervnculo"/>
            <w:rFonts w:ascii="Open Sans" w:eastAsia="Times New Roman" w:hAnsi="Open Sans" w:cs="Open Sans"/>
            <w:sz w:val="20"/>
            <w:szCs w:val="20"/>
            <w:lang w:eastAsia="es-ES"/>
          </w:rPr>
          <w:t>LCSP</w:t>
        </w:r>
      </w:hyperlink>
      <w:r w:rsidRPr="00A07BE9">
        <w:rPr>
          <w:rFonts w:ascii="Open Sans" w:eastAsia="Times New Roman" w:hAnsi="Open Sans" w:cs="Open Sans"/>
          <w:color w:val="000000"/>
          <w:sz w:val="20"/>
          <w:szCs w:val="20"/>
          <w:lang w:eastAsia="es-ES"/>
        </w:rPr>
        <w:t>), al que dota de funciones a los efectos de detectar incumplimientos específicos, irregularidades o problemas sistémicos, y vigilar el estricto cumplimiento de la legislación de contratos del sector público, especialmente el respeto a los principios de publicidad y concurrencia y de las prerrogativas de la administración, y el seguimiento de las buenas prácticas.</w:t>
      </w:r>
    </w:p>
    <w:p w14:paraId="0011917B" w14:textId="77777777"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p>
    <w:p w14:paraId="338992C5" w14:textId="77777777" w:rsidR="00CB3D31" w:rsidRPr="00A07BE9" w:rsidRDefault="00671CE2" w:rsidP="00671CE2">
      <w:pPr>
        <w:spacing w:after="0" w:line="276" w:lineRule="auto"/>
        <w:jc w:val="both"/>
        <w:rPr>
          <w:rFonts w:ascii="Open Sans" w:hAnsi="Open Sans" w:cs="Open Sans"/>
          <w:b/>
          <w:sz w:val="20"/>
          <w:szCs w:val="20"/>
        </w:rPr>
      </w:pPr>
      <w:r w:rsidRPr="00A07BE9">
        <w:rPr>
          <w:rFonts w:ascii="Open Sans" w:eastAsia="Times New Roman" w:hAnsi="Open Sans" w:cs="Open Sans"/>
          <w:color w:val="000000"/>
          <w:sz w:val="20"/>
          <w:szCs w:val="20"/>
          <w:lang w:eastAsia="es-ES"/>
        </w:rPr>
        <w:t xml:space="preserve">Todas estas </w:t>
      </w:r>
      <w:r w:rsidRPr="00A07BE9">
        <w:rPr>
          <w:rFonts w:ascii="Open Sans" w:eastAsia="Times New Roman" w:hAnsi="Open Sans" w:cs="Open Sans"/>
          <w:b/>
          <w:bCs/>
          <w:color w:val="000000"/>
          <w:sz w:val="20"/>
          <w:szCs w:val="20"/>
          <w:lang w:eastAsia="es-ES"/>
        </w:rPr>
        <w:t>funciones</w:t>
      </w:r>
      <w:r w:rsidRPr="00A07BE9">
        <w:rPr>
          <w:rFonts w:ascii="Open Sans" w:eastAsia="Times New Roman" w:hAnsi="Open Sans" w:cs="Open Sans"/>
          <w:color w:val="000000"/>
          <w:sz w:val="20"/>
          <w:szCs w:val="20"/>
          <w:lang w:eastAsia="es-ES"/>
        </w:rPr>
        <w:t xml:space="preserve"> vienen </w:t>
      </w:r>
      <w:r w:rsidRPr="00A07BE9">
        <w:rPr>
          <w:rFonts w:ascii="Open Sans" w:eastAsia="Times New Roman" w:hAnsi="Open Sans" w:cs="Open Sans"/>
          <w:b/>
          <w:bCs/>
          <w:color w:val="000000"/>
          <w:sz w:val="20"/>
          <w:szCs w:val="20"/>
          <w:lang w:eastAsia="es-ES"/>
        </w:rPr>
        <w:t>atribuidas</w:t>
      </w:r>
      <w:r w:rsidRPr="00A07BE9">
        <w:rPr>
          <w:rFonts w:ascii="Open Sans" w:eastAsia="Times New Roman" w:hAnsi="Open Sans" w:cs="Open Sans"/>
          <w:color w:val="000000"/>
          <w:sz w:val="20"/>
          <w:szCs w:val="20"/>
          <w:lang w:eastAsia="es-ES"/>
        </w:rPr>
        <w:t>, en el ámbito del territorio de la</w:t>
      </w:r>
      <w:r w:rsidRPr="00A07BE9">
        <w:rPr>
          <w:rFonts w:ascii="Open Sans" w:eastAsia="Times New Roman" w:hAnsi="Open Sans" w:cs="Open Sans"/>
          <w:b/>
          <w:bCs/>
          <w:color w:val="000000"/>
          <w:sz w:val="20"/>
          <w:szCs w:val="20"/>
          <w:lang w:eastAsia="es-ES"/>
        </w:rPr>
        <w:t xml:space="preserve"> Comunitat Valenciana, a la Agencia </w:t>
      </w:r>
      <w:r w:rsidRPr="00A07BE9">
        <w:rPr>
          <w:rFonts w:ascii="Open Sans" w:eastAsia="Times New Roman" w:hAnsi="Open Sans" w:cs="Open Sans"/>
          <w:color w:val="000000"/>
          <w:sz w:val="20"/>
          <w:szCs w:val="20"/>
          <w:lang w:eastAsia="es-ES"/>
        </w:rPr>
        <w:t>de Prevención y Lucha contra el Fraude y la Corrupción, de acuerdo con lo establecido en los</w:t>
      </w:r>
      <w:r w:rsidRPr="00A07BE9">
        <w:rPr>
          <w:rFonts w:ascii="Open Sans" w:eastAsia="Times New Roman" w:hAnsi="Open Sans" w:cs="Open Sans"/>
          <w:b/>
          <w:bCs/>
          <w:color w:val="000000"/>
          <w:sz w:val="20"/>
          <w:szCs w:val="20"/>
          <w:lang w:eastAsia="es-ES"/>
        </w:rPr>
        <w:t xml:space="preserve"> artículos 1, 4, 6, 11, 16, 18, 19 y concordantes de la </w:t>
      </w:r>
      <w:hyperlink r:id="rId151" w:history="1">
        <w:r w:rsidR="00CB3D31" w:rsidRPr="00A07BE9">
          <w:rPr>
            <w:rStyle w:val="Hipervnculo"/>
            <w:rFonts w:ascii="Open Sans" w:hAnsi="Open Sans" w:cs="Open Sans"/>
            <w:b/>
            <w:sz w:val="20"/>
            <w:szCs w:val="20"/>
          </w:rPr>
          <w:t>Ley 11/2016</w:t>
        </w:r>
        <w:r w:rsidR="00CB3D31" w:rsidRPr="00A07BE9">
          <w:rPr>
            <w:rStyle w:val="Hipervnculo"/>
            <w:rFonts w:ascii="Open Sans" w:hAnsi="Open Sans"/>
            <w:color w:val="auto"/>
            <w:sz w:val="20"/>
            <w:szCs w:val="20"/>
            <w:u w:val="none"/>
          </w:rPr>
          <w:t>, de 28 de noviembre, de la Generalitat</w:t>
        </w:r>
      </w:hyperlink>
      <w:r w:rsidR="00CB3D31" w:rsidRPr="00A07BE9">
        <w:rPr>
          <w:rFonts w:ascii="Open Sans" w:hAnsi="Open Sans" w:cs="Open Sans"/>
          <w:b/>
          <w:sz w:val="20"/>
          <w:szCs w:val="20"/>
        </w:rPr>
        <w:t>.</w:t>
      </w:r>
    </w:p>
    <w:p w14:paraId="36970CEA" w14:textId="77777777" w:rsidR="00CB3D31" w:rsidRPr="00A07BE9" w:rsidRDefault="00CB3D31" w:rsidP="00671CE2">
      <w:pPr>
        <w:spacing w:after="0" w:line="276" w:lineRule="auto"/>
        <w:jc w:val="both"/>
        <w:rPr>
          <w:rFonts w:ascii="Open Sans" w:hAnsi="Open Sans" w:cs="Open Sans"/>
          <w:color w:val="000000"/>
          <w:sz w:val="20"/>
          <w:szCs w:val="20"/>
        </w:rPr>
      </w:pPr>
    </w:p>
    <w:p w14:paraId="27834ED5" w14:textId="3FD05699" w:rsidR="00671CE2" w:rsidRPr="00A07BE9" w:rsidRDefault="00671CE2" w:rsidP="00671CE2">
      <w:pPr>
        <w:spacing w:after="0" w:line="276" w:lineRule="auto"/>
        <w:jc w:val="both"/>
        <w:rPr>
          <w:rFonts w:ascii="Open Sans" w:hAnsi="Open Sans"/>
          <w:sz w:val="20"/>
          <w:szCs w:val="20"/>
        </w:rPr>
      </w:pPr>
      <w:r w:rsidRPr="00A07BE9">
        <w:rPr>
          <w:rFonts w:ascii="Open Sans" w:hAnsi="Open Sans" w:cs="Open Sans"/>
          <w:color w:val="000000"/>
          <w:sz w:val="20"/>
          <w:szCs w:val="20"/>
        </w:rPr>
        <w:t xml:space="preserve">Además, a dicha Oficina Independiente de Regulación y Supervisión de la Contratación </w:t>
      </w:r>
      <w:r w:rsidRPr="00A07BE9">
        <w:rPr>
          <w:rFonts w:ascii="Open Sans" w:hAnsi="Open Sans" w:cs="Open Sans"/>
          <w:b/>
          <w:bCs/>
          <w:color w:val="000000"/>
          <w:sz w:val="20"/>
          <w:szCs w:val="20"/>
        </w:rPr>
        <w:t>se le encomienda, al igual que a la Agencia</w:t>
      </w:r>
      <w:r w:rsidRPr="00A07BE9">
        <w:rPr>
          <w:rFonts w:ascii="Open Sans" w:hAnsi="Open Sans" w:cs="Open Sans"/>
          <w:color w:val="000000"/>
          <w:sz w:val="20"/>
          <w:szCs w:val="20"/>
        </w:rPr>
        <w:t xml:space="preserve"> de Prevención y Lucha contra el Fraude y la Corrupción de la Comunitat Valenciana, una función fundamental en la lucha contra la corrupción: </w:t>
      </w:r>
      <w:r w:rsidRPr="00A07BE9">
        <w:rPr>
          <w:rFonts w:ascii="Open Sans" w:hAnsi="Open Sans" w:cs="Open Sans"/>
          <w:b/>
          <w:bCs/>
          <w:color w:val="000000"/>
          <w:sz w:val="20"/>
          <w:szCs w:val="20"/>
        </w:rPr>
        <w:t>trasladar a la Fiscalía, al órgano judicial, al Tribunal de Cuentas o a la Comisión Nacional de los Mercados y la Competencia,</w:t>
      </w:r>
      <w:r w:rsidRPr="00A07BE9">
        <w:rPr>
          <w:rFonts w:ascii="Open Sans" w:hAnsi="Open Sans" w:cs="Open Sans"/>
          <w:color w:val="000000"/>
          <w:sz w:val="20"/>
          <w:szCs w:val="20"/>
        </w:rPr>
        <w:t xml:space="preserve"> según corresponda, los asuntos que sean de su competencia a efectos de</w:t>
      </w:r>
      <w:r w:rsidRPr="00A07BE9">
        <w:rPr>
          <w:rFonts w:ascii="Open Sans" w:hAnsi="Open Sans" w:cs="Open Sans"/>
          <w:b/>
          <w:bCs/>
          <w:color w:val="000000"/>
          <w:sz w:val="20"/>
          <w:szCs w:val="20"/>
        </w:rPr>
        <w:t xml:space="preserve"> exigir las responsabilidades legales </w:t>
      </w:r>
      <w:r w:rsidRPr="00A07BE9">
        <w:rPr>
          <w:rFonts w:ascii="Open Sans" w:hAnsi="Open Sans" w:cs="Open Sans"/>
          <w:color w:val="000000"/>
          <w:sz w:val="20"/>
          <w:szCs w:val="20"/>
        </w:rPr>
        <w:t>que procedan.</w:t>
      </w:r>
    </w:p>
    <w:p w14:paraId="4528C8D7" w14:textId="77777777" w:rsidR="00671CE2" w:rsidRPr="00A07BE9" w:rsidRDefault="00671CE2" w:rsidP="00671CE2">
      <w:pPr>
        <w:spacing w:after="0" w:line="276" w:lineRule="auto"/>
        <w:jc w:val="both"/>
        <w:rPr>
          <w:rFonts w:ascii="Open Sans" w:hAnsi="Open Sans"/>
          <w:sz w:val="20"/>
          <w:szCs w:val="20"/>
        </w:rPr>
      </w:pPr>
      <w:r w:rsidRPr="00A07BE9">
        <w:rPr>
          <w:rFonts w:ascii="Open Sans" w:hAnsi="Open Sans" w:cs="Open Sans"/>
          <w:color w:val="000000"/>
          <w:sz w:val="20"/>
          <w:szCs w:val="20"/>
        </w:rPr>
        <w:lastRenderedPageBreak/>
        <w:t>Prueba irrefutable de que las funciones y fines de la mencionada Oficina, en materia de contratación pública, son coincidentes con las funciones y fines de la Agencia, es la petición cursada en fecha 5 de noviembre de 2019, por la presidenta de la Oficina Independiente de</w:t>
      </w:r>
      <w:r w:rsidRPr="00A07BE9">
        <w:rPr>
          <w:rFonts w:ascii="Open Sans" w:hAnsi="Open Sans" w:cs="Open Sans"/>
          <w:color w:val="FF0000"/>
          <w:sz w:val="20"/>
          <w:szCs w:val="20"/>
        </w:rPr>
        <w:t xml:space="preserve"> </w:t>
      </w:r>
      <w:r w:rsidRPr="00A07BE9">
        <w:rPr>
          <w:rFonts w:ascii="Open Sans" w:hAnsi="Open Sans" w:cs="Open Sans"/>
          <w:color w:val="000000"/>
          <w:sz w:val="20"/>
          <w:szCs w:val="20"/>
        </w:rPr>
        <w:t>Regulación y Supervisión de la Contratación, remitida al director de la Agencia de Prevención y Lucha contra el Fraude y la Corrupción de la Comunitat Valenciana, mediante la que solicita informe sobre las actuaciones llevadas a cabo por esta Agencia relacionadas con la detección y notificación de casos de fraude, corrupción, conflicto de intereses y otras irregularidades relacionadas con la contratación pública, así como con la prevención desarrollada en esta materia, en particular la relación de cursos, jornadas o seminarios relativos a la contratación que hubieran sido impartidos, coordinados o tutorizados por la Agencia.</w:t>
      </w:r>
    </w:p>
    <w:p w14:paraId="48ADB034" w14:textId="77777777" w:rsidR="00671CE2" w:rsidRPr="00A07BE9" w:rsidRDefault="00671CE2" w:rsidP="00671CE2">
      <w:pPr>
        <w:spacing w:after="0" w:line="276" w:lineRule="auto"/>
        <w:jc w:val="both"/>
        <w:rPr>
          <w:rFonts w:ascii="Open Sans" w:hAnsi="Open Sans" w:cs="Open Sans"/>
          <w:color w:val="000000"/>
          <w:sz w:val="20"/>
          <w:szCs w:val="20"/>
        </w:rPr>
      </w:pPr>
    </w:p>
    <w:p w14:paraId="4A4D9B66" w14:textId="77777777" w:rsidR="00671CE2" w:rsidRPr="00A07BE9" w:rsidRDefault="00671CE2" w:rsidP="00671CE2">
      <w:pPr>
        <w:spacing w:after="0" w:line="276" w:lineRule="auto"/>
        <w:jc w:val="both"/>
        <w:rPr>
          <w:rFonts w:ascii="Open Sans" w:hAnsi="Open Sans"/>
          <w:sz w:val="20"/>
          <w:szCs w:val="20"/>
        </w:rPr>
      </w:pPr>
      <w:r w:rsidRPr="00A07BE9">
        <w:rPr>
          <w:rFonts w:ascii="Open Sans" w:hAnsi="Open Sans" w:cs="Open Sans"/>
          <w:color w:val="000000"/>
          <w:sz w:val="20"/>
          <w:szCs w:val="20"/>
        </w:rPr>
        <w:t>Dicha petición, emitida por la autoridad independiente estatal, se realizó en el marco del informe anual de supervisión que debe elaborarse y remitirse a la Comisión Europea a final de cada año, y fue atendida por la Agencia en fecha 15 de noviembre de 2019 a través del envío del correspondiente informe.</w:t>
      </w:r>
    </w:p>
    <w:p w14:paraId="1E4F7019" w14:textId="77777777" w:rsidR="00671CE2" w:rsidRPr="00A07BE9" w:rsidRDefault="00671CE2" w:rsidP="00671CE2">
      <w:pPr>
        <w:spacing w:after="0" w:line="276" w:lineRule="auto"/>
        <w:jc w:val="both"/>
        <w:rPr>
          <w:rFonts w:ascii="Open Sans" w:hAnsi="Open Sans" w:cs="Open Sans"/>
          <w:b/>
          <w:bCs/>
          <w:color w:val="000000"/>
          <w:sz w:val="20"/>
          <w:szCs w:val="20"/>
        </w:rPr>
      </w:pPr>
    </w:p>
    <w:p w14:paraId="688C32F7" w14:textId="4ED98F50" w:rsidR="00671CE2" w:rsidRPr="00A07BE9" w:rsidRDefault="00671CE2" w:rsidP="00671CE2">
      <w:pPr>
        <w:spacing w:after="0" w:line="276" w:lineRule="auto"/>
        <w:jc w:val="both"/>
        <w:rPr>
          <w:rFonts w:ascii="Open Sans" w:hAnsi="Open Sans"/>
          <w:sz w:val="20"/>
          <w:szCs w:val="20"/>
        </w:rPr>
      </w:pPr>
      <w:r w:rsidRPr="00A07BE9">
        <w:rPr>
          <w:rFonts w:ascii="Open Sans" w:hAnsi="Open Sans" w:cs="Open Sans"/>
          <w:bCs/>
          <w:color w:val="000000"/>
          <w:sz w:val="20"/>
          <w:szCs w:val="20"/>
        </w:rPr>
        <w:t xml:space="preserve">Así pues, la propuesta de la Agencia de adicionar un apartado 2 en el artículo 4 de </w:t>
      </w:r>
      <w:hyperlink r:id="rId152" w:history="1">
        <w:r w:rsidR="005401CB" w:rsidRPr="00A07BE9">
          <w:rPr>
            <w:rStyle w:val="Hipervnculo"/>
            <w:rFonts w:ascii="Open Sans" w:hAnsi="Open Sans" w:cs="Open Sans"/>
            <w:sz w:val="20"/>
            <w:szCs w:val="20"/>
          </w:rPr>
          <w:t>Ley 11/2016</w:t>
        </w:r>
        <w:r w:rsidR="005401CB" w:rsidRPr="00A07BE9">
          <w:rPr>
            <w:rStyle w:val="Hipervnculo"/>
            <w:rFonts w:ascii="Open Sans" w:hAnsi="Open Sans"/>
            <w:color w:val="auto"/>
            <w:sz w:val="20"/>
            <w:szCs w:val="20"/>
            <w:u w:val="none"/>
          </w:rPr>
          <w:t>, de 28 de noviembre, de la Generalitat</w:t>
        </w:r>
      </w:hyperlink>
      <w:r w:rsidR="005401CB" w:rsidRPr="00A07BE9">
        <w:rPr>
          <w:rFonts w:ascii="Open Sans" w:hAnsi="Open Sans" w:cs="Open Sans"/>
          <w:sz w:val="20"/>
          <w:szCs w:val="20"/>
        </w:rPr>
        <w:t>,</w:t>
      </w:r>
      <w:r w:rsidRPr="00A07BE9">
        <w:rPr>
          <w:rFonts w:ascii="Open Sans" w:hAnsi="Open Sans" w:cs="Open Sans"/>
          <w:bCs/>
          <w:color w:val="000000"/>
          <w:sz w:val="20"/>
          <w:szCs w:val="20"/>
        </w:rPr>
        <w:t xml:space="preserve"> daba cumplimiento a</w:t>
      </w:r>
      <w:r w:rsidRPr="00A07BE9">
        <w:rPr>
          <w:rFonts w:ascii="Open Sans" w:hAnsi="Open Sans" w:cs="Open Sans"/>
          <w:color w:val="000000"/>
          <w:sz w:val="20"/>
          <w:szCs w:val="20"/>
        </w:rPr>
        <w:t>l mandato constitucional del artículo 103 y a otros muchos preceptos contenidos en las leyes administrativas, que consagran los principios que deben regir la actuación de todas las administraciones públicas, entre los que destacan los de eficacia y de coordinación, al tiempo que perseguía evitar disfunciones y duplicidades no operativas, que podrían suponer el asignar tales tareas, en la Comunitat Valenciana, a otra entidad o institución diferente, cuando estas ya se hayan atribuidas a la Agencia, con carácter de autoridad y con potestad sancionadora.</w:t>
      </w:r>
    </w:p>
    <w:p w14:paraId="658C1D4C" w14:textId="77777777" w:rsidR="00671CE2" w:rsidRPr="00A07BE9" w:rsidRDefault="00671CE2" w:rsidP="00671CE2">
      <w:pPr>
        <w:spacing w:after="0" w:line="276" w:lineRule="auto"/>
        <w:jc w:val="both"/>
        <w:rPr>
          <w:rFonts w:ascii="Open Sans" w:hAnsi="Open Sans" w:cs="Open Sans"/>
          <w:color w:val="1E6A39"/>
          <w:sz w:val="20"/>
          <w:szCs w:val="20"/>
        </w:rPr>
      </w:pPr>
    </w:p>
    <w:p w14:paraId="4B4CD835" w14:textId="51A115CF" w:rsidR="00671CE2" w:rsidRPr="00A07BE9" w:rsidRDefault="00671CE2" w:rsidP="00671CE2">
      <w:pPr>
        <w:spacing w:after="0" w:line="276" w:lineRule="auto"/>
        <w:jc w:val="both"/>
        <w:rPr>
          <w:rFonts w:ascii="Open Sans" w:hAnsi="Open Sans" w:cs="Open Sans"/>
          <w:color w:val="1B1B1B"/>
          <w:sz w:val="20"/>
          <w:szCs w:val="20"/>
        </w:rPr>
      </w:pPr>
      <w:r w:rsidRPr="00A07BE9">
        <w:rPr>
          <w:rFonts w:ascii="Open Sans" w:hAnsi="Open Sans" w:cs="Open Sans"/>
          <w:color w:val="1B1B1B"/>
          <w:sz w:val="20"/>
          <w:szCs w:val="20"/>
        </w:rPr>
        <w:t xml:space="preserve">Los términos en los que se plantea la adición de dicho apartado 2 de artículo 4 de la citada </w:t>
      </w:r>
      <w:hyperlink r:id="rId153" w:history="1">
        <w:r w:rsidR="005401CB" w:rsidRPr="00A07BE9">
          <w:rPr>
            <w:rStyle w:val="Hipervnculo"/>
            <w:rFonts w:ascii="Open Sans" w:hAnsi="Open Sans" w:cs="Open Sans"/>
            <w:sz w:val="20"/>
            <w:szCs w:val="20"/>
          </w:rPr>
          <w:t>Ley 11/2016</w:t>
        </w:r>
        <w:r w:rsidR="005401CB" w:rsidRPr="00A07BE9">
          <w:rPr>
            <w:rStyle w:val="Hipervnculo"/>
            <w:rFonts w:ascii="Open Sans" w:hAnsi="Open Sans"/>
            <w:sz w:val="20"/>
            <w:szCs w:val="20"/>
          </w:rPr>
          <w:t>,</w:t>
        </w:r>
      </w:hyperlink>
      <w:r w:rsidRPr="00A07BE9">
        <w:rPr>
          <w:rFonts w:ascii="Open Sans" w:hAnsi="Open Sans" w:cs="Open Sans"/>
          <w:color w:val="1B1B1B"/>
          <w:sz w:val="20"/>
          <w:szCs w:val="20"/>
        </w:rPr>
        <w:t xml:space="preserve"> son los siguientes:</w:t>
      </w:r>
    </w:p>
    <w:p w14:paraId="5E0F3CCC" w14:textId="77777777" w:rsidR="00671CE2" w:rsidRPr="00A07BE9" w:rsidRDefault="00671CE2" w:rsidP="00671CE2">
      <w:pPr>
        <w:spacing w:after="0" w:line="276" w:lineRule="auto"/>
        <w:ind w:left="567"/>
        <w:jc w:val="both"/>
        <w:rPr>
          <w:rFonts w:ascii="Open Sans" w:hAnsi="Open Sans"/>
          <w:sz w:val="20"/>
          <w:szCs w:val="20"/>
        </w:rPr>
      </w:pPr>
    </w:p>
    <w:p w14:paraId="099C4C42" w14:textId="77777777" w:rsidR="00671CE2" w:rsidRPr="00A07BE9" w:rsidRDefault="00671CE2" w:rsidP="00671CE2">
      <w:pPr>
        <w:spacing w:after="0" w:line="276" w:lineRule="auto"/>
        <w:ind w:left="567"/>
        <w:jc w:val="both"/>
        <w:rPr>
          <w:rFonts w:ascii="Open Sans" w:hAnsi="Open Sans"/>
          <w:sz w:val="20"/>
          <w:szCs w:val="20"/>
        </w:rPr>
      </w:pPr>
      <w:r w:rsidRPr="00A07BE9">
        <w:rPr>
          <w:rFonts w:ascii="Open Sans" w:eastAsia="Times New Roman" w:hAnsi="Open Sans" w:cs="Open Sans"/>
          <w:iCs/>
          <w:color w:val="000000"/>
          <w:sz w:val="20"/>
          <w:szCs w:val="20"/>
          <w:lang w:eastAsia="es-ES"/>
        </w:rPr>
        <w:t>“</w:t>
      </w:r>
      <w:r w:rsidRPr="00A07BE9">
        <w:rPr>
          <w:rFonts w:ascii="Open Sans" w:eastAsia="Times New Roman" w:hAnsi="Open Sans" w:cs="Open Sans"/>
          <w:b/>
          <w:bCs/>
          <w:iCs/>
          <w:color w:val="000000"/>
          <w:sz w:val="20"/>
          <w:szCs w:val="20"/>
          <w:lang w:eastAsia="es-ES"/>
        </w:rPr>
        <w:t xml:space="preserve">Las funciones </w:t>
      </w:r>
      <w:r w:rsidRPr="00A07BE9">
        <w:rPr>
          <w:rFonts w:ascii="Open Sans" w:eastAsia="Times New Roman" w:hAnsi="Open Sans" w:cs="Open Sans"/>
          <w:iCs/>
          <w:color w:val="000000"/>
          <w:sz w:val="20"/>
          <w:szCs w:val="20"/>
          <w:lang w:eastAsia="es-ES"/>
        </w:rPr>
        <w:t xml:space="preserve">a que se refiere el artículo 332 de la Ley 9/2017, de 8 de noviembre, de Contratos del Sector Público, por la que se transponen al ordenamiento jurídico español las Directivas del Parlamento Europeo y del Consejo 2014/23/UE y 2014/24/UE, de 26 de febrero de 2014, </w:t>
      </w:r>
      <w:r w:rsidRPr="00A07BE9">
        <w:rPr>
          <w:rFonts w:ascii="Open Sans" w:eastAsia="Times New Roman" w:hAnsi="Open Sans" w:cs="Open Sans"/>
          <w:b/>
          <w:bCs/>
          <w:iCs/>
          <w:color w:val="000000"/>
          <w:sz w:val="20"/>
          <w:szCs w:val="20"/>
          <w:lang w:eastAsia="es-ES"/>
        </w:rPr>
        <w:t>quedan adscritas a la Agencia</w:t>
      </w:r>
      <w:r w:rsidRPr="00A07BE9">
        <w:rPr>
          <w:rFonts w:ascii="Open Sans" w:eastAsia="Times New Roman" w:hAnsi="Open Sans" w:cs="Open Sans"/>
          <w:iCs/>
          <w:color w:val="000000"/>
          <w:sz w:val="20"/>
          <w:szCs w:val="20"/>
          <w:lang w:eastAsia="es-ES"/>
        </w:rPr>
        <w:t>, en virtud de lo dispuesto en el apartado 12 de dicho precepto.”</w:t>
      </w:r>
    </w:p>
    <w:p w14:paraId="4C2633E7" w14:textId="77777777" w:rsidR="00671CE2" w:rsidRPr="00A07BE9" w:rsidRDefault="00671CE2" w:rsidP="00671CE2">
      <w:pPr>
        <w:spacing w:after="0" w:line="276" w:lineRule="auto"/>
        <w:jc w:val="both"/>
        <w:rPr>
          <w:rFonts w:ascii="Open Sans" w:eastAsia="Times New Roman" w:hAnsi="Open Sans" w:cs="Open Sans"/>
          <w:b/>
          <w:bCs/>
          <w:i/>
          <w:iCs/>
          <w:color w:val="000000"/>
          <w:sz w:val="20"/>
          <w:szCs w:val="20"/>
          <w:lang w:eastAsia="es-ES"/>
        </w:rPr>
      </w:pPr>
    </w:p>
    <w:p w14:paraId="70A1FA09" w14:textId="77777777"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En este orden de cosas, debe subrayarse que la propuesta planteada viene a coadyuvar a la consolidación de un </w:t>
      </w:r>
      <w:r w:rsidRPr="00A07BE9">
        <w:rPr>
          <w:rFonts w:ascii="Open Sans" w:eastAsia="Times New Roman" w:hAnsi="Open Sans" w:cs="Open Sans"/>
          <w:b/>
          <w:bCs/>
          <w:color w:val="000000"/>
          <w:sz w:val="20"/>
          <w:szCs w:val="20"/>
          <w:lang w:eastAsia="es-ES"/>
        </w:rPr>
        <w:t>sistema de integridad institucional en la Generalitat,</w:t>
      </w:r>
      <w:r w:rsidRPr="00A07BE9">
        <w:rPr>
          <w:rFonts w:ascii="Open Sans" w:eastAsia="Times New Roman" w:hAnsi="Open Sans" w:cs="Open Sans"/>
          <w:color w:val="000000"/>
          <w:sz w:val="20"/>
          <w:szCs w:val="20"/>
          <w:lang w:eastAsia="es-ES"/>
        </w:rPr>
        <w:t xml:space="preserve"> al aprovechar la estructura de un ente independiente y especializado en la lucha contra la corrupción, ya existente y en funcionamiento.</w:t>
      </w:r>
    </w:p>
    <w:p w14:paraId="1102124D" w14:textId="77777777"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p>
    <w:p w14:paraId="1784BE29" w14:textId="79B95D5A" w:rsidR="00671CE2" w:rsidRPr="00A07BE9" w:rsidRDefault="00671CE2" w:rsidP="00671CE2">
      <w:pPr>
        <w:spacing w:after="0" w:line="276" w:lineRule="auto"/>
        <w:jc w:val="both"/>
        <w:rPr>
          <w:rFonts w:ascii="Open Sans" w:hAnsi="Open Sans"/>
          <w:sz w:val="20"/>
          <w:szCs w:val="20"/>
        </w:rPr>
      </w:pPr>
      <w:r w:rsidRPr="00A07BE9">
        <w:rPr>
          <w:rFonts w:ascii="Open Sans" w:eastAsia="Times New Roman" w:hAnsi="Open Sans" w:cs="Open Sans"/>
          <w:color w:val="000000"/>
          <w:sz w:val="20"/>
          <w:szCs w:val="20"/>
          <w:lang w:eastAsia="es-ES"/>
        </w:rPr>
        <w:t xml:space="preserve">Para finalizar cabe citar, dentro del ámbito del derecho comparado, por su cercanía y semejanzas en cuanto a la organización territorial del Estado, la </w:t>
      </w:r>
      <w:hyperlink r:id="rId154" w:history="1">
        <w:r w:rsidRPr="00A07BE9">
          <w:rPr>
            <w:rStyle w:val="Hipervnculo"/>
            <w:rFonts w:ascii="Open Sans" w:eastAsia="Times New Roman" w:hAnsi="Open Sans" w:cs="Open Sans"/>
            <w:sz w:val="20"/>
            <w:szCs w:val="20"/>
            <w:lang w:eastAsia="es-ES"/>
          </w:rPr>
          <w:t>Ley italiana número 190, de 6 de noviembre de 2012</w:t>
        </w:r>
      </w:hyperlink>
      <w:r w:rsidRPr="00A07BE9">
        <w:rPr>
          <w:rFonts w:ascii="Open Sans" w:eastAsia="Times New Roman" w:hAnsi="Open Sans" w:cs="Open Sans"/>
          <w:color w:val="000000"/>
          <w:sz w:val="20"/>
          <w:szCs w:val="20"/>
          <w:lang w:eastAsia="es-ES"/>
        </w:rPr>
        <w:t xml:space="preserve">, sobre disposiciones para la prevención y represión de la corrupción y la ilegalidad en la administración pública, modificada posteriormente en el año 2014 y </w:t>
      </w:r>
      <w:r w:rsidRPr="00A07BE9">
        <w:rPr>
          <w:rFonts w:ascii="Open Sans" w:eastAsia="Times New Roman" w:hAnsi="Open Sans" w:cs="Open Sans"/>
          <w:color w:val="000000"/>
          <w:sz w:val="20"/>
          <w:szCs w:val="20"/>
          <w:lang w:eastAsia="es-ES"/>
        </w:rPr>
        <w:lastRenderedPageBreak/>
        <w:t xml:space="preserve">completada por la </w:t>
      </w:r>
      <w:hyperlink r:id="rId155" w:history="1">
        <w:r w:rsidRPr="00A07BE9">
          <w:rPr>
            <w:rStyle w:val="Hipervnculo"/>
            <w:rFonts w:ascii="Open Sans" w:eastAsia="Times New Roman" w:hAnsi="Open Sans" w:cs="Open Sans"/>
            <w:sz w:val="20"/>
            <w:szCs w:val="20"/>
            <w:lang w:eastAsia="es-ES"/>
          </w:rPr>
          <w:t>Ley número 179 de 30 de noviembre de 2017</w:t>
        </w:r>
      </w:hyperlink>
      <w:r w:rsidRPr="00A07BE9">
        <w:rPr>
          <w:rFonts w:ascii="Open Sans" w:eastAsia="Times New Roman" w:hAnsi="Open Sans" w:cs="Open Sans"/>
          <w:color w:val="000000"/>
          <w:sz w:val="20"/>
          <w:szCs w:val="20"/>
          <w:lang w:eastAsia="es-ES"/>
        </w:rPr>
        <w:t xml:space="preserve"> de protección de autores de denuncias.</w:t>
      </w:r>
    </w:p>
    <w:p w14:paraId="5A7FE87C" w14:textId="77777777"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p>
    <w:p w14:paraId="7806C2B9" w14:textId="6297731C" w:rsidR="00671CE2" w:rsidRPr="00A07BE9" w:rsidRDefault="00671CE2" w:rsidP="00671CE2">
      <w:pPr>
        <w:spacing w:after="0" w:line="276" w:lineRule="auto"/>
        <w:jc w:val="both"/>
        <w:rPr>
          <w:rFonts w:ascii="Open Sans" w:hAnsi="Open Sans"/>
          <w:sz w:val="20"/>
          <w:szCs w:val="20"/>
        </w:rPr>
      </w:pPr>
      <w:r w:rsidRPr="00A07BE9">
        <w:rPr>
          <w:rFonts w:ascii="Open Sans" w:eastAsia="Times New Roman" w:hAnsi="Open Sans" w:cs="Open Sans"/>
          <w:color w:val="000000"/>
          <w:sz w:val="20"/>
          <w:szCs w:val="20"/>
          <w:lang w:eastAsia="es-ES"/>
        </w:rPr>
        <w:t xml:space="preserve">Dicha norma creaba </w:t>
      </w:r>
      <w:r w:rsidR="00F25FE3" w:rsidRPr="00A07BE9">
        <w:rPr>
          <w:rFonts w:ascii="Open Sans" w:eastAsia="Times New Roman" w:hAnsi="Open Sans" w:cs="Open Sans"/>
          <w:color w:val="000000"/>
          <w:sz w:val="20"/>
          <w:szCs w:val="20"/>
          <w:lang w:eastAsia="es-ES"/>
        </w:rPr>
        <w:t xml:space="preserve">ley </w:t>
      </w:r>
      <w:r w:rsidRPr="00A07BE9">
        <w:rPr>
          <w:rFonts w:ascii="Open Sans" w:eastAsia="Times New Roman" w:hAnsi="Open Sans" w:cs="Open Sans"/>
          <w:color w:val="000000"/>
          <w:sz w:val="20"/>
          <w:szCs w:val="20"/>
          <w:lang w:eastAsia="es-ES"/>
        </w:rPr>
        <w:t xml:space="preserve">un nuevo organismo, como punto de referencia nacional de las políticas anticorrupción, el cual poco después se transformó en la denominada </w:t>
      </w:r>
      <w:r w:rsidRPr="00A07BE9">
        <w:rPr>
          <w:rFonts w:ascii="Open Sans" w:eastAsia="Times New Roman" w:hAnsi="Open Sans" w:cs="Open Sans"/>
          <w:i/>
          <w:iCs/>
          <w:color w:val="000000"/>
          <w:sz w:val="20"/>
          <w:szCs w:val="20"/>
          <w:lang w:eastAsia="es-ES"/>
        </w:rPr>
        <w:t>Autoridad Nacional de Lucha Contra la Corrupción (ANAC),</w:t>
      </w:r>
      <w:r w:rsidRPr="00A07BE9">
        <w:rPr>
          <w:rFonts w:ascii="Open Sans" w:eastAsia="Times New Roman" w:hAnsi="Open Sans" w:cs="Open Sans"/>
          <w:color w:val="000000"/>
          <w:sz w:val="20"/>
          <w:szCs w:val="20"/>
          <w:lang w:eastAsia="es-ES"/>
        </w:rPr>
        <w:t xml:space="preserve"> la cual ostenta desde 2014, competencias en materia de control y vigilancia de los contratos públicos, incluidas potestades de sanción y de propuesta de modificación legislativa.</w:t>
      </w:r>
    </w:p>
    <w:p w14:paraId="36691FB4" w14:textId="77777777"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p>
    <w:p w14:paraId="79F216D3" w14:textId="77777777"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Desde entonces, se ha producido en Italia un progresivo fortalecimiento de esta Autoridad, a través de la intensificación de su independencia y la acumulación en su seno, no solo de las competencias y el personal de la ya suprimida </w:t>
      </w:r>
      <w:r w:rsidRPr="00A07BE9">
        <w:rPr>
          <w:rFonts w:ascii="Open Sans" w:eastAsia="Times New Roman" w:hAnsi="Open Sans" w:cs="Open Sans"/>
          <w:i/>
          <w:iCs/>
          <w:color w:val="000000"/>
          <w:sz w:val="20"/>
          <w:szCs w:val="20"/>
          <w:lang w:eastAsia="es-ES"/>
        </w:rPr>
        <w:t>Autoridad de Supervisión de la Contratación Pública</w:t>
      </w:r>
      <w:r w:rsidRPr="00A07BE9">
        <w:rPr>
          <w:rFonts w:ascii="Open Sans" w:eastAsia="Times New Roman" w:hAnsi="Open Sans" w:cs="Open Sans"/>
          <w:color w:val="000000"/>
          <w:sz w:val="20"/>
          <w:szCs w:val="20"/>
          <w:lang w:eastAsia="es-ES"/>
        </w:rPr>
        <w:t>, sino además de todas las funciones en materia de transparencia y anticorrupción.</w:t>
      </w:r>
    </w:p>
    <w:p w14:paraId="5762A612" w14:textId="77777777"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p>
    <w:p w14:paraId="145DC0C0" w14:textId="6AD012C0" w:rsidR="00671CE2" w:rsidRPr="00A07BE9" w:rsidRDefault="00671CE2" w:rsidP="009A3D76">
      <w:pPr>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Entre las funciones de la ANAC se encuentran: colaborar con los organismos extranjeros homólogos y con las organizaciones regionales e internacionales competentes; adoptar el Plan Nacional de Lucha Contra la Corrupción; analizar las causas y los factores de la corrupción e identificar las acciones que pueden favorecer la prevención y el combate; ejercer la supervisión y el control de la aplicación real y la eficacia de las medidas adoptadas y del respeto de las normas sobre la transparencia de la actividad administrativa; ejercer la supervisión y el control de los contratos públicos de obras, servicios y suministros; e informar al parlamento sobre las actividades de lucha contra la corrupción y la ilegalidad en la administración pública y sobre la eficiencia de las medidas en vigor.</w:t>
      </w:r>
    </w:p>
    <w:p w14:paraId="01E0A795" w14:textId="77777777" w:rsidR="005F661D" w:rsidRPr="00A07BE9" w:rsidRDefault="005F661D" w:rsidP="009A3D76">
      <w:pPr>
        <w:spacing w:after="0" w:line="276" w:lineRule="auto"/>
        <w:jc w:val="both"/>
        <w:rPr>
          <w:rFonts w:ascii="Open Sans" w:hAnsi="Open Sans"/>
          <w:sz w:val="20"/>
          <w:szCs w:val="20"/>
        </w:rPr>
      </w:pPr>
    </w:p>
    <w:p w14:paraId="6BB85506" w14:textId="71EC7266" w:rsidR="00671CE2" w:rsidRPr="00A07BE9" w:rsidRDefault="00671CE2" w:rsidP="00671CE2">
      <w:pPr>
        <w:spacing w:after="0" w:line="240" w:lineRule="auto"/>
        <w:jc w:val="both"/>
        <w:rPr>
          <w:rFonts w:ascii="Open Sans" w:eastAsia="Times New Roman" w:hAnsi="Open Sans" w:cs="Open Sans"/>
          <w:color w:val="9D2235"/>
          <w:sz w:val="24"/>
          <w:szCs w:val="24"/>
          <w:lang w:eastAsia="es-ES"/>
        </w:rPr>
      </w:pPr>
      <w:r w:rsidRPr="00A07BE9">
        <w:rPr>
          <w:rFonts w:ascii="Open Sans" w:eastAsia="Times New Roman" w:hAnsi="Open Sans" w:cs="Open Sans"/>
          <w:b/>
          <w:bCs/>
          <w:smallCaps/>
          <w:color w:val="9D2235"/>
          <w:sz w:val="24"/>
          <w:szCs w:val="24"/>
          <w:lang w:eastAsia="es-ES"/>
        </w:rPr>
        <w:t xml:space="preserve">4.2.2.2. Relaciones con el </w:t>
      </w:r>
      <w:r w:rsidR="006A2178" w:rsidRPr="00A07BE9">
        <w:rPr>
          <w:rFonts w:ascii="Open Sans" w:eastAsia="Times New Roman" w:hAnsi="Open Sans" w:cs="Open Sans"/>
          <w:b/>
          <w:bCs/>
          <w:smallCaps/>
          <w:color w:val="9D2235"/>
          <w:sz w:val="24"/>
          <w:szCs w:val="24"/>
          <w:lang w:eastAsia="es-ES"/>
        </w:rPr>
        <w:t>C</w:t>
      </w:r>
      <w:r w:rsidRPr="00A07BE9">
        <w:rPr>
          <w:rFonts w:ascii="Open Sans" w:eastAsia="Times New Roman" w:hAnsi="Open Sans" w:cs="Open Sans"/>
          <w:b/>
          <w:bCs/>
          <w:smallCaps/>
          <w:color w:val="9D2235"/>
          <w:sz w:val="24"/>
          <w:szCs w:val="24"/>
          <w:lang w:eastAsia="es-ES"/>
        </w:rPr>
        <w:t xml:space="preserve">onsell y las </w:t>
      </w:r>
      <w:r w:rsidR="006A2178" w:rsidRPr="00A07BE9">
        <w:rPr>
          <w:rFonts w:ascii="Open Sans" w:eastAsia="Times New Roman" w:hAnsi="Open Sans" w:cs="Open Sans"/>
          <w:b/>
          <w:bCs/>
          <w:smallCaps/>
          <w:color w:val="9D2235"/>
          <w:sz w:val="24"/>
          <w:szCs w:val="24"/>
          <w:lang w:eastAsia="es-ES"/>
        </w:rPr>
        <w:t>c</w:t>
      </w:r>
      <w:r w:rsidRPr="00A07BE9">
        <w:rPr>
          <w:rFonts w:ascii="Open Sans" w:eastAsia="Times New Roman" w:hAnsi="Open Sans" w:cs="Open Sans"/>
          <w:b/>
          <w:bCs/>
          <w:smallCaps/>
          <w:color w:val="9D2235"/>
          <w:sz w:val="24"/>
          <w:szCs w:val="24"/>
          <w:lang w:eastAsia="es-ES"/>
        </w:rPr>
        <w:t xml:space="preserve">onsellerias Competentes en las materias relacionadas con las funciones de la </w:t>
      </w:r>
      <w:r w:rsidR="006A2178" w:rsidRPr="00A07BE9">
        <w:rPr>
          <w:rFonts w:ascii="Open Sans" w:eastAsia="Times New Roman" w:hAnsi="Open Sans" w:cs="Open Sans"/>
          <w:b/>
          <w:bCs/>
          <w:smallCaps/>
          <w:color w:val="9D2235"/>
          <w:sz w:val="24"/>
          <w:szCs w:val="24"/>
          <w:lang w:eastAsia="es-ES"/>
        </w:rPr>
        <w:t>A</w:t>
      </w:r>
      <w:r w:rsidRPr="00A07BE9">
        <w:rPr>
          <w:rFonts w:ascii="Open Sans" w:eastAsia="Times New Roman" w:hAnsi="Open Sans" w:cs="Open Sans"/>
          <w:b/>
          <w:bCs/>
          <w:smallCaps/>
          <w:color w:val="9D2235"/>
          <w:sz w:val="24"/>
          <w:szCs w:val="24"/>
          <w:lang w:eastAsia="es-ES"/>
        </w:rPr>
        <w:t xml:space="preserve">gencia. Modificación del apartado 5 del artículo 5 de la </w:t>
      </w:r>
      <w:r w:rsidR="00A72852" w:rsidRPr="00A07BE9">
        <w:rPr>
          <w:rFonts w:ascii="Open Sans" w:eastAsia="Times New Roman" w:hAnsi="Open Sans" w:cs="Open Sans"/>
          <w:b/>
          <w:bCs/>
          <w:smallCaps/>
          <w:color w:val="9D2235"/>
          <w:sz w:val="24"/>
          <w:szCs w:val="24"/>
          <w:lang w:eastAsia="es-ES"/>
        </w:rPr>
        <w:t>L</w:t>
      </w:r>
      <w:r w:rsidRPr="00A07BE9">
        <w:rPr>
          <w:rFonts w:ascii="Open Sans" w:eastAsia="Times New Roman" w:hAnsi="Open Sans" w:cs="Open Sans"/>
          <w:b/>
          <w:bCs/>
          <w:smallCaps/>
          <w:color w:val="9D2235"/>
          <w:sz w:val="24"/>
          <w:szCs w:val="24"/>
          <w:lang w:eastAsia="es-ES"/>
        </w:rPr>
        <w:t xml:space="preserve">ey 11/2016, de 28 de noviembre, de la </w:t>
      </w:r>
      <w:r w:rsidR="006A2178" w:rsidRPr="00A07BE9">
        <w:rPr>
          <w:rFonts w:ascii="Open Sans" w:eastAsia="Times New Roman" w:hAnsi="Open Sans" w:cs="Open Sans"/>
          <w:b/>
          <w:bCs/>
          <w:smallCaps/>
          <w:color w:val="9D2235"/>
          <w:sz w:val="24"/>
          <w:szCs w:val="24"/>
          <w:lang w:eastAsia="es-ES"/>
        </w:rPr>
        <w:t>G</w:t>
      </w:r>
      <w:r w:rsidRPr="00A07BE9">
        <w:rPr>
          <w:rFonts w:ascii="Open Sans" w:eastAsia="Times New Roman" w:hAnsi="Open Sans" w:cs="Open Sans"/>
          <w:b/>
          <w:bCs/>
          <w:smallCaps/>
          <w:color w:val="9D2235"/>
          <w:sz w:val="24"/>
          <w:szCs w:val="24"/>
          <w:lang w:eastAsia="es-ES"/>
        </w:rPr>
        <w:t>eneralitat</w:t>
      </w:r>
    </w:p>
    <w:p w14:paraId="19A2A7C4" w14:textId="77777777" w:rsidR="00671CE2" w:rsidRPr="00A07BE9" w:rsidRDefault="00671CE2" w:rsidP="00671CE2">
      <w:pPr>
        <w:spacing w:after="0" w:line="240" w:lineRule="auto"/>
        <w:jc w:val="both"/>
        <w:rPr>
          <w:rFonts w:ascii="Open Sans" w:eastAsia="Times New Roman" w:hAnsi="Open Sans" w:cs="Open Sans"/>
          <w:b/>
          <w:bCs/>
          <w:smallCaps/>
          <w:color w:val="993333"/>
          <w:sz w:val="20"/>
          <w:szCs w:val="20"/>
          <w:lang w:eastAsia="es-ES"/>
        </w:rPr>
      </w:pPr>
    </w:p>
    <w:p w14:paraId="100AC2ED" w14:textId="642083ED" w:rsidR="00671CE2" w:rsidRPr="00A07BE9" w:rsidRDefault="00671CE2" w:rsidP="00671CE2">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 xml:space="preserve">Con la propuesta planteada se pretendía introducir una </w:t>
      </w:r>
      <w:r w:rsidRPr="00A07BE9">
        <w:rPr>
          <w:rFonts w:ascii="Open Sans" w:eastAsia="Times New Roman" w:hAnsi="Open Sans" w:cs="Open Sans"/>
          <w:b/>
          <w:bCs/>
          <w:sz w:val="20"/>
          <w:szCs w:val="20"/>
          <w:lang w:eastAsia="es-ES"/>
        </w:rPr>
        <w:t xml:space="preserve">redacción más </w:t>
      </w:r>
      <w:r w:rsidRPr="00A07BE9">
        <w:rPr>
          <w:rFonts w:ascii="Open Sans" w:eastAsia="Times New Roman" w:hAnsi="Open Sans" w:cs="Open Sans"/>
          <w:b/>
          <w:bCs/>
          <w:color w:val="000000"/>
          <w:sz w:val="20"/>
          <w:szCs w:val="20"/>
          <w:lang w:eastAsia="es-ES"/>
        </w:rPr>
        <w:t>práctica</w:t>
      </w:r>
      <w:r w:rsidRPr="00A07BE9">
        <w:rPr>
          <w:rFonts w:ascii="Open Sans" w:eastAsia="Times New Roman" w:hAnsi="Open Sans" w:cs="Open Sans"/>
          <w:b/>
          <w:bCs/>
          <w:sz w:val="20"/>
          <w:szCs w:val="20"/>
          <w:lang w:eastAsia="es-ES"/>
        </w:rPr>
        <w:t xml:space="preserve"> y perdurable del apartado 5 del artículo 5</w:t>
      </w:r>
      <w:r w:rsidRPr="00A07BE9">
        <w:rPr>
          <w:rFonts w:ascii="Open Sans" w:eastAsia="Times New Roman" w:hAnsi="Open Sans" w:cs="Open Sans"/>
          <w:sz w:val="20"/>
          <w:szCs w:val="20"/>
          <w:lang w:eastAsia="es-ES"/>
        </w:rPr>
        <w:t xml:space="preserve"> de la </w:t>
      </w:r>
      <w:hyperlink r:id="rId156" w:history="1">
        <w:r w:rsidR="005401CB" w:rsidRPr="00A07BE9">
          <w:rPr>
            <w:rStyle w:val="Hipervnculo"/>
            <w:rFonts w:ascii="Open Sans" w:hAnsi="Open Sans" w:cs="Open Sans"/>
            <w:sz w:val="20"/>
            <w:szCs w:val="20"/>
          </w:rPr>
          <w:t>Ley 11/2016</w:t>
        </w:r>
      </w:hyperlink>
      <w:r w:rsidRPr="00A07BE9">
        <w:rPr>
          <w:rFonts w:ascii="Open Sans" w:eastAsia="Times New Roman" w:hAnsi="Open Sans" w:cs="Open Sans"/>
          <w:sz w:val="20"/>
          <w:szCs w:val="20"/>
          <w:lang w:eastAsia="es-ES"/>
        </w:rPr>
        <w:t xml:space="preserve">, a fin de permitir que las relaciones de la Agencia con la administración del Consell se realicen, en cada caso, </w:t>
      </w:r>
      <w:r w:rsidRPr="00A07BE9">
        <w:rPr>
          <w:rFonts w:ascii="Open Sans" w:eastAsia="Times New Roman" w:hAnsi="Open Sans" w:cs="Open Sans"/>
          <w:color w:val="000000"/>
          <w:sz w:val="20"/>
          <w:szCs w:val="20"/>
          <w:lang w:eastAsia="es-ES"/>
        </w:rPr>
        <w:t xml:space="preserve">bien con su Presidencia, bien con aquellas </w:t>
      </w:r>
      <w:r w:rsidR="0039254B" w:rsidRPr="00A07BE9">
        <w:rPr>
          <w:rFonts w:ascii="Open Sans" w:eastAsia="Times New Roman" w:hAnsi="Open Sans" w:cs="Open Sans"/>
          <w:color w:val="000000"/>
          <w:sz w:val="20"/>
          <w:szCs w:val="20"/>
          <w:lang w:eastAsia="es-ES"/>
        </w:rPr>
        <w:t>consellerias</w:t>
      </w:r>
      <w:r w:rsidRPr="00A07BE9">
        <w:rPr>
          <w:rFonts w:ascii="Open Sans" w:eastAsia="Times New Roman" w:hAnsi="Open Sans" w:cs="Open Sans"/>
          <w:sz w:val="20"/>
          <w:szCs w:val="20"/>
          <w:lang w:eastAsia="es-ES"/>
        </w:rPr>
        <w:t xml:space="preserve"> que puedan ser competentes en las materias relacionadas con las funciones de la Agencia,</w:t>
      </w:r>
      <w:r w:rsidRPr="00A07BE9">
        <w:rPr>
          <w:rFonts w:ascii="Open Sans" w:eastAsia="Times New Roman" w:hAnsi="Open Sans" w:cs="Open Sans"/>
          <w:color w:val="000000"/>
          <w:sz w:val="20"/>
          <w:szCs w:val="20"/>
          <w:lang w:eastAsia="es-ES"/>
        </w:rPr>
        <w:t xml:space="preserve"> todo ello</w:t>
      </w:r>
      <w:r w:rsidRPr="00A07BE9">
        <w:rPr>
          <w:rFonts w:ascii="Open Sans" w:eastAsia="Times New Roman" w:hAnsi="Open Sans" w:cs="Open Sans"/>
          <w:color w:val="729FCF"/>
          <w:sz w:val="20"/>
          <w:szCs w:val="20"/>
          <w:lang w:eastAsia="es-ES"/>
        </w:rPr>
        <w:t xml:space="preserve"> </w:t>
      </w:r>
      <w:r w:rsidRPr="00A07BE9">
        <w:rPr>
          <w:rFonts w:ascii="Open Sans" w:eastAsia="Times New Roman" w:hAnsi="Open Sans" w:cs="Open Sans"/>
          <w:sz w:val="20"/>
          <w:szCs w:val="20"/>
          <w:lang w:eastAsia="es-ES"/>
        </w:rPr>
        <w:t xml:space="preserve">con independencia de la estructura organizativa que en cada momento adopte la administración de Consell. </w:t>
      </w:r>
    </w:p>
    <w:p w14:paraId="07E4C4D5" w14:textId="77777777" w:rsidR="00671CE2" w:rsidRPr="00A07BE9" w:rsidRDefault="00671CE2" w:rsidP="00671CE2">
      <w:pPr>
        <w:spacing w:after="0" w:line="276" w:lineRule="auto"/>
        <w:jc w:val="both"/>
        <w:rPr>
          <w:rFonts w:ascii="Open Sans" w:eastAsia="Times New Roman" w:hAnsi="Open Sans" w:cs="Open Sans"/>
          <w:sz w:val="20"/>
          <w:szCs w:val="20"/>
          <w:lang w:eastAsia="es-ES"/>
        </w:rPr>
      </w:pPr>
    </w:p>
    <w:p w14:paraId="6E5FE4D6" w14:textId="301699E3" w:rsidR="00671CE2" w:rsidRPr="00A07BE9" w:rsidRDefault="00671CE2" w:rsidP="00671CE2">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 xml:space="preserve">Así, en el momento de aprobación de la </w:t>
      </w:r>
      <w:hyperlink r:id="rId157" w:history="1">
        <w:r w:rsidR="005401CB" w:rsidRPr="00A07BE9">
          <w:rPr>
            <w:rStyle w:val="Hipervnculo"/>
            <w:rFonts w:ascii="Open Sans" w:hAnsi="Open Sans" w:cs="Open Sans"/>
            <w:sz w:val="20"/>
            <w:szCs w:val="20"/>
          </w:rPr>
          <w:t>Ley 11/2016</w:t>
        </w:r>
        <w:r w:rsidR="005401CB" w:rsidRPr="00A07BE9">
          <w:rPr>
            <w:rStyle w:val="Hipervnculo"/>
            <w:rFonts w:ascii="Open Sans" w:hAnsi="Open Sans"/>
            <w:color w:val="auto"/>
            <w:sz w:val="20"/>
            <w:szCs w:val="20"/>
            <w:u w:val="none"/>
          </w:rPr>
          <w:t xml:space="preserve">, </w:t>
        </w:r>
      </w:hyperlink>
      <w:r w:rsidRPr="00A07BE9">
        <w:rPr>
          <w:rFonts w:ascii="Open Sans" w:eastAsia="Times New Roman" w:hAnsi="Open Sans" w:cs="Open Sans"/>
          <w:sz w:val="20"/>
          <w:szCs w:val="20"/>
          <w:lang w:eastAsia="es-ES"/>
        </w:rPr>
        <w:t xml:space="preserve">se optó por introducir, de manera particular, que la relación de la Agencia con el Consell de la Generalitat, se efectuaría a través de la persona titular de la </w:t>
      </w:r>
      <w:r w:rsidR="00F73F0B" w:rsidRPr="00A07BE9">
        <w:rPr>
          <w:rFonts w:ascii="Open Sans" w:eastAsia="Times New Roman" w:hAnsi="Open Sans" w:cs="Open Sans"/>
          <w:sz w:val="20"/>
          <w:szCs w:val="20"/>
          <w:lang w:eastAsia="es-ES"/>
        </w:rPr>
        <w:t>c</w:t>
      </w:r>
      <w:r w:rsidRPr="00A07BE9">
        <w:rPr>
          <w:rFonts w:ascii="Open Sans" w:eastAsia="Times New Roman" w:hAnsi="Open Sans" w:cs="Open Sans"/>
          <w:sz w:val="20"/>
          <w:szCs w:val="20"/>
          <w:lang w:eastAsia="es-ES"/>
        </w:rPr>
        <w:t xml:space="preserve">onselleria competente en materia de transparencia. </w:t>
      </w:r>
    </w:p>
    <w:p w14:paraId="6FDACE31" w14:textId="77777777" w:rsidR="00671CE2" w:rsidRPr="00A07BE9" w:rsidRDefault="00671CE2" w:rsidP="00671CE2">
      <w:pPr>
        <w:spacing w:after="0" w:line="276" w:lineRule="auto"/>
        <w:jc w:val="both"/>
        <w:rPr>
          <w:rFonts w:ascii="Open Sans" w:eastAsia="Times New Roman" w:hAnsi="Open Sans" w:cs="Open Sans"/>
          <w:sz w:val="20"/>
          <w:szCs w:val="20"/>
          <w:lang w:eastAsia="es-ES"/>
        </w:rPr>
      </w:pPr>
    </w:p>
    <w:p w14:paraId="38250FBC" w14:textId="77777777" w:rsidR="00671CE2" w:rsidRPr="00A07BE9" w:rsidRDefault="00671CE2" w:rsidP="00671CE2">
      <w:pPr>
        <w:spacing w:after="0" w:line="276" w:lineRule="auto"/>
        <w:jc w:val="both"/>
        <w:rPr>
          <w:rFonts w:ascii="Open Sans" w:hAnsi="Open Sans"/>
          <w:sz w:val="20"/>
          <w:szCs w:val="20"/>
        </w:rPr>
      </w:pPr>
      <w:r w:rsidRPr="00A07BE9">
        <w:rPr>
          <w:rFonts w:ascii="Open Sans" w:eastAsia="Times New Roman" w:hAnsi="Open Sans" w:cs="Open Sans"/>
          <w:sz w:val="20"/>
          <w:szCs w:val="20"/>
          <w:lang w:eastAsia="es-ES"/>
        </w:rPr>
        <w:t xml:space="preserve">No obstante, tras la </w:t>
      </w:r>
      <w:r w:rsidRPr="00A07BE9">
        <w:rPr>
          <w:rFonts w:ascii="Open Sans" w:eastAsia="Times New Roman" w:hAnsi="Open Sans" w:cs="Open Sans"/>
          <w:b/>
          <w:bCs/>
          <w:sz w:val="20"/>
          <w:szCs w:val="20"/>
          <w:lang w:eastAsia="es-ES"/>
        </w:rPr>
        <w:t>modificación de la estructura de la administración del Consell</w:t>
      </w:r>
      <w:r w:rsidRPr="00A07BE9">
        <w:rPr>
          <w:rFonts w:ascii="Open Sans" w:eastAsia="Times New Roman" w:hAnsi="Open Sans" w:cs="Open Sans"/>
          <w:sz w:val="20"/>
          <w:szCs w:val="20"/>
          <w:lang w:eastAsia="es-ES"/>
        </w:rPr>
        <w:t xml:space="preserve">, acaecida como consecuencia de las elecciones autonómicas de 2019, se transfirieron competencias que correspondían a la anterior Conselleria de Transparencia y que tienen </w:t>
      </w:r>
      <w:r w:rsidRPr="00A07BE9">
        <w:rPr>
          <w:rFonts w:ascii="Open Sans" w:eastAsia="Times New Roman" w:hAnsi="Open Sans" w:cs="Open Sans"/>
          <w:sz w:val="20"/>
          <w:szCs w:val="20"/>
          <w:lang w:eastAsia="es-ES"/>
        </w:rPr>
        <w:lastRenderedPageBreak/>
        <w:t xml:space="preserve">relación con las funciones propias de la Agencia, a la actual Conselleria de Justicia, Interior y Administración Pública, como son las competencias en materia de Inspección General de Servicios. </w:t>
      </w:r>
    </w:p>
    <w:p w14:paraId="00D9625D" w14:textId="77777777" w:rsidR="00671CE2" w:rsidRPr="00A07BE9" w:rsidRDefault="00671CE2" w:rsidP="00671CE2">
      <w:pPr>
        <w:spacing w:after="0" w:line="276" w:lineRule="auto"/>
        <w:jc w:val="both"/>
        <w:rPr>
          <w:rFonts w:ascii="Open Sans" w:eastAsia="Times New Roman" w:hAnsi="Open Sans" w:cs="Open Sans"/>
          <w:sz w:val="20"/>
          <w:szCs w:val="20"/>
          <w:lang w:eastAsia="es-ES"/>
        </w:rPr>
      </w:pPr>
    </w:p>
    <w:p w14:paraId="2E9F2CB4" w14:textId="2FD81DCC" w:rsidR="00671CE2" w:rsidRPr="00A07BE9" w:rsidRDefault="00671CE2" w:rsidP="00671CE2">
      <w:pPr>
        <w:spacing w:after="0" w:line="276" w:lineRule="auto"/>
        <w:jc w:val="both"/>
        <w:rPr>
          <w:rFonts w:ascii="Open Sans" w:hAnsi="Open Sans"/>
          <w:sz w:val="20"/>
          <w:szCs w:val="20"/>
        </w:rPr>
      </w:pPr>
      <w:r w:rsidRPr="00A07BE9">
        <w:rPr>
          <w:rFonts w:ascii="Open Sans" w:eastAsia="Times New Roman" w:hAnsi="Open Sans" w:cs="Open Sans"/>
          <w:sz w:val="20"/>
          <w:szCs w:val="20"/>
          <w:lang w:eastAsia="es-ES"/>
        </w:rPr>
        <w:t xml:space="preserve">Ello ha evidenciado que este precepto </w:t>
      </w:r>
      <w:r w:rsidRPr="00A07BE9">
        <w:rPr>
          <w:rFonts w:ascii="Open Sans" w:eastAsia="Times New Roman" w:hAnsi="Open Sans" w:cs="Open Sans"/>
          <w:b/>
          <w:bCs/>
          <w:sz w:val="20"/>
          <w:szCs w:val="20"/>
          <w:lang w:eastAsia="es-ES"/>
        </w:rPr>
        <w:t xml:space="preserve">no puede circunscribir la relación de la Agencia a una </w:t>
      </w:r>
      <w:r w:rsidR="00F73F0B" w:rsidRPr="00A07BE9">
        <w:rPr>
          <w:rFonts w:ascii="Open Sans" w:eastAsia="Times New Roman" w:hAnsi="Open Sans" w:cs="Open Sans"/>
          <w:b/>
          <w:bCs/>
          <w:sz w:val="20"/>
          <w:szCs w:val="20"/>
          <w:lang w:eastAsia="es-ES"/>
        </w:rPr>
        <w:t>c</w:t>
      </w:r>
      <w:r w:rsidRPr="00A07BE9">
        <w:rPr>
          <w:rFonts w:ascii="Open Sans" w:eastAsia="Times New Roman" w:hAnsi="Open Sans" w:cs="Open Sans"/>
          <w:b/>
          <w:bCs/>
          <w:sz w:val="20"/>
          <w:szCs w:val="20"/>
          <w:lang w:eastAsia="es-ES"/>
        </w:rPr>
        <w:t xml:space="preserve">onselleria concreta </w:t>
      </w:r>
      <w:r w:rsidRPr="00A07BE9">
        <w:rPr>
          <w:rFonts w:ascii="Open Sans" w:eastAsia="Times New Roman" w:hAnsi="Open Sans" w:cs="Open Sans"/>
          <w:color w:val="000000"/>
          <w:sz w:val="20"/>
          <w:szCs w:val="20"/>
          <w:lang w:eastAsia="es-ES"/>
        </w:rPr>
        <w:t xml:space="preserve">(y menos aún a la persona titular de la misma), toda vez que tal estructura administrativa, </w:t>
      </w:r>
      <w:r w:rsidRPr="00A07BE9">
        <w:rPr>
          <w:rFonts w:ascii="Open Sans" w:eastAsia="Times New Roman" w:hAnsi="Open Sans" w:cs="Open Sans"/>
          <w:sz w:val="20"/>
          <w:szCs w:val="20"/>
          <w:lang w:eastAsia="es-ES"/>
        </w:rPr>
        <w:t xml:space="preserve">eventualmente, podría existir o no como departamento independiente, o incluso no estar residenciada en el mismo la totalidad de las materias interrelacionadas con las funciones de la Agencia. </w:t>
      </w:r>
    </w:p>
    <w:p w14:paraId="2B82C198" w14:textId="77777777" w:rsidR="00671CE2" w:rsidRPr="00A07BE9" w:rsidRDefault="00671CE2" w:rsidP="00671CE2">
      <w:pPr>
        <w:tabs>
          <w:tab w:val="left" w:pos="850"/>
        </w:tabs>
        <w:spacing w:after="0" w:line="276" w:lineRule="auto"/>
        <w:jc w:val="both"/>
        <w:rPr>
          <w:rFonts w:ascii="Open Sans" w:hAnsi="Open Sans" w:cs="Open Sans"/>
          <w:color w:val="1B1B1B"/>
          <w:sz w:val="20"/>
          <w:szCs w:val="20"/>
        </w:rPr>
      </w:pPr>
    </w:p>
    <w:p w14:paraId="5249BF25" w14:textId="1EB26D30" w:rsidR="00671CE2" w:rsidRPr="00A07BE9" w:rsidRDefault="00671CE2" w:rsidP="00671CE2">
      <w:pPr>
        <w:tabs>
          <w:tab w:val="left" w:pos="850"/>
        </w:tabs>
        <w:spacing w:after="0" w:line="276" w:lineRule="auto"/>
        <w:jc w:val="both"/>
        <w:rPr>
          <w:rFonts w:ascii="Open Sans" w:hAnsi="Open Sans" w:cs="Open Sans"/>
          <w:color w:val="1B1B1B"/>
          <w:sz w:val="20"/>
          <w:szCs w:val="20"/>
        </w:rPr>
      </w:pPr>
      <w:r w:rsidRPr="00A07BE9">
        <w:rPr>
          <w:rFonts w:ascii="Open Sans" w:hAnsi="Open Sans" w:cs="Open Sans"/>
          <w:color w:val="1B1B1B"/>
          <w:sz w:val="20"/>
          <w:szCs w:val="20"/>
        </w:rPr>
        <w:t xml:space="preserve">Por ello, la propuesta daba una nueva redacción al artículo 5 de la </w:t>
      </w:r>
      <w:hyperlink r:id="rId158" w:history="1">
        <w:r w:rsidR="005401CB" w:rsidRPr="00A07BE9">
          <w:rPr>
            <w:rStyle w:val="Hipervnculo"/>
            <w:rFonts w:ascii="Open Sans" w:hAnsi="Open Sans" w:cs="Open Sans"/>
            <w:sz w:val="20"/>
            <w:szCs w:val="20"/>
          </w:rPr>
          <w:t>Ley 11/2016</w:t>
        </w:r>
      </w:hyperlink>
      <w:r w:rsidRPr="00A07BE9">
        <w:rPr>
          <w:rFonts w:ascii="Open Sans" w:hAnsi="Open Sans" w:cs="Open Sans"/>
          <w:color w:val="1B1B1B"/>
          <w:sz w:val="20"/>
          <w:szCs w:val="20"/>
        </w:rPr>
        <w:t>, conforme a la cual:</w:t>
      </w:r>
    </w:p>
    <w:p w14:paraId="7236C53E" w14:textId="77777777" w:rsidR="00671CE2" w:rsidRPr="00A07BE9" w:rsidRDefault="00671CE2" w:rsidP="00671CE2">
      <w:pPr>
        <w:spacing w:after="0" w:line="276" w:lineRule="auto"/>
        <w:jc w:val="both"/>
        <w:rPr>
          <w:rFonts w:ascii="Open Sans" w:hAnsi="Open Sans"/>
          <w:b/>
          <w:bCs/>
          <w:color w:val="993333"/>
          <w:sz w:val="20"/>
          <w:szCs w:val="20"/>
        </w:rPr>
      </w:pPr>
    </w:p>
    <w:p w14:paraId="3A39D91B" w14:textId="6630DACA" w:rsidR="00671CE2" w:rsidRPr="00A07BE9" w:rsidRDefault="00671CE2" w:rsidP="00671CE2">
      <w:pPr>
        <w:spacing w:after="0" w:line="276" w:lineRule="auto"/>
        <w:ind w:left="567"/>
        <w:jc w:val="both"/>
        <w:rPr>
          <w:rFonts w:ascii="Open Sans" w:hAnsi="Open Sans"/>
          <w:color w:val="000000"/>
          <w:sz w:val="20"/>
          <w:szCs w:val="20"/>
        </w:rPr>
      </w:pPr>
      <w:r w:rsidRPr="00A07BE9">
        <w:rPr>
          <w:rFonts w:ascii="Open Sans" w:hAnsi="Open Sans"/>
          <w:iCs/>
          <w:color w:val="000000"/>
          <w:sz w:val="20"/>
          <w:szCs w:val="20"/>
        </w:rPr>
        <w:t xml:space="preserve">“La Agencia se relaciona con el Consell de la Generalitat mediante la persona o personas titulares de la </w:t>
      </w:r>
      <w:r w:rsidRPr="00A07BE9">
        <w:rPr>
          <w:rFonts w:ascii="Open Sans" w:hAnsi="Open Sans"/>
          <w:b/>
          <w:bCs/>
          <w:color w:val="000000"/>
          <w:sz w:val="20"/>
          <w:szCs w:val="20"/>
        </w:rPr>
        <w:t xml:space="preserve">Presidencia o de cada una de las </w:t>
      </w:r>
      <w:r w:rsidR="0039254B" w:rsidRPr="00A07BE9">
        <w:rPr>
          <w:rFonts w:ascii="Open Sans" w:hAnsi="Open Sans"/>
          <w:b/>
          <w:bCs/>
          <w:color w:val="000000"/>
          <w:sz w:val="20"/>
          <w:szCs w:val="20"/>
        </w:rPr>
        <w:t>consellerias</w:t>
      </w:r>
      <w:r w:rsidRPr="00A07BE9">
        <w:rPr>
          <w:rFonts w:ascii="Open Sans" w:hAnsi="Open Sans"/>
          <w:b/>
          <w:bCs/>
          <w:color w:val="000000"/>
          <w:sz w:val="20"/>
          <w:szCs w:val="20"/>
        </w:rPr>
        <w:t xml:space="preserve"> competentes </w:t>
      </w:r>
      <w:r w:rsidRPr="00A07BE9">
        <w:rPr>
          <w:rFonts w:ascii="Open Sans" w:hAnsi="Open Sans"/>
          <w:color w:val="000000"/>
          <w:sz w:val="20"/>
          <w:szCs w:val="20"/>
        </w:rPr>
        <w:t xml:space="preserve">en las materias relacionadas con las funciones de la misma. Todo ello </w:t>
      </w:r>
      <w:r w:rsidRPr="00A07BE9">
        <w:rPr>
          <w:rFonts w:ascii="Open Sans" w:hAnsi="Open Sans"/>
          <w:b/>
          <w:bCs/>
          <w:color w:val="000000"/>
          <w:sz w:val="20"/>
          <w:szCs w:val="20"/>
        </w:rPr>
        <w:t xml:space="preserve">sin perjuicio de que, en el ejercicio de sus funciones, la Agencia se pueda dirigir, directamente, a los órganos superiores y directivos </w:t>
      </w:r>
      <w:r w:rsidRPr="00A07BE9">
        <w:rPr>
          <w:rFonts w:ascii="Open Sans" w:hAnsi="Open Sans"/>
          <w:color w:val="000000"/>
          <w:sz w:val="20"/>
          <w:szCs w:val="20"/>
        </w:rPr>
        <w:t xml:space="preserve">de las distintas </w:t>
      </w:r>
      <w:r w:rsidR="0039254B" w:rsidRPr="00A07BE9">
        <w:rPr>
          <w:rFonts w:ascii="Open Sans" w:hAnsi="Open Sans"/>
          <w:color w:val="000000"/>
          <w:sz w:val="20"/>
          <w:szCs w:val="20"/>
        </w:rPr>
        <w:t>consellerias</w:t>
      </w:r>
      <w:r w:rsidRPr="00A07BE9">
        <w:rPr>
          <w:rFonts w:ascii="Open Sans" w:hAnsi="Open Sans"/>
          <w:color w:val="000000"/>
          <w:sz w:val="20"/>
          <w:szCs w:val="20"/>
        </w:rPr>
        <w:t xml:space="preserve"> </w:t>
      </w:r>
      <w:r w:rsidRPr="00A07BE9">
        <w:rPr>
          <w:rFonts w:ascii="Open Sans" w:hAnsi="Open Sans"/>
          <w:b/>
          <w:bCs/>
          <w:color w:val="000000"/>
          <w:sz w:val="20"/>
          <w:szCs w:val="20"/>
        </w:rPr>
        <w:t>y</w:t>
      </w:r>
      <w:r w:rsidRPr="00A07BE9">
        <w:rPr>
          <w:rFonts w:ascii="Open Sans" w:hAnsi="Open Sans"/>
          <w:color w:val="000000"/>
          <w:sz w:val="20"/>
          <w:szCs w:val="20"/>
        </w:rPr>
        <w:t xml:space="preserve"> a los</w:t>
      </w:r>
      <w:r w:rsidRPr="00A07BE9">
        <w:rPr>
          <w:rFonts w:ascii="Open Sans" w:hAnsi="Open Sans"/>
          <w:b/>
          <w:bCs/>
          <w:color w:val="000000"/>
          <w:sz w:val="20"/>
          <w:szCs w:val="20"/>
        </w:rPr>
        <w:t xml:space="preserve"> responsables de los entes del sector público instrumental </w:t>
      </w:r>
      <w:r w:rsidRPr="00A07BE9">
        <w:rPr>
          <w:rFonts w:ascii="Open Sans" w:hAnsi="Open Sans"/>
          <w:color w:val="000000"/>
          <w:sz w:val="20"/>
          <w:szCs w:val="20"/>
        </w:rPr>
        <w:t>de la Generalitat</w:t>
      </w:r>
      <w:r w:rsidRPr="00A07BE9">
        <w:rPr>
          <w:rFonts w:ascii="Open Sans" w:hAnsi="Open Sans"/>
          <w:i/>
          <w:color w:val="000000"/>
          <w:sz w:val="20"/>
          <w:szCs w:val="20"/>
        </w:rPr>
        <w:t>.”</w:t>
      </w:r>
    </w:p>
    <w:p w14:paraId="16598436" w14:textId="77777777" w:rsidR="005F661D" w:rsidRPr="00A07BE9" w:rsidRDefault="005F661D" w:rsidP="00671CE2">
      <w:pPr>
        <w:spacing w:after="0" w:line="240" w:lineRule="auto"/>
        <w:jc w:val="both"/>
        <w:rPr>
          <w:rFonts w:ascii="Open Sans" w:eastAsia="Times New Roman" w:hAnsi="Open Sans" w:cs="Open Sans"/>
          <w:b/>
          <w:bCs/>
          <w:smallCaps/>
          <w:color w:val="9D2235"/>
          <w:sz w:val="20"/>
          <w:szCs w:val="20"/>
          <w:lang w:eastAsia="es-ES"/>
        </w:rPr>
      </w:pPr>
    </w:p>
    <w:p w14:paraId="0BD6DF24" w14:textId="1421C287" w:rsidR="00671CE2" w:rsidRPr="00A07BE9" w:rsidRDefault="00671CE2" w:rsidP="00671CE2">
      <w:pPr>
        <w:spacing w:after="0" w:line="240" w:lineRule="auto"/>
        <w:jc w:val="both"/>
        <w:rPr>
          <w:rFonts w:ascii="Open Sans" w:eastAsia="Times New Roman" w:hAnsi="Open Sans" w:cs="Open Sans"/>
          <w:b/>
          <w:bCs/>
          <w:smallCaps/>
          <w:color w:val="9D2235"/>
          <w:sz w:val="24"/>
          <w:szCs w:val="24"/>
          <w:lang w:eastAsia="es-ES"/>
        </w:rPr>
      </w:pPr>
      <w:r w:rsidRPr="00A07BE9">
        <w:rPr>
          <w:rFonts w:ascii="Open Sans" w:eastAsia="Times New Roman" w:hAnsi="Open Sans" w:cs="Open Sans"/>
          <w:b/>
          <w:bCs/>
          <w:smallCaps/>
          <w:color w:val="9D2235"/>
          <w:sz w:val="24"/>
          <w:szCs w:val="24"/>
          <w:lang w:eastAsia="es-ES"/>
        </w:rPr>
        <w:t xml:space="preserve">4.2.2.3. Situación administrativa de servicios especiales del personal funcionario adscrito con carácter definitivo a la </w:t>
      </w:r>
      <w:r w:rsidR="006A2178" w:rsidRPr="00A07BE9">
        <w:rPr>
          <w:rFonts w:ascii="Open Sans" w:eastAsia="Times New Roman" w:hAnsi="Open Sans" w:cs="Open Sans"/>
          <w:b/>
          <w:bCs/>
          <w:smallCaps/>
          <w:color w:val="9D2235"/>
          <w:sz w:val="24"/>
          <w:szCs w:val="24"/>
          <w:lang w:eastAsia="es-ES"/>
        </w:rPr>
        <w:t>A</w:t>
      </w:r>
      <w:r w:rsidRPr="00A07BE9">
        <w:rPr>
          <w:rFonts w:ascii="Open Sans" w:eastAsia="Times New Roman" w:hAnsi="Open Sans" w:cs="Open Sans"/>
          <w:b/>
          <w:bCs/>
          <w:smallCaps/>
          <w:color w:val="9D2235"/>
          <w:sz w:val="24"/>
          <w:szCs w:val="24"/>
          <w:lang w:eastAsia="es-ES"/>
        </w:rPr>
        <w:t xml:space="preserve">gencia. Modificación del apartado 2 del artículo 29, de la ley 11/2016, de 28 de noviembre, de la </w:t>
      </w:r>
      <w:r w:rsidR="006A2178" w:rsidRPr="00A07BE9">
        <w:rPr>
          <w:rFonts w:ascii="Open Sans" w:eastAsia="Times New Roman" w:hAnsi="Open Sans" w:cs="Open Sans"/>
          <w:b/>
          <w:bCs/>
          <w:smallCaps/>
          <w:color w:val="9D2235"/>
          <w:sz w:val="24"/>
          <w:szCs w:val="24"/>
          <w:lang w:eastAsia="es-ES"/>
        </w:rPr>
        <w:t>G</w:t>
      </w:r>
      <w:r w:rsidRPr="00A07BE9">
        <w:rPr>
          <w:rFonts w:ascii="Open Sans" w:eastAsia="Times New Roman" w:hAnsi="Open Sans" w:cs="Open Sans"/>
          <w:b/>
          <w:bCs/>
          <w:smallCaps/>
          <w:color w:val="9D2235"/>
          <w:sz w:val="24"/>
          <w:szCs w:val="24"/>
          <w:lang w:eastAsia="es-ES"/>
        </w:rPr>
        <w:t>eneralitat</w:t>
      </w:r>
    </w:p>
    <w:p w14:paraId="4D3B15A2" w14:textId="77777777" w:rsidR="00671CE2" w:rsidRPr="00A07BE9" w:rsidRDefault="00671CE2" w:rsidP="00671CE2">
      <w:pPr>
        <w:spacing w:after="0" w:line="240" w:lineRule="auto"/>
        <w:jc w:val="both"/>
        <w:rPr>
          <w:rFonts w:ascii="Open Sans" w:eastAsia="Times New Roman" w:hAnsi="Open Sans" w:cs="Open Sans"/>
          <w:color w:val="9D2235"/>
          <w:sz w:val="20"/>
          <w:szCs w:val="20"/>
        </w:rPr>
      </w:pPr>
    </w:p>
    <w:p w14:paraId="6EB9D279" w14:textId="25DAE067" w:rsidR="00671CE2" w:rsidRPr="00A07BE9" w:rsidRDefault="00671CE2" w:rsidP="00671CE2">
      <w:pPr>
        <w:spacing w:after="0" w:line="276" w:lineRule="auto"/>
        <w:jc w:val="both"/>
        <w:rPr>
          <w:rFonts w:ascii="Open Sans" w:hAnsi="Open Sans"/>
          <w:sz w:val="20"/>
          <w:szCs w:val="20"/>
        </w:rPr>
      </w:pPr>
      <w:r w:rsidRPr="00A07BE9">
        <w:rPr>
          <w:rFonts w:ascii="Open Sans" w:hAnsi="Open Sans" w:cs="Open Sans"/>
          <w:color w:val="000000"/>
          <w:sz w:val="20"/>
          <w:szCs w:val="20"/>
        </w:rPr>
        <w:t xml:space="preserve">Conforme a lo dispuesto en el artículo 29 de la </w:t>
      </w:r>
      <w:hyperlink r:id="rId159" w:history="1">
        <w:r w:rsidR="005401CB" w:rsidRPr="00A07BE9">
          <w:rPr>
            <w:rStyle w:val="Hipervnculo"/>
            <w:rFonts w:ascii="Open Sans" w:hAnsi="Open Sans" w:cs="Open Sans"/>
            <w:sz w:val="20"/>
            <w:szCs w:val="20"/>
          </w:rPr>
          <w:t>Ley 11/2016</w:t>
        </w:r>
        <w:r w:rsidR="005401CB" w:rsidRPr="00A07BE9">
          <w:rPr>
            <w:rStyle w:val="Hipervnculo"/>
            <w:rFonts w:ascii="Open Sans" w:hAnsi="Open Sans"/>
            <w:color w:val="auto"/>
            <w:sz w:val="20"/>
            <w:szCs w:val="20"/>
            <w:u w:val="none"/>
          </w:rPr>
          <w:t xml:space="preserve">, </w:t>
        </w:r>
      </w:hyperlink>
      <w:r w:rsidRPr="00A07BE9">
        <w:rPr>
          <w:rFonts w:ascii="Open Sans" w:eastAsia="Times New Roman" w:hAnsi="Open Sans" w:cs="Open Sans"/>
          <w:color w:val="000000"/>
          <w:sz w:val="20"/>
          <w:szCs w:val="20"/>
        </w:rPr>
        <w:t xml:space="preserve">de creación de la Agencia, esta se nutre, única y exclusivamente, de </w:t>
      </w:r>
      <w:r w:rsidRPr="00A07BE9">
        <w:rPr>
          <w:rFonts w:ascii="Open Sans" w:eastAsia="Times New Roman" w:hAnsi="Open Sans" w:cs="Open Sans"/>
          <w:b/>
          <w:bCs/>
          <w:color w:val="000000"/>
          <w:sz w:val="20"/>
          <w:szCs w:val="20"/>
        </w:rPr>
        <w:t>funcionarios y funcionarias de carrera de las distintas administraciones públicas</w:t>
      </w:r>
      <w:r w:rsidRPr="00A07BE9">
        <w:rPr>
          <w:rFonts w:ascii="Open Sans" w:eastAsia="Times New Roman" w:hAnsi="Open Sans" w:cs="Open Sans"/>
          <w:color w:val="000000"/>
          <w:sz w:val="20"/>
          <w:szCs w:val="20"/>
        </w:rPr>
        <w:t>, debiendo ser provistos sus puestos de trabajo</w:t>
      </w:r>
      <w:r w:rsidRPr="00A07BE9">
        <w:rPr>
          <w:rFonts w:ascii="Open Sans" w:eastAsia="Times New Roman" w:hAnsi="Open Sans" w:cs="Open Sans"/>
          <w:color w:val="729FCF"/>
          <w:sz w:val="20"/>
          <w:szCs w:val="20"/>
        </w:rPr>
        <w:t xml:space="preserve"> </w:t>
      </w:r>
      <w:r w:rsidRPr="00A07BE9">
        <w:rPr>
          <w:rFonts w:ascii="Open Sans" w:eastAsia="Times New Roman" w:hAnsi="Open Sans" w:cs="Open Sans"/>
          <w:color w:val="000000"/>
          <w:sz w:val="20"/>
          <w:szCs w:val="20"/>
        </w:rPr>
        <w:t>de acuerdo con los principios de igualdad, publicidad, mérito y capacidad adecuados a la función encomendada.</w:t>
      </w:r>
    </w:p>
    <w:p w14:paraId="69CC5800" w14:textId="77777777" w:rsidR="00671CE2" w:rsidRPr="00A07BE9" w:rsidRDefault="00671CE2" w:rsidP="00671CE2">
      <w:pPr>
        <w:widowControl w:val="0"/>
        <w:shd w:val="clear" w:color="auto" w:fill="FFFFFF"/>
        <w:spacing w:after="0" w:line="276" w:lineRule="auto"/>
        <w:jc w:val="both"/>
        <w:rPr>
          <w:rFonts w:ascii="Open Sans" w:eastAsia="Times New Roman" w:hAnsi="Open Sans" w:cs="Open Sans"/>
          <w:color w:val="000000"/>
          <w:sz w:val="20"/>
          <w:szCs w:val="20"/>
        </w:rPr>
      </w:pPr>
    </w:p>
    <w:p w14:paraId="5F58F581" w14:textId="77777777" w:rsidR="00671CE2" w:rsidRPr="00A07BE9" w:rsidRDefault="00671CE2" w:rsidP="00671CE2">
      <w:pPr>
        <w:widowControl w:val="0"/>
        <w:shd w:val="clear" w:color="auto" w:fill="FFFFFF"/>
        <w:spacing w:after="0" w:line="276" w:lineRule="auto"/>
        <w:jc w:val="both"/>
        <w:rPr>
          <w:rFonts w:ascii="Open Sans" w:hAnsi="Open Sans"/>
          <w:sz w:val="20"/>
          <w:szCs w:val="20"/>
        </w:rPr>
      </w:pPr>
      <w:r w:rsidRPr="00A07BE9">
        <w:rPr>
          <w:rFonts w:ascii="Open Sans" w:eastAsia="Times New Roman" w:hAnsi="Open Sans" w:cs="Open Sans"/>
          <w:color w:val="000000"/>
          <w:sz w:val="20"/>
          <w:szCs w:val="20"/>
        </w:rPr>
        <w:t xml:space="preserve">De acuerdo con esta prescripción legal, </w:t>
      </w:r>
      <w:r w:rsidRPr="00A07BE9">
        <w:rPr>
          <w:rFonts w:ascii="Open Sans" w:eastAsia="Times New Roman" w:hAnsi="Open Sans" w:cs="Open Sans"/>
          <w:b/>
          <w:bCs/>
          <w:color w:val="000000"/>
          <w:sz w:val="20"/>
          <w:szCs w:val="20"/>
        </w:rPr>
        <w:t>la Agencia</w:t>
      </w:r>
      <w:r w:rsidRPr="00A07BE9">
        <w:rPr>
          <w:rFonts w:ascii="Open Sans" w:eastAsia="Times New Roman" w:hAnsi="Open Sans" w:cs="Open Sans"/>
          <w:color w:val="000000"/>
          <w:sz w:val="20"/>
          <w:szCs w:val="20"/>
        </w:rPr>
        <w:t xml:space="preserve">, a diferencia del resto de administraciones públicas valencianas, entidades del sector público y de las instituciones estatutarias, </w:t>
      </w:r>
      <w:r w:rsidRPr="00A07BE9">
        <w:rPr>
          <w:rFonts w:ascii="Open Sans" w:eastAsia="Times New Roman" w:hAnsi="Open Sans" w:cs="Open Sans"/>
          <w:b/>
          <w:bCs/>
          <w:color w:val="000000"/>
          <w:sz w:val="20"/>
          <w:szCs w:val="20"/>
        </w:rPr>
        <w:t>no puede establecer procesos para la selección de personal propio o de acceso a la función pública</w:t>
      </w:r>
      <w:r w:rsidRPr="00A07BE9">
        <w:rPr>
          <w:rFonts w:ascii="Open Sans" w:eastAsia="Times New Roman" w:hAnsi="Open Sans" w:cs="Open Sans"/>
          <w:color w:val="000000"/>
          <w:sz w:val="20"/>
          <w:szCs w:val="20"/>
        </w:rPr>
        <w:t xml:space="preserve">, consistentes en la oposición libre o el concurso-oposición, lo que constituye una novedad importante dentro del panorama de nuestro ordenamiento jurídico en materia de gestión, selección y provisión de puestos de trabajo. </w:t>
      </w:r>
    </w:p>
    <w:p w14:paraId="72CF3937" w14:textId="77777777" w:rsidR="00671CE2" w:rsidRPr="00A07BE9" w:rsidRDefault="00671CE2" w:rsidP="00671CE2">
      <w:pPr>
        <w:widowControl w:val="0"/>
        <w:spacing w:after="0" w:line="276" w:lineRule="auto"/>
        <w:jc w:val="both"/>
        <w:rPr>
          <w:rFonts w:ascii="Open Sans" w:eastAsia="Arial Unicode MS" w:hAnsi="Open Sans" w:cs="Open Sans"/>
          <w:kern w:val="2"/>
          <w:sz w:val="20"/>
          <w:szCs w:val="20"/>
        </w:rPr>
      </w:pPr>
    </w:p>
    <w:p w14:paraId="12D2EDA4" w14:textId="77777777" w:rsidR="00671CE2" w:rsidRPr="00A07BE9" w:rsidRDefault="00671CE2" w:rsidP="00671CE2">
      <w:pPr>
        <w:widowControl w:val="0"/>
        <w:spacing w:after="0" w:line="276" w:lineRule="auto"/>
        <w:jc w:val="both"/>
        <w:rPr>
          <w:rFonts w:ascii="Open Sans" w:hAnsi="Open Sans"/>
          <w:sz w:val="20"/>
          <w:szCs w:val="20"/>
        </w:rPr>
      </w:pPr>
      <w:r w:rsidRPr="00A07BE9">
        <w:rPr>
          <w:rFonts w:ascii="Open Sans" w:eastAsia="Arial Unicode MS" w:hAnsi="Open Sans" w:cs="Open Sans"/>
          <w:kern w:val="2"/>
          <w:sz w:val="20"/>
          <w:szCs w:val="20"/>
        </w:rPr>
        <w:t xml:space="preserve">Las actividades del personal de la Agencia, </w:t>
      </w:r>
      <w:r w:rsidRPr="00A07BE9">
        <w:rPr>
          <w:rFonts w:ascii="Open Sans" w:eastAsia="Arial Unicode MS" w:hAnsi="Open Sans" w:cs="Open Sans"/>
          <w:color w:val="000000"/>
          <w:kern w:val="2"/>
          <w:sz w:val="20"/>
          <w:szCs w:val="20"/>
        </w:rPr>
        <w:t>por las propias características y funciones de esta, pueden suponer para aquél, dificultades y trabas a la hora de la reincorporación a sus destinos de orig</w:t>
      </w:r>
      <w:r w:rsidRPr="00A07BE9">
        <w:rPr>
          <w:rFonts w:ascii="Open Sans" w:eastAsia="Arial Unicode MS" w:hAnsi="Open Sans" w:cs="Open Sans"/>
          <w:kern w:val="2"/>
          <w:sz w:val="20"/>
          <w:szCs w:val="20"/>
        </w:rPr>
        <w:t xml:space="preserve">en. </w:t>
      </w:r>
      <w:r w:rsidRPr="00A07BE9">
        <w:rPr>
          <w:rFonts w:ascii="Open Sans" w:eastAsia="Arial Unicode MS" w:hAnsi="Open Sans" w:cs="Open Sans"/>
          <w:color w:val="000000"/>
          <w:kern w:val="2"/>
          <w:sz w:val="20"/>
          <w:szCs w:val="20"/>
        </w:rPr>
        <w:t>Desde otro punto de vista, el personal de la Agencia puede verse mediatizado o comprometido en sus tareas de investigación o resto de actuaciones desarrolladas en la misma, por las posibles consecuencias que pudieran derivarse de su trabajo en el momento de volver a su administración de procedencia.</w:t>
      </w:r>
    </w:p>
    <w:p w14:paraId="55B873BD" w14:textId="77777777" w:rsidR="00671CE2" w:rsidRPr="00A07BE9" w:rsidRDefault="00671CE2" w:rsidP="00671CE2">
      <w:pPr>
        <w:shd w:val="clear" w:color="auto" w:fill="FFFFFF"/>
        <w:spacing w:after="0" w:line="276" w:lineRule="auto"/>
        <w:jc w:val="both"/>
        <w:rPr>
          <w:sz w:val="20"/>
          <w:szCs w:val="20"/>
        </w:rPr>
      </w:pPr>
      <w:r w:rsidRPr="00A07BE9">
        <w:rPr>
          <w:rStyle w:val="Destacado"/>
          <w:rFonts w:ascii="Open Sans" w:eastAsia="Times New Roman" w:hAnsi="Open Sans" w:cs="Open Sans"/>
          <w:bCs/>
          <w:i w:val="0"/>
          <w:iCs w:val="0"/>
          <w:color w:val="000000"/>
          <w:sz w:val="20"/>
          <w:szCs w:val="20"/>
        </w:rPr>
        <w:lastRenderedPageBreak/>
        <w:t>Por ello, el personal funcionario de carrera que acceda a puestos en la Agencia debe tener garantizado los derechos que le sean más favorables a la hora de decidir su futuro profesional, siendo la situación de servicios especiales la que con mayor eficacia cubre dicha garantía.</w:t>
      </w:r>
    </w:p>
    <w:p w14:paraId="203CEE68" w14:textId="77777777" w:rsidR="00671CE2" w:rsidRPr="00A07BE9" w:rsidRDefault="00671CE2" w:rsidP="00671CE2">
      <w:pPr>
        <w:spacing w:after="0" w:line="276" w:lineRule="auto"/>
        <w:jc w:val="both"/>
        <w:rPr>
          <w:rFonts w:ascii="Open Sans" w:eastAsia="Times New Roman" w:hAnsi="Open Sans" w:cs="Open Sans"/>
          <w:color w:val="000000"/>
          <w:sz w:val="20"/>
          <w:szCs w:val="20"/>
        </w:rPr>
      </w:pPr>
    </w:p>
    <w:p w14:paraId="5C92CFF7" w14:textId="77777777" w:rsidR="00671CE2" w:rsidRPr="00A07BE9" w:rsidRDefault="00671CE2" w:rsidP="00671CE2">
      <w:pPr>
        <w:spacing w:after="0" w:line="276" w:lineRule="auto"/>
        <w:jc w:val="both"/>
        <w:rPr>
          <w:rFonts w:ascii="Open Sans" w:hAnsi="Open Sans"/>
          <w:color w:val="000000"/>
          <w:sz w:val="20"/>
          <w:szCs w:val="20"/>
        </w:rPr>
      </w:pPr>
      <w:r w:rsidRPr="00A07BE9">
        <w:rPr>
          <w:rFonts w:ascii="Open Sans" w:eastAsia="Times New Roman" w:hAnsi="Open Sans" w:cs="Open Sans"/>
          <w:color w:val="000000"/>
          <w:sz w:val="20"/>
          <w:szCs w:val="20"/>
        </w:rPr>
        <w:t>Además de ello, no puede obviarse que la gestión de recursos humanos de la Agencia ha venido experimentando una dualidad de regímenes a aplicar a su personal, al tener que distinguir, de un lado, aquellos supuestos de clasificación y provisión, en los que se aplica la Ley de función pública valenciana, y de otro lado, el resto de asuntos relacionados con la gestión de personal, a los que corresponde aplicar la normativa reguladora del personal de les Corts.</w:t>
      </w:r>
    </w:p>
    <w:p w14:paraId="07411BD0" w14:textId="77777777" w:rsidR="00671CE2" w:rsidRPr="00A07BE9" w:rsidRDefault="00671CE2" w:rsidP="00671CE2">
      <w:pPr>
        <w:spacing w:after="0" w:line="276" w:lineRule="auto"/>
        <w:jc w:val="both"/>
        <w:rPr>
          <w:rFonts w:ascii="Open Sans" w:eastAsia="Times New Roman" w:hAnsi="Open Sans" w:cs="Open Sans"/>
          <w:color w:val="000000"/>
          <w:sz w:val="20"/>
          <w:szCs w:val="20"/>
        </w:rPr>
      </w:pPr>
    </w:p>
    <w:p w14:paraId="6556651B" w14:textId="10AC3F53" w:rsidR="00671CE2" w:rsidRPr="00A07BE9" w:rsidRDefault="00671CE2" w:rsidP="00671CE2">
      <w:pPr>
        <w:spacing w:after="0" w:line="276" w:lineRule="auto"/>
        <w:jc w:val="both"/>
        <w:rPr>
          <w:rStyle w:val="Destacado"/>
          <w:rFonts w:ascii="Open Sans" w:eastAsia="Times New Roman" w:hAnsi="Open Sans" w:cs="Open Sans"/>
          <w:color w:val="000000"/>
          <w:szCs w:val="20"/>
        </w:rPr>
      </w:pPr>
      <w:r w:rsidRPr="00A07BE9">
        <w:rPr>
          <w:rFonts w:ascii="Open Sans" w:eastAsia="Times New Roman" w:hAnsi="Open Sans" w:cs="Open Sans"/>
          <w:color w:val="000000"/>
          <w:sz w:val="20"/>
          <w:szCs w:val="20"/>
        </w:rPr>
        <w:t>Ello ha conllevado confusiones e inoperancias, a la hora de gestionar el personal de la Agencia, que con el transcurso del tiempo han demostrado carecer de justificación alguna de base.</w:t>
      </w:r>
    </w:p>
    <w:p w14:paraId="3B060C19" w14:textId="77777777" w:rsidR="0041345C" w:rsidRPr="00A07BE9" w:rsidRDefault="0041345C" w:rsidP="00671CE2">
      <w:pPr>
        <w:spacing w:after="0" w:line="276" w:lineRule="auto"/>
        <w:jc w:val="both"/>
        <w:rPr>
          <w:rStyle w:val="Destacado"/>
          <w:rFonts w:ascii="Open Sans" w:hAnsi="Open Sans" w:cs="Open Sans"/>
          <w:i w:val="0"/>
          <w:iCs w:val="0"/>
          <w:sz w:val="20"/>
          <w:szCs w:val="20"/>
        </w:rPr>
      </w:pPr>
    </w:p>
    <w:p w14:paraId="3E719CDE" w14:textId="77777777" w:rsidR="00671CE2" w:rsidRPr="00A07BE9" w:rsidRDefault="00671CE2" w:rsidP="00671CE2">
      <w:pPr>
        <w:spacing w:after="0" w:line="276" w:lineRule="auto"/>
        <w:jc w:val="both"/>
        <w:rPr>
          <w:sz w:val="20"/>
          <w:szCs w:val="20"/>
        </w:rPr>
      </w:pPr>
      <w:r w:rsidRPr="00A07BE9">
        <w:rPr>
          <w:rStyle w:val="Destacado"/>
          <w:rFonts w:ascii="Open Sans" w:eastAsia="Times New Roman" w:hAnsi="Open Sans" w:cs="Open Sans"/>
          <w:i w:val="0"/>
          <w:iCs w:val="0"/>
          <w:color w:val="000000"/>
          <w:sz w:val="20"/>
          <w:szCs w:val="20"/>
        </w:rPr>
        <w:t xml:space="preserve">La mayoría de las administraciones públicas de procedencia de los funcionarios y funcionarias al servicio de la Agencia (Administración del Estado, Diputación Provincial de Valencia o Ayuntamientos) han reconocido, hasta el momento, </w:t>
      </w:r>
      <w:r w:rsidRPr="00A07BE9">
        <w:rPr>
          <w:rFonts w:ascii="Open Sans" w:eastAsia="Arial Unicode MS" w:hAnsi="Open Sans" w:cs="Open Sans"/>
          <w:color w:val="000000"/>
          <w:kern w:val="2"/>
          <w:sz w:val="20"/>
          <w:szCs w:val="20"/>
        </w:rPr>
        <w:t>la situación administrativa de servicios especiales al personal funcionario proveniente de las mismas que en la actualidad está adscrito a la Agencia con carácter definitivo.</w:t>
      </w:r>
    </w:p>
    <w:p w14:paraId="279BC53F" w14:textId="77777777" w:rsidR="00671CE2" w:rsidRPr="00A07BE9" w:rsidRDefault="00671CE2" w:rsidP="00671CE2">
      <w:pPr>
        <w:widowControl w:val="0"/>
        <w:spacing w:after="0" w:line="276" w:lineRule="auto"/>
        <w:jc w:val="both"/>
        <w:rPr>
          <w:rFonts w:ascii="Open Sans" w:eastAsia="Arial Unicode MS" w:hAnsi="Open Sans" w:cs="Open Sans"/>
          <w:color w:val="000000"/>
          <w:kern w:val="2"/>
          <w:sz w:val="20"/>
          <w:szCs w:val="20"/>
        </w:rPr>
      </w:pPr>
    </w:p>
    <w:p w14:paraId="1DEAB823" w14:textId="7AF51D06" w:rsidR="00671CE2" w:rsidRPr="00A07BE9" w:rsidRDefault="00671CE2" w:rsidP="00671CE2">
      <w:pPr>
        <w:widowControl w:val="0"/>
        <w:spacing w:after="0" w:line="276" w:lineRule="auto"/>
        <w:jc w:val="both"/>
        <w:rPr>
          <w:rFonts w:ascii="Open Sans" w:hAnsi="Open Sans"/>
          <w:sz w:val="20"/>
          <w:szCs w:val="20"/>
        </w:rPr>
      </w:pPr>
      <w:r w:rsidRPr="00A07BE9">
        <w:rPr>
          <w:rFonts w:ascii="Open Sans" w:eastAsia="Arial Unicode MS" w:hAnsi="Open Sans" w:cs="Open Sans"/>
          <w:color w:val="000000"/>
          <w:kern w:val="2"/>
          <w:sz w:val="20"/>
          <w:szCs w:val="20"/>
        </w:rPr>
        <w:t>Sin embargo,</w:t>
      </w:r>
      <w:r w:rsidRPr="00A07BE9">
        <w:rPr>
          <w:rFonts w:ascii="Open Sans" w:eastAsia="Arial Unicode MS" w:hAnsi="Open Sans" w:cs="Open Sans"/>
          <w:b/>
          <w:bCs/>
          <w:color w:val="000000"/>
          <w:kern w:val="2"/>
          <w:sz w:val="20"/>
          <w:szCs w:val="20"/>
        </w:rPr>
        <w:t xml:space="preserve"> </w:t>
      </w:r>
      <w:r w:rsidRPr="00A07BE9">
        <w:rPr>
          <w:rFonts w:ascii="Open Sans" w:eastAsia="Arial Unicode MS" w:hAnsi="Open Sans" w:cs="Open Sans"/>
          <w:color w:val="000000"/>
          <w:kern w:val="2"/>
          <w:sz w:val="20"/>
          <w:szCs w:val="20"/>
        </w:rPr>
        <w:t>a los funcionarios y funcionarias que proceden de la administración autonómica de la Generalitat (cuya gestión corresponde a la Dirección General de Función Pública de la Conselleria de Justicia, Interior y Administración Pública), se les ha venido negando el reconocimiento de dicha situación administrativa, con el consiguiente perjuicio profesional que acarrea ser declarados en una situación administrativa distinta a la de servicios especiales.</w:t>
      </w:r>
    </w:p>
    <w:p w14:paraId="50A6DDAC" w14:textId="77777777" w:rsidR="00671CE2" w:rsidRPr="00A07BE9" w:rsidRDefault="00671CE2" w:rsidP="00671CE2">
      <w:pPr>
        <w:widowControl w:val="0"/>
        <w:spacing w:after="0" w:line="276" w:lineRule="auto"/>
        <w:jc w:val="both"/>
        <w:rPr>
          <w:rFonts w:ascii="Open Sans" w:eastAsia="Arial Unicode MS" w:hAnsi="Open Sans" w:cs="Open Sans"/>
          <w:color w:val="000000"/>
          <w:kern w:val="2"/>
          <w:sz w:val="20"/>
          <w:szCs w:val="20"/>
        </w:rPr>
      </w:pPr>
    </w:p>
    <w:p w14:paraId="2C92E9D9" w14:textId="77777777" w:rsidR="00671CE2" w:rsidRPr="00A07BE9" w:rsidRDefault="00671CE2" w:rsidP="00671CE2">
      <w:pPr>
        <w:widowControl w:val="0"/>
        <w:spacing w:after="0" w:line="276" w:lineRule="auto"/>
        <w:jc w:val="both"/>
        <w:rPr>
          <w:rFonts w:ascii="Open Sans" w:hAnsi="Open Sans"/>
          <w:sz w:val="20"/>
          <w:szCs w:val="20"/>
        </w:rPr>
      </w:pPr>
      <w:r w:rsidRPr="00A07BE9">
        <w:rPr>
          <w:rFonts w:ascii="Open Sans" w:eastAsia="Arial Unicode MS" w:hAnsi="Open Sans" w:cs="Open Sans"/>
          <w:color w:val="000000"/>
          <w:kern w:val="2"/>
          <w:sz w:val="20"/>
          <w:szCs w:val="20"/>
        </w:rPr>
        <w:t xml:space="preserve">Con la aprobación de esta propuesta, se persigue eliminar las </w:t>
      </w:r>
      <w:r w:rsidRPr="00A07BE9">
        <w:rPr>
          <w:rFonts w:ascii="Open Sans" w:eastAsia="Arial Unicode MS" w:hAnsi="Open Sans" w:cs="Open Sans"/>
          <w:b/>
          <w:bCs/>
          <w:color w:val="000000"/>
          <w:kern w:val="2"/>
          <w:sz w:val="20"/>
          <w:szCs w:val="20"/>
        </w:rPr>
        <w:t>situaciones de flagrante desigualdad</w:t>
      </w:r>
      <w:r w:rsidRPr="00A07BE9">
        <w:rPr>
          <w:rFonts w:ascii="Open Sans" w:eastAsia="Arial Unicode MS" w:hAnsi="Open Sans" w:cs="Open Sans"/>
          <w:color w:val="000000"/>
          <w:kern w:val="2"/>
          <w:sz w:val="20"/>
          <w:szCs w:val="20"/>
        </w:rPr>
        <w:t xml:space="preserve"> que se han creado entre el personal funcionario de la Agencia por la simple y única razón de la administración de su procedencia, pues mientras unos están siendo declarados en la situación administrativa de servicios especiales, a otros se les está encuadrando en una situación administrativa que no garantiza plenamente sus derechos, cual es la de servicios en otras administraciones públicas o en excedencia, lo que genera, inevitablemente, que este personal vea disuadido su interés por trabajar en la Agencia de Prevención y Lucha contra el Fraude y la Corrupción, pese a que comparta los objetivos y fines de esta y tenga intención de desarrollar su trabajo y talento en ella.</w:t>
      </w:r>
    </w:p>
    <w:p w14:paraId="1B2205EC" w14:textId="77777777" w:rsidR="00671CE2" w:rsidRPr="00A07BE9" w:rsidRDefault="00671CE2" w:rsidP="00671CE2">
      <w:pPr>
        <w:widowControl w:val="0"/>
        <w:spacing w:after="0" w:line="276" w:lineRule="auto"/>
        <w:jc w:val="both"/>
        <w:rPr>
          <w:rStyle w:val="Destacado"/>
          <w:rFonts w:ascii="Open Sans" w:eastAsia="Arial Unicode MS" w:hAnsi="Open Sans" w:cs="Open Sans"/>
          <w:i w:val="0"/>
          <w:iCs w:val="0"/>
          <w:color w:val="000000"/>
          <w:kern w:val="2"/>
          <w:sz w:val="20"/>
          <w:szCs w:val="20"/>
        </w:rPr>
      </w:pPr>
    </w:p>
    <w:p w14:paraId="0349EB48" w14:textId="77777777" w:rsidR="00671CE2" w:rsidRPr="00A07BE9" w:rsidRDefault="00671CE2" w:rsidP="00671CE2">
      <w:pPr>
        <w:widowControl w:val="0"/>
        <w:spacing w:after="0" w:line="276" w:lineRule="auto"/>
        <w:jc w:val="both"/>
        <w:rPr>
          <w:sz w:val="20"/>
          <w:szCs w:val="20"/>
        </w:rPr>
      </w:pPr>
      <w:r w:rsidRPr="00A07BE9">
        <w:rPr>
          <w:rStyle w:val="Destacado"/>
          <w:rFonts w:ascii="Open Sans" w:eastAsia="Arial Unicode MS" w:hAnsi="Open Sans" w:cs="Open Sans"/>
          <w:i w:val="0"/>
          <w:iCs w:val="0"/>
          <w:color w:val="000000"/>
          <w:kern w:val="2"/>
          <w:sz w:val="20"/>
          <w:szCs w:val="20"/>
        </w:rPr>
        <w:t>Por tanto, corresponde al legislador asegurar la aplicación del principio de igualdad de trato, condiciones y derechos, respecto todos los funcionarios y funcionarias que presten sus servicios en la Agencia, independientemente de la administración de origen o procedencia.</w:t>
      </w:r>
    </w:p>
    <w:p w14:paraId="45D3D3A4" w14:textId="77777777" w:rsidR="00671CE2" w:rsidRPr="00A07BE9" w:rsidRDefault="00671CE2" w:rsidP="00671CE2">
      <w:pPr>
        <w:spacing w:after="0" w:line="276" w:lineRule="auto"/>
        <w:jc w:val="both"/>
        <w:rPr>
          <w:sz w:val="20"/>
          <w:szCs w:val="20"/>
        </w:rPr>
      </w:pPr>
      <w:r w:rsidRPr="00A07BE9">
        <w:rPr>
          <w:rStyle w:val="Destacado"/>
          <w:rFonts w:ascii="Open Sans" w:eastAsia="Times New Roman" w:hAnsi="Open Sans" w:cs="Open Sans"/>
          <w:i w:val="0"/>
          <w:iCs w:val="0"/>
          <w:color w:val="000000"/>
          <w:sz w:val="20"/>
          <w:szCs w:val="20"/>
        </w:rPr>
        <w:t xml:space="preserve">La situación administrativa de servicios especiales permite garantizar los derechos, laborales y de categoría profesional, adquiridos en la administración pública de procedencia (incluida </w:t>
      </w:r>
      <w:r w:rsidRPr="00A07BE9">
        <w:rPr>
          <w:rStyle w:val="Destacado"/>
          <w:rFonts w:ascii="Open Sans" w:eastAsia="Times New Roman" w:hAnsi="Open Sans" w:cs="Open Sans"/>
          <w:i w:val="0"/>
          <w:iCs w:val="0"/>
          <w:color w:val="000000"/>
          <w:sz w:val="20"/>
          <w:szCs w:val="20"/>
        </w:rPr>
        <w:lastRenderedPageBreak/>
        <w:t xml:space="preserve">la reserva de puesto de trabajo), con carácter previo a la incorporación en la Agencia, habida cuenta que en la misma se realizan funciones de control, investigación e incluso sanción, de las actuaciones llevadas a cabo por la propia administración pública a la que pertenecen, por sus autoridades o por su personal, asegurando con ello el reconocimiento homogéneo a todos los funcionarios y funcionarias de la Agencia de esta situación, y su necesaria independencia </w:t>
      </w:r>
      <w:r w:rsidRPr="00A07BE9">
        <w:rPr>
          <w:rStyle w:val="Destacado"/>
          <w:rFonts w:ascii="Open Sans" w:eastAsia="Arial Unicode MS" w:hAnsi="Open Sans" w:cs="Open Sans"/>
          <w:i w:val="0"/>
          <w:iCs w:val="0"/>
          <w:color w:val="000000"/>
          <w:kern w:val="2"/>
          <w:sz w:val="20"/>
          <w:szCs w:val="20"/>
        </w:rPr>
        <w:t xml:space="preserve">e imparcialidad en el ejercicio de su labor. </w:t>
      </w:r>
    </w:p>
    <w:p w14:paraId="6A6B140B" w14:textId="77777777" w:rsidR="00671CE2" w:rsidRPr="00A07BE9" w:rsidRDefault="00671CE2" w:rsidP="00671CE2">
      <w:pPr>
        <w:spacing w:after="0" w:line="276" w:lineRule="auto"/>
        <w:jc w:val="both"/>
        <w:rPr>
          <w:rFonts w:ascii="Open Sans" w:hAnsi="Open Sans" w:cs="Open Sans"/>
          <w:color w:val="000000"/>
          <w:sz w:val="20"/>
          <w:szCs w:val="20"/>
        </w:rPr>
      </w:pPr>
    </w:p>
    <w:p w14:paraId="28ECD632" w14:textId="77777777" w:rsidR="00671CE2" w:rsidRPr="00A07BE9" w:rsidRDefault="00671CE2" w:rsidP="00671CE2">
      <w:pPr>
        <w:spacing w:after="0" w:line="276" w:lineRule="auto"/>
        <w:jc w:val="both"/>
        <w:rPr>
          <w:rFonts w:ascii="Open Sans" w:hAnsi="Open Sans" w:cs="Open Sans"/>
          <w:color w:val="000000"/>
          <w:sz w:val="20"/>
          <w:szCs w:val="20"/>
        </w:rPr>
      </w:pPr>
      <w:r w:rsidRPr="00A07BE9">
        <w:rPr>
          <w:rFonts w:ascii="Open Sans" w:hAnsi="Open Sans" w:cs="Open Sans"/>
          <w:color w:val="000000"/>
          <w:sz w:val="20"/>
          <w:szCs w:val="20"/>
        </w:rPr>
        <w:t xml:space="preserve">Para ello, se propone una nueva redacción del artículo 29, en su apartado 2, del siguiente tenor: </w:t>
      </w:r>
    </w:p>
    <w:p w14:paraId="20E1FABB" w14:textId="77777777" w:rsidR="00671CE2" w:rsidRPr="00A07BE9" w:rsidRDefault="00671CE2" w:rsidP="00671CE2">
      <w:pPr>
        <w:spacing w:after="0" w:line="276" w:lineRule="auto"/>
        <w:jc w:val="both"/>
        <w:rPr>
          <w:rFonts w:ascii="Open Sans" w:eastAsia="Times New Roman" w:hAnsi="Open Sans" w:cs="Open Sans"/>
          <w:i/>
          <w:iCs/>
          <w:color w:val="1B1B1B"/>
          <w:sz w:val="20"/>
          <w:szCs w:val="20"/>
          <w:lang w:eastAsia="es-ES"/>
        </w:rPr>
      </w:pPr>
    </w:p>
    <w:p w14:paraId="185CA51D" w14:textId="77777777" w:rsidR="00671CE2" w:rsidRPr="00A07BE9" w:rsidRDefault="00671CE2" w:rsidP="00671CE2">
      <w:pPr>
        <w:spacing w:after="0" w:line="276" w:lineRule="auto"/>
        <w:ind w:left="567"/>
        <w:jc w:val="both"/>
        <w:rPr>
          <w:rFonts w:ascii="Open Sans" w:eastAsia="Times New Roman" w:hAnsi="Open Sans" w:cs="Open Sans"/>
          <w:iCs/>
          <w:color w:val="1B1B1B"/>
          <w:sz w:val="20"/>
          <w:szCs w:val="20"/>
          <w:lang w:eastAsia="es-ES"/>
        </w:rPr>
      </w:pPr>
      <w:r w:rsidRPr="00A07BE9">
        <w:rPr>
          <w:rFonts w:ascii="Open Sans" w:eastAsia="Times New Roman" w:hAnsi="Open Sans" w:cs="Open Sans"/>
          <w:iCs/>
          <w:color w:val="1B1B1B"/>
          <w:sz w:val="20"/>
          <w:szCs w:val="20"/>
          <w:lang w:eastAsia="es-ES"/>
        </w:rPr>
        <w:t xml:space="preserve">“El personal al servicio de la Agencia será provisto, de acuerdo con los principios de igualdad, publicidad, mérito y capacidad adecuados a la función encomendada, entre los funcionarios de las diferentes administraciones públicas; </w:t>
      </w:r>
      <w:r w:rsidRPr="00A07BE9">
        <w:rPr>
          <w:rFonts w:ascii="Open Sans" w:eastAsia="Times New Roman" w:hAnsi="Open Sans" w:cs="Open Sans"/>
          <w:b/>
          <w:bCs/>
          <w:iCs/>
          <w:color w:val="1B1B1B"/>
          <w:sz w:val="20"/>
          <w:szCs w:val="20"/>
          <w:lang w:eastAsia="es-ES"/>
        </w:rPr>
        <w:t xml:space="preserve">y está sujeto </w:t>
      </w:r>
      <w:r w:rsidRPr="00A07BE9">
        <w:rPr>
          <w:rFonts w:ascii="Open Sans" w:eastAsia="Times New Roman" w:hAnsi="Open Sans" w:cs="Open Sans"/>
          <w:iCs/>
          <w:color w:val="1B1B1B"/>
          <w:sz w:val="20"/>
          <w:szCs w:val="20"/>
          <w:lang w:eastAsia="es-ES"/>
        </w:rPr>
        <w:t xml:space="preserve">a lo dispuesto </w:t>
      </w:r>
      <w:r w:rsidRPr="00A07BE9">
        <w:rPr>
          <w:rFonts w:ascii="Open Sans" w:eastAsia="Times New Roman" w:hAnsi="Open Sans" w:cs="Open Sans"/>
          <w:b/>
          <w:bCs/>
          <w:iCs/>
          <w:color w:val="1B1B1B"/>
          <w:sz w:val="20"/>
          <w:szCs w:val="20"/>
          <w:lang w:eastAsia="es-ES"/>
        </w:rPr>
        <w:t>en la presente ley, en su normativa reglamentaria de desarrollo, en la normativa reguladora del personal de les Corts</w:t>
      </w:r>
      <w:r w:rsidRPr="00A07BE9">
        <w:rPr>
          <w:rFonts w:ascii="Open Sans" w:eastAsia="Times New Roman" w:hAnsi="Open Sans" w:cs="Open Sans"/>
          <w:iCs/>
          <w:color w:val="1B1B1B"/>
          <w:sz w:val="20"/>
          <w:szCs w:val="20"/>
          <w:lang w:eastAsia="es-ES"/>
        </w:rPr>
        <w:t xml:space="preserve">, y en su defecto, </w:t>
      </w:r>
      <w:r w:rsidRPr="00A07BE9">
        <w:rPr>
          <w:rFonts w:ascii="Open Sans" w:eastAsia="Times New Roman" w:hAnsi="Open Sans" w:cs="Open Sans"/>
          <w:b/>
          <w:bCs/>
          <w:iCs/>
          <w:color w:val="1B1B1B"/>
          <w:sz w:val="20"/>
          <w:szCs w:val="20"/>
          <w:lang w:eastAsia="es-ES"/>
        </w:rPr>
        <w:t>en la legislación aplicable en materia de función pública valenciana</w:t>
      </w:r>
      <w:r w:rsidRPr="00A07BE9">
        <w:rPr>
          <w:rFonts w:ascii="Open Sans" w:eastAsia="Times New Roman" w:hAnsi="Open Sans" w:cs="Open Sans"/>
          <w:iCs/>
          <w:color w:val="1B1B1B"/>
          <w:sz w:val="20"/>
          <w:szCs w:val="20"/>
          <w:lang w:eastAsia="es-ES"/>
        </w:rPr>
        <w:t xml:space="preserve"> y normativa básica del Estado.</w:t>
      </w:r>
    </w:p>
    <w:p w14:paraId="35370075" w14:textId="77777777" w:rsidR="00671CE2" w:rsidRPr="00A07BE9" w:rsidRDefault="00671CE2" w:rsidP="00671CE2">
      <w:pPr>
        <w:spacing w:after="0" w:line="276" w:lineRule="auto"/>
        <w:ind w:left="567"/>
        <w:jc w:val="both"/>
        <w:rPr>
          <w:rFonts w:ascii="Open Sans" w:eastAsia="Times New Roman" w:hAnsi="Open Sans" w:cs="Open Sans"/>
          <w:iCs/>
          <w:color w:val="1B1B1B"/>
          <w:sz w:val="20"/>
          <w:szCs w:val="20"/>
          <w:lang w:eastAsia="es-ES"/>
        </w:rPr>
      </w:pPr>
      <w:r w:rsidRPr="00A07BE9">
        <w:rPr>
          <w:rFonts w:ascii="Open Sans" w:eastAsia="Times New Roman" w:hAnsi="Open Sans" w:cs="Open Sans"/>
          <w:iCs/>
          <w:color w:val="1B1B1B"/>
          <w:sz w:val="20"/>
          <w:szCs w:val="20"/>
          <w:lang w:eastAsia="es-ES"/>
        </w:rPr>
        <w:t xml:space="preserve">El personal funcionario de carrera que sea adscrito, con carácter definitivo, al servicio de la Agencia, será declarado en la </w:t>
      </w:r>
      <w:r w:rsidRPr="00A07BE9">
        <w:rPr>
          <w:rFonts w:ascii="Open Sans" w:eastAsia="Times New Roman" w:hAnsi="Open Sans" w:cs="Open Sans"/>
          <w:b/>
          <w:bCs/>
          <w:iCs/>
          <w:color w:val="1B1B1B"/>
          <w:sz w:val="20"/>
          <w:szCs w:val="20"/>
          <w:lang w:eastAsia="es-ES"/>
        </w:rPr>
        <w:t>situación administrativa de servicios especiales.</w:t>
      </w:r>
      <w:r w:rsidRPr="00A07BE9">
        <w:rPr>
          <w:rFonts w:ascii="Open Sans" w:eastAsia="Times New Roman" w:hAnsi="Open Sans" w:cs="Open Sans"/>
          <w:iCs/>
          <w:color w:val="1B1B1B"/>
          <w:sz w:val="20"/>
          <w:szCs w:val="20"/>
          <w:lang w:eastAsia="es-ES"/>
        </w:rPr>
        <w:t>”</w:t>
      </w:r>
    </w:p>
    <w:p w14:paraId="28CFD29F" w14:textId="77777777" w:rsidR="005F661D" w:rsidRPr="00A07BE9" w:rsidRDefault="005F661D" w:rsidP="00671CE2">
      <w:pPr>
        <w:spacing w:after="0" w:line="240" w:lineRule="auto"/>
        <w:jc w:val="both"/>
        <w:rPr>
          <w:rFonts w:ascii="Open Sans" w:eastAsia="Times New Roman" w:hAnsi="Open Sans" w:cs="Open Sans"/>
          <w:color w:val="1B1B1B"/>
          <w:sz w:val="20"/>
          <w:szCs w:val="20"/>
          <w:lang w:eastAsia="es-ES"/>
        </w:rPr>
      </w:pPr>
    </w:p>
    <w:p w14:paraId="1B19EDFD" w14:textId="77777777" w:rsidR="00671CE2" w:rsidRPr="00A07BE9" w:rsidRDefault="00671CE2" w:rsidP="00671CE2">
      <w:pPr>
        <w:spacing w:after="0" w:line="240" w:lineRule="auto"/>
        <w:jc w:val="both"/>
        <w:rPr>
          <w:rFonts w:ascii="Open Sans" w:eastAsia="Times New Roman" w:hAnsi="Open Sans" w:cs="Open Sans"/>
          <w:b/>
          <w:bCs/>
          <w:smallCaps/>
          <w:color w:val="9D2235"/>
          <w:sz w:val="24"/>
          <w:szCs w:val="24"/>
          <w:lang w:eastAsia="es-ES"/>
        </w:rPr>
      </w:pPr>
      <w:r w:rsidRPr="00A07BE9">
        <w:rPr>
          <w:rFonts w:ascii="Open Sans" w:eastAsia="Times New Roman" w:hAnsi="Open Sans" w:cs="Open Sans"/>
          <w:b/>
          <w:bCs/>
          <w:smallCaps/>
          <w:color w:val="9D2235"/>
          <w:sz w:val="24"/>
          <w:szCs w:val="24"/>
          <w:lang w:eastAsia="es-ES"/>
        </w:rPr>
        <w:t>4.2.2.4. Reconocimiento de la agencia como entidad adscrita a les corts en la disposición adicional primera de la ley de presupuestos de la generalitat para 2020</w:t>
      </w:r>
    </w:p>
    <w:p w14:paraId="4CCBC61F" w14:textId="77777777" w:rsidR="00671CE2" w:rsidRPr="00A07BE9" w:rsidRDefault="00671CE2" w:rsidP="00671CE2">
      <w:pPr>
        <w:spacing w:after="0" w:line="240" w:lineRule="auto"/>
        <w:jc w:val="both"/>
        <w:rPr>
          <w:rFonts w:ascii="Open Sans" w:eastAsia="Times New Roman" w:hAnsi="Open Sans" w:cs="Open Sans"/>
          <w:color w:val="9D2235"/>
          <w:sz w:val="20"/>
          <w:szCs w:val="20"/>
          <w:lang w:eastAsia="es-ES"/>
        </w:rPr>
      </w:pPr>
    </w:p>
    <w:p w14:paraId="407C6A7B" w14:textId="3ED6A1BF" w:rsidR="00671CE2" w:rsidRPr="00A07BE9" w:rsidRDefault="00671CE2" w:rsidP="00671CE2">
      <w:pPr>
        <w:spacing w:after="0" w:line="276" w:lineRule="auto"/>
        <w:jc w:val="both"/>
        <w:rPr>
          <w:rFonts w:ascii="Open Sans" w:hAnsi="Open Sans" w:cs="Open Sans"/>
          <w:color w:val="000000"/>
          <w:sz w:val="20"/>
          <w:szCs w:val="20"/>
        </w:rPr>
      </w:pPr>
      <w:r w:rsidRPr="00A07BE9">
        <w:rPr>
          <w:rFonts w:ascii="Open Sans" w:hAnsi="Open Sans" w:cs="Open Sans"/>
          <w:color w:val="000000"/>
          <w:sz w:val="20"/>
          <w:szCs w:val="20"/>
        </w:rPr>
        <w:t xml:space="preserve">Por tercer año consecutivo, la Agencia solicitó que se incorporase la mención a la misma, con el resto de instituciones comisionadas de les Corts, en la correspondiente Ley de </w:t>
      </w:r>
      <w:r w:rsidR="001002CB" w:rsidRPr="00A07BE9">
        <w:rPr>
          <w:rFonts w:ascii="Open Sans" w:hAnsi="Open Sans" w:cs="Open Sans"/>
          <w:color w:val="000000"/>
          <w:sz w:val="20"/>
          <w:szCs w:val="20"/>
        </w:rPr>
        <w:t>P</w:t>
      </w:r>
      <w:r w:rsidRPr="00A07BE9">
        <w:rPr>
          <w:rFonts w:ascii="Open Sans" w:hAnsi="Open Sans" w:cs="Open Sans"/>
          <w:color w:val="000000"/>
          <w:sz w:val="20"/>
          <w:szCs w:val="20"/>
        </w:rPr>
        <w:t>resupuestos de la Generalitat, en concreto, en su disposición adicional primera, junto a la Sindicatura de Comptes, el Consell Valencià de Cultura, el Síndic de Greuges, el Consell Jurídic Consultiu, la Acadèmia Valenciana de la Llengua y el Comitè Econòmic i Social, al participar de las misma naturaleza que todas estas instituciones públicas, en cuanto forma parte de la Generalitat y se trata de una entidad adscrita a les Corts y externa a la administración del Consell.</w:t>
      </w:r>
    </w:p>
    <w:p w14:paraId="000DB4A6" w14:textId="77777777" w:rsidR="00671CE2" w:rsidRPr="00A07BE9" w:rsidRDefault="00671CE2" w:rsidP="00671CE2">
      <w:pPr>
        <w:spacing w:after="0" w:line="276" w:lineRule="auto"/>
        <w:jc w:val="both"/>
        <w:rPr>
          <w:rFonts w:ascii="Open Sans" w:hAnsi="Open Sans" w:cs="Open Sans"/>
          <w:color w:val="000000"/>
          <w:sz w:val="20"/>
          <w:szCs w:val="20"/>
        </w:rPr>
      </w:pPr>
    </w:p>
    <w:p w14:paraId="28D7EE1E" w14:textId="080D34BD" w:rsidR="00671CE2" w:rsidRPr="00A07BE9" w:rsidRDefault="00671CE2" w:rsidP="00671CE2">
      <w:pPr>
        <w:spacing w:after="0" w:line="276" w:lineRule="auto"/>
        <w:jc w:val="both"/>
        <w:rPr>
          <w:rFonts w:ascii="Open Sans" w:hAnsi="Open Sans" w:cs="Open Sans"/>
          <w:color w:val="000000"/>
          <w:sz w:val="20"/>
          <w:szCs w:val="20"/>
        </w:rPr>
      </w:pPr>
      <w:r w:rsidRPr="00A07BE9">
        <w:rPr>
          <w:rFonts w:ascii="Open Sans" w:hAnsi="Open Sans" w:cs="Open Sans"/>
          <w:color w:val="000000"/>
          <w:sz w:val="20"/>
          <w:szCs w:val="20"/>
        </w:rPr>
        <w:t xml:space="preserve">El fundamento de esta solicitud trae causa de lo dispuesto en la </w:t>
      </w:r>
      <w:hyperlink r:id="rId160" w:history="1">
        <w:r w:rsidR="005401CB" w:rsidRPr="00A07BE9">
          <w:rPr>
            <w:rStyle w:val="Hipervnculo"/>
            <w:rFonts w:ascii="Open Sans" w:hAnsi="Open Sans" w:cs="Open Sans"/>
            <w:sz w:val="20"/>
            <w:szCs w:val="20"/>
          </w:rPr>
          <w:t>Ley 11/2016</w:t>
        </w:r>
      </w:hyperlink>
      <w:r w:rsidRPr="00A07BE9">
        <w:rPr>
          <w:rFonts w:ascii="Open Sans" w:hAnsi="Open Sans" w:cs="Open Sans"/>
          <w:color w:val="000000"/>
          <w:sz w:val="20"/>
          <w:szCs w:val="20"/>
        </w:rPr>
        <w:t xml:space="preserve">, de creación de la misma, especialmente desde la modificación operada en aquélla mediante la </w:t>
      </w:r>
      <w:hyperlink r:id="rId161" w:history="1">
        <w:r w:rsidRPr="00A07BE9">
          <w:rPr>
            <w:rStyle w:val="Hipervnculo"/>
            <w:rFonts w:ascii="Open Sans" w:hAnsi="Open Sans" w:cs="Open Sans"/>
            <w:sz w:val="20"/>
            <w:szCs w:val="20"/>
          </w:rPr>
          <w:t>Ley 27/2018, de 27 de diciembre, de medidas fiscales, de gestión administrativa y financiera y de organización de la Generalitat</w:t>
        </w:r>
      </w:hyperlink>
      <w:r w:rsidRPr="00A07BE9">
        <w:rPr>
          <w:rFonts w:ascii="Open Sans" w:hAnsi="Open Sans" w:cs="Open Sans"/>
          <w:color w:val="000000"/>
          <w:sz w:val="20"/>
          <w:szCs w:val="20"/>
        </w:rPr>
        <w:t>.</w:t>
      </w:r>
    </w:p>
    <w:p w14:paraId="7ED6B602" w14:textId="77777777" w:rsidR="00671CE2" w:rsidRPr="00A07BE9" w:rsidRDefault="00671CE2" w:rsidP="00671CE2">
      <w:pPr>
        <w:pStyle w:val="Textoindependiente"/>
        <w:spacing w:after="0"/>
        <w:jc w:val="both"/>
        <w:rPr>
          <w:color w:val="000000"/>
          <w:sz w:val="20"/>
          <w:szCs w:val="20"/>
        </w:rPr>
      </w:pPr>
    </w:p>
    <w:p w14:paraId="0E1172A6" w14:textId="303E9707" w:rsidR="00671CE2" w:rsidRPr="00A07BE9" w:rsidRDefault="00671CE2" w:rsidP="00671CE2">
      <w:pPr>
        <w:pStyle w:val="Textoindependiente"/>
        <w:spacing w:after="0"/>
        <w:jc w:val="both"/>
        <w:rPr>
          <w:sz w:val="20"/>
          <w:szCs w:val="20"/>
        </w:rPr>
      </w:pPr>
      <w:r w:rsidRPr="00A07BE9">
        <w:rPr>
          <w:color w:val="000000"/>
          <w:sz w:val="20"/>
          <w:szCs w:val="20"/>
        </w:rPr>
        <w:t xml:space="preserve">Dicha modificación </w:t>
      </w:r>
      <w:r w:rsidRPr="00A07BE9">
        <w:rPr>
          <w:b/>
          <w:bCs/>
          <w:color w:val="000000"/>
          <w:sz w:val="20"/>
          <w:szCs w:val="20"/>
        </w:rPr>
        <w:t xml:space="preserve">suprimía </w:t>
      </w:r>
      <w:r w:rsidRPr="00A07BE9">
        <w:rPr>
          <w:color w:val="000000"/>
          <w:sz w:val="20"/>
          <w:szCs w:val="20"/>
        </w:rPr>
        <w:t>la consideración de la Agencia como entidad de</w:t>
      </w:r>
      <w:r w:rsidRPr="00A07BE9">
        <w:rPr>
          <w:b/>
          <w:bCs/>
          <w:i/>
          <w:iCs/>
          <w:color w:val="000000"/>
          <w:sz w:val="20"/>
          <w:szCs w:val="20"/>
        </w:rPr>
        <w:t xml:space="preserve"> derecho público</w:t>
      </w:r>
      <w:r w:rsidRPr="00A07BE9">
        <w:rPr>
          <w:b/>
          <w:bCs/>
          <w:color w:val="000000"/>
          <w:sz w:val="20"/>
          <w:szCs w:val="20"/>
        </w:rPr>
        <w:t xml:space="preserve">, y reforzaba su adscripción a les Corts </w:t>
      </w:r>
      <w:r w:rsidRPr="00A07BE9">
        <w:rPr>
          <w:color w:val="000000"/>
          <w:sz w:val="20"/>
          <w:szCs w:val="20"/>
        </w:rPr>
        <w:t>(órgano de poder legislativo)</w:t>
      </w:r>
      <w:r w:rsidRPr="00A07BE9">
        <w:rPr>
          <w:b/>
          <w:bCs/>
          <w:color w:val="000000"/>
          <w:sz w:val="20"/>
          <w:szCs w:val="20"/>
        </w:rPr>
        <w:t xml:space="preserve"> y su independencia de la administración del Consell,</w:t>
      </w:r>
      <w:r w:rsidRPr="00A07BE9">
        <w:rPr>
          <w:color w:val="000000"/>
          <w:sz w:val="20"/>
          <w:szCs w:val="20"/>
        </w:rPr>
        <w:t xml:space="preserve"> la cual forma parte de su ámbito de actuación material, eliminando definitivamente la confusión que había venido suscitándose desde algunas instancias sobre su naturaleza jurídica, dada la terminología empleada en la redacción inicial del artículo 1.1 de la </w:t>
      </w:r>
      <w:hyperlink r:id="rId162" w:history="1">
        <w:r w:rsidR="005401CB" w:rsidRPr="00A07BE9">
          <w:rPr>
            <w:rStyle w:val="Hipervnculo"/>
            <w:rFonts w:cs="Open Sans"/>
            <w:sz w:val="20"/>
            <w:szCs w:val="20"/>
          </w:rPr>
          <w:t>Ley 11/2016</w:t>
        </w:r>
      </w:hyperlink>
      <w:r w:rsidRPr="00A07BE9">
        <w:rPr>
          <w:color w:val="000000"/>
          <w:sz w:val="20"/>
          <w:szCs w:val="20"/>
        </w:rPr>
        <w:t xml:space="preserve">, que se refería a la Agencia como </w:t>
      </w:r>
      <w:r w:rsidRPr="00A07BE9">
        <w:rPr>
          <w:i/>
          <w:iCs/>
          <w:color w:val="000000"/>
          <w:sz w:val="20"/>
          <w:szCs w:val="20"/>
        </w:rPr>
        <w:t xml:space="preserve">entidad </w:t>
      </w:r>
      <w:r w:rsidRPr="00A07BE9">
        <w:rPr>
          <w:i/>
          <w:iCs/>
          <w:color w:val="000000"/>
          <w:sz w:val="20"/>
          <w:szCs w:val="20"/>
        </w:rPr>
        <w:lastRenderedPageBreak/>
        <w:t xml:space="preserve">de derecho público. </w:t>
      </w:r>
      <w:r w:rsidRPr="00A07BE9">
        <w:rPr>
          <w:color w:val="000000"/>
          <w:sz w:val="20"/>
          <w:szCs w:val="20"/>
        </w:rPr>
        <w:t xml:space="preserve">Tal mención provocaba diferentes interpretaciones en cuanto a su encuadramiento legal y presupuestario, defendiéndose, erróneamente, que el mismo debía efectuarse dentro del </w:t>
      </w:r>
      <w:r w:rsidRPr="00A07BE9">
        <w:rPr>
          <w:i/>
          <w:iCs/>
          <w:color w:val="000000"/>
          <w:sz w:val="20"/>
          <w:szCs w:val="20"/>
        </w:rPr>
        <w:t>Sector público instrumental de la Generalitat.</w:t>
      </w:r>
    </w:p>
    <w:p w14:paraId="4E6810F6" w14:textId="77777777" w:rsidR="00671CE2" w:rsidRPr="00A07BE9" w:rsidRDefault="00671CE2" w:rsidP="00671CE2">
      <w:pPr>
        <w:pStyle w:val="Textoindependiente"/>
        <w:spacing w:after="0"/>
        <w:jc w:val="both"/>
        <w:rPr>
          <w:color w:val="000000"/>
          <w:sz w:val="20"/>
          <w:szCs w:val="20"/>
        </w:rPr>
      </w:pPr>
    </w:p>
    <w:p w14:paraId="095F9239" w14:textId="47638AD6" w:rsidR="00671CE2" w:rsidRPr="00A07BE9" w:rsidRDefault="00671CE2" w:rsidP="00671CE2">
      <w:pPr>
        <w:pStyle w:val="Textoindependiente"/>
        <w:spacing w:after="0"/>
        <w:jc w:val="both"/>
        <w:rPr>
          <w:color w:val="000000"/>
          <w:sz w:val="20"/>
          <w:szCs w:val="20"/>
        </w:rPr>
      </w:pPr>
      <w:r w:rsidRPr="00A07BE9">
        <w:rPr>
          <w:color w:val="000000"/>
          <w:sz w:val="20"/>
          <w:szCs w:val="20"/>
        </w:rPr>
        <w:t xml:space="preserve">En la misma línea, la citada modificación de la Ley de creación de la Agencia eliminaba la anterior redacción del apartado 5 del artículo 30, que expresaba que el presupuesto de la Agencia se regía por la normativa reguladora de las entidades del sector público de la Generalitat Valenciana, al tiempo que sustituía, en su apartado 6, la fiscalización de la actividad de la Agencia por parte de la Intervención General de la Generalitat, por la Intervención de les Corts. En ajuste a ello, mediante </w:t>
      </w:r>
      <w:hyperlink r:id="rId163" w:history="1">
        <w:r w:rsidRPr="00A07BE9">
          <w:rPr>
            <w:rStyle w:val="Hipervnculo"/>
            <w:sz w:val="20"/>
            <w:szCs w:val="20"/>
          </w:rPr>
          <w:t>Acuerdo 3169/IX, de 12 de febrero de 2019, de la Mesa de las Corts Valencianes</w:t>
        </w:r>
      </w:hyperlink>
      <w:r w:rsidRPr="00A07BE9">
        <w:rPr>
          <w:color w:val="000000"/>
          <w:sz w:val="20"/>
          <w:szCs w:val="20"/>
        </w:rPr>
        <w:t>, se aprobó el Plan anual de control financiero permanente de Agencia de Prevención y Lucha contra el Fraude y la Corrupción de la Comunitat Valenciana (DOGV núm. 8493 de 25.02.2019), quedando nítidamente deslindada la correcta naturaleza y marco normativo de la Agencia.</w:t>
      </w:r>
    </w:p>
    <w:p w14:paraId="32795AEA" w14:textId="77777777" w:rsidR="00671CE2" w:rsidRPr="00A07BE9" w:rsidRDefault="00671CE2" w:rsidP="00671CE2">
      <w:pPr>
        <w:pStyle w:val="Textoindependiente"/>
        <w:spacing w:after="0"/>
        <w:jc w:val="both"/>
        <w:rPr>
          <w:color w:val="000000"/>
          <w:sz w:val="20"/>
          <w:szCs w:val="20"/>
        </w:rPr>
      </w:pPr>
    </w:p>
    <w:p w14:paraId="74A1A469" w14:textId="58424AFC" w:rsidR="00671CE2" w:rsidRPr="00A07BE9" w:rsidRDefault="00671CE2" w:rsidP="00671CE2">
      <w:pPr>
        <w:pStyle w:val="Textoindependiente"/>
        <w:spacing w:after="0"/>
        <w:jc w:val="both"/>
        <w:rPr>
          <w:color w:val="000000"/>
          <w:sz w:val="20"/>
          <w:szCs w:val="20"/>
        </w:rPr>
      </w:pPr>
      <w:r w:rsidRPr="00A07BE9">
        <w:rPr>
          <w:color w:val="000000"/>
          <w:sz w:val="20"/>
          <w:szCs w:val="20"/>
        </w:rPr>
        <w:t>Así pues, la</w:t>
      </w:r>
      <w:r w:rsidRPr="00A07BE9">
        <w:rPr>
          <w:rFonts w:cs="Lucida Grande"/>
          <w:bCs/>
          <w:color w:val="000000"/>
          <w:sz w:val="20"/>
          <w:szCs w:val="20"/>
        </w:rPr>
        <w:t xml:space="preserve"> homologación del tratamiento de la Agencia de Prevención y Lucha contra el Fraude y la Corrupción de la Comunitat Valenciana, también en lo que se refiere a su regulación presupuestaria, al resto de instituciones de la Generalitat (especialmente a las vinculadas o adscritas a les Corts como la</w:t>
      </w:r>
      <w:r w:rsidRPr="00A07BE9">
        <w:rPr>
          <w:rFonts w:cs="Lucida Grande"/>
          <w:bCs/>
          <w:color w:val="729FCF"/>
          <w:sz w:val="20"/>
          <w:szCs w:val="20"/>
        </w:rPr>
        <w:t xml:space="preserve"> </w:t>
      </w:r>
      <w:r w:rsidRPr="00A07BE9">
        <w:rPr>
          <w:rFonts w:cs="Lucida Grande"/>
          <w:bCs/>
          <w:color w:val="000000"/>
          <w:sz w:val="20"/>
          <w:szCs w:val="20"/>
        </w:rPr>
        <w:t xml:space="preserve">Sindicatura de Comptes y el Síndic de Greuges), contribuye a salvaguardar su actuación independiente de cualquier administración pública (incluida la administración de la Generalitat y su sector público instrumental). Esta prerrogativa de independencia, consagrada en el artículo 1.2 de la </w:t>
      </w:r>
      <w:hyperlink r:id="rId164" w:history="1">
        <w:r w:rsidR="005401CB" w:rsidRPr="00A07BE9">
          <w:rPr>
            <w:rStyle w:val="Hipervnculo"/>
            <w:rFonts w:cs="Open Sans"/>
            <w:sz w:val="20"/>
            <w:szCs w:val="20"/>
          </w:rPr>
          <w:t>Ley 11/2016</w:t>
        </w:r>
        <w:r w:rsidR="005401CB" w:rsidRPr="00A07BE9">
          <w:rPr>
            <w:rStyle w:val="Hipervnculo"/>
            <w:color w:val="auto"/>
            <w:sz w:val="20"/>
            <w:szCs w:val="20"/>
            <w:u w:val="none"/>
          </w:rPr>
          <w:t>, de 28 de</w:t>
        </w:r>
        <w:r w:rsidR="005401CB" w:rsidRPr="00A07BE9">
          <w:rPr>
            <w:rStyle w:val="Hipervnculo"/>
            <w:sz w:val="20"/>
            <w:szCs w:val="20"/>
          </w:rPr>
          <w:t xml:space="preserve"> </w:t>
        </w:r>
        <w:r w:rsidR="005401CB" w:rsidRPr="00A07BE9">
          <w:rPr>
            <w:rStyle w:val="Hipervnculo"/>
            <w:color w:val="auto"/>
            <w:sz w:val="20"/>
            <w:szCs w:val="20"/>
            <w:u w:val="none"/>
          </w:rPr>
          <w:t>noviembre, de la Generalitat</w:t>
        </w:r>
      </w:hyperlink>
      <w:r w:rsidRPr="00A07BE9">
        <w:rPr>
          <w:rFonts w:cs="Lucida Grande"/>
          <w:bCs/>
          <w:color w:val="000000"/>
          <w:sz w:val="20"/>
          <w:szCs w:val="20"/>
        </w:rPr>
        <w:t xml:space="preserve">, deberá respetarse en todo caso, en relación con el ámbito de actuación material de la Agencia (artículo 3 de la </w:t>
      </w:r>
      <w:hyperlink r:id="rId165" w:history="1">
        <w:r w:rsidR="005401CB" w:rsidRPr="00A07BE9">
          <w:rPr>
            <w:rStyle w:val="Hipervnculo"/>
            <w:rFonts w:cs="Open Sans"/>
            <w:sz w:val="20"/>
            <w:szCs w:val="20"/>
          </w:rPr>
          <w:t>Ley 11/2016</w:t>
        </w:r>
      </w:hyperlink>
      <w:r w:rsidRPr="00A07BE9">
        <w:rPr>
          <w:rFonts w:cs="Lucida Grande"/>
          <w:bCs/>
          <w:color w:val="000000"/>
          <w:sz w:val="20"/>
          <w:szCs w:val="20"/>
        </w:rPr>
        <w:t>) y el cumplimiento de sus funciones y fines (artículo 4 de la</w:t>
      </w:r>
      <w:r w:rsidR="005401CB" w:rsidRPr="00A07BE9">
        <w:rPr>
          <w:rFonts w:cs="Lucida Grande"/>
          <w:bCs/>
          <w:color w:val="000000"/>
          <w:sz w:val="20"/>
          <w:szCs w:val="20"/>
        </w:rPr>
        <w:t xml:space="preserve"> </w:t>
      </w:r>
      <w:hyperlink r:id="rId166" w:history="1">
        <w:r w:rsidR="005401CB" w:rsidRPr="00A07BE9">
          <w:rPr>
            <w:rStyle w:val="Hipervnculo"/>
            <w:rFonts w:cs="Open Sans"/>
            <w:sz w:val="20"/>
            <w:szCs w:val="20"/>
          </w:rPr>
          <w:t>Ley 11/2016</w:t>
        </w:r>
      </w:hyperlink>
      <w:r w:rsidRPr="00A07BE9">
        <w:rPr>
          <w:rFonts w:cs="Lucida Grande"/>
          <w:bCs/>
          <w:color w:val="000000"/>
          <w:sz w:val="20"/>
          <w:szCs w:val="20"/>
        </w:rPr>
        <w:t>).</w:t>
      </w:r>
    </w:p>
    <w:p w14:paraId="782D5570" w14:textId="77777777" w:rsidR="00671CE2" w:rsidRPr="00A07BE9" w:rsidRDefault="00671CE2" w:rsidP="00671CE2">
      <w:pPr>
        <w:shd w:val="clear" w:color="auto" w:fill="FFFFFF"/>
        <w:spacing w:after="0" w:line="276" w:lineRule="auto"/>
        <w:jc w:val="both"/>
        <w:rPr>
          <w:rFonts w:ascii="Open Sans" w:hAnsi="Open Sans" w:cs="Lucida Grande"/>
          <w:bCs/>
          <w:color w:val="000000"/>
          <w:sz w:val="20"/>
          <w:szCs w:val="20"/>
        </w:rPr>
      </w:pPr>
    </w:p>
    <w:p w14:paraId="7E33AF48" w14:textId="189A3AEE" w:rsidR="00671CE2" w:rsidRPr="00A07BE9" w:rsidRDefault="00671CE2" w:rsidP="00671CE2">
      <w:pPr>
        <w:shd w:val="clear" w:color="auto" w:fill="FFFFFF"/>
        <w:spacing w:after="0" w:line="276" w:lineRule="auto"/>
        <w:jc w:val="both"/>
        <w:rPr>
          <w:rFonts w:ascii="Open Sans" w:hAnsi="Open Sans" w:cs="Lucida Grande"/>
          <w:bCs/>
          <w:color w:val="000000"/>
          <w:sz w:val="20"/>
          <w:szCs w:val="20"/>
        </w:rPr>
      </w:pPr>
      <w:r w:rsidRPr="00A07BE9">
        <w:rPr>
          <w:rFonts w:ascii="Open Sans" w:hAnsi="Open Sans" w:cs="Lucida Grande"/>
          <w:bCs/>
          <w:color w:val="000000"/>
          <w:sz w:val="20"/>
          <w:szCs w:val="20"/>
        </w:rPr>
        <w:t xml:space="preserve">En definitiva, constatado, a través de la </w:t>
      </w:r>
      <w:hyperlink r:id="rId167" w:history="1">
        <w:r w:rsidRPr="00A07BE9">
          <w:rPr>
            <w:rStyle w:val="Hipervnculo"/>
            <w:rFonts w:ascii="Open Sans" w:hAnsi="Open Sans" w:cs="Lucida Grande"/>
            <w:bCs/>
            <w:sz w:val="20"/>
            <w:szCs w:val="20"/>
          </w:rPr>
          <w:t>Ley 27/2018</w:t>
        </w:r>
      </w:hyperlink>
      <w:r w:rsidRPr="00A07BE9">
        <w:rPr>
          <w:rFonts w:ascii="Open Sans" w:hAnsi="Open Sans" w:cs="Lucida Grande"/>
          <w:bCs/>
          <w:color w:val="000000"/>
          <w:sz w:val="20"/>
          <w:szCs w:val="20"/>
        </w:rPr>
        <w:t xml:space="preserve"> (anterior Ley de medidas), que la Agencia no comparte ni la naturaleza, ni el objeto, ni el régimen jurídico aplicable a las entidades que integran el sector público instrumental de la administración de la Generalitat, se propone que</w:t>
      </w:r>
      <w:r w:rsidRPr="00A07BE9">
        <w:rPr>
          <w:rFonts w:ascii="Open Sans" w:hAnsi="Open Sans" w:cs="Lucida Grande"/>
          <w:b/>
          <w:bCs/>
          <w:color w:val="000000"/>
          <w:sz w:val="20"/>
          <w:szCs w:val="20"/>
        </w:rPr>
        <w:t xml:space="preserve"> </w:t>
      </w:r>
      <w:r w:rsidRPr="00A07BE9">
        <w:rPr>
          <w:rFonts w:ascii="Open Sans" w:hAnsi="Open Sans" w:cs="Lucida Grande"/>
          <w:color w:val="000000"/>
          <w:sz w:val="20"/>
          <w:szCs w:val="20"/>
        </w:rPr>
        <w:t>le sea aplicable a la Agencia, por completo, el mismo régimen presupuestario que rige para les Corts (y para sus instituciones dependientes,</w:t>
      </w:r>
      <w:r w:rsidRPr="00A07BE9">
        <w:rPr>
          <w:rFonts w:ascii="Open Sans" w:hAnsi="Open Sans" w:cs="Lucida Grande"/>
          <w:b/>
          <w:bCs/>
          <w:color w:val="000000"/>
          <w:sz w:val="20"/>
          <w:szCs w:val="20"/>
        </w:rPr>
        <w:t xml:space="preserve"> </w:t>
      </w:r>
      <w:r w:rsidRPr="00A07BE9">
        <w:rPr>
          <w:rFonts w:ascii="Open Sans" w:hAnsi="Open Sans" w:cs="Lucida Grande"/>
          <w:color w:val="000000"/>
          <w:sz w:val="20"/>
          <w:szCs w:val="20"/>
        </w:rPr>
        <w:t xml:space="preserve">Sindicatura de Comptes y Síndic de Greuges), habida cuenta que el actual artículo 30.5 de la </w:t>
      </w:r>
      <w:hyperlink r:id="rId168" w:history="1">
        <w:r w:rsidR="005401CB" w:rsidRPr="00A07BE9">
          <w:rPr>
            <w:rStyle w:val="Hipervnculo"/>
            <w:rFonts w:ascii="Open Sans" w:hAnsi="Open Sans" w:cs="Open Sans"/>
            <w:sz w:val="20"/>
            <w:szCs w:val="20"/>
          </w:rPr>
          <w:t>Ley 11/2016</w:t>
        </w:r>
      </w:hyperlink>
      <w:r w:rsidR="005401CB" w:rsidRPr="00A07BE9">
        <w:rPr>
          <w:rFonts w:ascii="Open Sans" w:hAnsi="Open Sans" w:cs="Open Sans"/>
          <w:sz w:val="20"/>
          <w:szCs w:val="20"/>
        </w:rPr>
        <w:t xml:space="preserve"> </w:t>
      </w:r>
      <w:r w:rsidRPr="00A07BE9">
        <w:rPr>
          <w:rFonts w:ascii="Open Sans" w:hAnsi="Open Sans" w:cs="Lucida Grande"/>
          <w:color w:val="000000"/>
          <w:sz w:val="20"/>
          <w:szCs w:val="20"/>
        </w:rPr>
        <w:t>establece que el</w:t>
      </w:r>
      <w:r w:rsidRPr="00A07BE9">
        <w:rPr>
          <w:rFonts w:ascii="Open Sans" w:hAnsi="Open Sans" w:cs="Lucida Grande"/>
          <w:i/>
          <w:iCs/>
          <w:color w:val="000000"/>
          <w:sz w:val="20"/>
          <w:szCs w:val="20"/>
        </w:rPr>
        <w:t xml:space="preserve"> </w:t>
      </w:r>
      <w:r w:rsidRPr="00A07BE9">
        <w:rPr>
          <w:rFonts w:ascii="Open Sans" w:hAnsi="Open Sans" w:cs="Lucida Grande"/>
          <w:color w:val="000000"/>
          <w:sz w:val="20"/>
          <w:szCs w:val="20"/>
        </w:rPr>
        <w:t xml:space="preserve">presupuesto de la Agencia se acomodará a los presupuestos de les Corts Valencianes. </w:t>
      </w:r>
    </w:p>
    <w:p w14:paraId="1FD85844" w14:textId="77777777" w:rsidR="00671CE2" w:rsidRPr="00A07BE9" w:rsidRDefault="00671CE2" w:rsidP="00671CE2">
      <w:pPr>
        <w:shd w:val="clear" w:color="auto" w:fill="FFFFFF"/>
        <w:spacing w:after="0" w:line="276" w:lineRule="auto"/>
        <w:jc w:val="both"/>
        <w:rPr>
          <w:rFonts w:ascii="Open Sans" w:hAnsi="Open Sans" w:cs="Lucida Grande"/>
          <w:bCs/>
          <w:color w:val="000000"/>
          <w:sz w:val="20"/>
          <w:szCs w:val="20"/>
        </w:rPr>
      </w:pPr>
    </w:p>
    <w:p w14:paraId="49BEECF6" w14:textId="2833D687" w:rsidR="00671CE2" w:rsidRPr="00A07BE9" w:rsidRDefault="00671CE2" w:rsidP="00671CE2">
      <w:pPr>
        <w:shd w:val="clear" w:color="auto" w:fill="FFFFFF"/>
        <w:spacing w:after="0" w:line="276" w:lineRule="auto"/>
        <w:jc w:val="both"/>
        <w:rPr>
          <w:rFonts w:ascii="Open Sans" w:hAnsi="Open Sans" w:cs="Lucida Grande"/>
          <w:bCs/>
          <w:color w:val="000000"/>
          <w:sz w:val="20"/>
          <w:szCs w:val="20"/>
        </w:rPr>
      </w:pPr>
      <w:r w:rsidRPr="00A07BE9">
        <w:rPr>
          <w:rFonts w:ascii="Open Sans" w:hAnsi="Open Sans" w:cs="Lucida Grande"/>
          <w:bCs/>
          <w:color w:val="000000"/>
          <w:sz w:val="20"/>
          <w:szCs w:val="20"/>
        </w:rPr>
        <w:t xml:space="preserve">Todo ello, sin perjuicio de que, en virtud de tal </w:t>
      </w:r>
      <w:r w:rsidRPr="00A07BE9">
        <w:rPr>
          <w:rFonts w:ascii="Open Sans" w:hAnsi="Open Sans" w:cs="Lucida Grande"/>
          <w:bCs/>
          <w:i/>
          <w:iCs/>
          <w:color w:val="000000"/>
          <w:sz w:val="20"/>
          <w:szCs w:val="20"/>
        </w:rPr>
        <w:t xml:space="preserve">acomodación, </w:t>
      </w:r>
      <w:r w:rsidRPr="00A07BE9">
        <w:rPr>
          <w:rFonts w:ascii="Open Sans" w:hAnsi="Open Sans" w:cs="Lucida Grande"/>
          <w:bCs/>
          <w:color w:val="000000"/>
          <w:sz w:val="20"/>
          <w:szCs w:val="20"/>
        </w:rPr>
        <w:t xml:space="preserve">prescrita legalmente, la Agencia reintegre, a la </w:t>
      </w:r>
      <w:r w:rsidR="00F73F0B" w:rsidRPr="00A07BE9">
        <w:rPr>
          <w:rFonts w:ascii="Open Sans" w:hAnsi="Open Sans" w:cs="Lucida Grande"/>
          <w:bCs/>
          <w:color w:val="000000"/>
          <w:sz w:val="20"/>
          <w:szCs w:val="20"/>
        </w:rPr>
        <w:t>c</w:t>
      </w:r>
      <w:r w:rsidRPr="00A07BE9">
        <w:rPr>
          <w:rFonts w:ascii="Open Sans" w:hAnsi="Open Sans" w:cs="Lucida Grande"/>
          <w:bCs/>
          <w:color w:val="000000"/>
          <w:sz w:val="20"/>
          <w:szCs w:val="20"/>
        </w:rPr>
        <w:t>onselleria competente en materia de Hacienda, los remanentes de tesorería que procedan, en los términos y condiciones que les Corts (órgano de adscripción), le indique en cada momento.</w:t>
      </w:r>
    </w:p>
    <w:p w14:paraId="3C95856A" w14:textId="77777777" w:rsidR="00671CE2" w:rsidRPr="00A07BE9" w:rsidRDefault="00671CE2" w:rsidP="00671CE2">
      <w:pPr>
        <w:shd w:val="clear" w:color="auto" w:fill="FFFFFF"/>
        <w:spacing w:after="0" w:line="240" w:lineRule="auto"/>
        <w:jc w:val="both"/>
        <w:rPr>
          <w:rFonts w:ascii="Open Sans" w:eastAsia="Times New Roman" w:hAnsi="Open Sans" w:cs="Open Sans"/>
          <w:bCs/>
          <w:color w:val="1B1B1B"/>
          <w:sz w:val="20"/>
          <w:szCs w:val="20"/>
          <w:lang w:eastAsia="es-ES"/>
        </w:rPr>
      </w:pPr>
    </w:p>
    <w:p w14:paraId="11C66579" w14:textId="64816273" w:rsidR="00035A91" w:rsidRPr="00A07BE9" w:rsidRDefault="00035A91" w:rsidP="00671CE2">
      <w:pPr>
        <w:shd w:val="clear" w:color="auto" w:fill="FFFFFF"/>
        <w:spacing w:after="0" w:line="240" w:lineRule="auto"/>
        <w:jc w:val="both"/>
        <w:rPr>
          <w:rFonts w:ascii="Open Sans" w:eastAsia="Times New Roman" w:hAnsi="Open Sans" w:cs="Times New Roman"/>
          <w:color w:val="C9211E"/>
          <w:sz w:val="20"/>
          <w:szCs w:val="20"/>
          <w:lang w:eastAsia="es-ES"/>
        </w:rPr>
      </w:pPr>
    </w:p>
    <w:p w14:paraId="52AAC2B9" w14:textId="6B02CC5B" w:rsidR="00F20B33" w:rsidRPr="00A07BE9" w:rsidRDefault="00F20B33" w:rsidP="00671CE2">
      <w:pPr>
        <w:shd w:val="clear" w:color="auto" w:fill="FFFFFF"/>
        <w:spacing w:after="0" w:line="240" w:lineRule="auto"/>
        <w:jc w:val="both"/>
        <w:rPr>
          <w:rFonts w:ascii="Open Sans" w:eastAsia="Times New Roman" w:hAnsi="Open Sans" w:cs="Times New Roman"/>
          <w:color w:val="C9211E"/>
          <w:sz w:val="20"/>
          <w:szCs w:val="20"/>
          <w:lang w:eastAsia="es-ES"/>
        </w:rPr>
      </w:pPr>
    </w:p>
    <w:p w14:paraId="6566AC01" w14:textId="2EE18066" w:rsidR="00EC444F" w:rsidRPr="00A07BE9" w:rsidRDefault="00EC444F" w:rsidP="00671CE2">
      <w:pPr>
        <w:shd w:val="clear" w:color="auto" w:fill="FFFFFF"/>
        <w:spacing w:after="0" w:line="240" w:lineRule="auto"/>
        <w:jc w:val="both"/>
        <w:rPr>
          <w:rFonts w:ascii="Open Sans" w:eastAsia="Times New Roman" w:hAnsi="Open Sans" w:cs="Times New Roman"/>
          <w:color w:val="C9211E"/>
          <w:sz w:val="20"/>
          <w:szCs w:val="20"/>
          <w:lang w:eastAsia="es-ES"/>
        </w:rPr>
      </w:pPr>
    </w:p>
    <w:p w14:paraId="679BA5EB" w14:textId="19E5ED7D" w:rsidR="00671CE2" w:rsidRPr="00A07BE9" w:rsidRDefault="00671CE2" w:rsidP="00671CE2">
      <w:pPr>
        <w:spacing w:after="0" w:line="240" w:lineRule="auto"/>
        <w:jc w:val="both"/>
        <w:rPr>
          <w:rFonts w:ascii="Open Sans" w:eastAsia="Times New Roman" w:hAnsi="Open Sans" w:cs="Open Sans"/>
          <w:b/>
          <w:bCs/>
          <w:smallCaps/>
          <w:color w:val="9D2235"/>
          <w:sz w:val="28"/>
          <w:szCs w:val="28"/>
          <w:lang w:eastAsia="es-ES"/>
        </w:rPr>
      </w:pPr>
      <w:r w:rsidRPr="00A07BE9">
        <w:rPr>
          <w:rFonts w:ascii="Open Sans" w:eastAsia="Times New Roman" w:hAnsi="Open Sans" w:cs="Open Sans"/>
          <w:b/>
          <w:bCs/>
          <w:smallCaps/>
          <w:color w:val="9D2235"/>
          <w:sz w:val="28"/>
          <w:szCs w:val="28"/>
          <w:lang w:eastAsia="es-ES"/>
        </w:rPr>
        <w:lastRenderedPageBreak/>
        <w:t>4.2.3. Reglamento de Funcionamiento y Régimen Interior de la Agencia</w:t>
      </w:r>
    </w:p>
    <w:p w14:paraId="593904E8" w14:textId="77777777" w:rsidR="00671CE2" w:rsidRPr="00A07BE9" w:rsidRDefault="00671CE2" w:rsidP="00671CE2">
      <w:pPr>
        <w:spacing w:after="0" w:line="240" w:lineRule="auto"/>
        <w:jc w:val="both"/>
        <w:rPr>
          <w:rFonts w:ascii="Open Sans" w:eastAsia="Times New Roman" w:hAnsi="Open Sans" w:cs="Open Sans"/>
          <w:b/>
          <w:bCs/>
          <w:smallCaps/>
          <w:color w:val="9D2235"/>
          <w:sz w:val="20"/>
          <w:szCs w:val="20"/>
          <w:lang w:eastAsia="es-ES"/>
        </w:rPr>
      </w:pPr>
    </w:p>
    <w:p w14:paraId="7B7E1EA1" w14:textId="77777777" w:rsidR="00671CE2" w:rsidRPr="00A07BE9" w:rsidRDefault="00671CE2" w:rsidP="00671CE2">
      <w:pPr>
        <w:spacing w:after="0" w:line="240" w:lineRule="auto"/>
        <w:jc w:val="both"/>
        <w:rPr>
          <w:rFonts w:ascii="Open Sans" w:eastAsia="Times New Roman" w:hAnsi="Open Sans" w:cs="Open Sans"/>
          <w:color w:val="9D2235"/>
          <w:sz w:val="24"/>
          <w:szCs w:val="24"/>
          <w:lang w:eastAsia="es-ES"/>
        </w:rPr>
      </w:pPr>
      <w:r w:rsidRPr="00A07BE9">
        <w:rPr>
          <w:rFonts w:ascii="Open Sans" w:eastAsia="Times New Roman" w:hAnsi="Open Sans" w:cs="Open Sans"/>
          <w:b/>
          <w:bCs/>
          <w:smallCaps/>
          <w:color w:val="9D2235"/>
          <w:sz w:val="24"/>
          <w:szCs w:val="24"/>
          <w:lang w:eastAsia="es-ES"/>
        </w:rPr>
        <w:t>4.2.3.1. Trámites realizados en el primer semestre de 2019 hasta su aprobación definitiva y entrada en vigor</w:t>
      </w:r>
    </w:p>
    <w:p w14:paraId="306A0B56" w14:textId="77777777" w:rsidR="00671CE2" w:rsidRPr="00A07BE9" w:rsidRDefault="00671CE2" w:rsidP="00671CE2">
      <w:pPr>
        <w:spacing w:after="0" w:line="240" w:lineRule="auto"/>
        <w:jc w:val="both"/>
        <w:rPr>
          <w:rFonts w:ascii="Open Sans" w:eastAsia="Times New Roman" w:hAnsi="Open Sans" w:cs="Open Sans"/>
          <w:b/>
          <w:bCs/>
          <w:smallCaps/>
          <w:color w:val="9D2235"/>
          <w:sz w:val="20"/>
          <w:szCs w:val="20"/>
          <w:lang w:eastAsia="es-ES"/>
        </w:rPr>
      </w:pPr>
    </w:p>
    <w:p w14:paraId="6F41BE07" w14:textId="17B97791" w:rsidR="00671CE2" w:rsidRPr="00A07BE9" w:rsidRDefault="00671CE2" w:rsidP="00671CE2">
      <w:pPr>
        <w:spacing w:after="0" w:line="276" w:lineRule="auto"/>
        <w:jc w:val="both"/>
        <w:rPr>
          <w:rFonts w:ascii="Open Sans" w:hAnsi="Open Sans"/>
          <w:sz w:val="20"/>
          <w:szCs w:val="20"/>
        </w:rPr>
      </w:pPr>
      <w:r w:rsidRPr="00A07BE9">
        <w:rPr>
          <w:rFonts w:ascii="Open Sans" w:eastAsia="Times New Roman" w:hAnsi="Open Sans" w:cs="Open Sans"/>
          <w:color w:val="000000"/>
          <w:sz w:val="20"/>
          <w:szCs w:val="20"/>
          <w:lang w:eastAsia="es-ES"/>
        </w:rPr>
        <w:t xml:space="preserve">En la </w:t>
      </w:r>
      <w:hyperlink r:id="rId169" w:history="1">
        <w:r w:rsidRPr="00A07BE9">
          <w:rPr>
            <w:rStyle w:val="Hipervnculo"/>
            <w:rFonts w:ascii="Open Sans" w:eastAsia="Times New Roman" w:hAnsi="Open Sans" w:cs="Open Sans"/>
            <w:sz w:val="20"/>
            <w:szCs w:val="20"/>
            <w:lang w:eastAsia="es-ES"/>
          </w:rPr>
          <w:t>Memoria de Actividad de la Agencia correspondiente al ejercicio 2018</w:t>
        </w:r>
      </w:hyperlink>
      <w:r w:rsidRPr="00A07BE9">
        <w:rPr>
          <w:rFonts w:ascii="Open Sans" w:eastAsia="Times New Roman" w:hAnsi="Open Sans" w:cs="Open Sans"/>
          <w:color w:val="000000"/>
          <w:sz w:val="20"/>
          <w:szCs w:val="20"/>
          <w:lang w:eastAsia="es-ES"/>
        </w:rPr>
        <w:t xml:space="preserve">, el apartado 4.2.3 se ocupaba del </w:t>
      </w:r>
      <w:r w:rsidRPr="00A07BE9">
        <w:rPr>
          <w:rFonts w:ascii="Open Sans" w:eastAsia="Times New Roman" w:hAnsi="Open Sans" w:cs="Open Sans"/>
          <w:i/>
          <w:iCs/>
          <w:color w:val="000000"/>
          <w:sz w:val="20"/>
          <w:szCs w:val="20"/>
          <w:lang w:eastAsia="es-ES"/>
        </w:rPr>
        <w:t>Proyecto de Reglamento de funcionamiento y régimen interior de la Agencia</w:t>
      </w:r>
      <w:r w:rsidRPr="00A07BE9">
        <w:rPr>
          <w:rFonts w:ascii="Open Sans" w:eastAsia="Times New Roman" w:hAnsi="Open Sans" w:cs="Open Sans"/>
          <w:color w:val="000000"/>
          <w:sz w:val="20"/>
          <w:szCs w:val="20"/>
          <w:lang w:eastAsia="es-ES"/>
        </w:rPr>
        <w:t xml:space="preserve">, bajo los epígrafes </w:t>
      </w:r>
      <w:r w:rsidRPr="00A07BE9">
        <w:rPr>
          <w:rFonts w:ascii="Open Sans" w:eastAsia="Times New Roman" w:hAnsi="Open Sans" w:cs="Open Sans"/>
          <w:i/>
          <w:iCs/>
          <w:color w:val="000000"/>
          <w:sz w:val="20"/>
          <w:szCs w:val="20"/>
          <w:lang w:eastAsia="es-ES"/>
        </w:rPr>
        <w:t>Antecedentes y Consulta pública previa</w:t>
      </w:r>
      <w:r w:rsidRPr="00A07BE9">
        <w:rPr>
          <w:rFonts w:ascii="Open Sans" w:eastAsia="Times New Roman" w:hAnsi="Open Sans" w:cs="Open Sans"/>
          <w:color w:val="000000"/>
          <w:sz w:val="20"/>
          <w:szCs w:val="20"/>
          <w:lang w:eastAsia="es-ES"/>
        </w:rPr>
        <w:t>,</w:t>
      </w:r>
      <w:r w:rsidRPr="00A07BE9">
        <w:rPr>
          <w:rFonts w:ascii="Open Sans" w:eastAsia="Times New Roman" w:hAnsi="Open Sans" w:cs="Open Sans"/>
          <w:i/>
          <w:iCs/>
          <w:color w:val="000000"/>
          <w:sz w:val="20"/>
          <w:szCs w:val="20"/>
          <w:lang w:eastAsia="es-ES"/>
        </w:rPr>
        <w:t xml:space="preserve"> Expediente de proyecto normativo</w:t>
      </w:r>
      <w:r w:rsidRPr="00A07BE9">
        <w:rPr>
          <w:rFonts w:ascii="Open Sans" w:eastAsia="Times New Roman" w:hAnsi="Open Sans" w:cs="Open Sans"/>
          <w:color w:val="000000"/>
          <w:sz w:val="20"/>
          <w:szCs w:val="20"/>
          <w:lang w:eastAsia="es-ES"/>
        </w:rPr>
        <w:t xml:space="preserve">, </w:t>
      </w:r>
      <w:r w:rsidRPr="00A07BE9">
        <w:rPr>
          <w:rFonts w:ascii="Open Sans" w:eastAsia="Times New Roman" w:hAnsi="Open Sans" w:cs="Open Sans"/>
          <w:i/>
          <w:iCs/>
          <w:color w:val="000000"/>
          <w:sz w:val="20"/>
          <w:szCs w:val="20"/>
          <w:lang w:eastAsia="es-ES"/>
        </w:rPr>
        <w:t>Trámites pendientes para su aprobación y entrada en vigor</w:t>
      </w:r>
      <w:r w:rsidRPr="00A07BE9">
        <w:rPr>
          <w:rFonts w:ascii="Open Sans" w:eastAsia="Times New Roman" w:hAnsi="Open Sans" w:cs="Open Sans"/>
          <w:color w:val="000000"/>
          <w:sz w:val="20"/>
          <w:szCs w:val="20"/>
          <w:lang w:eastAsia="es-ES"/>
        </w:rPr>
        <w:t xml:space="preserve">, y </w:t>
      </w:r>
      <w:r w:rsidRPr="00A07BE9">
        <w:rPr>
          <w:rFonts w:ascii="Open Sans" w:eastAsia="Times New Roman" w:hAnsi="Open Sans" w:cs="Open Sans"/>
          <w:i/>
          <w:iCs/>
          <w:color w:val="000000"/>
          <w:sz w:val="20"/>
          <w:szCs w:val="20"/>
          <w:lang w:eastAsia="es-ES"/>
        </w:rPr>
        <w:t>Contenido actual del proyecto de Reglamento.</w:t>
      </w:r>
    </w:p>
    <w:p w14:paraId="4823FFF0" w14:textId="77777777" w:rsidR="00671CE2" w:rsidRPr="00A07BE9" w:rsidRDefault="00671CE2" w:rsidP="00671CE2">
      <w:pPr>
        <w:spacing w:after="0" w:line="276" w:lineRule="auto"/>
        <w:jc w:val="both"/>
        <w:rPr>
          <w:rFonts w:ascii="Open Sans" w:eastAsia="Times New Roman" w:hAnsi="Open Sans" w:cs="Open Sans"/>
          <w:i/>
          <w:iCs/>
          <w:color w:val="000000"/>
          <w:sz w:val="20"/>
          <w:szCs w:val="20"/>
          <w:lang w:eastAsia="es-ES"/>
        </w:rPr>
      </w:pPr>
    </w:p>
    <w:p w14:paraId="281E7B85" w14:textId="54BEA58C" w:rsidR="00671CE2" w:rsidRPr="00A07BE9" w:rsidRDefault="00671CE2" w:rsidP="00671CE2">
      <w:pPr>
        <w:spacing w:after="0" w:line="276" w:lineRule="auto"/>
        <w:jc w:val="both"/>
        <w:rPr>
          <w:rFonts w:ascii="Open Sans" w:hAnsi="Open Sans"/>
          <w:sz w:val="20"/>
          <w:szCs w:val="20"/>
        </w:rPr>
      </w:pPr>
      <w:r w:rsidRPr="00A07BE9">
        <w:rPr>
          <w:rFonts w:ascii="Open Sans" w:eastAsia="Times New Roman" w:hAnsi="Open Sans" w:cs="Open Sans"/>
          <w:color w:val="000000"/>
          <w:sz w:val="20"/>
          <w:szCs w:val="20"/>
          <w:lang w:eastAsia="es-ES"/>
        </w:rPr>
        <w:t xml:space="preserve">Durante el primer semestre de 2019, la tramitación de dicho proyecto normativo en desarrollo de la </w:t>
      </w:r>
      <w:hyperlink r:id="rId170" w:history="1">
        <w:r w:rsidR="005401CB" w:rsidRPr="00A07BE9">
          <w:rPr>
            <w:rStyle w:val="Hipervnculo"/>
            <w:rFonts w:ascii="Open Sans" w:hAnsi="Open Sans" w:cs="Open Sans"/>
            <w:sz w:val="20"/>
            <w:szCs w:val="20"/>
          </w:rPr>
          <w:t>Ley 11/2016</w:t>
        </w:r>
        <w:r w:rsidR="005401CB" w:rsidRPr="00A07BE9">
          <w:rPr>
            <w:rStyle w:val="Hipervnculo"/>
            <w:rFonts w:ascii="Open Sans" w:hAnsi="Open Sans"/>
            <w:color w:val="auto"/>
            <w:sz w:val="20"/>
            <w:szCs w:val="20"/>
            <w:u w:val="none"/>
          </w:rPr>
          <w:t xml:space="preserve">, </w:t>
        </w:r>
      </w:hyperlink>
      <w:r w:rsidRPr="00A07BE9">
        <w:rPr>
          <w:rFonts w:ascii="Open Sans" w:eastAsia="Times New Roman" w:hAnsi="Open Sans" w:cs="Open Sans"/>
          <w:color w:val="000000"/>
          <w:sz w:val="20"/>
          <w:szCs w:val="20"/>
          <w:lang w:eastAsia="es-ES"/>
        </w:rPr>
        <w:t xml:space="preserve">de la Agencia de Prevención y Lucha contra el Fraude y la Corrupción de la Comunitat Valenciana, siguió su curso, pudiendo visualizarse todos los documentos que integran este expediente en el </w:t>
      </w:r>
      <w:hyperlink r:id="rId171" w:history="1">
        <w:r w:rsidRPr="00A07BE9">
          <w:rPr>
            <w:rStyle w:val="Hipervnculo"/>
            <w:rFonts w:ascii="Open Sans" w:eastAsia="Times New Roman" w:hAnsi="Open Sans" w:cs="Open Sans"/>
            <w:sz w:val="20"/>
            <w:szCs w:val="20"/>
            <w:lang w:eastAsia="es-ES"/>
          </w:rPr>
          <w:t xml:space="preserve">portal de transparencia </w:t>
        </w:r>
        <w:r w:rsidRPr="00A07BE9">
          <w:rPr>
            <w:rStyle w:val="Hipervnculo"/>
            <w:rFonts w:ascii="Open Sans" w:eastAsia="Times New Roman" w:hAnsi="Open Sans" w:cs="Open Sans"/>
            <w:color w:val="auto"/>
            <w:sz w:val="20"/>
            <w:szCs w:val="20"/>
            <w:u w:val="none"/>
            <w:lang w:eastAsia="es-ES"/>
          </w:rPr>
          <w:t>de la página web de la Agencia</w:t>
        </w:r>
      </w:hyperlink>
      <w:r w:rsidRPr="00A07BE9">
        <w:rPr>
          <w:rFonts w:ascii="Open Sans" w:eastAsia="Times New Roman" w:hAnsi="Open Sans" w:cs="Open Sans"/>
          <w:color w:val="000000"/>
          <w:sz w:val="20"/>
          <w:szCs w:val="20"/>
          <w:lang w:eastAsia="es-ES"/>
        </w:rPr>
        <w:t>.</w:t>
      </w:r>
    </w:p>
    <w:p w14:paraId="34757549" w14:textId="77777777"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p>
    <w:p w14:paraId="19212E70" w14:textId="2B5CC6B1" w:rsidR="00671CE2" w:rsidRPr="00A07BE9" w:rsidRDefault="00671CE2" w:rsidP="00671CE2">
      <w:pPr>
        <w:spacing w:after="0" w:line="276" w:lineRule="auto"/>
        <w:jc w:val="both"/>
        <w:rPr>
          <w:rFonts w:ascii="Open Sans" w:hAnsi="Open Sans"/>
          <w:sz w:val="20"/>
          <w:szCs w:val="20"/>
        </w:rPr>
      </w:pPr>
      <w:r w:rsidRPr="00A07BE9">
        <w:rPr>
          <w:rFonts w:ascii="Open Sans" w:eastAsia="Times New Roman" w:hAnsi="Open Sans" w:cs="Open Sans"/>
          <w:color w:val="000000"/>
          <w:sz w:val="20"/>
          <w:szCs w:val="20"/>
          <w:lang w:eastAsia="es-ES"/>
        </w:rPr>
        <w:t xml:space="preserve">Con fecha 31 de enero de 2019, analizadas las observaciones, sugerencias y alegaciones recibidas tras la apertura del trámite de </w:t>
      </w:r>
      <w:hyperlink r:id="rId172" w:history="1">
        <w:r w:rsidRPr="00A07BE9">
          <w:rPr>
            <w:rStyle w:val="Hipervnculo"/>
            <w:rFonts w:ascii="Open Sans" w:eastAsia="Times New Roman" w:hAnsi="Open Sans" w:cs="Open Sans"/>
            <w:b/>
            <w:bCs/>
            <w:sz w:val="20"/>
            <w:szCs w:val="20"/>
            <w:lang w:eastAsia="es-ES"/>
          </w:rPr>
          <w:t>información pública</w:t>
        </w:r>
      </w:hyperlink>
      <w:r w:rsidRPr="00A07BE9">
        <w:rPr>
          <w:rFonts w:ascii="Open Sans" w:eastAsia="Times New Roman" w:hAnsi="Open Sans" w:cs="Open Sans"/>
          <w:color w:val="000000"/>
          <w:sz w:val="20"/>
          <w:szCs w:val="20"/>
          <w:lang w:eastAsia="es-ES"/>
        </w:rPr>
        <w:t xml:space="preserve"> (DOGV de 24.10.2018 y BOC de 30.10.2018),</w:t>
      </w:r>
      <w:r w:rsidRPr="00A07BE9">
        <w:rPr>
          <w:rFonts w:ascii="Open Sans" w:eastAsia="Times New Roman" w:hAnsi="Open Sans" w:cs="Open Sans"/>
          <w:b/>
          <w:bCs/>
          <w:color w:val="000000"/>
          <w:sz w:val="20"/>
          <w:szCs w:val="20"/>
          <w:lang w:eastAsia="es-ES"/>
        </w:rPr>
        <w:t xml:space="preserve"> se emitió el </w:t>
      </w:r>
      <w:hyperlink r:id="rId173" w:history="1">
        <w:r w:rsidRPr="00A07BE9">
          <w:rPr>
            <w:rStyle w:val="Hipervnculo"/>
            <w:rFonts w:ascii="Open Sans" w:eastAsia="Times New Roman" w:hAnsi="Open Sans" w:cs="Open Sans"/>
            <w:b/>
            <w:bCs/>
            <w:sz w:val="20"/>
            <w:szCs w:val="20"/>
            <w:lang w:eastAsia="es-ES"/>
          </w:rPr>
          <w:t>informe sobre sus resultados</w:t>
        </w:r>
      </w:hyperlink>
      <w:r w:rsidRPr="00A07BE9">
        <w:rPr>
          <w:rFonts w:ascii="Open Sans" w:eastAsia="Times New Roman" w:hAnsi="Open Sans" w:cs="Open Sans"/>
          <w:color w:val="000000"/>
          <w:sz w:val="20"/>
          <w:szCs w:val="20"/>
          <w:lang w:eastAsia="es-ES"/>
        </w:rPr>
        <w:t xml:space="preserve">. Este trámite de información pública se había efectuado después de la publicación del correspondiente anuncio no solo en los dos diarios oficiales, sino también a través de otros medios, tanto de forma oficial como por correo electrónico, a todos los posibles afectados por la norma (instituciones valencianas, Tribunal Superior de Justicia, Fiscalía, organizaciones sociales y sindicales, Presidencia del consell y </w:t>
      </w:r>
      <w:r w:rsidR="0039254B" w:rsidRPr="00A07BE9">
        <w:rPr>
          <w:rFonts w:ascii="Open Sans" w:eastAsia="Times New Roman" w:hAnsi="Open Sans" w:cs="Open Sans"/>
          <w:color w:val="000000"/>
          <w:sz w:val="20"/>
          <w:szCs w:val="20"/>
          <w:lang w:eastAsia="es-ES"/>
        </w:rPr>
        <w:t>consellerias</w:t>
      </w:r>
      <w:r w:rsidRPr="00A07BE9">
        <w:rPr>
          <w:rFonts w:ascii="Open Sans" w:eastAsia="Times New Roman" w:hAnsi="Open Sans" w:cs="Open Sans"/>
          <w:color w:val="000000"/>
          <w:sz w:val="20"/>
          <w:szCs w:val="20"/>
          <w:lang w:eastAsia="es-ES"/>
        </w:rPr>
        <w:t xml:space="preserve">, etc.). </w:t>
      </w:r>
    </w:p>
    <w:p w14:paraId="28FF4C04" w14:textId="77777777"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p>
    <w:p w14:paraId="6513FA4F" w14:textId="058C810E" w:rsidR="00671CE2" w:rsidRPr="00A07BE9" w:rsidRDefault="00671CE2" w:rsidP="00671CE2">
      <w:pPr>
        <w:spacing w:after="0" w:line="276" w:lineRule="auto"/>
        <w:jc w:val="both"/>
        <w:rPr>
          <w:rStyle w:val="Hipervnculo"/>
          <w:rFonts w:ascii="Open Sans" w:hAnsi="Open Sans"/>
          <w:sz w:val="20"/>
          <w:szCs w:val="20"/>
        </w:rPr>
      </w:pPr>
      <w:r w:rsidRPr="00A07BE9">
        <w:rPr>
          <w:rFonts w:ascii="Open Sans" w:eastAsia="Times New Roman" w:hAnsi="Open Sans" w:cs="Open Sans"/>
          <w:color w:val="000000"/>
          <w:sz w:val="20"/>
          <w:szCs w:val="20"/>
          <w:lang w:eastAsia="es-ES"/>
        </w:rPr>
        <w:t xml:space="preserve">Emitido el antedicho informe, se incorporaron al texto del proyecto la mayoría de las alegaciones, aportaciones y recomendaciones realizadas en el trámite de información pública, y </w:t>
      </w:r>
      <w:r w:rsidRPr="00A07BE9">
        <w:rPr>
          <w:rFonts w:ascii="Open Sans" w:eastAsia="Times New Roman" w:hAnsi="Open Sans" w:cs="Open Sans"/>
          <w:b/>
          <w:bCs/>
          <w:color w:val="000000"/>
          <w:sz w:val="20"/>
          <w:szCs w:val="20"/>
          <w:lang w:eastAsia="es-ES"/>
        </w:rPr>
        <w:t xml:space="preserve">se adaptó su redacción y contenido a las modificaciones operadas en la </w:t>
      </w:r>
      <w:hyperlink r:id="rId174" w:history="1">
        <w:r w:rsidR="005401CB" w:rsidRPr="00A07BE9">
          <w:rPr>
            <w:rStyle w:val="Hipervnculo"/>
            <w:rFonts w:ascii="Open Sans" w:hAnsi="Open Sans" w:cs="Open Sans"/>
            <w:b/>
            <w:sz w:val="20"/>
            <w:szCs w:val="20"/>
          </w:rPr>
          <w:t>Ley 11/2016</w:t>
        </w:r>
      </w:hyperlink>
      <w:r w:rsidRPr="00A07BE9">
        <w:rPr>
          <w:rFonts w:ascii="Open Sans" w:eastAsia="Times New Roman" w:hAnsi="Open Sans" w:cs="Open Sans"/>
          <w:color w:val="000000"/>
          <w:sz w:val="20"/>
          <w:szCs w:val="20"/>
          <w:lang w:eastAsia="es-ES"/>
        </w:rPr>
        <w:t xml:space="preserve">, de la Agencia de Prevención y Lucha contra el Fraude y la Corrupción de la Comunitat Valenciana, a través de la </w:t>
      </w:r>
      <w:r w:rsidR="005401CB" w:rsidRPr="00A07BE9">
        <w:rPr>
          <w:rFonts w:ascii="Open Sans" w:hAnsi="Open Sans" w:cs="Lucida Grande"/>
          <w:b/>
          <w:bCs/>
          <w:sz w:val="20"/>
          <w:szCs w:val="20"/>
        </w:rPr>
        <w:fldChar w:fldCharType="begin"/>
      </w:r>
      <w:r w:rsidR="005401CB" w:rsidRPr="00A07BE9">
        <w:rPr>
          <w:rFonts w:ascii="Open Sans" w:hAnsi="Open Sans" w:cs="Lucida Grande"/>
          <w:b/>
          <w:bCs/>
          <w:sz w:val="20"/>
          <w:szCs w:val="20"/>
        </w:rPr>
        <w:instrText xml:space="preserve"> HYPERLINK "http://www.dogv.gva.es/datos/2018/12/28/pdf/2018_12241.pdf" </w:instrText>
      </w:r>
      <w:r w:rsidR="005401CB" w:rsidRPr="00A07BE9">
        <w:rPr>
          <w:rFonts w:ascii="Open Sans" w:hAnsi="Open Sans" w:cs="Lucida Grande"/>
          <w:b/>
          <w:bCs/>
          <w:sz w:val="20"/>
          <w:szCs w:val="20"/>
        </w:rPr>
      </w:r>
      <w:r w:rsidR="005401CB" w:rsidRPr="00A07BE9">
        <w:rPr>
          <w:rFonts w:ascii="Open Sans" w:hAnsi="Open Sans" w:cs="Lucida Grande"/>
          <w:b/>
          <w:bCs/>
          <w:sz w:val="20"/>
          <w:szCs w:val="20"/>
        </w:rPr>
        <w:fldChar w:fldCharType="separate"/>
      </w:r>
      <w:r w:rsidR="00D865DB" w:rsidRPr="00A07BE9">
        <w:rPr>
          <w:rStyle w:val="Hipervnculo"/>
          <w:rFonts w:ascii="Open Sans" w:hAnsi="Open Sans" w:cs="Lucida Grande"/>
          <w:b/>
          <w:bCs/>
          <w:sz w:val="20"/>
          <w:szCs w:val="20"/>
        </w:rPr>
        <w:t>Ley 27/2018</w:t>
      </w:r>
      <w:r w:rsidRPr="00A07BE9">
        <w:rPr>
          <w:rStyle w:val="Hipervnculo"/>
          <w:rFonts w:ascii="Open Sans" w:eastAsia="Times New Roman" w:hAnsi="Open Sans" w:cs="Open Sans"/>
          <w:sz w:val="20"/>
          <w:szCs w:val="20"/>
          <w:lang w:eastAsia="es-ES"/>
        </w:rPr>
        <w:t>,</w:t>
      </w:r>
      <w:r w:rsidRPr="00A07BE9">
        <w:rPr>
          <w:rStyle w:val="Hipervnculo"/>
          <w:rFonts w:ascii="Open Sans" w:eastAsia="Times New Roman" w:hAnsi="Open Sans" w:cs="Open Sans"/>
          <w:color w:val="auto"/>
          <w:sz w:val="20"/>
          <w:szCs w:val="20"/>
          <w:u w:val="none"/>
          <w:lang w:eastAsia="es-ES"/>
        </w:rPr>
        <w:t xml:space="preserve"> de 27 de diciembre, de medidas fiscales, de gestión administrativa y financiera y de organización de</w:t>
      </w:r>
      <w:r w:rsidRPr="00A07BE9">
        <w:rPr>
          <w:rStyle w:val="Hipervnculo"/>
          <w:rFonts w:ascii="Open Sans" w:eastAsia="Times New Roman" w:hAnsi="Open Sans" w:cs="Open Sans"/>
          <w:sz w:val="20"/>
          <w:szCs w:val="20"/>
          <w:lang w:eastAsia="es-ES"/>
        </w:rPr>
        <w:t xml:space="preserve"> </w:t>
      </w:r>
      <w:r w:rsidRPr="00A07BE9">
        <w:rPr>
          <w:rStyle w:val="Hipervnculo"/>
          <w:rFonts w:ascii="Open Sans" w:eastAsia="Times New Roman" w:hAnsi="Open Sans" w:cs="Open Sans"/>
          <w:color w:val="auto"/>
          <w:sz w:val="20"/>
          <w:szCs w:val="20"/>
          <w:u w:val="none"/>
          <w:lang w:eastAsia="es-ES"/>
        </w:rPr>
        <w:t>la Generalitat.</w:t>
      </w:r>
    </w:p>
    <w:p w14:paraId="4A76A621" w14:textId="226CE86C" w:rsidR="00671CE2" w:rsidRPr="00A07BE9" w:rsidRDefault="005401CB" w:rsidP="00671CE2">
      <w:pPr>
        <w:spacing w:after="0" w:line="276" w:lineRule="auto"/>
        <w:jc w:val="both"/>
        <w:rPr>
          <w:rFonts w:ascii="Open Sans" w:eastAsia="Times New Roman" w:hAnsi="Open Sans" w:cs="Open Sans"/>
          <w:color w:val="000000"/>
          <w:sz w:val="20"/>
          <w:szCs w:val="20"/>
          <w:lang w:eastAsia="es-ES"/>
        </w:rPr>
      </w:pPr>
      <w:r w:rsidRPr="00A07BE9">
        <w:rPr>
          <w:rFonts w:ascii="Open Sans" w:hAnsi="Open Sans" w:cs="Lucida Grande"/>
          <w:b/>
          <w:bCs/>
          <w:sz w:val="20"/>
          <w:szCs w:val="20"/>
        </w:rPr>
        <w:fldChar w:fldCharType="end"/>
      </w:r>
    </w:p>
    <w:p w14:paraId="44D01C60" w14:textId="357AC721" w:rsidR="00671CE2" w:rsidRPr="00A07BE9" w:rsidRDefault="00547698" w:rsidP="00671CE2">
      <w:pPr>
        <w:spacing w:after="0" w:line="276" w:lineRule="auto"/>
        <w:jc w:val="both"/>
        <w:rPr>
          <w:rFonts w:ascii="Open Sans" w:hAnsi="Open Sans"/>
          <w:sz w:val="20"/>
          <w:szCs w:val="20"/>
        </w:rPr>
      </w:pPr>
      <w:r w:rsidRPr="00A07BE9">
        <w:rPr>
          <w:rFonts w:ascii="Open Sans" w:eastAsia="Times New Roman" w:hAnsi="Open Sans" w:cs="Open Sans"/>
          <w:color w:val="000000"/>
          <w:sz w:val="20"/>
          <w:szCs w:val="20"/>
          <w:lang w:eastAsia="es-ES"/>
        </w:rPr>
        <w:t xml:space="preserve">A continuación, el </w:t>
      </w:r>
      <w:hyperlink r:id="rId175" w:anchor="boc/iniciativa/clau/189589287465552" w:history="1">
        <w:r w:rsidRPr="00A07BE9">
          <w:rPr>
            <w:rStyle w:val="Hipervnculo"/>
            <w:rFonts w:ascii="Open Sans" w:eastAsia="Times New Roman" w:hAnsi="Open Sans" w:cs="Open Sans"/>
            <w:sz w:val="20"/>
            <w:szCs w:val="20"/>
            <w:lang w:eastAsia="es-ES"/>
          </w:rPr>
          <w:t>Consejo de Dirección de la Agencia</w:t>
        </w:r>
      </w:hyperlink>
      <w:r w:rsidRPr="00A07BE9">
        <w:rPr>
          <w:rFonts w:ascii="Open Sans" w:eastAsia="Times New Roman" w:hAnsi="Open Sans" w:cs="Open Sans"/>
          <w:color w:val="000000"/>
          <w:sz w:val="20"/>
          <w:szCs w:val="20"/>
          <w:lang w:eastAsia="es-ES"/>
        </w:rPr>
        <w:t xml:space="preserve"> </w:t>
      </w:r>
      <w:r w:rsidR="00671CE2" w:rsidRPr="00A07BE9">
        <w:rPr>
          <w:rFonts w:ascii="Open Sans" w:eastAsia="Times New Roman" w:hAnsi="Open Sans" w:cs="Open Sans"/>
          <w:color w:val="000000"/>
          <w:sz w:val="20"/>
          <w:szCs w:val="20"/>
          <w:lang w:eastAsia="es-ES"/>
        </w:rPr>
        <w:t>(BOC núm. 339, de 28.01.2019) aprobó en fecha 18 de febrero de 2019 el proyecto de Reglamento de funcionamiento y régimen interior de esta, y se dio cuenta de su contenido final al personal de la Agencia mediante una reunión convocada a tal efecto.</w:t>
      </w:r>
    </w:p>
    <w:p w14:paraId="7EDD6749" w14:textId="77777777"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p>
    <w:p w14:paraId="6C4A03B5" w14:textId="40CA6F88" w:rsidR="00671CE2" w:rsidRDefault="00671CE2" w:rsidP="00671CE2">
      <w:pPr>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Tras la oportuna </w:t>
      </w:r>
      <w:hyperlink r:id="rId176" w:history="1">
        <w:r w:rsidRPr="00A07BE9">
          <w:rPr>
            <w:rStyle w:val="Hipervnculo"/>
            <w:rFonts w:ascii="Open Sans" w:eastAsia="Times New Roman" w:hAnsi="Open Sans" w:cs="Open Sans"/>
            <w:b/>
            <w:bCs/>
            <w:sz w:val="20"/>
            <w:szCs w:val="20"/>
            <w:lang w:eastAsia="es-ES"/>
          </w:rPr>
          <w:t>negociación sindical</w:t>
        </w:r>
      </w:hyperlink>
      <w:r w:rsidRPr="00A07BE9">
        <w:rPr>
          <w:rFonts w:ascii="Open Sans" w:eastAsia="Times New Roman" w:hAnsi="Open Sans" w:cs="Open Sans"/>
          <w:b/>
          <w:bCs/>
          <w:color w:val="000000"/>
          <w:sz w:val="20"/>
          <w:szCs w:val="20"/>
          <w:lang w:eastAsia="es-ES"/>
        </w:rPr>
        <w:t xml:space="preserve"> </w:t>
      </w:r>
      <w:r w:rsidRPr="00A07BE9">
        <w:rPr>
          <w:rFonts w:ascii="Open Sans" w:eastAsia="Times New Roman" w:hAnsi="Open Sans" w:cs="Open Sans"/>
          <w:color w:val="000000"/>
          <w:sz w:val="20"/>
          <w:szCs w:val="20"/>
          <w:lang w:eastAsia="es-ES"/>
        </w:rPr>
        <w:t xml:space="preserve">en el seno de la Mesa de negociación de la Agencia, compuesta por representantes de la misma y de los sindicatos UGT-FeSP, CCOO y STAS-Intersindical Valenciana, el 11 de marzo de 2019 se dio la conformidad, por </w:t>
      </w:r>
      <w:hyperlink r:id="rId177" w:history="1">
        <w:r w:rsidRPr="00A07BE9">
          <w:rPr>
            <w:rStyle w:val="Hipervnculo"/>
            <w:rFonts w:ascii="Open Sans" w:eastAsia="Times New Roman" w:hAnsi="Open Sans" w:cs="Open Sans"/>
            <w:b/>
            <w:bCs/>
            <w:sz w:val="20"/>
            <w:szCs w:val="20"/>
            <w:lang w:eastAsia="es-ES"/>
          </w:rPr>
          <w:t>unanimidad</w:t>
        </w:r>
      </w:hyperlink>
      <w:r w:rsidRPr="00A07BE9">
        <w:rPr>
          <w:rFonts w:ascii="Open Sans" w:eastAsia="Times New Roman" w:hAnsi="Open Sans" w:cs="Open Sans"/>
          <w:color w:val="000000"/>
          <w:sz w:val="20"/>
          <w:szCs w:val="20"/>
          <w:lang w:eastAsia="es-ES"/>
        </w:rPr>
        <w:t xml:space="preserve"> de </w:t>
      </w:r>
      <w:r w:rsidRPr="00A07BE9">
        <w:rPr>
          <w:rFonts w:ascii="Open Sans" w:eastAsia="Times New Roman" w:hAnsi="Open Sans" w:cs="Open Sans"/>
          <w:color w:val="000000"/>
          <w:sz w:val="20"/>
          <w:szCs w:val="20"/>
          <w:lang w:eastAsia="es-ES"/>
        </w:rPr>
        <w:lastRenderedPageBreak/>
        <w:t xml:space="preserve">sus miembros, a la última versión del proyecto de Reglamento de funcionamiento y régimen interior de la Agencia. </w:t>
      </w:r>
    </w:p>
    <w:p w14:paraId="31258BD9" w14:textId="77777777" w:rsidR="00094228" w:rsidRPr="00A07BE9" w:rsidRDefault="00094228" w:rsidP="00671CE2">
      <w:pPr>
        <w:spacing w:after="0" w:line="276" w:lineRule="auto"/>
        <w:jc w:val="both"/>
        <w:rPr>
          <w:rFonts w:ascii="Open Sans" w:hAnsi="Open Sans"/>
          <w:color w:val="000000"/>
          <w:sz w:val="20"/>
          <w:szCs w:val="20"/>
        </w:rPr>
      </w:pPr>
    </w:p>
    <w:p w14:paraId="52EEDB21" w14:textId="2B472C50"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De este modo, el 21 de marzo de 2019 la Agencia trasladó el expediente completo relativo al proyecto normativo de dicho Reglamento al </w:t>
      </w:r>
      <w:r w:rsidRPr="00A07BE9">
        <w:rPr>
          <w:rFonts w:ascii="Open Sans" w:eastAsia="Times New Roman" w:hAnsi="Open Sans" w:cs="Open Sans"/>
          <w:b/>
          <w:bCs/>
          <w:color w:val="000000"/>
          <w:sz w:val="20"/>
          <w:szCs w:val="20"/>
          <w:lang w:eastAsia="es-ES"/>
        </w:rPr>
        <w:t>Consell Jurídic Consultiu</w:t>
      </w:r>
      <w:r w:rsidRPr="00A07BE9">
        <w:rPr>
          <w:rFonts w:ascii="Open Sans" w:eastAsia="Times New Roman" w:hAnsi="Open Sans" w:cs="Open Sans"/>
          <w:color w:val="000000"/>
          <w:sz w:val="20"/>
          <w:szCs w:val="20"/>
          <w:lang w:eastAsia="es-ES"/>
        </w:rPr>
        <w:t xml:space="preserve">, a fin de recabar su </w:t>
      </w:r>
      <w:hyperlink r:id="rId178" w:history="1">
        <w:r w:rsidRPr="00A07BE9">
          <w:rPr>
            <w:rStyle w:val="Hipervnculo"/>
            <w:rFonts w:ascii="Open Sans" w:eastAsia="Times New Roman" w:hAnsi="Open Sans" w:cs="Open Sans"/>
            <w:b/>
            <w:bCs/>
            <w:sz w:val="20"/>
            <w:szCs w:val="20"/>
            <w:lang w:eastAsia="es-ES"/>
          </w:rPr>
          <w:t>dictamen</w:t>
        </w:r>
      </w:hyperlink>
      <w:r w:rsidRPr="00A07BE9">
        <w:rPr>
          <w:rFonts w:ascii="Open Sans" w:eastAsia="Times New Roman" w:hAnsi="Open Sans" w:cs="Open Sans"/>
          <w:color w:val="000000"/>
          <w:sz w:val="20"/>
          <w:szCs w:val="20"/>
          <w:lang w:eastAsia="es-ES"/>
        </w:rPr>
        <w:t>, el cual fue emitido en fecha 24 de abril de 2019 y notificado a la Agencia el 2 de mayo del mismo año.</w:t>
      </w:r>
    </w:p>
    <w:p w14:paraId="7C030B4A" w14:textId="77777777" w:rsidR="006A3D9A" w:rsidRPr="00A07BE9" w:rsidRDefault="006A3D9A" w:rsidP="00671CE2">
      <w:pPr>
        <w:spacing w:after="0" w:line="276" w:lineRule="auto"/>
        <w:jc w:val="both"/>
        <w:rPr>
          <w:rFonts w:ascii="Open Sans" w:hAnsi="Open Sans"/>
          <w:color w:val="000000"/>
          <w:sz w:val="20"/>
          <w:szCs w:val="20"/>
        </w:rPr>
      </w:pPr>
    </w:p>
    <w:p w14:paraId="30596338" w14:textId="626AA6EF" w:rsidR="00671CE2" w:rsidRPr="00A07BE9" w:rsidRDefault="00671CE2" w:rsidP="00671CE2">
      <w:pPr>
        <w:spacing w:after="0" w:line="276" w:lineRule="auto"/>
        <w:jc w:val="both"/>
        <w:rPr>
          <w:rFonts w:ascii="Open Sans" w:hAnsi="Open Sans"/>
          <w:sz w:val="20"/>
          <w:szCs w:val="20"/>
        </w:rPr>
      </w:pPr>
      <w:r w:rsidRPr="00A07BE9">
        <w:rPr>
          <w:rFonts w:ascii="Open Sans" w:eastAsia="Times New Roman" w:hAnsi="Open Sans" w:cs="Open Sans"/>
          <w:color w:val="000000"/>
          <w:sz w:val="20"/>
          <w:szCs w:val="20"/>
          <w:lang w:eastAsia="es-ES"/>
        </w:rPr>
        <w:t xml:space="preserve">Seguidamente, el 28 de mayo de 2019 se suscribió una </w:t>
      </w:r>
      <w:hyperlink r:id="rId179" w:history="1">
        <w:r w:rsidRPr="00A07BE9">
          <w:rPr>
            <w:rStyle w:val="Hipervnculo"/>
            <w:rFonts w:ascii="Open Sans" w:eastAsia="Times New Roman" w:hAnsi="Open Sans" w:cs="Open Sans"/>
            <w:b/>
            <w:bCs/>
            <w:sz w:val="20"/>
            <w:szCs w:val="20"/>
            <w:lang w:eastAsia="es-ES"/>
          </w:rPr>
          <w:t>adenda a la memoria económica</w:t>
        </w:r>
      </w:hyperlink>
      <w:r w:rsidRPr="00A07BE9">
        <w:rPr>
          <w:rFonts w:ascii="Open Sans" w:eastAsia="Times New Roman" w:hAnsi="Open Sans" w:cs="Open Sans"/>
          <w:color w:val="000000"/>
          <w:sz w:val="20"/>
          <w:szCs w:val="20"/>
          <w:lang w:eastAsia="es-ES"/>
        </w:rPr>
        <w:t xml:space="preserve"> sobre el proyecto de Reglamento, y en esta misma fecha la</w:t>
      </w:r>
      <w:r w:rsidRPr="00A07BE9">
        <w:rPr>
          <w:rFonts w:ascii="Open Sans" w:eastAsia="Times New Roman" w:hAnsi="Open Sans" w:cs="Open Sans"/>
          <w:b/>
          <w:bCs/>
          <w:color w:val="000000"/>
          <w:sz w:val="20"/>
          <w:szCs w:val="20"/>
          <w:lang w:eastAsia="es-ES"/>
        </w:rPr>
        <w:t xml:space="preserve"> dirección de Asuntos Jurídicos</w:t>
      </w:r>
      <w:r w:rsidRPr="00A07BE9">
        <w:rPr>
          <w:rFonts w:ascii="Open Sans" w:eastAsia="Times New Roman" w:hAnsi="Open Sans" w:cs="Open Sans"/>
          <w:color w:val="000000"/>
          <w:sz w:val="20"/>
          <w:szCs w:val="20"/>
          <w:lang w:eastAsia="es-ES"/>
        </w:rPr>
        <w:t xml:space="preserve"> de la Agencia </w:t>
      </w:r>
      <w:r w:rsidRPr="00A07BE9">
        <w:rPr>
          <w:rFonts w:ascii="Open Sans" w:eastAsia="Times New Roman" w:hAnsi="Open Sans" w:cs="Open Sans"/>
          <w:b/>
          <w:bCs/>
          <w:color w:val="000000"/>
          <w:sz w:val="20"/>
          <w:szCs w:val="20"/>
          <w:lang w:eastAsia="es-ES"/>
        </w:rPr>
        <w:t xml:space="preserve">emitió </w:t>
      </w:r>
      <w:hyperlink r:id="rId180" w:history="1">
        <w:r w:rsidRPr="00A07BE9">
          <w:rPr>
            <w:rStyle w:val="Hipervnculo"/>
            <w:rFonts w:ascii="Open Sans" w:eastAsia="Times New Roman" w:hAnsi="Open Sans" w:cs="Open Sans"/>
            <w:b/>
            <w:bCs/>
            <w:sz w:val="20"/>
            <w:szCs w:val="20"/>
            <w:lang w:eastAsia="es-ES"/>
          </w:rPr>
          <w:t xml:space="preserve">informe </w:t>
        </w:r>
        <w:r w:rsidRPr="00A07BE9">
          <w:rPr>
            <w:rStyle w:val="Hipervnculo"/>
            <w:rFonts w:ascii="Open Sans" w:eastAsia="Times New Roman" w:hAnsi="Open Sans" w:cs="Open Sans"/>
            <w:sz w:val="20"/>
            <w:szCs w:val="20"/>
            <w:lang w:eastAsia="es-ES"/>
          </w:rPr>
          <w:t>sobre las consideraciones del dictamen núm. 266/2019, de 24 de abril, del Consell Jurídic Consultiu de la Comunitat Valenciana</w:t>
        </w:r>
      </w:hyperlink>
      <w:r w:rsidRPr="00A07BE9">
        <w:rPr>
          <w:rFonts w:ascii="Open Sans" w:eastAsia="Times New Roman" w:hAnsi="Open Sans" w:cs="Open Sans"/>
          <w:color w:val="000000"/>
          <w:sz w:val="20"/>
          <w:szCs w:val="20"/>
          <w:lang w:eastAsia="es-ES"/>
        </w:rPr>
        <w:t>, t</w:t>
      </w:r>
      <w:r w:rsidRPr="00A07BE9">
        <w:rPr>
          <w:rFonts w:ascii="Open Sans" w:eastAsia="Times New Roman" w:hAnsi="Open Sans" w:cs="Open Sans"/>
          <w:sz w:val="20"/>
          <w:szCs w:val="20"/>
          <w:lang w:eastAsia="es-ES"/>
        </w:rPr>
        <w:t>ras la lectura y estudio exahustivo del mismo.</w:t>
      </w:r>
    </w:p>
    <w:p w14:paraId="70403A33" w14:textId="77777777" w:rsidR="00671CE2" w:rsidRPr="00A07BE9" w:rsidRDefault="00671CE2" w:rsidP="00671CE2">
      <w:pPr>
        <w:spacing w:after="0" w:line="276" w:lineRule="auto"/>
        <w:jc w:val="both"/>
        <w:rPr>
          <w:rFonts w:ascii="Open Sans" w:eastAsia="Times New Roman" w:hAnsi="Open Sans" w:cs="Open Sans"/>
          <w:color w:val="1B1B1B"/>
          <w:kern w:val="2"/>
          <w:sz w:val="20"/>
          <w:szCs w:val="20"/>
        </w:rPr>
      </w:pPr>
    </w:p>
    <w:p w14:paraId="6B05B514" w14:textId="77777777" w:rsidR="00671CE2" w:rsidRPr="00A07BE9" w:rsidRDefault="00671CE2" w:rsidP="00671CE2">
      <w:pPr>
        <w:spacing w:after="0" w:line="276" w:lineRule="auto"/>
        <w:jc w:val="both"/>
        <w:rPr>
          <w:rFonts w:ascii="Open Sans" w:hAnsi="Open Sans"/>
          <w:sz w:val="20"/>
          <w:szCs w:val="20"/>
        </w:rPr>
      </w:pPr>
      <w:r w:rsidRPr="00A07BE9">
        <w:rPr>
          <w:rFonts w:ascii="Open Sans" w:eastAsia="Times New Roman" w:hAnsi="Open Sans" w:cs="Open Sans"/>
          <w:color w:val="1B1B1B"/>
          <w:kern w:val="2"/>
          <w:sz w:val="20"/>
          <w:szCs w:val="20"/>
        </w:rPr>
        <w:t>En dicho informe jurídico se recog</w:t>
      </w:r>
      <w:r w:rsidRPr="00A07BE9">
        <w:rPr>
          <w:rFonts w:ascii="Open Sans" w:eastAsia="Times New Roman" w:hAnsi="Open Sans" w:cs="Open Sans"/>
          <w:color w:val="000000"/>
          <w:kern w:val="2"/>
          <w:sz w:val="20"/>
          <w:szCs w:val="20"/>
        </w:rPr>
        <w:t xml:space="preserve">ieron los razonamientos por los que se proponía </w:t>
      </w:r>
      <w:r w:rsidRPr="00A07BE9">
        <w:rPr>
          <w:rFonts w:ascii="Open Sans" w:eastAsia="Times New Roman" w:hAnsi="Open Sans" w:cs="Open Sans"/>
          <w:b/>
          <w:bCs/>
          <w:color w:val="000000"/>
          <w:kern w:val="2"/>
          <w:sz w:val="20"/>
          <w:szCs w:val="20"/>
        </w:rPr>
        <w:t>aceptar y adecuar el proyecto</w:t>
      </w:r>
      <w:r w:rsidRPr="00A07BE9">
        <w:rPr>
          <w:rFonts w:ascii="Open Sans" w:eastAsia="Times New Roman" w:hAnsi="Open Sans" w:cs="Open Sans"/>
          <w:color w:val="000000"/>
          <w:kern w:val="2"/>
          <w:sz w:val="20"/>
          <w:szCs w:val="20"/>
        </w:rPr>
        <w:t xml:space="preserve"> de Reglamento de funcionamiento y régimen interior de la Agencia de Prevención y Lucha contra el Fraude y la Corrupción de la Comunitat Valenciana, </w:t>
      </w:r>
      <w:r w:rsidRPr="00A07BE9">
        <w:rPr>
          <w:rFonts w:ascii="Open Sans" w:eastAsia="Times New Roman" w:hAnsi="Open Sans" w:cs="Open Sans"/>
          <w:b/>
          <w:bCs/>
          <w:color w:val="000000"/>
          <w:kern w:val="2"/>
          <w:sz w:val="20"/>
          <w:szCs w:val="20"/>
        </w:rPr>
        <w:t>a todas las observaciones e</w:t>
      </w:r>
      <w:r w:rsidRPr="00A07BE9">
        <w:rPr>
          <w:rFonts w:ascii="Open Sans" w:eastAsia="Times New Roman" w:hAnsi="Open Sans" w:cs="Open Sans"/>
          <w:b/>
          <w:bCs/>
          <w:color w:val="1B1B1B"/>
          <w:kern w:val="2"/>
          <w:sz w:val="20"/>
          <w:szCs w:val="20"/>
        </w:rPr>
        <w:t>senciales realizadas por el Consell Jurídic Consultiu</w:t>
      </w:r>
      <w:r w:rsidRPr="00A07BE9">
        <w:rPr>
          <w:rFonts w:ascii="Open Sans" w:eastAsia="Times New Roman" w:hAnsi="Open Sans" w:cs="Open Sans"/>
          <w:color w:val="1B1B1B"/>
          <w:kern w:val="2"/>
          <w:sz w:val="20"/>
          <w:szCs w:val="20"/>
        </w:rPr>
        <w:t xml:space="preserve"> en el dictamen núm. 266/2019, de 24 de abril de 2019, </w:t>
      </w:r>
      <w:r w:rsidRPr="00A07BE9">
        <w:rPr>
          <w:rFonts w:ascii="Open Sans" w:eastAsia="Times New Roman" w:hAnsi="Open Sans" w:cs="Open Sans"/>
          <w:b/>
          <w:bCs/>
          <w:color w:val="1B1B1B"/>
          <w:kern w:val="2"/>
          <w:sz w:val="20"/>
          <w:szCs w:val="20"/>
        </w:rPr>
        <w:t xml:space="preserve">a los efectos de su cumplimiento, excepto </w:t>
      </w:r>
      <w:r w:rsidRPr="00A07BE9">
        <w:rPr>
          <w:rFonts w:ascii="Open Sans" w:eastAsia="Times New Roman" w:hAnsi="Open Sans" w:cs="Open Sans"/>
          <w:color w:val="1B1B1B"/>
          <w:kern w:val="2"/>
          <w:sz w:val="20"/>
          <w:szCs w:val="20"/>
        </w:rPr>
        <w:t>a las que a continuación se expresan por se</w:t>
      </w:r>
      <w:r w:rsidRPr="00A07BE9">
        <w:rPr>
          <w:rFonts w:ascii="Open Sans" w:eastAsia="Times New Roman" w:hAnsi="Open Sans" w:cs="Open Sans"/>
          <w:bCs/>
          <w:color w:val="1B1B1B"/>
          <w:kern w:val="2"/>
          <w:sz w:val="20"/>
          <w:szCs w:val="20"/>
        </w:rPr>
        <w:t>r</w:t>
      </w:r>
      <w:r w:rsidRPr="00A07BE9">
        <w:rPr>
          <w:rFonts w:ascii="Open Sans" w:eastAsia="Times New Roman" w:hAnsi="Open Sans" w:cs="Open Sans"/>
          <w:b/>
          <w:bCs/>
          <w:color w:val="1B1B1B"/>
          <w:kern w:val="2"/>
          <w:sz w:val="20"/>
          <w:szCs w:val="20"/>
        </w:rPr>
        <w:t xml:space="preserve"> contrarias al principio de legalidad</w:t>
      </w:r>
      <w:r w:rsidRPr="00A07BE9">
        <w:rPr>
          <w:rFonts w:ascii="Open Sans" w:eastAsia="Times New Roman" w:hAnsi="Open Sans" w:cs="Open Sans"/>
          <w:color w:val="1B1B1B"/>
          <w:kern w:val="2"/>
          <w:sz w:val="20"/>
          <w:szCs w:val="20"/>
        </w:rPr>
        <w:t>:</w:t>
      </w:r>
    </w:p>
    <w:p w14:paraId="5500B886" w14:textId="77777777" w:rsidR="00671CE2" w:rsidRPr="00A07BE9" w:rsidRDefault="00671CE2" w:rsidP="00671CE2">
      <w:pPr>
        <w:shd w:val="clear" w:color="auto" w:fill="FFFFFF"/>
        <w:spacing w:after="0" w:line="276" w:lineRule="auto"/>
        <w:jc w:val="both"/>
        <w:rPr>
          <w:rFonts w:ascii="Open Sans" w:eastAsia="Times New Roman" w:hAnsi="Open Sans" w:cs="Open Sans"/>
          <w:color w:val="1B1B1B"/>
          <w:kern w:val="2"/>
          <w:sz w:val="20"/>
          <w:szCs w:val="20"/>
        </w:rPr>
      </w:pPr>
    </w:p>
    <w:p w14:paraId="17B3DB0D" w14:textId="1FF351B2" w:rsidR="00671CE2" w:rsidRPr="00A07BE9" w:rsidRDefault="00671CE2" w:rsidP="00671CE2">
      <w:pPr>
        <w:pStyle w:val="Contenidodelatabla"/>
        <w:spacing w:after="0" w:line="276" w:lineRule="auto"/>
        <w:ind w:left="567"/>
        <w:jc w:val="both"/>
        <w:rPr>
          <w:rStyle w:val="Hipervnculo"/>
          <w:rFonts w:ascii="Open Sans" w:hAnsi="Open Sans"/>
          <w:sz w:val="20"/>
          <w:szCs w:val="20"/>
        </w:rPr>
      </w:pPr>
      <w:r w:rsidRPr="00A07BE9">
        <w:rPr>
          <w:rFonts w:ascii="Open Sans" w:hAnsi="Open Sans" w:cs="Open Sans"/>
          <w:b/>
          <w:bCs/>
          <w:color w:val="9D2235"/>
          <w:sz w:val="20"/>
          <w:szCs w:val="20"/>
        </w:rPr>
        <w:t xml:space="preserve">1. </w:t>
      </w:r>
      <w:r w:rsidRPr="00A07BE9">
        <w:rPr>
          <w:rFonts w:ascii="Open Sans" w:hAnsi="Open Sans" w:cs="Open Sans"/>
          <w:color w:val="1B1B1B"/>
          <w:sz w:val="20"/>
          <w:szCs w:val="20"/>
        </w:rPr>
        <w:t xml:space="preserve">La consideración al artículo 2, apartado 1, del proyecto de Reglamento, al declarar, en relación con la naturaleza jurídica de la Agencia, </w:t>
      </w:r>
      <w:r w:rsidRPr="00A07BE9">
        <w:rPr>
          <w:rFonts w:ascii="Open Sans" w:hAnsi="Open Sans" w:cs="Open Sans"/>
          <w:i/>
          <w:iCs/>
          <w:color w:val="1B1B1B"/>
          <w:sz w:val="20"/>
          <w:szCs w:val="20"/>
        </w:rPr>
        <w:t>“que se debe adaptar la literal definición de la Agencia que efectúa la Ley, sin eliminar la referencia al derecho público”</w:t>
      </w:r>
      <w:r w:rsidRPr="00A07BE9">
        <w:rPr>
          <w:rFonts w:ascii="Open Sans" w:hAnsi="Open Sans" w:cs="Open Sans"/>
          <w:color w:val="1B1B1B"/>
          <w:sz w:val="20"/>
          <w:szCs w:val="20"/>
        </w:rPr>
        <w:t xml:space="preserve">, por ser contraria al vigente artículo 1 de la </w:t>
      </w:r>
      <w:r w:rsidR="00D059AA" w:rsidRPr="00A07BE9">
        <w:rPr>
          <w:rFonts w:ascii="Open Sans" w:hAnsi="Open Sans" w:cs="Open Sans"/>
          <w:sz w:val="20"/>
          <w:szCs w:val="20"/>
        </w:rPr>
        <w:fldChar w:fldCharType="begin"/>
      </w:r>
      <w:r w:rsidR="00D059AA" w:rsidRPr="00A07BE9">
        <w:rPr>
          <w:rFonts w:ascii="Open Sans" w:hAnsi="Open Sans" w:cs="Open Sans"/>
          <w:sz w:val="20"/>
          <w:szCs w:val="20"/>
        </w:rPr>
        <w:instrText xml:space="preserve"> HYPERLINK "https://www.boe.es/buscar/pdf/2016/BOE-A-2016-12048-consolidado.pdf" </w:instrText>
      </w:r>
      <w:r w:rsidR="00D059AA" w:rsidRPr="00A07BE9">
        <w:rPr>
          <w:rFonts w:ascii="Open Sans" w:hAnsi="Open Sans" w:cs="Open Sans"/>
          <w:sz w:val="20"/>
          <w:szCs w:val="20"/>
        </w:rPr>
      </w:r>
      <w:r w:rsidR="00D059AA" w:rsidRPr="00A07BE9">
        <w:rPr>
          <w:rFonts w:ascii="Open Sans" w:hAnsi="Open Sans" w:cs="Open Sans"/>
          <w:sz w:val="20"/>
          <w:szCs w:val="20"/>
        </w:rPr>
        <w:fldChar w:fldCharType="separate"/>
      </w:r>
      <w:r w:rsidR="00A1108C" w:rsidRPr="00A07BE9">
        <w:rPr>
          <w:rStyle w:val="Hipervnculo"/>
          <w:rFonts w:ascii="Open Sans" w:hAnsi="Open Sans" w:cs="Open Sans"/>
          <w:sz w:val="20"/>
          <w:szCs w:val="20"/>
        </w:rPr>
        <w:t>Ley 11/2016</w:t>
      </w:r>
      <w:r w:rsidRPr="00A07BE9">
        <w:rPr>
          <w:rStyle w:val="Hipervnculo"/>
          <w:rFonts w:ascii="Open Sans" w:hAnsi="Open Sans" w:cs="Open Sans"/>
          <w:color w:val="auto"/>
          <w:sz w:val="20"/>
          <w:szCs w:val="20"/>
          <w:u w:val="none"/>
        </w:rPr>
        <w:t xml:space="preserve">, de 28 de noviembre, de la Generalitat. </w:t>
      </w:r>
    </w:p>
    <w:p w14:paraId="69E74A8D" w14:textId="2E926FD3" w:rsidR="00671CE2" w:rsidRPr="00A07BE9" w:rsidRDefault="00D059AA" w:rsidP="00671CE2">
      <w:pPr>
        <w:pStyle w:val="Contenidodelatabla"/>
        <w:spacing w:after="0" w:line="276" w:lineRule="auto"/>
        <w:ind w:left="567"/>
        <w:jc w:val="both"/>
        <w:rPr>
          <w:rFonts w:ascii="Open Sans" w:hAnsi="Open Sans" w:cs="Open Sans"/>
          <w:b/>
          <w:bCs/>
          <w:color w:val="1B1B1B"/>
          <w:sz w:val="20"/>
          <w:szCs w:val="20"/>
        </w:rPr>
      </w:pPr>
      <w:r w:rsidRPr="00A07BE9">
        <w:rPr>
          <w:rFonts w:ascii="Open Sans" w:hAnsi="Open Sans" w:cs="Open Sans"/>
          <w:sz w:val="20"/>
          <w:szCs w:val="20"/>
        </w:rPr>
        <w:fldChar w:fldCharType="end"/>
      </w:r>
    </w:p>
    <w:p w14:paraId="6923F257" w14:textId="75335FC5" w:rsidR="00671CE2" w:rsidRPr="00A07BE9" w:rsidRDefault="00671CE2" w:rsidP="00671CE2">
      <w:pPr>
        <w:pStyle w:val="Contenidodelatabla"/>
        <w:spacing w:after="0" w:line="276" w:lineRule="auto"/>
        <w:ind w:left="567"/>
        <w:jc w:val="both"/>
        <w:rPr>
          <w:rFonts w:ascii="Open Sans" w:hAnsi="Open Sans"/>
          <w:sz w:val="20"/>
          <w:szCs w:val="20"/>
        </w:rPr>
      </w:pPr>
      <w:r w:rsidRPr="00A07BE9">
        <w:rPr>
          <w:rFonts w:ascii="Open Sans" w:hAnsi="Open Sans" w:cs="Open Sans"/>
          <w:b/>
          <w:bCs/>
          <w:color w:val="9D2235"/>
          <w:sz w:val="20"/>
          <w:szCs w:val="20"/>
        </w:rPr>
        <w:t xml:space="preserve">2. </w:t>
      </w:r>
      <w:r w:rsidRPr="00A07BE9">
        <w:rPr>
          <w:rFonts w:ascii="Open Sans" w:hAnsi="Open Sans" w:cs="Open Sans"/>
          <w:color w:val="1B1B1B"/>
          <w:sz w:val="20"/>
          <w:szCs w:val="20"/>
        </w:rPr>
        <w:t>La consideración al artículo 13, apartado 2, del proyecto de Reglamento, sobre representación y defensa en juicio de la Agencia,</w:t>
      </w:r>
      <w:r w:rsidRPr="00A07BE9">
        <w:rPr>
          <w:rFonts w:ascii="Open Sans" w:eastAsia="Times New Roman" w:hAnsi="Open Sans" w:cs="Open Sans"/>
          <w:color w:val="1B1B1B"/>
          <w:kern w:val="2"/>
          <w:sz w:val="20"/>
          <w:szCs w:val="20"/>
        </w:rPr>
        <w:t xml:space="preserve"> por ser contraria al derecho a la tutela judicial efectiva consagrado en el artículo 24 de la </w:t>
      </w:r>
      <w:hyperlink r:id="rId181" w:history="1">
        <w:r w:rsidRPr="00A07BE9">
          <w:rPr>
            <w:rStyle w:val="Hipervnculo"/>
            <w:rFonts w:ascii="Open Sans" w:eastAsia="Times New Roman" w:hAnsi="Open Sans" w:cs="Open Sans"/>
            <w:kern w:val="2"/>
            <w:sz w:val="20"/>
            <w:szCs w:val="20"/>
          </w:rPr>
          <w:t>Constitución Española</w:t>
        </w:r>
      </w:hyperlink>
      <w:r w:rsidRPr="00A07BE9">
        <w:rPr>
          <w:rFonts w:ascii="Open Sans" w:eastAsia="Times New Roman" w:hAnsi="Open Sans" w:cs="Open Sans"/>
          <w:color w:val="1B1B1B"/>
          <w:kern w:val="2"/>
          <w:sz w:val="20"/>
          <w:szCs w:val="20"/>
        </w:rPr>
        <w:t>.</w:t>
      </w:r>
    </w:p>
    <w:p w14:paraId="2314DBC2" w14:textId="77777777" w:rsidR="00671CE2" w:rsidRPr="00A07BE9" w:rsidRDefault="00671CE2" w:rsidP="00671CE2">
      <w:pPr>
        <w:pStyle w:val="Contenidodelatabla"/>
        <w:spacing w:after="0" w:line="276" w:lineRule="auto"/>
        <w:jc w:val="both"/>
        <w:rPr>
          <w:rFonts w:ascii="Open Sans" w:eastAsia="Times New Roman" w:hAnsi="Open Sans" w:cs="Open Sans"/>
          <w:b/>
          <w:bCs/>
          <w:color w:val="1B1B1B"/>
          <w:kern w:val="2"/>
          <w:sz w:val="20"/>
          <w:szCs w:val="20"/>
        </w:rPr>
      </w:pPr>
    </w:p>
    <w:p w14:paraId="056E0681" w14:textId="1466D345" w:rsidR="00671CE2" w:rsidRPr="00A07BE9" w:rsidRDefault="00671CE2" w:rsidP="0050097D">
      <w:pPr>
        <w:pStyle w:val="Contenidodelatabla"/>
        <w:spacing w:after="0" w:line="276" w:lineRule="auto"/>
        <w:ind w:left="567"/>
        <w:jc w:val="both"/>
        <w:rPr>
          <w:rFonts w:ascii="Open Sans" w:hAnsi="Open Sans" w:cs="Open Sans"/>
          <w:sz w:val="20"/>
          <w:szCs w:val="20"/>
        </w:rPr>
      </w:pPr>
      <w:r w:rsidRPr="00A07BE9">
        <w:rPr>
          <w:rFonts w:ascii="Open Sans" w:eastAsia="Times New Roman" w:hAnsi="Open Sans" w:cs="Open Sans"/>
          <w:b/>
          <w:bCs/>
          <w:color w:val="9D2235"/>
          <w:kern w:val="2"/>
          <w:sz w:val="20"/>
          <w:szCs w:val="20"/>
        </w:rPr>
        <w:t xml:space="preserve">3. </w:t>
      </w:r>
      <w:r w:rsidRPr="00A07BE9">
        <w:rPr>
          <w:rFonts w:ascii="Open Sans" w:eastAsia="Times New Roman" w:hAnsi="Open Sans" w:cs="Open Sans"/>
          <w:color w:val="1B1B1B"/>
          <w:kern w:val="2"/>
          <w:sz w:val="20"/>
          <w:szCs w:val="20"/>
        </w:rPr>
        <w:t xml:space="preserve">La consideración al artículo 81, apartado 5, del proyecto de Reglamento, relativa a que el director o directora de la Agencia acudirá a las comisiones parlamentarias a las que sea convocado para informar del estado de sus actuaciones pero no podrá solicitar, cuando lo crea conveniente, comparecer, por ser contraria a lo prescrito en el artículo 5, apartado 4, inciso final, de la </w:t>
      </w:r>
      <w:hyperlink r:id="rId182" w:history="1">
        <w:r w:rsidR="0050097D" w:rsidRPr="00A07BE9">
          <w:rPr>
            <w:rStyle w:val="Hipervnculo"/>
            <w:rFonts w:ascii="Open Sans" w:hAnsi="Open Sans" w:cs="Open Sans"/>
            <w:sz w:val="20"/>
            <w:szCs w:val="20"/>
          </w:rPr>
          <w:t>Ley 11/2016</w:t>
        </w:r>
        <w:r w:rsidR="0050097D" w:rsidRPr="00A07BE9">
          <w:rPr>
            <w:rStyle w:val="Hipervnculo"/>
            <w:rFonts w:ascii="Open Sans" w:hAnsi="Open Sans"/>
            <w:color w:val="auto"/>
            <w:sz w:val="20"/>
            <w:szCs w:val="20"/>
            <w:u w:val="none"/>
          </w:rPr>
          <w:t>, de 28 de noviembre, de la</w:t>
        </w:r>
        <w:r w:rsidR="0050097D" w:rsidRPr="00A07BE9">
          <w:rPr>
            <w:rStyle w:val="Hipervnculo"/>
            <w:rFonts w:ascii="Open Sans" w:hAnsi="Open Sans"/>
            <w:sz w:val="20"/>
            <w:szCs w:val="20"/>
          </w:rPr>
          <w:t xml:space="preserve"> </w:t>
        </w:r>
        <w:r w:rsidR="0050097D" w:rsidRPr="00A07BE9">
          <w:rPr>
            <w:rStyle w:val="Hipervnculo"/>
            <w:rFonts w:ascii="Open Sans" w:hAnsi="Open Sans"/>
            <w:color w:val="auto"/>
            <w:sz w:val="20"/>
            <w:szCs w:val="20"/>
            <w:u w:val="none"/>
          </w:rPr>
          <w:t>Generalitat</w:t>
        </w:r>
      </w:hyperlink>
      <w:r w:rsidR="0050097D" w:rsidRPr="00A07BE9">
        <w:rPr>
          <w:rFonts w:ascii="Open Sans" w:hAnsi="Open Sans" w:cs="Open Sans"/>
          <w:sz w:val="20"/>
          <w:szCs w:val="20"/>
        </w:rPr>
        <w:t>.</w:t>
      </w:r>
    </w:p>
    <w:p w14:paraId="47C3BD3B" w14:textId="77777777" w:rsidR="0050097D" w:rsidRPr="00A07BE9" w:rsidRDefault="0050097D" w:rsidP="0050097D">
      <w:pPr>
        <w:pStyle w:val="Contenidodelatabla"/>
        <w:spacing w:after="0" w:line="276" w:lineRule="auto"/>
        <w:ind w:left="567"/>
        <w:jc w:val="both"/>
        <w:rPr>
          <w:rFonts w:ascii="Open Sans" w:hAnsi="Open Sans"/>
          <w:sz w:val="20"/>
          <w:szCs w:val="20"/>
        </w:rPr>
      </w:pPr>
    </w:p>
    <w:p w14:paraId="68FC258E" w14:textId="29274B0B" w:rsidR="00671CE2" w:rsidRPr="00A07BE9" w:rsidRDefault="00671CE2" w:rsidP="00671CE2">
      <w:pPr>
        <w:spacing w:after="0" w:line="276" w:lineRule="auto"/>
        <w:jc w:val="both"/>
        <w:rPr>
          <w:rFonts w:ascii="Open Sans" w:hAnsi="Open Sans"/>
          <w:sz w:val="20"/>
          <w:szCs w:val="20"/>
        </w:rPr>
      </w:pPr>
      <w:r w:rsidRPr="00A07BE9">
        <w:rPr>
          <w:rFonts w:ascii="Open Sans" w:hAnsi="Open Sans"/>
          <w:sz w:val="20"/>
          <w:szCs w:val="20"/>
        </w:rPr>
        <w:t xml:space="preserve">De este modo, mediante Resolución de 21 de junio de 2019, del director de la Agencia, </w:t>
      </w:r>
      <w:r w:rsidRPr="00A07BE9">
        <w:rPr>
          <w:rFonts w:ascii="Open Sans" w:hAnsi="Open Sans"/>
          <w:b/>
          <w:bCs/>
          <w:sz w:val="20"/>
          <w:szCs w:val="20"/>
        </w:rPr>
        <w:t>se presen</w:t>
      </w:r>
      <w:r w:rsidRPr="00A07BE9">
        <w:rPr>
          <w:rFonts w:ascii="Open Sans" w:hAnsi="Open Sans"/>
          <w:b/>
          <w:bCs/>
          <w:color w:val="000000"/>
          <w:sz w:val="20"/>
          <w:szCs w:val="20"/>
        </w:rPr>
        <w:t>tó</w:t>
      </w:r>
      <w:r w:rsidRPr="00A07BE9">
        <w:rPr>
          <w:rFonts w:ascii="Open Sans" w:hAnsi="Open Sans"/>
          <w:b/>
          <w:bCs/>
          <w:sz w:val="20"/>
          <w:szCs w:val="20"/>
        </w:rPr>
        <w:t xml:space="preserve"> a les Corts Valencianes el </w:t>
      </w:r>
      <w:r w:rsidRPr="00A07BE9">
        <w:rPr>
          <w:rFonts w:ascii="Open Sans" w:hAnsi="Open Sans"/>
          <w:b/>
          <w:bCs/>
          <w:color w:val="000000"/>
          <w:sz w:val="20"/>
          <w:szCs w:val="20"/>
        </w:rPr>
        <w:t>proyecto</w:t>
      </w:r>
      <w:r w:rsidRPr="00A07BE9">
        <w:rPr>
          <w:rFonts w:ascii="Open Sans" w:hAnsi="Open Sans"/>
          <w:color w:val="000000"/>
          <w:sz w:val="20"/>
          <w:szCs w:val="20"/>
        </w:rPr>
        <w:t xml:space="preserve"> de </w:t>
      </w:r>
      <w:hyperlink r:id="rId183" w:history="1">
        <w:r w:rsidR="00D30120" w:rsidRPr="00A07BE9">
          <w:rPr>
            <w:rStyle w:val="Hipervnculo"/>
            <w:rFonts w:ascii="Open Sans" w:hAnsi="Open Sans"/>
            <w:bCs/>
            <w:sz w:val="20"/>
            <w:szCs w:val="20"/>
          </w:rPr>
          <w:t>Reglamento de funcionamiento y régimen interior</w:t>
        </w:r>
      </w:hyperlink>
      <w:r w:rsidRPr="00A07BE9">
        <w:rPr>
          <w:rFonts w:ascii="Open Sans" w:hAnsi="Open Sans"/>
          <w:color w:val="000000"/>
          <w:sz w:val="20"/>
          <w:szCs w:val="20"/>
        </w:rPr>
        <w:t xml:space="preserve"> de la Agencia </w:t>
      </w:r>
      <w:r w:rsidRPr="00A07BE9">
        <w:rPr>
          <w:rFonts w:ascii="Open Sans" w:hAnsi="Open Sans"/>
          <w:sz w:val="20"/>
          <w:szCs w:val="20"/>
        </w:rPr>
        <w:t xml:space="preserve">de Prevención y Lucha contra el Fraude y la Corrupción de la Comunitat Valenciana, </w:t>
      </w:r>
      <w:r w:rsidRPr="00A07BE9">
        <w:rPr>
          <w:rFonts w:ascii="Open Sans" w:hAnsi="Open Sans"/>
          <w:color w:val="000000"/>
          <w:sz w:val="20"/>
          <w:szCs w:val="20"/>
        </w:rPr>
        <w:t xml:space="preserve">en cumplimiento de lo establecido en la disposición transitoria primera, apartado dos, de la </w:t>
      </w:r>
      <w:hyperlink r:id="rId184" w:history="1">
        <w:r w:rsidR="0050097D" w:rsidRPr="00A07BE9">
          <w:rPr>
            <w:rStyle w:val="Hipervnculo"/>
            <w:rFonts w:ascii="Open Sans" w:hAnsi="Open Sans" w:cs="Open Sans"/>
            <w:sz w:val="20"/>
            <w:szCs w:val="20"/>
          </w:rPr>
          <w:t>Ley 11/2016</w:t>
        </w:r>
        <w:r w:rsidR="0050097D" w:rsidRPr="00A07BE9">
          <w:rPr>
            <w:rStyle w:val="Hipervnculo"/>
            <w:rFonts w:ascii="Open Sans" w:hAnsi="Open Sans"/>
            <w:color w:val="auto"/>
            <w:sz w:val="20"/>
            <w:szCs w:val="20"/>
            <w:u w:val="none"/>
          </w:rPr>
          <w:t xml:space="preserve">, </w:t>
        </w:r>
      </w:hyperlink>
      <w:r w:rsidRPr="00A07BE9">
        <w:rPr>
          <w:rFonts w:ascii="Open Sans" w:hAnsi="Open Sans"/>
          <w:color w:val="000000"/>
          <w:sz w:val="20"/>
          <w:szCs w:val="20"/>
        </w:rPr>
        <w:t>de la Agencia de Prevención y Lucha contra el Fraude y la Corrupción de la Comunitat Valenciana.</w:t>
      </w:r>
    </w:p>
    <w:p w14:paraId="3845CAAD" w14:textId="64495596" w:rsidR="00671CE2" w:rsidRPr="00A07BE9" w:rsidRDefault="00671CE2" w:rsidP="00671CE2">
      <w:pPr>
        <w:spacing w:after="0" w:line="276" w:lineRule="auto"/>
        <w:jc w:val="both"/>
        <w:rPr>
          <w:rFonts w:ascii="Open Sans" w:hAnsi="Open Sans"/>
          <w:color w:val="000000"/>
          <w:sz w:val="20"/>
          <w:szCs w:val="20"/>
        </w:rPr>
      </w:pPr>
      <w:r w:rsidRPr="00A07BE9">
        <w:rPr>
          <w:rFonts w:ascii="Open Sans" w:hAnsi="Open Sans"/>
          <w:color w:val="000000"/>
          <w:sz w:val="20"/>
          <w:szCs w:val="20"/>
        </w:rPr>
        <w:lastRenderedPageBreak/>
        <w:t xml:space="preserve">Finalmente, mediante Resolución de 27 de junio de 2019, del director de la Agencia, </w:t>
      </w:r>
      <w:r w:rsidRPr="00A07BE9">
        <w:rPr>
          <w:rFonts w:ascii="Open Sans" w:hAnsi="Open Sans"/>
          <w:b/>
          <w:bCs/>
          <w:color w:val="000000"/>
          <w:sz w:val="20"/>
          <w:szCs w:val="20"/>
        </w:rPr>
        <w:t xml:space="preserve">se aprobó el </w:t>
      </w:r>
      <w:hyperlink r:id="rId185" w:history="1">
        <w:r w:rsidRPr="00A07BE9">
          <w:rPr>
            <w:rStyle w:val="Hipervnculo"/>
            <w:rFonts w:ascii="Open Sans" w:hAnsi="Open Sans"/>
            <w:b/>
            <w:bCs/>
            <w:sz w:val="20"/>
            <w:szCs w:val="20"/>
          </w:rPr>
          <w:t>Reglamento de funcionamiento y régimen interior</w:t>
        </w:r>
      </w:hyperlink>
      <w:r w:rsidRPr="00A07BE9">
        <w:rPr>
          <w:rFonts w:ascii="Open Sans" w:hAnsi="Open Sans"/>
          <w:color w:val="000000"/>
          <w:sz w:val="20"/>
          <w:szCs w:val="20"/>
        </w:rPr>
        <w:t xml:space="preserve"> de esta, procediéndose a su publicación en el DOGV núm. 8582, de 2 de julio de 2019, y entrando en vigor el 3 de julio de 2019.</w:t>
      </w:r>
    </w:p>
    <w:p w14:paraId="687D15E1" w14:textId="77777777" w:rsidR="00671CE2" w:rsidRPr="00A07BE9" w:rsidRDefault="00671CE2" w:rsidP="00671CE2">
      <w:pPr>
        <w:spacing w:after="0" w:line="276" w:lineRule="auto"/>
        <w:jc w:val="both"/>
        <w:rPr>
          <w:rFonts w:ascii="Open Sans" w:hAnsi="Open Sans"/>
          <w:color w:val="000000"/>
          <w:sz w:val="20"/>
          <w:szCs w:val="20"/>
        </w:rPr>
      </w:pPr>
    </w:p>
    <w:p w14:paraId="21BD3A13" w14:textId="50283D65" w:rsidR="00671CE2" w:rsidRPr="00A07BE9" w:rsidRDefault="00671CE2" w:rsidP="00671CE2">
      <w:pPr>
        <w:spacing w:after="0" w:line="276" w:lineRule="auto"/>
        <w:jc w:val="both"/>
        <w:rPr>
          <w:rFonts w:ascii="Open Sans" w:hAnsi="Open Sans"/>
          <w:sz w:val="20"/>
          <w:szCs w:val="20"/>
        </w:rPr>
      </w:pPr>
      <w:r w:rsidRPr="00A07BE9">
        <w:rPr>
          <w:rFonts w:ascii="Open Sans" w:hAnsi="Open Sans"/>
          <w:color w:val="000000"/>
          <w:sz w:val="20"/>
          <w:szCs w:val="20"/>
        </w:rPr>
        <w:t xml:space="preserve">El 4 de julio de 2019, la Agencia tuvo conocimiento de la </w:t>
      </w:r>
      <w:hyperlink r:id="rId186" w:history="1">
        <w:r w:rsidRPr="00A07BE9">
          <w:rPr>
            <w:rStyle w:val="Hipervnculo"/>
            <w:rFonts w:ascii="Open Sans" w:hAnsi="Open Sans"/>
            <w:b/>
            <w:bCs/>
            <w:sz w:val="20"/>
            <w:szCs w:val="20"/>
          </w:rPr>
          <w:t>Nota de un letrado de les Corts</w:t>
        </w:r>
      </w:hyperlink>
      <w:r w:rsidRPr="00A07BE9">
        <w:rPr>
          <w:rFonts w:ascii="Open Sans" w:hAnsi="Open Sans"/>
          <w:color w:val="000000"/>
          <w:sz w:val="20"/>
          <w:szCs w:val="20"/>
        </w:rPr>
        <w:t xml:space="preserve"> (fechada el 2 de julio de 2019) en relación con el proyecto de Reglamento de funcionamiento y régimen interior de la Agencia de Prevención y Lucha contra el Fraude y la Corrupción de la Comunitat Valenciana.</w:t>
      </w:r>
    </w:p>
    <w:p w14:paraId="73699C81" w14:textId="77777777" w:rsidR="00671CE2" w:rsidRPr="00A07BE9" w:rsidRDefault="00671CE2" w:rsidP="00671CE2">
      <w:pPr>
        <w:spacing w:after="0" w:line="276" w:lineRule="auto"/>
        <w:jc w:val="both"/>
        <w:rPr>
          <w:rFonts w:ascii="Open Sans" w:hAnsi="Open Sans"/>
          <w:color w:val="000000"/>
          <w:sz w:val="20"/>
          <w:szCs w:val="20"/>
        </w:rPr>
      </w:pPr>
    </w:p>
    <w:p w14:paraId="35A5E425" w14:textId="6B4A0CD1" w:rsidR="00671CE2" w:rsidRPr="00A07BE9" w:rsidRDefault="00671CE2" w:rsidP="00671CE2">
      <w:pPr>
        <w:spacing w:after="0" w:line="276" w:lineRule="auto"/>
        <w:jc w:val="both"/>
        <w:rPr>
          <w:rFonts w:ascii="Open Sans" w:hAnsi="Open Sans"/>
          <w:sz w:val="20"/>
          <w:szCs w:val="20"/>
        </w:rPr>
      </w:pPr>
      <w:r w:rsidRPr="00A07BE9">
        <w:rPr>
          <w:rFonts w:ascii="Open Sans" w:hAnsi="Open Sans"/>
          <w:sz w:val="20"/>
          <w:szCs w:val="20"/>
        </w:rPr>
        <w:t xml:space="preserve">Se hace necesario destacar que a lo largo del intenso y participativo proceso de elaboración y tramitación de este proyecto normativo, que se prolongó durante más dieciocho meses, la Agencia remitió el texto de la propuesta en varias ocasiones, tanto en fase de </w:t>
      </w:r>
      <w:hyperlink r:id="rId187" w:history="1">
        <w:r w:rsidRPr="00A07BE9">
          <w:rPr>
            <w:rStyle w:val="Hipervnculo"/>
            <w:rFonts w:ascii="Open Sans" w:hAnsi="Open Sans"/>
            <w:sz w:val="20"/>
            <w:szCs w:val="20"/>
          </w:rPr>
          <w:t>consulta pública previa</w:t>
        </w:r>
      </w:hyperlink>
      <w:r w:rsidRPr="00A07BE9">
        <w:rPr>
          <w:rFonts w:ascii="Open Sans" w:hAnsi="Open Sans"/>
          <w:sz w:val="20"/>
          <w:szCs w:val="20"/>
        </w:rPr>
        <w:t xml:space="preserve"> como de audiencia e información públicas, a </w:t>
      </w:r>
      <w:r w:rsidRPr="00A07BE9">
        <w:rPr>
          <w:rFonts w:ascii="Open Sans" w:hAnsi="Open Sans"/>
          <w:color w:val="000000"/>
          <w:sz w:val="20"/>
          <w:szCs w:val="20"/>
        </w:rPr>
        <w:t xml:space="preserve">diferentes </w:t>
      </w:r>
      <w:r w:rsidRPr="00A07BE9">
        <w:rPr>
          <w:rFonts w:ascii="Open Sans" w:hAnsi="Open Sans"/>
          <w:sz w:val="20"/>
          <w:szCs w:val="20"/>
        </w:rPr>
        <w:t>órganos de les Corts (Presidencia, Mesa de les Corts, Junta de Síndicos y Comisión de Economía, Presupuestos y Hacienda), para su conocimiento y a los efectos que se considerasen oportunos. Igualmente, se incorporó el texto del proyecto de Reglamento como anexo a la Memoria anual de actividad de esta Agencia correspondiente al ejercicio 2018, que fue presentada el 29 de marzo de 2019 ante la Comisión de Economía, Hacienda y Presupuestos, y respecto de la cual la Mesa de las Cortes acreditó en fecha 2 de abril, haber tenido conocimiento. En ninguno de los mencionados procedimientos, por parte de les Corts se expresó cualquier consideración o informe que se estimase pertinente emitir.</w:t>
      </w:r>
    </w:p>
    <w:p w14:paraId="382E2CD8" w14:textId="77777777" w:rsidR="00671CE2" w:rsidRPr="00A07BE9" w:rsidRDefault="00671CE2" w:rsidP="00671CE2">
      <w:pPr>
        <w:pStyle w:val="Contenidodelatabla"/>
        <w:shd w:val="clear" w:color="auto" w:fill="FFFFFF"/>
        <w:spacing w:after="0" w:line="276" w:lineRule="auto"/>
        <w:jc w:val="both"/>
        <w:rPr>
          <w:rFonts w:ascii="Open Sans" w:hAnsi="Open Sans"/>
          <w:sz w:val="20"/>
          <w:szCs w:val="20"/>
        </w:rPr>
      </w:pPr>
    </w:p>
    <w:p w14:paraId="3579048E" w14:textId="211EDE9E" w:rsidR="00671CE2" w:rsidRPr="00A07BE9" w:rsidRDefault="00671CE2" w:rsidP="00671CE2">
      <w:pPr>
        <w:pStyle w:val="Contenidodelatabla"/>
        <w:shd w:val="clear" w:color="auto" w:fill="FFFFFF"/>
        <w:spacing w:after="0" w:line="276" w:lineRule="auto"/>
        <w:jc w:val="both"/>
        <w:rPr>
          <w:rFonts w:ascii="Open Sans" w:hAnsi="Open Sans"/>
          <w:sz w:val="20"/>
          <w:szCs w:val="20"/>
        </w:rPr>
      </w:pPr>
      <w:r w:rsidRPr="00A07BE9">
        <w:rPr>
          <w:rFonts w:ascii="Open Sans" w:hAnsi="Open Sans"/>
          <w:sz w:val="20"/>
          <w:szCs w:val="20"/>
        </w:rPr>
        <w:t>No obstante</w:t>
      </w:r>
      <w:r w:rsidRPr="00A07BE9">
        <w:rPr>
          <w:rFonts w:ascii="Open Sans" w:hAnsi="Open Sans"/>
          <w:color w:val="000000"/>
          <w:sz w:val="20"/>
          <w:szCs w:val="20"/>
        </w:rPr>
        <w:t xml:space="preserve"> ello, </w:t>
      </w:r>
      <w:r w:rsidRPr="00A07BE9">
        <w:rPr>
          <w:rFonts w:ascii="Open Sans" w:hAnsi="Open Sans"/>
          <w:sz w:val="20"/>
          <w:szCs w:val="20"/>
        </w:rPr>
        <w:t xml:space="preserve">las </w:t>
      </w:r>
      <w:r w:rsidRPr="00A07BE9">
        <w:rPr>
          <w:rFonts w:ascii="Open Sans" w:hAnsi="Open Sans"/>
          <w:b/>
          <w:bCs/>
          <w:sz w:val="20"/>
          <w:szCs w:val="20"/>
        </w:rPr>
        <w:t>conclusiones de dicha Nota</w:t>
      </w:r>
      <w:r w:rsidRPr="00A07BE9">
        <w:rPr>
          <w:rFonts w:ascii="Open Sans" w:hAnsi="Open Sans"/>
          <w:i/>
          <w:iCs/>
          <w:sz w:val="20"/>
          <w:szCs w:val="20"/>
        </w:rPr>
        <w:t xml:space="preserve"> </w:t>
      </w:r>
      <w:r w:rsidRPr="00A07BE9">
        <w:rPr>
          <w:rFonts w:ascii="Open Sans" w:hAnsi="Open Sans"/>
          <w:sz w:val="20"/>
          <w:szCs w:val="20"/>
        </w:rPr>
        <w:t xml:space="preserve">fueron </w:t>
      </w:r>
      <w:r w:rsidRPr="00A07BE9">
        <w:rPr>
          <w:rFonts w:ascii="Open Sans" w:hAnsi="Open Sans"/>
          <w:b/>
          <w:bCs/>
          <w:sz w:val="20"/>
          <w:szCs w:val="20"/>
        </w:rPr>
        <w:t xml:space="preserve">trasladadas al Reglamento </w:t>
      </w:r>
      <w:r w:rsidRPr="00A07BE9">
        <w:rPr>
          <w:rFonts w:ascii="Open Sans" w:hAnsi="Open Sans"/>
          <w:sz w:val="20"/>
          <w:szCs w:val="20"/>
        </w:rPr>
        <w:t>de 27 de junio de 2019 de funcionamiento y régimen interior, para su modificación; en concreto, se suprimió el apartado 2 del artículo 73, renumerándose los apartados siguientes de este artículo de manera que los apartados 3 y 4 pasaron a ser, correlativamente, el 2 y el 3, y se modificó el artículo 80.1</w:t>
      </w:r>
      <w:r w:rsidRPr="00A07BE9">
        <w:rPr>
          <w:rFonts w:ascii="Open Sans" w:hAnsi="Open Sans"/>
          <w:color w:val="000000"/>
          <w:sz w:val="20"/>
          <w:szCs w:val="20"/>
        </w:rPr>
        <w:t xml:space="preserve">. Esta modificación fue realizada mediante Resolución de 8 de julio de 2019, del director de la Agencia, publicada en el DOGV núm. 8591, de 15 de julio de 2019. </w:t>
      </w:r>
    </w:p>
    <w:p w14:paraId="384F1FE7" w14:textId="77777777" w:rsidR="00D45FAB" w:rsidRPr="00A07BE9" w:rsidRDefault="00D45FAB" w:rsidP="00671CE2">
      <w:pPr>
        <w:pStyle w:val="Contenidodelatabla"/>
        <w:shd w:val="clear" w:color="auto" w:fill="FFFFFF"/>
        <w:spacing w:after="0" w:line="276" w:lineRule="auto"/>
        <w:jc w:val="both"/>
        <w:rPr>
          <w:rFonts w:ascii="Open Sans" w:hAnsi="Open Sans"/>
          <w:sz w:val="20"/>
          <w:szCs w:val="20"/>
        </w:rPr>
      </w:pPr>
    </w:p>
    <w:p w14:paraId="7EB09858" w14:textId="241F5F73" w:rsidR="00671CE2" w:rsidRPr="00A07BE9" w:rsidRDefault="00671CE2" w:rsidP="00671CE2">
      <w:pPr>
        <w:pStyle w:val="Contenidodelatabla"/>
        <w:shd w:val="clear" w:color="auto" w:fill="FFFFFF"/>
        <w:spacing w:after="0" w:line="276" w:lineRule="auto"/>
        <w:jc w:val="both"/>
        <w:rPr>
          <w:rFonts w:ascii="Open Sans" w:hAnsi="Open Sans"/>
          <w:color w:val="000000"/>
          <w:sz w:val="20"/>
          <w:szCs w:val="20"/>
        </w:rPr>
      </w:pPr>
      <w:r w:rsidRPr="00A07BE9">
        <w:rPr>
          <w:rFonts w:ascii="Open Sans" w:hAnsi="Open Sans"/>
          <w:color w:val="000000"/>
          <w:sz w:val="20"/>
          <w:szCs w:val="20"/>
        </w:rPr>
        <w:t xml:space="preserve">Desde 16 de julio de 2019, el DOGV ofrece la </w:t>
      </w:r>
      <w:r w:rsidRPr="00A07BE9">
        <w:rPr>
          <w:rFonts w:ascii="Open Sans" w:hAnsi="Open Sans"/>
          <w:b/>
          <w:bCs/>
          <w:color w:val="000000"/>
          <w:sz w:val="20"/>
          <w:szCs w:val="20"/>
        </w:rPr>
        <w:t xml:space="preserve">versión consolidada del </w:t>
      </w:r>
      <w:hyperlink r:id="rId188" w:history="1">
        <w:r w:rsidRPr="00A07BE9">
          <w:rPr>
            <w:rStyle w:val="Hipervnculo"/>
            <w:rFonts w:ascii="Open Sans" w:hAnsi="Open Sans"/>
            <w:b/>
            <w:bCs/>
            <w:sz w:val="20"/>
            <w:szCs w:val="20"/>
          </w:rPr>
          <w:t xml:space="preserve">Reglamento </w:t>
        </w:r>
        <w:r w:rsidRPr="00A07BE9">
          <w:rPr>
            <w:rStyle w:val="Hipervnculo"/>
            <w:rFonts w:ascii="Open Sans" w:hAnsi="Open Sans"/>
            <w:sz w:val="20"/>
            <w:szCs w:val="20"/>
          </w:rPr>
          <w:t>de funcionamiento y régimen interior</w:t>
        </w:r>
      </w:hyperlink>
      <w:r w:rsidRPr="00A07BE9">
        <w:rPr>
          <w:rFonts w:ascii="Open Sans" w:hAnsi="Open Sans"/>
          <w:color w:val="000000"/>
          <w:sz w:val="20"/>
          <w:szCs w:val="20"/>
        </w:rPr>
        <w:t xml:space="preserve"> de la Agencia de Prevención y Lucha contra el Fraude y la Corrupción de la Comunitat Valenciana en su portal web.</w:t>
      </w:r>
    </w:p>
    <w:p w14:paraId="57D1633A" w14:textId="77777777" w:rsidR="00671CE2" w:rsidRPr="00A07BE9" w:rsidRDefault="00671CE2" w:rsidP="00671CE2">
      <w:pPr>
        <w:pStyle w:val="Contenidodelatabla"/>
        <w:shd w:val="clear" w:color="auto" w:fill="FFFFFF"/>
        <w:spacing w:after="0" w:line="276" w:lineRule="auto"/>
        <w:jc w:val="both"/>
        <w:rPr>
          <w:rFonts w:ascii="Open Sans" w:hAnsi="Open Sans"/>
          <w:color w:val="000000"/>
          <w:sz w:val="20"/>
          <w:szCs w:val="20"/>
        </w:rPr>
      </w:pPr>
    </w:p>
    <w:p w14:paraId="16D87A45" w14:textId="77777777" w:rsidR="00671CE2" w:rsidRPr="00A07BE9" w:rsidRDefault="00671CE2" w:rsidP="00671CE2">
      <w:pPr>
        <w:pStyle w:val="Contenidodelatabla"/>
        <w:shd w:val="clear" w:color="auto" w:fill="FFFFFF"/>
        <w:spacing w:after="0" w:line="276" w:lineRule="auto"/>
        <w:jc w:val="both"/>
        <w:rPr>
          <w:rFonts w:ascii="Open Sans" w:hAnsi="Open Sans"/>
          <w:color w:val="000000"/>
          <w:sz w:val="20"/>
          <w:szCs w:val="20"/>
        </w:rPr>
      </w:pPr>
      <w:r w:rsidRPr="00A07BE9">
        <w:rPr>
          <w:rFonts w:ascii="Open Sans" w:hAnsi="Open Sans"/>
          <w:color w:val="000000"/>
          <w:sz w:val="20"/>
          <w:szCs w:val="20"/>
        </w:rPr>
        <w:t>Por lo que se refiere a la publicación del citado Reglamento en el BOC, su texto consolidado se recoge en el núm. 17, de 26 de julio de 2019.</w:t>
      </w:r>
    </w:p>
    <w:p w14:paraId="09D76683" w14:textId="77777777" w:rsidR="00671CE2" w:rsidRPr="00A07BE9" w:rsidRDefault="00671CE2" w:rsidP="00671CE2">
      <w:pPr>
        <w:pStyle w:val="Contenidodelatabla"/>
        <w:shd w:val="clear" w:color="auto" w:fill="FFFFFF"/>
        <w:spacing w:after="0" w:line="276" w:lineRule="auto"/>
        <w:jc w:val="both"/>
        <w:rPr>
          <w:rFonts w:ascii="Open Sans" w:hAnsi="Open Sans"/>
          <w:color w:val="000000"/>
          <w:sz w:val="20"/>
          <w:szCs w:val="20"/>
        </w:rPr>
      </w:pPr>
    </w:p>
    <w:p w14:paraId="7D57A321" w14:textId="712AD3F8" w:rsidR="00C87DEA" w:rsidRPr="00A07BE9" w:rsidRDefault="00671CE2" w:rsidP="00671CE2">
      <w:pPr>
        <w:pStyle w:val="Contenidodelatabla"/>
        <w:shd w:val="clear" w:color="auto" w:fill="FFFFFF"/>
        <w:spacing w:after="0" w:line="276" w:lineRule="auto"/>
        <w:jc w:val="both"/>
        <w:rPr>
          <w:rFonts w:ascii="Open Sans" w:hAnsi="Open Sans"/>
          <w:color w:val="000000"/>
          <w:sz w:val="20"/>
          <w:szCs w:val="20"/>
        </w:rPr>
      </w:pPr>
      <w:r w:rsidRPr="00A07BE9">
        <w:rPr>
          <w:rFonts w:ascii="Open Sans" w:hAnsi="Open Sans"/>
          <w:color w:val="000000"/>
          <w:sz w:val="20"/>
          <w:szCs w:val="20"/>
        </w:rPr>
        <w:t xml:space="preserve">El texto íntegro de dicha norma y su itinerario jurídico hasta su aprobación se puede consultar igualmente en el Portal de transparencia de la página web de la Agencia. </w:t>
      </w:r>
    </w:p>
    <w:p w14:paraId="53B0F9B9" w14:textId="0872DCB3" w:rsidR="00C87DEA" w:rsidRDefault="00C87DEA" w:rsidP="00671CE2">
      <w:pPr>
        <w:pStyle w:val="Contenidodelatabla"/>
        <w:shd w:val="clear" w:color="auto" w:fill="FFFFFF"/>
        <w:spacing w:after="0" w:line="276" w:lineRule="auto"/>
        <w:jc w:val="both"/>
        <w:rPr>
          <w:rFonts w:ascii="Open Sans" w:hAnsi="Open Sans"/>
          <w:color w:val="000000"/>
          <w:sz w:val="20"/>
          <w:szCs w:val="20"/>
        </w:rPr>
      </w:pPr>
    </w:p>
    <w:p w14:paraId="398982D7" w14:textId="6B6D3457" w:rsidR="00094228" w:rsidRDefault="00094228" w:rsidP="00671CE2">
      <w:pPr>
        <w:pStyle w:val="Contenidodelatabla"/>
        <w:shd w:val="clear" w:color="auto" w:fill="FFFFFF"/>
        <w:spacing w:after="0" w:line="276" w:lineRule="auto"/>
        <w:jc w:val="both"/>
        <w:rPr>
          <w:rFonts w:ascii="Open Sans" w:hAnsi="Open Sans"/>
          <w:color w:val="000000"/>
          <w:sz w:val="20"/>
          <w:szCs w:val="20"/>
        </w:rPr>
      </w:pPr>
    </w:p>
    <w:p w14:paraId="577DDD53" w14:textId="12A08C67" w:rsidR="00094228" w:rsidRDefault="00094228" w:rsidP="00671CE2">
      <w:pPr>
        <w:pStyle w:val="Contenidodelatabla"/>
        <w:shd w:val="clear" w:color="auto" w:fill="FFFFFF"/>
        <w:spacing w:after="0" w:line="276" w:lineRule="auto"/>
        <w:jc w:val="both"/>
        <w:rPr>
          <w:rFonts w:ascii="Open Sans" w:hAnsi="Open Sans"/>
          <w:color w:val="000000"/>
          <w:sz w:val="20"/>
          <w:szCs w:val="20"/>
        </w:rPr>
      </w:pPr>
    </w:p>
    <w:p w14:paraId="3436F754" w14:textId="77777777" w:rsidR="00094228" w:rsidRPr="00A07BE9" w:rsidRDefault="00094228" w:rsidP="00671CE2">
      <w:pPr>
        <w:pStyle w:val="Contenidodelatabla"/>
        <w:shd w:val="clear" w:color="auto" w:fill="FFFFFF"/>
        <w:spacing w:after="0" w:line="276" w:lineRule="auto"/>
        <w:jc w:val="both"/>
        <w:rPr>
          <w:rFonts w:ascii="Open Sans" w:hAnsi="Open Sans"/>
          <w:color w:val="000000"/>
          <w:sz w:val="20"/>
          <w:szCs w:val="20"/>
        </w:rPr>
      </w:pPr>
    </w:p>
    <w:p w14:paraId="1C88D879" w14:textId="6B4F0BC5" w:rsidR="00671CE2" w:rsidRPr="00A07BE9" w:rsidRDefault="00671CE2" w:rsidP="00671CE2">
      <w:pPr>
        <w:spacing w:after="0" w:line="276" w:lineRule="auto"/>
        <w:jc w:val="both"/>
        <w:rPr>
          <w:rFonts w:ascii="Open Sans" w:eastAsia="Times New Roman" w:hAnsi="Open Sans" w:cs="Open Sans"/>
          <w:b/>
          <w:bCs/>
          <w:smallCaps/>
          <w:color w:val="9D2235"/>
          <w:sz w:val="24"/>
          <w:szCs w:val="24"/>
          <w:lang w:val="ca-ES" w:eastAsia="es-ES"/>
        </w:rPr>
      </w:pPr>
      <w:r w:rsidRPr="00A07BE9">
        <w:rPr>
          <w:rFonts w:ascii="Open Sans" w:eastAsia="Times New Roman" w:hAnsi="Open Sans" w:cs="Open Sans"/>
          <w:b/>
          <w:bCs/>
          <w:smallCaps/>
          <w:color w:val="9D2235"/>
          <w:sz w:val="24"/>
          <w:szCs w:val="24"/>
          <w:lang w:val="ca-ES" w:eastAsia="es-ES"/>
        </w:rPr>
        <w:lastRenderedPageBreak/>
        <w:t>4.2.3.</w:t>
      </w:r>
      <w:r w:rsidR="00417A14">
        <w:rPr>
          <w:rFonts w:ascii="Open Sans" w:eastAsia="Times New Roman" w:hAnsi="Open Sans" w:cs="Open Sans"/>
          <w:b/>
          <w:bCs/>
          <w:smallCaps/>
          <w:color w:val="9D2235"/>
          <w:sz w:val="24"/>
          <w:szCs w:val="24"/>
          <w:lang w:val="ca-ES" w:eastAsia="es-ES"/>
        </w:rPr>
        <w:t>2</w:t>
      </w:r>
      <w:r w:rsidRPr="00A07BE9">
        <w:rPr>
          <w:rFonts w:ascii="Open Sans" w:eastAsia="Times New Roman" w:hAnsi="Open Sans" w:cs="Open Sans"/>
          <w:b/>
          <w:bCs/>
          <w:smallCaps/>
          <w:color w:val="9D2235"/>
          <w:sz w:val="24"/>
          <w:szCs w:val="24"/>
          <w:lang w:val="ca-ES" w:eastAsia="es-ES"/>
        </w:rPr>
        <w:t>. Contenido del reglamento de funcionamiento y régimen interior</w:t>
      </w:r>
    </w:p>
    <w:p w14:paraId="48E54D48" w14:textId="77777777" w:rsidR="00671CE2" w:rsidRPr="00A07BE9" w:rsidRDefault="00671CE2" w:rsidP="00671CE2">
      <w:pPr>
        <w:spacing w:after="0" w:line="276" w:lineRule="auto"/>
        <w:jc w:val="both"/>
        <w:rPr>
          <w:rFonts w:ascii="Open Sans" w:hAnsi="Open Sans" w:cs="Open Sans"/>
          <w:color w:val="1B1B1B"/>
          <w:sz w:val="20"/>
          <w:szCs w:val="20"/>
          <w:lang w:val="ca-ES"/>
        </w:rPr>
      </w:pPr>
    </w:p>
    <w:p w14:paraId="670AD65C" w14:textId="1FA1D7B0" w:rsidR="00671CE2" w:rsidRPr="00A07BE9" w:rsidRDefault="00671CE2" w:rsidP="009A3D76">
      <w:pPr>
        <w:spacing w:after="0" w:line="276" w:lineRule="auto"/>
        <w:jc w:val="both"/>
        <w:rPr>
          <w:rFonts w:ascii="Open Sans" w:hAnsi="Open Sans" w:cs="Open Sans"/>
          <w:color w:val="1B1B1B"/>
          <w:sz w:val="20"/>
          <w:szCs w:val="20"/>
        </w:rPr>
      </w:pPr>
      <w:r w:rsidRPr="00A07BE9">
        <w:rPr>
          <w:rFonts w:ascii="Open Sans" w:hAnsi="Open Sans" w:cs="Open Sans"/>
          <w:color w:val="1B1B1B"/>
          <w:sz w:val="20"/>
          <w:szCs w:val="20"/>
        </w:rPr>
        <w:t xml:space="preserve">El </w:t>
      </w:r>
      <w:hyperlink r:id="rId189" w:history="1">
        <w:r w:rsidRPr="00A07BE9">
          <w:rPr>
            <w:rStyle w:val="Hipervnculo"/>
            <w:rFonts w:ascii="Open Sans" w:hAnsi="Open Sans" w:cs="Open Sans"/>
            <w:sz w:val="20"/>
            <w:szCs w:val="20"/>
          </w:rPr>
          <w:t>Reglamento de 27 de junio de 2019 de funcionamiento y régimen interior</w:t>
        </w:r>
      </w:hyperlink>
      <w:r w:rsidRPr="00A07BE9">
        <w:rPr>
          <w:rFonts w:ascii="Open Sans" w:hAnsi="Open Sans" w:cs="Open Sans"/>
          <w:color w:val="1B1B1B"/>
          <w:sz w:val="20"/>
          <w:szCs w:val="20"/>
        </w:rPr>
        <w:t xml:space="preserve"> de la Agencia de Prevención y Lucha contra el Fraude y la Corrupción de la Comunitat Valenciana, en su versión consolidada del DOGV, se recoge como Anexo I de esta Memoria.</w:t>
      </w:r>
    </w:p>
    <w:p w14:paraId="567608D1" w14:textId="77777777" w:rsidR="00D45FAB" w:rsidRPr="00A07BE9" w:rsidRDefault="00D45FAB" w:rsidP="009A3D76">
      <w:pPr>
        <w:spacing w:after="0" w:line="276" w:lineRule="auto"/>
        <w:jc w:val="both"/>
        <w:rPr>
          <w:rFonts w:ascii="Open Sans" w:hAnsi="Open Sans"/>
          <w:sz w:val="20"/>
          <w:szCs w:val="20"/>
        </w:rPr>
      </w:pPr>
    </w:p>
    <w:p w14:paraId="25CE80BC" w14:textId="77777777" w:rsidR="00671CE2" w:rsidRPr="00A07BE9" w:rsidRDefault="00671CE2" w:rsidP="00671CE2">
      <w:pPr>
        <w:shd w:val="clear" w:color="auto" w:fill="FFFFFF"/>
        <w:spacing w:after="0" w:line="240" w:lineRule="auto"/>
        <w:jc w:val="both"/>
        <w:rPr>
          <w:rFonts w:ascii="Open Sans" w:eastAsia="Times New Roman" w:hAnsi="Open Sans" w:cs="Open Sans"/>
          <w:b/>
          <w:bCs/>
          <w:smallCaps/>
          <w:color w:val="9D2235"/>
          <w:kern w:val="2"/>
          <w:sz w:val="28"/>
          <w:szCs w:val="28"/>
          <w:lang w:eastAsia="es-ES"/>
        </w:rPr>
      </w:pPr>
      <w:r w:rsidRPr="00A07BE9">
        <w:rPr>
          <w:rFonts w:ascii="Open Sans" w:eastAsia="Times New Roman" w:hAnsi="Open Sans" w:cs="Open Sans"/>
          <w:b/>
          <w:bCs/>
          <w:smallCaps/>
          <w:color w:val="9D2235"/>
          <w:kern w:val="2"/>
          <w:sz w:val="28"/>
          <w:szCs w:val="28"/>
          <w:lang w:eastAsia="es-ES"/>
        </w:rPr>
        <w:t>4.2.4. Ámbito de Actuación Material de la Agencia</w:t>
      </w:r>
    </w:p>
    <w:p w14:paraId="7E2D62B1" w14:textId="77777777" w:rsidR="00671CE2" w:rsidRPr="00A07BE9" w:rsidRDefault="00671CE2" w:rsidP="00671CE2">
      <w:pPr>
        <w:shd w:val="clear" w:color="auto" w:fill="FFFFFF"/>
        <w:spacing w:after="0" w:line="240" w:lineRule="auto"/>
        <w:jc w:val="both"/>
        <w:rPr>
          <w:rFonts w:ascii="Open Sans" w:eastAsia="Times New Roman" w:hAnsi="Open Sans" w:cs="Open Sans"/>
          <w:smallCaps/>
          <w:color w:val="1B1B1B"/>
          <w:kern w:val="2"/>
          <w:sz w:val="20"/>
          <w:szCs w:val="20"/>
          <w:lang w:eastAsia="es-ES"/>
        </w:rPr>
      </w:pPr>
    </w:p>
    <w:p w14:paraId="2E301B8F" w14:textId="2498868C" w:rsidR="00671CE2" w:rsidRPr="00A07BE9" w:rsidRDefault="00671CE2" w:rsidP="00671CE2">
      <w:pPr>
        <w:spacing w:after="0" w:line="276" w:lineRule="auto"/>
        <w:jc w:val="both"/>
        <w:rPr>
          <w:rFonts w:ascii="Open Sans" w:hAnsi="Open Sans"/>
          <w:sz w:val="20"/>
          <w:szCs w:val="20"/>
        </w:rPr>
      </w:pPr>
      <w:r w:rsidRPr="00A07BE9">
        <w:rPr>
          <w:rFonts w:ascii="Open Sans" w:hAnsi="Open Sans"/>
          <w:sz w:val="20"/>
          <w:szCs w:val="20"/>
        </w:rPr>
        <w:t xml:space="preserve">Dispone el artículo 1.3 de la </w:t>
      </w:r>
      <w:hyperlink r:id="rId190" w:history="1">
        <w:r w:rsidR="0050097D" w:rsidRPr="00A07BE9">
          <w:rPr>
            <w:rStyle w:val="Hipervnculo"/>
            <w:rFonts w:ascii="Open Sans" w:hAnsi="Open Sans" w:cs="Open Sans"/>
            <w:sz w:val="20"/>
            <w:szCs w:val="20"/>
          </w:rPr>
          <w:t>Ley 11/2016</w:t>
        </w:r>
      </w:hyperlink>
      <w:r w:rsidRPr="00A07BE9">
        <w:rPr>
          <w:rFonts w:ascii="Open Sans" w:hAnsi="Open Sans"/>
          <w:sz w:val="20"/>
          <w:szCs w:val="20"/>
        </w:rPr>
        <w:t xml:space="preserve">, de la Agencia de Prevención y Lucha contra el Fraude y la Corrupción de la Comunitat Valenciana, que la Agencia se crea para prevenir y erradicar el fraude y la corrupción de las instituciones públicas valencianas y para el impulso de la integridad y la ética pública, así como </w:t>
      </w:r>
      <w:r w:rsidRPr="00A07BE9">
        <w:rPr>
          <w:rFonts w:ascii="Open Sans" w:hAnsi="Open Sans"/>
          <w:color w:val="000000"/>
          <w:sz w:val="20"/>
          <w:szCs w:val="20"/>
        </w:rPr>
        <w:t>para</w:t>
      </w:r>
      <w:r w:rsidRPr="00A07BE9">
        <w:rPr>
          <w:rFonts w:ascii="Open Sans" w:hAnsi="Open Sans"/>
          <w:sz w:val="20"/>
          <w:szCs w:val="20"/>
        </w:rPr>
        <w:t xml:space="preserve"> el fomento de una cultura de buenas prácticas y de rechazo del fraude y la corrupción en el diseño, ejecución y evaluación de políticas públicas y en la gestión de recursos públicos.</w:t>
      </w:r>
    </w:p>
    <w:p w14:paraId="069E0F26" w14:textId="77777777" w:rsidR="00671CE2" w:rsidRPr="00A07BE9" w:rsidRDefault="00671CE2" w:rsidP="00671CE2">
      <w:pPr>
        <w:spacing w:after="0" w:line="276" w:lineRule="auto"/>
        <w:jc w:val="both"/>
        <w:rPr>
          <w:rFonts w:ascii="Open Sans" w:hAnsi="Open Sans"/>
          <w:sz w:val="20"/>
          <w:szCs w:val="20"/>
        </w:rPr>
      </w:pPr>
    </w:p>
    <w:p w14:paraId="78B7E23E" w14:textId="0A2D4F49" w:rsidR="00671CE2" w:rsidRPr="00A07BE9" w:rsidRDefault="00671CE2" w:rsidP="00671CE2">
      <w:pPr>
        <w:spacing w:after="0" w:line="276" w:lineRule="auto"/>
        <w:jc w:val="both"/>
        <w:rPr>
          <w:rFonts w:ascii="Open Sans" w:hAnsi="Open Sans"/>
          <w:sz w:val="20"/>
          <w:szCs w:val="20"/>
        </w:rPr>
      </w:pPr>
      <w:r w:rsidRPr="00A07BE9">
        <w:rPr>
          <w:rFonts w:ascii="Open Sans" w:hAnsi="Open Sans"/>
          <w:sz w:val="20"/>
          <w:szCs w:val="20"/>
        </w:rPr>
        <w:t xml:space="preserve">El ámbito de actuación subjetivo de la Agencia es el contemplado en el artículo 3 de la </w:t>
      </w:r>
      <w:hyperlink r:id="rId191" w:history="1">
        <w:r w:rsidR="0050097D" w:rsidRPr="00A07BE9">
          <w:rPr>
            <w:rStyle w:val="Hipervnculo"/>
            <w:rFonts w:ascii="Open Sans" w:hAnsi="Open Sans" w:cs="Open Sans"/>
            <w:sz w:val="20"/>
            <w:szCs w:val="20"/>
          </w:rPr>
          <w:t>Ley 11/2016</w:t>
        </w:r>
        <w:r w:rsidR="0050097D" w:rsidRPr="00A07BE9">
          <w:rPr>
            <w:rStyle w:val="Hipervnculo"/>
            <w:rFonts w:ascii="Open Sans" w:hAnsi="Open Sans"/>
            <w:color w:val="auto"/>
            <w:sz w:val="20"/>
            <w:szCs w:val="20"/>
            <w:u w:val="none"/>
          </w:rPr>
          <w:t>, de 28 de noviembre, de la Generalitat</w:t>
        </w:r>
      </w:hyperlink>
      <w:r w:rsidR="0050097D" w:rsidRPr="00A07BE9">
        <w:rPr>
          <w:rFonts w:ascii="Open Sans" w:hAnsi="Open Sans" w:cs="Open Sans"/>
          <w:sz w:val="20"/>
          <w:szCs w:val="20"/>
        </w:rPr>
        <w:t>,</w:t>
      </w:r>
      <w:r w:rsidRPr="00A07BE9">
        <w:rPr>
          <w:rFonts w:ascii="Open Sans" w:hAnsi="Open Sans"/>
          <w:sz w:val="20"/>
          <w:szCs w:val="20"/>
        </w:rPr>
        <w:t xml:space="preserve"> y el ámbito territorial, como no puede ser de otra manera, de acuerdo con el Estatuto de Autonomía, el territorio de la Comunitat Valenciana.</w:t>
      </w:r>
    </w:p>
    <w:p w14:paraId="416F62A1" w14:textId="77777777" w:rsidR="00671CE2" w:rsidRPr="00A07BE9" w:rsidRDefault="00671CE2" w:rsidP="00671CE2">
      <w:pPr>
        <w:spacing w:after="0" w:line="276" w:lineRule="auto"/>
        <w:jc w:val="both"/>
        <w:rPr>
          <w:rFonts w:ascii="Open Sans" w:hAnsi="Open Sans"/>
          <w:sz w:val="20"/>
          <w:szCs w:val="20"/>
        </w:rPr>
      </w:pPr>
    </w:p>
    <w:p w14:paraId="692788F0" w14:textId="77777777" w:rsidR="00671CE2" w:rsidRPr="00A07BE9" w:rsidRDefault="00671CE2" w:rsidP="00671CE2">
      <w:pPr>
        <w:spacing w:after="0" w:line="276" w:lineRule="auto"/>
        <w:jc w:val="both"/>
        <w:rPr>
          <w:rFonts w:ascii="Open Sans" w:hAnsi="Open Sans"/>
          <w:sz w:val="20"/>
          <w:szCs w:val="20"/>
        </w:rPr>
      </w:pPr>
      <w:r w:rsidRPr="00A07BE9">
        <w:rPr>
          <w:rFonts w:ascii="Open Sans" w:hAnsi="Open Sans"/>
          <w:sz w:val="20"/>
          <w:szCs w:val="20"/>
        </w:rPr>
        <w:t xml:space="preserve">Pero mientras que el </w:t>
      </w:r>
      <w:r w:rsidRPr="00A07BE9">
        <w:rPr>
          <w:rFonts w:ascii="Open Sans" w:hAnsi="Open Sans"/>
          <w:i/>
          <w:iCs/>
          <w:sz w:val="20"/>
          <w:szCs w:val="20"/>
        </w:rPr>
        <w:t>ámbito de actuación subjetivo</w:t>
      </w:r>
      <w:r w:rsidRPr="00A07BE9">
        <w:rPr>
          <w:rFonts w:ascii="Open Sans" w:hAnsi="Open Sans"/>
          <w:sz w:val="20"/>
          <w:szCs w:val="20"/>
        </w:rPr>
        <w:t xml:space="preserve"> pertenece o es relativo al sujeto, personas físicas o jurídicas, sobre las que recae el ejercicio y efectos de las funciones de la Agencia, el </w:t>
      </w:r>
      <w:r w:rsidRPr="00A07BE9">
        <w:rPr>
          <w:rFonts w:ascii="Open Sans" w:hAnsi="Open Sans"/>
          <w:i/>
          <w:iCs/>
          <w:sz w:val="20"/>
          <w:szCs w:val="20"/>
        </w:rPr>
        <w:t>ámbito de actu</w:t>
      </w:r>
      <w:r w:rsidRPr="00A07BE9">
        <w:rPr>
          <w:rFonts w:ascii="Open Sans" w:hAnsi="Open Sans"/>
          <w:i/>
          <w:iCs/>
          <w:color w:val="000000"/>
          <w:sz w:val="20"/>
          <w:szCs w:val="20"/>
        </w:rPr>
        <w:t xml:space="preserve">ación material </w:t>
      </w:r>
      <w:r w:rsidRPr="00A07BE9">
        <w:rPr>
          <w:rFonts w:ascii="Open Sans" w:hAnsi="Open Sans"/>
          <w:color w:val="000000"/>
          <w:sz w:val="20"/>
          <w:szCs w:val="20"/>
        </w:rPr>
        <w:t>se refiere a la materia, razón o contenido de los asuntos que se tratan en la misma.</w:t>
      </w:r>
    </w:p>
    <w:p w14:paraId="2CBD3FD9" w14:textId="77777777" w:rsidR="00671CE2" w:rsidRPr="00A07BE9" w:rsidRDefault="00671CE2" w:rsidP="00671CE2">
      <w:pPr>
        <w:spacing w:after="0" w:line="276" w:lineRule="auto"/>
        <w:jc w:val="both"/>
        <w:rPr>
          <w:rFonts w:ascii="Open Sans" w:hAnsi="Open Sans"/>
          <w:color w:val="000000"/>
          <w:sz w:val="20"/>
          <w:szCs w:val="20"/>
        </w:rPr>
      </w:pPr>
    </w:p>
    <w:p w14:paraId="73472771" w14:textId="1A583239" w:rsidR="00671CE2" w:rsidRPr="00A07BE9" w:rsidRDefault="00671CE2" w:rsidP="00671CE2">
      <w:pPr>
        <w:spacing w:after="0" w:line="276" w:lineRule="auto"/>
        <w:jc w:val="both"/>
        <w:rPr>
          <w:rFonts w:ascii="Open Sans" w:hAnsi="Open Sans"/>
          <w:sz w:val="20"/>
          <w:szCs w:val="20"/>
        </w:rPr>
      </w:pPr>
      <w:r w:rsidRPr="00A07BE9">
        <w:rPr>
          <w:rFonts w:ascii="Open Sans" w:hAnsi="Open Sans"/>
          <w:sz w:val="20"/>
          <w:szCs w:val="20"/>
        </w:rPr>
        <w:t xml:space="preserve">Sin pretender dotar de un carácter universal y omnicomprensivo, sino tan solo realizar una aproximación en la delimitación del campo de acción de la Agencia, tratando de conjugar lo dispuesto en los artículos 1, 4, 6, 11, 14 y 18, entre otros, de la </w:t>
      </w:r>
      <w:hyperlink r:id="rId192" w:history="1">
        <w:r w:rsidR="0050097D" w:rsidRPr="00A07BE9">
          <w:rPr>
            <w:rStyle w:val="Hipervnculo"/>
            <w:rFonts w:ascii="Open Sans" w:hAnsi="Open Sans" w:cs="Open Sans"/>
            <w:sz w:val="20"/>
            <w:szCs w:val="20"/>
          </w:rPr>
          <w:t>Ley 11/2016</w:t>
        </w:r>
      </w:hyperlink>
      <w:r w:rsidR="0050097D" w:rsidRPr="00A07BE9">
        <w:rPr>
          <w:rFonts w:ascii="Open Sans" w:hAnsi="Open Sans" w:cs="Open Sans"/>
          <w:sz w:val="20"/>
          <w:szCs w:val="20"/>
        </w:rPr>
        <w:t>,</w:t>
      </w:r>
      <w:r w:rsidRPr="00A07BE9">
        <w:rPr>
          <w:rFonts w:ascii="Open Sans" w:hAnsi="Open Sans"/>
          <w:sz w:val="20"/>
          <w:szCs w:val="20"/>
        </w:rPr>
        <w:t xml:space="preserve"> de creación de la misma, con las normas, recomendaciones e instrumentos internacionales sobre la materia, así como con las corrientes doctrinales más avanzadas dentro del panorama jurídico español, se considera que se encuentra dentro </w:t>
      </w:r>
      <w:r w:rsidR="009C6CA6" w:rsidRPr="00A07BE9">
        <w:rPr>
          <w:rFonts w:ascii="Open Sans" w:hAnsi="Open Sans"/>
          <w:sz w:val="20"/>
          <w:szCs w:val="20"/>
        </w:rPr>
        <w:t xml:space="preserve">del </w:t>
      </w:r>
      <w:r w:rsidRPr="00A07BE9">
        <w:rPr>
          <w:rFonts w:ascii="Open Sans" w:hAnsi="Open Sans"/>
          <w:sz w:val="20"/>
          <w:szCs w:val="20"/>
        </w:rPr>
        <w:t>ámbito de actuación material de la Agencia cualquier hecho o conducta susceptible de ser incluido en alguno de los siguientes grupos:</w:t>
      </w:r>
    </w:p>
    <w:p w14:paraId="0BC1226C" w14:textId="77777777" w:rsidR="00671CE2" w:rsidRPr="00A07BE9" w:rsidRDefault="00671CE2" w:rsidP="00671CE2">
      <w:pPr>
        <w:spacing w:after="0" w:line="276" w:lineRule="auto"/>
        <w:jc w:val="both"/>
        <w:rPr>
          <w:rFonts w:ascii="Open Sans" w:hAnsi="Open Sans"/>
          <w:sz w:val="20"/>
          <w:szCs w:val="20"/>
        </w:rPr>
      </w:pPr>
    </w:p>
    <w:p w14:paraId="0B525331" w14:textId="77777777" w:rsidR="00671CE2" w:rsidRPr="00A07BE9" w:rsidRDefault="00671CE2" w:rsidP="00671CE2">
      <w:pPr>
        <w:tabs>
          <w:tab w:val="left" w:pos="626"/>
        </w:tabs>
        <w:spacing w:after="0" w:line="276" w:lineRule="auto"/>
        <w:ind w:left="567"/>
        <w:jc w:val="both"/>
        <w:rPr>
          <w:rFonts w:ascii="Open Sans" w:hAnsi="Open Sans"/>
          <w:sz w:val="20"/>
          <w:szCs w:val="20"/>
        </w:rPr>
      </w:pPr>
      <w:r w:rsidRPr="00A07BE9">
        <w:rPr>
          <w:rFonts w:ascii="Open Sans" w:hAnsi="Open Sans"/>
          <w:sz w:val="20"/>
          <w:szCs w:val="20"/>
        </w:rPr>
        <w:t>a) Corrupción: uso o desviación de poder o de recursos de procedencia pública para obtener beneficios ilegítimos, particulares, para sí o para terceros (fines distintos de los concedidos); uso o abuso del poder público para obtener ventajas, beneficios o cualquier otro aprovechamiento particular, propio o de terceros, o para cualquier otro fin contrario al ordenamiento jurídico.</w:t>
      </w:r>
    </w:p>
    <w:p w14:paraId="704E3CFD" w14:textId="77777777" w:rsidR="00671CE2" w:rsidRPr="00A07BE9" w:rsidRDefault="00671CE2" w:rsidP="00671CE2">
      <w:pPr>
        <w:tabs>
          <w:tab w:val="left" w:pos="626"/>
        </w:tabs>
        <w:spacing w:after="0" w:line="276" w:lineRule="auto"/>
        <w:ind w:left="567"/>
        <w:jc w:val="both"/>
        <w:rPr>
          <w:rFonts w:ascii="Open Sans" w:hAnsi="Open Sans"/>
          <w:sz w:val="20"/>
          <w:szCs w:val="20"/>
        </w:rPr>
      </w:pPr>
    </w:p>
    <w:p w14:paraId="0486ACFA" w14:textId="77777777" w:rsidR="00671CE2" w:rsidRPr="00A07BE9" w:rsidRDefault="00671CE2" w:rsidP="00671CE2">
      <w:pPr>
        <w:tabs>
          <w:tab w:val="left" w:pos="626"/>
        </w:tabs>
        <w:spacing w:after="0" w:line="276" w:lineRule="auto"/>
        <w:ind w:left="567"/>
        <w:jc w:val="both"/>
        <w:rPr>
          <w:rFonts w:ascii="Open Sans" w:hAnsi="Open Sans"/>
          <w:sz w:val="20"/>
          <w:szCs w:val="20"/>
        </w:rPr>
      </w:pPr>
      <w:r w:rsidRPr="00A07BE9">
        <w:rPr>
          <w:rFonts w:ascii="Open Sans" w:hAnsi="Open Sans"/>
          <w:sz w:val="20"/>
          <w:szCs w:val="20"/>
        </w:rPr>
        <w:t>b) Fraude: acto tendente a eludir una disposición legal de forma engañosa; uso inapropiado y perjudicial de los recursos y activos de una organización, contrario a la verdad y a la rectitud; uso o destino irregular de fondos públicos.</w:t>
      </w:r>
    </w:p>
    <w:p w14:paraId="3DA6980F" w14:textId="77777777" w:rsidR="00671CE2" w:rsidRPr="00A07BE9" w:rsidRDefault="00671CE2" w:rsidP="00671CE2">
      <w:pPr>
        <w:tabs>
          <w:tab w:val="left" w:pos="626"/>
        </w:tabs>
        <w:spacing w:after="0" w:line="276" w:lineRule="auto"/>
        <w:ind w:left="567"/>
        <w:jc w:val="both"/>
        <w:rPr>
          <w:rFonts w:ascii="Open Sans" w:hAnsi="Open Sans"/>
          <w:sz w:val="20"/>
          <w:szCs w:val="20"/>
        </w:rPr>
      </w:pPr>
    </w:p>
    <w:p w14:paraId="3B245BDB" w14:textId="77777777" w:rsidR="00671CE2" w:rsidRPr="00A07BE9" w:rsidRDefault="00671CE2" w:rsidP="00671CE2">
      <w:pPr>
        <w:tabs>
          <w:tab w:val="left" w:pos="626"/>
        </w:tabs>
        <w:spacing w:after="0" w:line="276" w:lineRule="auto"/>
        <w:ind w:left="567"/>
        <w:jc w:val="both"/>
        <w:rPr>
          <w:rFonts w:ascii="Open Sans" w:hAnsi="Open Sans"/>
          <w:sz w:val="20"/>
          <w:szCs w:val="20"/>
        </w:rPr>
      </w:pPr>
      <w:r w:rsidRPr="00A07BE9">
        <w:rPr>
          <w:rFonts w:ascii="Open Sans" w:hAnsi="Open Sans"/>
          <w:sz w:val="20"/>
          <w:szCs w:val="20"/>
        </w:rPr>
        <w:t>c) Irregularidades administrativas y comportamientos constitutivos de infracción administrativa o disciplinaria, en los que subyace una situación potencial de fraude o corrupción.</w:t>
      </w:r>
    </w:p>
    <w:p w14:paraId="7CE4A351" w14:textId="77777777" w:rsidR="00671CE2" w:rsidRPr="00A07BE9" w:rsidRDefault="00671CE2" w:rsidP="00671CE2">
      <w:pPr>
        <w:tabs>
          <w:tab w:val="left" w:pos="626"/>
        </w:tabs>
        <w:spacing w:after="0" w:line="276" w:lineRule="auto"/>
        <w:ind w:left="567"/>
        <w:jc w:val="both"/>
        <w:rPr>
          <w:rFonts w:ascii="Open Sans" w:hAnsi="Open Sans"/>
          <w:sz w:val="20"/>
          <w:szCs w:val="20"/>
        </w:rPr>
      </w:pPr>
    </w:p>
    <w:p w14:paraId="6A5A548F" w14:textId="77777777" w:rsidR="00671CE2" w:rsidRPr="00A07BE9" w:rsidRDefault="00671CE2" w:rsidP="00671CE2">
      <w:pPr>
        <w:tabs>
          <w:tab w:val="left" w:pos="626"/>
        </w:tabs>
        <w:spacing w:after="0" w:line="276" w:lineRule="auto"/>
        <w:ind w:left="567"/>
        <w:jc w:val="both"/>
        <w:rPr>
          <w:rFonts w:ascii="Open Sans" w:hAnsi="Open Sans"/>
          <w:sz w:val="20"/>
          <w:szCs w:val="20"/>
        </w:rPr>
      </w:pPr>
      <w:r w:rsidRPr="00A07BE9">
        <w:rPr>
          <w:rFonts w:ascii="Open Sans" w:hAnsi="Open Sans"/>
          <w:sz w:val="20"/>
          <w:szCs w:val="20"/>
          <w:lang w:eastAsia="es-ES"/>
        </w:rPr>
        <w:t>d) Conductas reprochables por ser contrarias a la objetividad, a la probidad, a la integridad, a la ética pública y al buen gobierno, así como la realización de gastos superfluos e innecesarios de fondos de procedencia pública, aunque no impliquen una infracción directa del ordenamiento jurídico positivo</w:t>
      </w:r>
      <w:r w:rsidRPr="00A07BE9">
        <w:rPr>
          <w:rFonts w:ascii="Open Sans" w:eastAsia="Times New Roman" w:hAnsi="Open Sans" w:cs="Open Sans"/>
          <w:smallCaps/>
          <w:color w:val="993333"/>
          <w:kern w:val="2"/>
          <w:sz w:val="20"/>
          <w:szCs w:val="20"/>
          <w:lang w:eastAsia="es-ES"/>
        </w:rPr>
        <w:t>.</w:t>
      </w:r>
    </w:p>
    <w:p w14:paraId="266ACECA" w14:textId="77777777" w:rsidR="00671CE2" w:rsidRPr="00A07BE9" w:rsidRDefault="00671CE2" w:rsidP="00671CE2">
      <w:pPr>
        <w:shd w:val="clear" w:color="auto" w:fill="FFFFFF"/>
        <w:spacing w:after="0" w:line="240" w:lineRule="auto"/>
        <w:jc w:val="both"/>
        <w:rPr>
          <w:rFonts w:ascii="Open Sans" w:eastAsia="Times New Roman" w:hAnsi="Open Sans" w:cs="Open Sans"/>
          <w:smallCaps/>
          <w:color w:val="993333"/>
          <w:kern w:val="2"/>
          <w:sz w:val="20"/>
          <w:szCs w:val="20"/>
          <w:lang w:eastAsia="es-ES"/>
        </w:rPr>
      </w:pPr>
    </w:p>
    <w:p w14:paraId="6A8BD0E1" w14:textId="77777777" w:rsidR="00671CE2" w:rsidRPr="00A07BE9" w:rsidRDefault="00671CE2" w:rsidP="00671CE2">
      <w:pPr>
        <w:shd w:val="clear" w:color="auto" w:fill="FFFFFF"/>
        <w:spacing w:after="0" w:line="240" w:lineRule="auto"/>
        <w:jc w:val="both"/>
        <w:rPr>
          <w:rFonts w:ascii="Open Sans" w:eastAsia="Times New Roman" w:hAnsi="Open Sans" w:cs="Open Sans"/>
          <w:smallCaps/>
          <w:color w:val="993333"/>
          <w:kern w:val="2"/>
          <w:sz w:val="20"/>
          <w:szCs w:val="20"/>
          <w:lang w:eastAsia="es-ES"/>
        </w:rPr>
      </w:pPr>
    </w:p>
    <w:p w14:paraId="10D93C1B" w14:textId="77777777" w:rsidR="00671CE2" w:rsidRPr="00A07BE9" w:rsidRDefault="00671CE2" w:rsidP="00671CE2">
      <w:pPr>
        <w:pStyle w:val="ndicedeusuario4"/>
        <w:shd w:val="clear" w:color="auto" w:fill="FFFFFF"/>
        <w:spacing w:after="0" w:line="240" w:lineRule="auto"/>
        <w:ind w:left="0"/>
        <w:jc w:val="both"/>
        <w:rPr>
          <w:rFonts w:ascii="Open Sans" w:eastAsia="Times New Roman" w:hAnsi="Open Sans" w:cs="Open Sans"/>
          <w:b/>
          <w:bCs/>
          <w:smallCaps/>
          <w:color w:val="9D2235"/>
          <w:kern w:val="2"/>
          <w:sz w:val="28"/>
          <w:szCs w:val="28"/>
          <w:lang w:eastAsia="es-ES"/>
        </w:rPr>
      </w:pPr>
      <w:r w:rsidRPr="00A07BE9">
        <w:rPr>
          <w:rFonts w:ascii="Open Sans" w:eastAsia="Times New Roman" w:hAnsi="Open Sans" w:cs="Open Sans"/>
          <w:b/>
          <w:bCs/>
          <w:smallCaps/>
          <w:color w:val="9D2235"/>
          <w:kern w:val="2"/>
          <w:sz w:val="28"/>
          <w:szCs w:val="28"/>
          <w:lang w:eastAsia="es-ES"/>
        </w:rPr>
        <w:t>4.2.5. Directiva (UE) 2019/1937 del Parlamento Europeo y del Consejo, de 23 de octubre de 2019, relativa a la Protección de las Personas que Informan sobre Infracciones del Derecho de la Unión</w:t>
      </w:r>
    </w:p>
    <w:p w14:paraId="78E38EA7" w14:textId="77777777" w:rsidR="00671CE2" w:rsidRPr="00A07BE9" w:rsidRDefault="00671CE2" w:rsidP="00671CE2">
      <w:pPr>
        <w:spacing w:after="0" w:line="240" w:lineRule="auto"/>
        <w:jc w:val="both"/>
        <w:rPr>
          <w:rFonts w:ascii="Open Sans" w:hAnsi="Open Sans"/>
          <w:sz w:val="20"/>
          <w:szCs w:val="20"/>
        </w:rPr>
      </w:pPr>
    </w:p>
    <w:p w14:paraId="4CE49B5F" w14:textId="4B3EC22B" w:rsidR="00671CE2" w:rsidRPr="00A07BE9" w:rsidRDefault="00671CE2" w:rsidP="00671CE2">
      <w:pPr>
        <w:spacing w:after="0" w:line="276" w:lineRule="auto"/>
        <w:jc w:val="both"/>
        <w:rPr>
          <w:rFonts w:ascii="Open Sans" w:hAnsi="Open Sans" w:cs="Open Sans"/>
          <w:sz w:val="20"/>
          <w:szCs w:val="20"/>
        </w:rPr>
      </w:pPr>
      <w:r w:rsidRPr="00A07BE9">
        <w:rPr>
          <w:rFonts w:ascii="Open Sans" w:hAnsi="Open Sans" w:cs="Open Sans"/>
          <w:sz w:val="20"/>
          <w:szCs w:val="20"/>
        </w:rPr>
        <w:t xml:space="preserve">Con la publicación en el </w:t>
      </w:r>
      <w:r w:rsidR="007338B3" w:rsidRPr="00A07BE9">
        <w:rPr>
          <w:rFonts w:ascii="Open Sans" w:hAnsi="Open Sans" w:cs="Open Sans"/>
          <w:i/>
          <w:sz w:val="20"/>
          <w:szCs w:val="20"/>
        </w:rPr>
        <w:t>Diario Oficial de la Unión Europea</w:t>
      </w:r>
      <w:r w:rsidRPr="00A07BE9">
        <w:rPr>
          <w:rFonts w:ascii="Open Sans" w:hAnsi="Open Sans" w:cs="Open Sans"/>
          <w:sz w:val="20"/>
          <w:szCs w:val="20"/>
        </w:rPr>
        <w:t xml:space="preserve"> el pasado 26 de noviembre de 2019 de </w:t>
      </w:r>
      <w:r w:rsidR="00F324D2" w:rsidRPr="00A07BE9">
        <w:rPr>
          <w:rFonts w:ascii="Open Sans" w:hAnsi="Open Sans" w:cs="Open Sans"/>
          <w:sz w:val="20"/>
          <w:szCs w:val="20"/>
        </w:rPr>
        <w:t xml:space="preserve">la </w:t>
      </w:r>
      <w:hyperlink r:id="rId193" w:history="1">
        <w:r w:rsidR="00F324D2" w:rsidRPr="00A07BE9">
          <w:rPr>
            <w:rStyle w:val="Hipervnculo"/>
            <w:rFonts w:ascii="Open Sans" w:hAnsi="Open Sans" w:cs="Open Sans"/>
            <w:sz w:val="20"/>
            <w:szCs w:val="20"/>
          </w:rPr>
          <w:t>Directiva (UE) 2019/1937 del Parlamento Europeo y del Consejo, de 23 de octubre de 2019, relativa a la protección de las personas que informan sobre infracciones del Derecho de la Unión</w:t>
        </w:r>
      </w:hyperlink>
      <w:r w:rsidRPr="00A07BE9">
        <w:rPr>
          <w:rFonts w:ascii="Open Sans" w:hAnsi="Open Sans" w:cs="Open Sans"/>
          <w:sz w:val="20"/>
          <w:szCs w:val="20"/>
        </w:rPr>
        <w:t>, asistimos a la aparición un nuevo marco europeo, en materia de protección a personas que denuncian o alertan de hechos o conductas contrarios al interés público.</w:t>
      </w:r>
    </w:p>
    <w:p w14:paraId="79296B58" w14:textId="77777777" w:rsidR="00671CE2" w:rsidRPr="00A07BE9" w:rsidRDefault="00671CE2" w:rsidP="00671CE2">
      <w:pPr>
        <w:spacing w:after="0" w:line="276" w:lineRule="auto"/>
        <w:jc w:val="both"/>
        <w:rPr>
          <w:rFonts w:ascii="Open Sans" w:hAnsi="Open Sans" w:cs="Open Sans"/>
          <w:sz w:val="20"/>
          <w:szCs w:val="20"/>
        </w:rPr>
      </w:pPr>
    </w:p>
    <w:p w14:paraId="4507F505" w14:textId="77777777" w:rsidR="00671CE2" w:rsidRPr="00A07BE9" w:rsidRDefault="00671CE2" w:rsidP="00671CE2">
      <w:pPr>
        <w:spacing w:after="0" w:line="276" w:lineRule="auto"/>
        <w:jc w:val="both"/>
        <w:rPr>
          <w:rFonts w:ascii="Open Sans" w:hAnsi="Open Sans" w:cs="Open Sans"/>
          <w:sz w:val="20"/>
          <w:szCs w:val="20"/>
        </w:rPr>
      </w:pPr>
      <w:r w:rsidRPr="00A07BE9">
        <w:rPr>
          <w:rFonts w:ascii="Open Sans" w:hAnsi="Open Sans" w:cs="Open Sans"/>
          <w:sz w:val="20"/>
          <w:szCs w:val="20"/>
        </w:rPr>
        <w:t xml:space="preserve">Esta Directiva entró en vigor el 17 de diciembre 2019, y a partir de esta fecha España tiene dos años para efectuar la transposición a su ordenamiento jurídico; </w:t>
      </w:r>
      <w:r w:rsidRPr="00A07BE9">
        <w:rPr>
          <w:rFonts w:ascii="Open Sans" w:hAnsi="Open Sans" w:cs="Open Sans"/>
          <w:color w:val="000000"/>
          <w:sz w:val="20"/>
          <w:szCs w:val="20"/>
        </w:rPr>
        <w:t>plazo que finaliza, por tanto, el 17 de diciembre de 2021.</w:t>
      </w:r>
    </w:p>
    <w:p w14:paraId="5D4FA9F0" w14:textId="77777777" w:rsidR="00671CE2" w:rsidRPr="00A07BE9" w:rsidRDefault="00671CE2" w:rsidP="00671CE2">
      <w:pPr>
        <w:spacing w:after="0" w:line="276" w:lineRule="auto"/>
        <w:jc w:val="both"/>
        <w:rPr>
          <w:rFonts w:ascii="Open Sans" w:hAnsi="Open Sans" w:cs="Open Sans"/>
          <w:color w:val="000000"/>
          <w:sz w:val="20"/>
          <w:szCs w:val="20"/>
        </w:rPr>
      </w:pPr>
    </w:p>
    <w:p w14:paraId="54375652" w14:textId="77777777" w:rsidR="00671CE2" w:rsidRPr="00A07BE9" w:rsidRDefault="00671CE2" w:rsidP="00671CE2">
      <w:pPr>
        <w:spacing w:after="0" w:line="276" w:lineRule="auto"/>
        <w:jc w:val="both"/>
        <w:rPr>
          <w:rFonts w:ascii="Open Sans" w:hAnsi="Open Sans" w:cs="Open Sans"/>
          <w:color w:val="000000"/>
          <w:sz w:val="20"/>
          <w:szCs w:val="20"/>
        </w:rPr>
      </w:pPr>
      <w:r w:rsidRPr="00A07BE9">
        <w:rPr>
          <w:rFonts w:ascii="Open Sans" w:hAnsi="Open Sans" w:cs="Open Sans"/>
          <w:color w:val="000000"/>
          <w:sz w:val="20"/>
          <w:szCs w:val="20"/>
        </w:rPr>
        <w:t xml:space="preserve">Conviene recordar que las Directivas son normas comunitarias que responden a la necesidad de implicar a las instancias nacionales en la conformación de un ordenamiento jurídico que reposa no en un reparto de materias sino en una asignación de fines. Las Directivas son un instrumento armonizador de las legislaciones internas de los países miembros: obligan a los Estados miembros destinatarios en cuanto al resultado a conseguir, pero deja a estos la libertad para elegir el acto jurídico de conversión de la Directiva en norma de Derecho interno. </w:t>
      </w:r>
    </w:p>
    <w:p w14:paraId="69F76479" w14:textId="77777777" w:rsidR="00671CE2" w:rsidRPr="00A07BE9" w:rsidRDefault="00671CE2" w:rsidP="00671CE2">
      <w:pPr>
        <w:spacing w:after="0" w:line="276" w:lineRule="auto"/>
        <w:jc w:val="both"/>
        <w:rPr>
          <w:rFonts w:ascii="Open Sans" w:hAnsi="Open Sans" w:cs="Open Sans"/>
          <w:color w:val="000000"/>
          <w:sz w:val="20"/>
          <w:szCs w:val="20"/>
        </w:rPr>
      </w:pPr>
    </w:p>
    <w:p w14:paraId="52D66A3F" w14:textId="4C73729C" w:rsidR="00671CE2" w:rsidRPr="00A07BE9" w:rsidRDefault="00671CE2" w:rsidP="00671CE2">
      <w:pPr>
        <w:spacing w:after="0" w:line="276" w:lineRule="auto"/>
        <w:jc w:val="both"/>
        <w:rPr>
          <w:rFonts w:ascii="Open Sans" w:hAnsi="Open Sans" w:cs="Open Sans"/>
          <w:sz w:val="20"/>
          <w:szCs w:val="20"/>
        </w:rPr>
      </w:pPr>
      <w:r w:rsidRPr="00A07BE9">
        <w:rPr>
          <w:rFonts w:ascii="Open Sans" w:hAnsi="Open Sans" w:cs="Open Sans"/>
          <w:sz w:val="20"/>
          <w:szCs w:val="20"/>
        </w:rPr>
        <w:t xml:space="preserve">La </w:t>
      </w:r>
      <w:hyperlink r:id="rId194" w:history="1">
        <w:r w:rsidRPr="00A07BE9">
          <w:rPr>
            <w:rStyle w:val="Hipervnculo"/>
            <w:rFonts w:ascii="Open Sans" w:hAnsi="Open Sans" w:cs="Open Sans"/>
            <w:sz w:val="20"/>
            <w:szCs w:val="20"/>
          </w:rPr>
          <w:t>Directiva (UE) 2019/1937</w:t>
        </w:r>
      </w:hyperlink>
      <w:r w:rsidRPr="00A07BE9">
        <w:rPr>
          <w:rFonts w:ascii="Open Sans" w:hAnsi="Open Sans" w:cs="Open Sans"/>
          <w:color w:val="000000"/>
          <w:sz w:val="20"/>
          <w:szCs w:val="20"/>
        </w:rPr>
        <w:t xml:space="preserve"> fue propuesta por la Comisión Europea el 23 de abril de 2018, y aprobada por </w:t>
      </w:r>
      <w:r w:rsidRPr="00A07BE9">
        <w:rPr>
          <w:rFonts w:ascii="Open Sans" w:hAnsi="Open Sans" w:cs="Open Sans"/>
          <w:sz w:val="20"/>
          <w:szCs w:val="20"/>
        </w:rPr>
        <w:t>el Parlamento Europeo el 16 de abril de 2019, con 591 votos a favor, 29 en contra y 33 abstenciones, donde se amplió su contenido en favor de los alertadores o denunciantes, y ratificada por el Consejo Europeo, por unanimidad, el 7 de octubre de 2019.</w:t>
      </w:r>
    </w:p>
    <w:p w14:paraId="06B6C922" w14:textId="77777777" w:rsidR="00671CE2" w:rsidRPr="00A07BE9" w:rsidRDefault="00671CE2" w:rsidP="00671CE2">
      <w:pPr>
        <w:spacing w:after="0" w:line="276" w:lineRule="auto"/>
        <w:jc w:val="both"/>
        <w:rPr>
          <w:rFonts w:ascii="Open Sans" w:hAnsi="Open Sans" w:cs="Open Sans"/>
          <w:sz w:val="20"/>
          <w:szCs w:val="20"/>
        </w:rPr>
      </w:pPr>
    </w:p>
    <w:p w14:paraId="2D4ED374" w14:textId="77777777" w:rsidR="00671CE2" w:rsidRPr="00A07BE9" w:rsidRDefault="00671CE2" w:rsidP="00671CE2">
      <w:pPr>
        <w:spacing w:after="0" w:line="276" w:lineRule="auto"/>
        <w:jc w:val="both"/>
        <w:rPr>
          <w:rFonts w:ascii="Open Sans" w:hAnsi="Open Sans" w:cs="Open Sans"/>
          <w:sz w:val="20"/>
          <w:szCs w:val="20"/>
        </w:rPr>
      </w:pPr>
      <w:r w:rsidRPr="00A07BE9">
        <w:rPr>
          <w:rFonts w:ascii="Open Sans" w:hAnsi="Open Sans" w:cs="Open Sans"/>
          <w:sz w:val="20"/>
          <w:szCs w:val="20"/>
        </w:rPr>
        <w:t>Señalaba la Comisión Europea en su propuesta, literalmente, lo siguiente:</w:t>
      </w:r>
    </w:p>
    <w:p w14:paraId="4412C229" w14:textId="77777777" w:rsidR="00671CE2" w:rsidRPr="00A07BE9" w:rsidRDefault="00671CE2" w:rsidP="00671CE2">
      <w:pPr>
        <w:spacing w:after="0" w:line="276" w:lineRule="auto"/>
        <w:jc w:val="both"/>
        <w:rPr>
          <w:rFonts w:ascii="Open Sans" w:hAnsi="Open Sans" w:cs="Open Sans"/>
          <w:sz w:val="20"/>
          <w:szCs w:val="20"/>
        </w:rPr>
      </w:pPr>
    </w:p>
    <w:p w14:paraId="1EAF8181" w14:textId="77777777" w:rsidR="00671CE2" w:rsidRPr="00A07BE9" w:rsidRDefault="00671CE2" w:rsidP="00671CE2">
      <w:pPr>
        <w:spacing w:after="0" w:line="276" w:lineRule="auto"/>
        <w:ind w:left="567"/>
        <w:jc w:val="both"/>
        <w:rPr>
          <w:rFonts w:ascii="Open Sans" w:hAnsi="Open Sans" w:cs="Open Sans"/>
          <w:iCs/>
          <w:sz w:val="18"/>
          <w:szCs w:val="18"/>
        </w:rPr>
      </w:pPr>
      <w:r w:rsidRPr="00A07BE9">
        <w:rPr>
          <w:rFonts w:ascii="Open Sans" w:hAnsi="Open Sans" w:cs="Open Sans"/>
          <w:sz w:val="18"/>
          <w:szCs w:val="18"/>
        </w:rPr>
        <w:t>“</w:t>
      </w:r>
      <w:r w:rsidRPr="00A07BE9">
        <w:rPr>
          <w:rFonts w:ascii="Open Sans" w:hAnsi="Open Sans" w:cs="Open Sans"/>
          <w:iCs/>
          <w:sz w:val="18"/>
          <w:szCs w:val="18"/>
        </w:rPr>
        <w:t xml:space="preserve">En cualquier organización, privada o pública, grande o pequeña, pueden registrarse actividades ilícitas y abuso de Derecho, que pueden adoptar formas diversas, como corrupción, fraude, </w:t>
      </w:r>
      <w:r w:rsidRPr="00A07BE9">
        <w:rPr>
          <w:rFonts w:ascii="Open Sans" w:hAnsi="Open Sans" w:cs="Open Sans"/>
          <w:iCs/>
          <w:sz w:val="18"/>
          <w:szCs w:val="18"/>
        </w:rPr>
        <w:lastRenderedPageBreak/>
        <w:t>prácticas abusivas o negligencia, y que si no se resuelven pueden ocasionar graves perjuicios al interés público. Las personas que trabajan en una organización o están en contacto con ella por razones laborales son a menudo las primeras en tener conocimiento de tales hechos y, por lo tanto, se encuentran en una posición favorable para informar a quienes pueden abordar el problema.</w:t>
      </w:r>
    </w:p>
    <w:p w14:paraId="4E07E6D6" w14:textId="77777777" w:rsidR="00671CE2" w:rsidRPr="00A07BE9" w:rsidRDefault="00671CE2" w:rsidP="00671CE2">
      <w:pPr>
        <w:spacing w:after="0" w:line="276" w:lineRule="auto"/>
        <w:ind w:left="567"/>
        <w:jc w:val="both"/>
        <w:rPr>
          <w:rFonts w:ascii="Open Sans" w:hAnsi="Open Sans" w:cs="Open Sans"/>
          <w:iCs/>
          <w:sz w:val="18"/>
          <w:szCs w:val="18"/>
        </w:rPr>
      </w:pPr>
      <w:r w:rsidRPr="00A07BE9">
        <w:rPr>
          <w:rFonts w:ascii="Open Sans" w:hAnsi="Open Sans" w:cs="Open Sans"/>
          <w:iCs/>
          <w:sz w:val="18"/>
          <w:szCs w:val="18"/>
        </w:rPr>
        <w:t>(…) La protección de los denunciantes merece el compromiso total y la unión de los esfuerzos de todas las instituciones de la UE, los Estados miembros y las partes interesadas.</w:t>
      </w:r>
    </w:p>
    <w:p w14:paraId="202F89B1" w14:textId="77777777" w:rsidR="00671CE2" w:rsidRPr="00A07BE9" w:rsidRDefault="00671CE2" w:rsidP="00671CE2">
      <w:pPr>
        <w:spacing w:after="0" w:line="276" w:lineRule="auto"/>
        <w:ind w:left="567"/>
        <w:jc w:val="both"/>
        <w:rPr>
          <w:rFonts w:ascii="Open Sans" w:hAnsi="Open Sans" w:cs="Open Sans"/>
          <w:iCs/>
          <w:sz w:val="18"/>
          <w:szCs w:val="18"/>
        </w:rPr>
      </w:pPr>
      <w:r w:rsidRPr="00A07BE9">
        <w:rPr>
          <w:rFonts w:ascii="Open Sans" w:hAnsi="Open Sans" w:cs="Open Sans"/>
          <w:iCs/>
          <w:sz w:val="18"/>
          <w:szCs w:val="18"/>
        </w:rPr>
        <w:t>(...) Las normas sobre protección de los denunciantes también deben crear conciencia de manera efectiva, animando a los Estados miembros a adoptar medidas adicionales, para promover una percepción positiva de los denunciantes como personas que actúan en aras del bien público y por lealtad a su organización y a su sociedad.</w:t>
      </w:r>
    </w:p>
    <w:p w14:paraId="5AC21EFF" w14:textId="77777777" w:rsidR="00671CE2" w:rsidRPr="00A07BE9" w:rsidRDefault="00671CE2" w:rsidP="00671CE2">
      <w:pPr>
        <w:spacing w:after="0" w:line="276" w:lineRule="auto"/>
        <w:ind w:left="567"/>
        <w:jc w:val="both"/>
        <w:rPr>
          <w:rFonts w:ascii="Open Sans" w:hAnsi="Open Sans" w:cs="Open Sans"/>
          <w:iCs/>
          <w:sz w:val="18"/>
          <w:szCs w:val="18"/>
        </w:rPr>
      </w:pPr>
      <w:r w:rsidRPr="00A07BE9">
        <w:rPr>
          <w:rFonts w:ascii="Open Sans" w:hAnsi="Open Sans" w:cs="Open Sans"/>
          <w:iCs/>
          <w:sz w:val="18"/>
          <w:szCs w:val="18"/>
        </w:rPr>
        <w:t>La falta de una protección eficaz de los denunciantes plantea asimismo dudas en relación con sus efectos negativos sobre la libertad de expresión y la libertad de los medios de comunicación, consagradas en el artículo 11 de la Carta de los Derechos Fundamentales de la Unión Europea.</w:t>
      </w:r>
    </w:p>
    <w:p w14:paraId="642BF25A" w14:textId="77777777" w:rsidR="00671CE2" w:rsidRPr="00A07BE9" w:rsidRDefault="00671CE2" w:rsidP="00671CE2">
      <w:pPr>
        <w:spacing w:after="0" w:line="276" w:lineRule="auto"/>
        <w:ind w:left="567"/>
        <w:jc w:val="both"/>
        <w:rPr>
          <w:rFonts w:ascii="Open Sans" w:hAnsi="Open Sans" w:cs="Open Sans"/>
          <w:iCs/>
          <w:sz w:val="18"/>
          <w:szCs w:val="18"/>
        </w:rPr>
      </w:pPr>
      <w:r w:rsidRPr="00A07BE9">
        <w:rPr>
          <w:rFonts w:ascii="Open Sans" w:hAnsi="Open Sans" w:cs="Open Sans"/>
          <w:iCs/>
          <w:sz w:val="18"/>
          <w:szCs w:val="18"/>
        </w:rPr>
        <w:t>Además, la carencia de una protección eficaz de los denunciantes puede poner en peligro la aplicación del Derecho. Junto con otros medios destinados a recabar pruebas, la denuncia de infracciones es un medio (…) que permite la detección eficaz, la investigación y el enjuiciamiento de infracciones.</w:t>
      </w:r>
      <w:r w:rsidRPr="00A07BE9">
        <w:rPr>
          <w:rFonts w:ascii="Open Sans" w:hAnsi="Open Sans" w:cs="Open Sans"/>
          <w:sz w:val="18"/>
          <w:szCs w:val="18"/>
        </w:rPr>
        <w:t>”</w:t>
      </w:r>
    </w:p>
    <w:p w14:paraId="04FD5F1C" w14:textId="77777777" w:rsidR="00671CE2" w:rsidRPr="00A07BE9" w:rsidRDefault="00671CE2" w:rsidP="00671CE2">
      <w:pPr>
        <w:spacing w:after="0" w:line="276" w:lineRule="auto"/>
        <w:jc w:val="both"/>
        <w:rPr>
          <w:rFonts w:ascii="Open Sans" w:hAnsi="Open Sans" w:cs="Open Sans"/>
          <w:sz w:val="20"/>
          <w:szCs w:val="20"/>
        </w:rPr>
      </w:pPr>
    </w:p>
    <w:p w14:paraId="073664AE" w14:textId="77777777" w:rsidR="00671CE2" w:rsidRPr="00A07BE9" w:rsidRDefault="00671CE2" w:rsidP="00671CE2">
      <w:pPr>
        <w:spacing w:after="0" w:line="276" w:lineRule="auto"/>
        <w:jc w:val="both"/>
        <w:rPr>
          <w:rFonts w:ascii="Open Sans" w:hAnsi="Open Sans" w:cs="Open Sans"/>
          <w:sz w:val="20"/>
          <w:szCs w:val="20"/>
        </w:rPr>
      </w:pPr>
      <w:r w:rsidRPr="00A07BE9">
        <w:rPr>
          <w:rFonts w:ascii="Open Sans" w:hAnsi="Open Sans" w:cs="Open Sans"/>
          <w:sz w:val="20"/>
          <w:szCs w:val="20"/>
        </w:rPr>
        <w:t xml:space="preserve">De forma resumida y en palabras de la ministra de Justicia de Finlandia, puede indicarse que </w:t>
      </w:r>
      <w:r w:rsidRPr="00A07BE9">
        <w:rPr>
          <w:rFonts w:ascii="Open Sans" w:hAnsi="Open Sans" w:cs="Open Sans"/>
          <w:iCs/>
          <w:sz w:val="20"/>
          <w:szCs w:val="20"/>
        </w:rPr>
        <w:t xml:space="preserve">“la Unión Europea se compromete a tener un sistema democrático que funcione bien basado en el Estado de Derecho. Eso incluye proporcionar un alto nivel de protección en toda la Unión a los denunciantes que tienen el coraje de hablar. </w:t>
      </w:r>
      <w:r w:rsidRPr="00A07BE9">
        <w:rPr>
          <w:rStyle w:val="Muydestacado"/>
          <w:rFonts w:ascii="Open Sans" w:hAnsi="Open Sans" w:cs="Open Sans"/>
          <w:iCs/>
          <w:sz w:val="20"/>
          <w:szCs w:val="20"/>
        </w:rPr>
        <w:t>Nadie debe arriesgar su reputación o trabajo por exponer comportamientos ilegales.”</w:t>
      </w:r>
    </w:p>
    <w:p w14:paraId="4CC120D5" w14:textId="77777777" w:rsidR="00671CE2" w:rsidRPr="00A07BE9" w:rsidRDefault="00671CE2" w:rsidP="00671CE2">
      <w:pPr>
        <w:spacing w:after="0" w:line="276" w:lineRule="auto"/>
        <w:jc w:val="both"/>
        <w:rPr>
          <w:rFonts w:ascii="Open Sans" w:hAnsi="Open Sans" w:cs="Open Sans"/>
          <w:sz w:val="20"/>
          <w:szCs w:val="20"/>
        </w:rPr>
      </w:pPr>
    </w:p>
    <w:p w14:paraId="28155902" w14:textId="77777777" w:rsidR="00671CE2" w:rsidRPr="00A07BE9" w:rsidRDefault="00671CE2" w:rsidP="00671CE2">
      <w:pPr>
        <w:spacing w:after="0" w:line="276" w:lineRule="auto"/>
        <w:jc w:val="both"/>
        <w:rPr>
          <w:rFonts w:ascii="Open Sans" w:hAnsi="Open Sans" w:cs="Open Sans"/>
          <w:sz w:val="20"/>
          <w:szCs w:val="20"/>
        </w:rPr>
      </w:pPr>
      <w:r w:rsidRPr="00A07BE9">
        <w:rPr>
          <w:rFonts w:ascii="Open Sans" w:hAnsi="Open Sans" w:cs="Open Sans"/>
          <w:sz w:val="20"/>
          <w:szCs w:val="20"/>
        </w:rPr>
        <w:t>Hechas estas genéricas precisiones, se hace necesario resaltar que esta Directiva supone cambios culturales tan trascendentales, que incluso sus propios promotores ante las instituciones europeas pensaban que no llegaría a aprobarse nunca, o que de ser aprobada, no llegaría tan lejos.</w:t>
      </w:r>
    </w:p>
    <w:p w14:paraId="56045C18" w14:textId="77777777" w:rsidR="00671CE2" w:rsidRPr="00A07BE9" w:rsidRDefault="00671CE2" w:rsidP="00671CE2">
      <w:pPr>
        <w:spacing w:after="0" w:line="276" w:lineRule="auto"/>
        <w:jc w:val="both"/>
        <w:rPr>
          <w:rFonts w:ascii="Open Sans" w:hAnsi="Open Sans" w:cs="Open Sans"/>
          <w:sz w:val="20"/>
          <w:szCs w:val="20"/>
        </w:rPr>
      </w:pPr>
    </w:p>
    <w:p w14:paraId="004DF1AB" w14:textId="77777777" w:rsidR="00671CE2" w:rsidRPr="00A07BE9" w:rsidRDefault="00671CE2" w:rsidP="00671CE2">
      <w:pPr>
        <w:spacing w:after="0" w:line="276" w:lineRule="auto"/>
        <w:jc w:val="both"/>
        <w:rPr>
          <w:rFonts w:ascii="Open Sans" w:hAnsi="Open Sans" w:cs="Open Sans"/>
          <w:sz w:val="20"/>
          <w:szCs w:val="20"/>
        </w:rPr>
      </w:pPr>
      <w:r w:rsidRPr="00A07BE9">
        <w:rPr>
          <w:rFonts w:ascii="Open Sans" w:hAnsi="Open Sans" w:cs="Open Sans"/>
          <w:sz w:val="20"/>
          <w:szCs w:val="20"/>
        </w:rPr>
        <w:t xml:space="preserve">Las personas que denuncian o alertan son una pieza clave en la lucha contra la corrupción, si bien hacerlo supone, casi con toda seguridad, situaciones de acoso laboral, intimidaciones y hostigamiento, repercusiones económicas, expedientes disciplinarios injustos, acusaciones al denunciante por denuncia falsa o por hechos o delitos no cometidos, e incluso el despido. </w:t>
      </w:r>
    </w:p>
    <w:p w14:paraId="493CE4A5" w14:textId="77777777" w:rsidR="00671CE2" w:rsidRPr="00A07BE9" w:rsidRDefault="00671CE2" w:rsidP="00671CE2">
      <w:pPr>
        <w:spacing w:after="0" w:line="276" w:lineRule="auto"/>
        <w:jc w:val="both"/>
        <w:rPr>
          <w:rFonts w:ascii="Open Sans" w:hAnsi="Open Sans" w:cs="Open Sans"/>
          <w:sz w:val="20"/>
          <w:szCs w:val="20"/>
        </w:rPr>
      </w:pPr>
    </w:p>
    <w:p w14:paraId="401C5846" w14:textId="77777777" w:rsidR="00671CE2" w:rsidRPr="00A07BE9" w:rsidRDefault="00671CE2" w:rsidP="00671CE2">
      <w:pPr>
        <w:spacing w:after="0" w:line="276" w:lineRule="auto"/>
        <w:jc w:val="both"/>
        <w:rPr>
          <w:rFonts w:ascii="Open Sans" w:hAnsi="Open Sans" w:cs="Open Sans"/>
          <w:sz w:val="20"/>
          <w:szCs w:val="20"/>
        </w:rPr>
      </w:pPr>
      <w:r w:rsidRPr="00A07BE9">
        <w:rPr>
          <w:rFonts w:ascii="Open Sans" w:hAnsi="Open Sans" w:cs="Open Sans"/>
          <w:sz w:val="20"/>
          <w:szCs w:val="20"/>
        </w:rPr>
        <w:t>No obstante, con la transposición de la Directiva, la persona que denuncia o alerta no estará en la misma situación en la que se ha encontrado hasta el momento.</w:t>
      </w:r>
    </w:p>
    <w:p w14:paraId="1A733E7D" w14:textId="77777777" w:rsidR="00671CE2" w:rsidRPr="00A07BE9" w:rsidRDefault="00671CE2" w:rsidP="00671CE2">
      <w:pPr>
        <w:spacing w:after="0" w:line="276" w:lineRule="auto"/>
        <w:jc w:val="both"/>
        <w:rPr>
          <w:rFonts w:ascii="Open Sans" w:hAnsi="Open Sans" w:cs="Open Sans"/>
          <w:sz w:val="20"/>
          <w:szCs w:val="20"/>
        </w:rPr>
      </w:pPr>
    </w:p>
    <w:p w14:paraId="5230F8B5" w14:textId="77777777" w:rsidR="00671CE2" w:rsidRPr="00A07BE9" w:rsidRDefault="00671CE2" w:rsidP="00671CE2">
      <w:pPr>
        <w:spacing w:after="0" w:line="276" w:lineRule="auto"/>
        <w:jc w:val="both"/>
        <w:rPr>
          <w:rFonts w:ascii="Open Sans" w:hAnsi="Open Sans" w:cs="Open Sans"/>
          <w:sz w:val="20"/>
          <w:szCs w:val="20"/>
        </w:rPr>
      </w:pPr>
      <w:r w:rsidRPr="00A07BE9">
        <w:rPr>
          <w:rFonts w:ascii="Open Sans" w:hAnsi="Open Sans" w:cs="Open Sans"/>
          <w:sz w:val="20"/>
          <w:szCs w:val="20"/>
        </w:rPr>
        <w:t xml:space="preserve">Por tanto, es de suma importancia que España haga una correcta transposición de la Directiva, y un ajuste a los objetivos perseguidos por la misma. </w:t>
      </w:r>
    </w:p>
    <w:p w14:paraId="3BC2138B" w14:textId="77777777" w:rsidR="00671CE2" w:rsidRPr="00A07BE9" w:rsidRDefault="00671CE2" w:rsidP="00671CE2">
      <w:pPr>
        <w:spacing w:after="0" w:line="276" w:lineRule="auto"/>
        <w:jc w:val="both"/>
        <w:rPr>
          <w:rFonts w:ascii="Open Sans" w:hAnsi="Open Sans" w:cs="Open Sans"/>
          <w:sz w:val="20"/>
          <w:szCs w:val="20"/>
        </w:rPr>
      </w:pPr>
    </w:p>
    <w:p w14:paraId="1F748288" w14:textId="77777777" w:rsidR="00671CE2" w:rsidRPr="00A07BE9" w:rsidRDefault="00671CE2" w:rsidP="00671CE2">
      <w:pPr>
        <w:spacing w:after="0" w:line="276" w:lineRule="auto"/>
        <w:jc w:val="both"/>
        <w:rPr>
          <w:rFonts w:ascii="Open Sans" w:hAnsi="Open Sans" w:cs="Open Sans"/>
          <w:sz w:val="20"/>
          <w:szCs w:val="20"/>
        </w:rPr>
      </w:pPr>
      <w:r w:rsidRPr="00A07BE9">
        <w:rPr>
          <w:rFonts w:ascii="Open Sans" w:hAnsi="Open Sans" w:cs="Open Sans"/>
          <w:sz w:val="20"/>
          <w:szCs w:val="20"/>
        </w:rPr>
        <w:t xml:space="preserve">La Directiva es vinculante en cuanto al resultado que debe obtenerse, y deja a las autoridades nacionales la competencia sobre la forma y los medios; pero, en ningún caso, </w:t>
      </w:r>
      <w:r w:rsidRPr="00A07BE9">
        <w:rPr>
          <w:rFonts w:ascii="Open Sans" w:hAnsi="Open Sans" w:cs="Open Sans"/>
          <w:sz w:val="20"/>
          <w:szCs w:val="20"/>
        </w:rPr>
        <w:lastRenderedPageBreak/>
        <w:t>podrán establecerse, en la normativa nacional, condiciones más restrictivas que las previstas en la Directiva.</w:t>
      </w:r>
    </w:p>
    <w:p w14:paraId="53C05660" w14:textId="77777777" w:rsidR="00671CE2" w:rsidRPr="00A07BE9" w:rsidRDefault="00671CE2" w:rsidP="00671CE2">
      <w:pPr>
        <w:spacing w:after="0" w:line="276" w:lineRule="auto"/>
        <w:jc w:val="both"/>
        <w:rPr>
          <w:rFonts w:ascii="Open Sans" w:hAnsi="Open Sans" w:cs="Open Sans"/>
          <w:sz w:val="20"/>
          <w:szCs w:val="20"/>
        </w:rPr>
      </w:pPr>
    </w:p>
    <w:p w14:paraId="14BE78D8" w14:textId="158DDB59" w:rsidR="00671CE2" w:rsidRPr="00A07BE9" w:rsidRDefault="00671CE2" w:rsidP="00671CE2">
      <w:pPr>
        <w:spacing w:after="0" w:line="276" w:lineRule="auto"/>
        <w:jc w:val="both"/>
        <w:rPr>
          <w:rFonts w:ascii="Open Sans" w:hAnsi="Open Sans" w:cs="Open Sans"/>
          <w:sz w:val="20"/>
          <w:szCs w:val="20"/>
        </w:rPr>
      </w:pPr>
      <w:r w:rsidRPr="00A07BE9">
        <w:rPr>
          <w:rFonts w:ascii="Open Sans" w:hAnsi="Open Sans" w:cs="Open Sans"/>
          <w:sz w:val="20"/>
          <w:szCs w:val="20"/>
        </w:rPr>
        <w:t>Dentro de este contexto, la aprobación y entrada en vigor de la Directiva genera nuevos y muy importante</w:t>
      </w:r>
      <w:r w:rsidR="001B5A72" w:rsidRPr="00A07BE9">
        <w:rPr>
          <w:rFonts w:ascii="Open Sans" w:hAnsi="Open Sans" w:cs="Open Sans"/>
          <w:sz w:val="20"/>
          <w:szCs w:val="20"/>
        </w:rPr>
        <w:t>s</w:t>
      </w:r>
      <w:r w:rsidRPr="00A07BE9">
        <w:rPr>
          <w:rFonts w:ascii="Open Sans" w:hAnsi="Open Sans" w:cs="Open Sans"/>
          <w:sz w:val="20"/>
          <w:szCs w:val="20"/>
        </w:rPr>
        <w:t xml:space="preserve"> retos.</w:t>
      </w:r>
    </w:p>
    <w:p w14:paraId="6A2EB362" w14:textId="77777777" w:rsidR="00671CE2" w:rsidRPr="00A07BE9" w:rsidRDefault="00671CE2" w:rsidP="00671CE2">
      <w:pPr>
        <w:spacing w:after="0" w:line="276" w:lineRule="auto"/>
        <w:jc w:val="both"/>
        <w:rPr>
          <w:rFonts w:ascii="Open Sans" w:hAnsi="Open Sans" w:cs="Open Sans"/>
          <w:sz w:val="20"/>
          <w:szCs w:val="20"/>
        </w:rPr>
      </w:pPr>
    </w:p>
    <w:p w14:paraId="1CA4AA4B" w14:textId="77777777" w:rsidR="00671CE2" w:rsidRPr="00A07BE9" w:rsidRDefault="00671CE2" w:rsidP="00671CE2">
      <w:pPr>
        <w:spacing w:after="0" w:line="276" w:lineRule="auto"/>
        <w:jc w:val="both"/>
        <w:rPr>
          <w:rFonts w:ascii="Open Sans" w:hAnsi="Open Sans" w:cs="Open Sans"/>
          <w:sz w:val="20"/>
          <w:szCs w:val="20"/>
        </w:rPr>
      </w:pPr>
      <w:r w:rsidRPr="00A07BE9">
        <w:rPr>
          <w:rFonts w:ascii="Open Sans" w:hAnsi="Open Sans" w:cs="Open Sans"/>
          <w:sz w:val="20"/>
          <w:szCs w:val="20"/>
        </w:rPr>
        <w:t>En síntesis, la nueva Directiva supone:</w:t>
      </w:r>
    </w:p>
    <w:p w14:paraId="7425C41A" w14:textId="77777777" w:rsidR="00671CE2" w:rsidRPr="00A07BE9" w:rsidRDefault="00671CE2" w:rsidP="00671CE2">
      <w:pPr>
        <w:spacing w:after="0" w:line="276" w:lineRule="auto"/>
        <w:jc w:val="both"/>
        <w:rPr>
          <w:rFonts w:ascii="Open Sans" w:hAnsi="Open Sans" w:cs="Open Sans"/>
          <w:sz w:val="20"/>
          <w:szCs w:val="20"/>
        </w:rPr>
      </w:pPr>
    </w:p>
    <w:p w14:paraId="67E116E0" w14:textId="77777777" w:rsidR="00D75F2C" w:rsidRPr="00A07BE9" w:rsidRDefault="00671CE2" w:rsidP="00D75F2C">
      <w:pPr>
        <w:pStyle w:val="Prrafodelista"/>
        <w:numPr>
          <w:ilvl w:val="0"/>
          <w:numId w:val="2"/>
        </w:numPr>
        <w:spacing w:after="0" w:line="276" w:lineRule="auto"/>
        <w:ind w:left="924" w:hanging="357"/>
        <w:jc w:val="both"/>
        <w:rPr>
          <w:rFonts w:ascii="Open Sans" w:hAnsi="Open Sans" w:cs="Open Sans"/>
          <w:sz w:val="20"/>
          <w:szCs w:val="20"/>
        </w:rPr>
      </w:pPr>
      <w:r w:rsidRPr="00A07BE9">
        <w:rPr>
          <w:rFonts w:ascii="Open Sans" w:hAnsi="Open Sans" w:cs="Open Sans"/>
          <w:sz w:val="20"/>
          <w:szCs w:val="20"/>
        </w:rPr>
        <w:t xml:space="preserve">En todo el territorio español, la ley protegerá a los denunciantes y les otorgará asesoramiento jurídico, invirtiendo la carga de la prueba frente a despidos, degradación y otras formas de represalia, lo que garantizará la efectividad de sus derechos asegurando su indemnidad. </w:t>
      </w:r>
    </w:p>
    <w:p w14:paraId="41376BE9" w14:textId="77777777" w:rsidR="00D75F2C" w:rsidRPr="00A07BE9" w:rsidRDefault="00671CE2" w:rsidP="00D75F2C">
      <w:pPr>
        <w:pStyle w:val="Prrafodelista"/>
        <w:numPr>
          <w:ilvl w:val="0"/>
          <w:numId w:val="2"/>
        </w:numPr>
        <w:spacing w:after="0" w:line="276" w:lineRule="auto"/>
        <w:ind w:left="924" w:hanging="357"/>
        <w:jc w:val="both"/>
        <w:rPr>
          <w:rFonts w:ascii="Open Sans" w:hAnsi="Open Sans" w:cs="Open Sans"/>
          <w:sz w:val="20"/>
          <w:szCs w:val="20"/>
        </w:rPr>
      </w:pPr>
      <w:r w:rsidRPr="00A07BE9">
        <w:rPr>
          <w:rFonts w:ascii="Open Sans" w:hAnsi="Open Sans" w:cs="Open Sans"/>
          <w:sz w:val="20"/>
          <w:szCs w:val="20"/>
        </w:rPr>
        <w:t xml:space="preserve">También protegerá a los denunciantes en procedimientos judiciales, de fraude, corrupción, evasión fiscal o daños a la salud de las personas y el medio ambiente. </w:t>
      </w:r>
    </w:p>
    <w:p w14:paraId="0633B000" w14:textId="77777777" w:rsidR="00D75F2C" w:rsidRPr="00A07BE9" w:rsidRDefault="00671CE2" w:rsidP="00D75F2C">
      <w:pPr>
        <w:pStyle w:val="Prrafodelista"/>
        <w:numPr>
          <w:ilvl w:val="0"/>
          <w:numId w:val="2"/>
        </w:numPr>
        <w:spacing w:after="0" w:line="276" w:lineRule="auto"/>
        <w:ind w:left="924" w:hanging="357"/>
        <w:jc w:val="both"/>
        <w:rPr>
          <w:rFonts w:ascii="Open Sans" w:hAnsi="Open Sans" w:cs="Open Sans"/>
          <w:sz w:val="20"/>
          <w:szCs w:val="20"/>
        </w:rPr>
      </w:pPr>
      <w:r w:rsidRPr="00A07BE9">
        <w:rPr>
          <w:rFonts w:ascii="Open Sans" w:hAnsi="Open Sans" w:cs="Open Sans"/>
          <w:sz w:val="20"/>
          <w:szCs w:val="20"/>
        </w:rPr>
        <w:t>Además, incluirá la imposición de multas a los represaliadores y la exigencia a los Estados miembros de que informen a los ciudadanos sobre los procedimientos de denuncia, y la protección a la que pueden acogerse.</w:t>
      </w:r>
    </w:p>
    <w:p w14:paraId="07F3A820" w14:textId="77777777" w:rsidR="00D75F2C" w:rsidRPr="00A07BE9" w:rsidRDefault="00671CE2" w:rsidP="00D75F2C">
      <w:pPr>
        <w:pStyle w:val="Prrafodelista"/>
        <w:numPr>
          <w:ilvl w:val="0"/>
          <w:numId w:val="2"/>
        </w:numPr>
        <w:spacing w:after="0" w:line="276" w:lineRule="auto"/>
        <w:ind w:left="924" w:hanging="357"/>
        <w:jc w:val="both"/>
        <w:rPr>
          <w:rFonts w:ascii="Open Sans" w:hAnsi="Open Sans" w:cs="Open Sans"/>
          <w:sz w:val="20"/>
          <w:szCs w:val="20"/>
        </w:rPr>
      </w:pPr>
      <w:r w:rsidRPr="00A07BE9">
        <w:rPr>
          <w:rFonts w:ascii="Open Sans" w:hAnsi="Open Sans" w:cs="Open Sans"/>
          <w:sz w:val="20"/>
          <w:szCs w:val="20"/>
        </w:rPr>
        <w:t xml:space="preserve">Asimismo, la nueva normativa europea establece un sistema de cauces de denuncia, internos y externos, tanto en el sector público como en el privado. </w:t>
      </w:r>
    </w:p>
    <w:p w14:paraId="298588FA" w14:textId="77777777" w:rsidR="00671CE2" w:rsidRPr="00A07BE9" w:rsidRDefault="00671CE2" w:rsidP="00D75F2C">
      <w:pPr>
        <w:pStyle w:val="Prrafodelista"/>
        <w:numPr>
          <w:ilvl w:val="0"/>
          <w:numId w:val="2"/>
        </w:numPr>
        <w:spacing w:after="0" w:line="276" w:lineRule="auto"/>
        <w:ind w:left="924" w:hanging="357"/>
        <w:jc w:val="both"/>
        <w:rPr>
          <w:rFonts w:ascii="Open Sans" w:hAnsi="Open Sans" w:cs="Open Sans"/>
          <w:sz w:val="20"/>
          <w:szCs w:val="20"/>
        </w:rPr>
      </w:pPr>
      <w:r w:rsidRPr="00A07BE9">
        <w:rPr>
          <w:rFonts w:ascii="Open Sans" w:hAnsi="Open Sans" w:cs="Open Sans"/>
          <w:sz w:val="20"/>
          <w:szCs w:val="20"/>
        </w:rPr>
        <w:t>El denunciante podrá dirigirse a autoridades externas a su organización, directamente, en cualquiera de estos tres casos.</w:t>
      </w:r>
    </w:p>
    <w:p w14:paraId="02E49EE3" w14:textId="77777777" w:rsidR="00671CE2" w:rsidRPr="00A07BE9" w:rsidRDefault="00671CE2" w:rsidP="00671CE2">
      <w:pPr>
        <w:spacing w:after="0" w:line="276" w:lineRule="auto"/>
        <w:ind w:left="1361"/>
        <w:jc w:val="both"/>
        <w:rPr>
          <w:rFonts w:ascii="Open Sans" w:hAnsi="Open Sans" w:cs="Open Sans"/>
          <w:sz w:val="20"/>
          <w:szCs w:val="20"/>
        </w:rPr>
      </w:pPr>
      <w:r w:rsidRPr="00A07BE9">
        <w:rPr>
          <w:rFonts w:ascii="Open Sans" w:hAnsi="Open Sans" w:cs="Open Sans"/>
          <w:sz w:val="20"/>
          <w:szCs w:val="20"/>
        </w:rPr>
        <w:t>1. Si tras la denuncia interna, no se toman las medidas oportunas.</w:t>
      </w:r>
    </w:p>
    <w:p w14:paraId="17B0298F" w14:textId="77777777" w:rsidR="00671CE2" w:rsidRPr="00A07BE9" w:rsidRDefault="00671CE2" w:rsidP="00671CE2">
      <w:pPr>
        <w:spacing w:after="0" w:line="276" w:lineRule="auto"/>
        <w:ind w:left="1361"/>
        <w:jc w:val="both"/>
        <w:rPr>
          <w:rFonts w:ascii="Open Sans" w:hAnsi="Open Sans" w:cs="Open Sans"/>
          <w:sz w:val="20"/>
          <w:szCs w:val="20"/>
        </w:rPr>
      </w:pPr>
      <w:r w:rsidRPr="00A07BE9">
        <w:rPr>
          <w:rFonts w:ascii="Open Sans" w:hAnsi="Open Sans" w:cs="Open Sans"/>
          <w:sz w:val="20"/>
          <w:szCs w:val="20"/>
        </w:rPr>
        <w:t>2. Si presume que la denuncia a sus superiores no puede producir efectos porque estos son los autores de los hechos denunciados o se encuentran en connivencia.</w:t>
      </w:r>
    </w:p>
    <w:p w14:paraId="5C37042E" w14:textId="77777777" w:rsidR="00B43B0D" w:rsidRPr="00A07BE9" w:rsidRDefault="00671CE2" w:rsidP="00B43B0D">
      <w:pPr>
        <w:spacing w:after="0" w:line="276" w:lineRule="auto"/>
        <w:ind w:left="1361"/>
        <w:jc w:val="both"/>
        <w:rPr>
          <w:rFonts w:ascii="Open Sans" w:hAnsi="Open Sans" w:cs="Open Sans"/>
          <w:sz w:val="20"/>
          <w:szCs w:val="20"/>
        </w:rPr>
      </w:pPr>
      <w:r w:rsidRPr="00A07BE9">
        <w:rPr>
          <w:rFonts w:ascii="Open Sans" w:hAnsi="Open Sans" w:cs="Open Sans"/>
          <w:sz w:val="20"/>
          <w:szCs w:val="20"/>
        </w:rPr>
        <w:t>3. Cuando existe peligro inminente o manifiesto para el interés público.</w:t>
      </w:r>
    </w:p>
    <w:p w14:paraId="45A83027" w14:textId="77777777" w:rsidR="00671CE2" w:rsidRPr="00A07BE9" w:rsidRDefault="00671CE2" w:rsidP="00D75F2C">
      <w:pPr>
        <w:pStyle w:val="Prrafodelista"/>
        <w:numPr>
          <w:ilvl w:val="0"/>
          <w:numId w:val="2"/>
        </w:numPr>
        <w:spacing w:after="0" w:line="276" w:lineRule="auto"/>
        <w:ind w:left="924" w:hanging="357"/>
        <w:jc w:val="both"/>
        <w:rPr>
          <w:rFonts w:ascii="Open Sans" w:hAnsi="Open Sans" w:cs="Open Sans"/>
          <w:sz w:val="20"/>
          <w:szCs w:val="20"/>
        </w:rPr>
      </w:pPr>
      <w:r w:rsidRPr="00A07BE9">
        <w:rPr>
          <w:rFonts w:ascii="Open Sans" w:hAnsi="Open Sans" w:cs="Open Sans"/>
          <w:sz w:val="20"/>
          <w:szCs w:val="20"/>
        </w:rPr>
        <w:t>Se deberá designar una autoridad, institución o entidad pública estatal responsable en este ámbito.</w:t>
      </w:r>
    </w:p>
    <w:p w14:paraId="604C2108" w14:textId="77777777" w:rsidR="00671CE2" w:rsidRPr="00A07BE9" w:rsidRDefault="00671CE2" w:rsidP="00D75F2C">
      <w:pPr>
        <w:pStyle w:val="Prrafodelista"/>
        <w:spacing w:after="0" w:line="276" w:lineRule="auto"/>
        <w:ind w:left="924"/>
        <w:jc w:val="both"/>
        <w:rPr>
          <w:rFonts w:ascii="Open Sans" w:hAnsi="Open Sans" w:cs="Open Sans"/>
          <w:sz w:val="20"/>
          <w:szCs w:val="20"/>
        </w:rPr>
      </w:pPr>
    </w:p>
    <w:p w14:paraId="639C1A14" w14:textId="7CB79CBE" w:rsidR="00671CE2" w:rsidRPr="00A07BE9" w:rsidRDefault="00671CE2" w:rsidP="00671CE2">
      <w:pPr>
        <w:spacing w:after="0" w:line="276" w:lineRule="auto"/>
        <w:jc w:val="both"/>
        <w:rPr>
          <w:rFonts w:ascii="Open Sans" w:hAnsi="Open Sans" w:cs="Open Sans"/>
          <w:sz w:val="20"/>
          <w:szCs w:val="20"/>
        </w:rPr>
      </w:pPr>
      <w:r w:rsidRPr="00A07BE9">
        <w:rPr>
          <w:rFonts w:ascii="Open Sans" w:hAnsi="Open Sans" w:cs="Open Sans"/>
          <w:sz w:val="20"/>
          <w:szCs w:val="20"/>
        </w:rPr>
        <w:t xml:space="preserve">Países de nuestro entorno más inmediato, como </w:t>
      </w:r>
      <w:hyperlink r:id="rId195" w:history="1">
        <w:r w:rsidRPr="00A07BE9">
          <w:rPr>
            <w:rStyle w:val="Hipervnculo"/>
            <w:rFonts w:ascii="Open Sans" w:hAnsi="Open Sans" w:cs="Open Sans"/>
            <w:sz w:val="20"/>
            <w:szCs w:val="20"/>
          </w:rPr>
          <w:t>Italia</w:t>
        </w:r>
      </w:hyperlink>
      <w:r w:rsidRPr="00A07BE9">
        <w:rPr>
          <w:rFonts w:ascii="Open Sans" w:hAnsi="Open Sans" w:cs="Open Sans"/>
          <w:sz w:val="20"/>
          <w:szCs w:val="20"/>
        </w:rPr>
        <w:t xml:space="preserve"> y </w:t>
      </w:r>
      <w:hyperlink r:id="rId196" w:history="1">
        <w:r w:rsidRPr="00A07BE9">
          <w:rPr>
            <w:rStyle w:val="Hipervnculo"/>
            <w:rFonts w:ascii="Open Sans" w:hAnsi="Open Sans" w:cs="Open Sans"/>
            <w:sz w:val="20"/>
            <w:szCs w:val="20"/>
          </w:rPr>
          <w:t>Francia</w:t>
        </w:r>
      </w:hyperlink>
      <w:r w:rsidRPr="00A07BE9">
        <w:rPr>
          <w:rFonts w:ascii="Open Sans" w:hAnsi="Open Sans" w:cs="Open Sans"/>
          <w:sz w:val="20"/>
          <w:szCs w:val="20"/>
        </w:rPr>
        <w:t>, crearon sus propias autoridades nacionales contra la corrupción y de protección de denunciantes, mediante leyes, de 2012 y de 2016, respectivamente. Se trata de instituciones que actúan con plena independencia orgánica y funcional de las administraciones públicas en el ejercicio de sus funciones, a las que se atribuye personalidad jurídica propia y plena capacidad de obrar, y al frente de las cuales se encuentra un presidente que es elegido por el órgano de poder legislativo.</w:t>
      </w:r>
    </w:p>
    <w:p w14:paraId="76A159DD" w14:textId="77777777" w:rsidR="00671CE2" w:rsidRPr="00A07BE9" w:rsidRDefault="00671CE2" w:rsidP="00671CE2">
      <w:pPr>
        <w:spacing w:after="0" w:line="276" w:lineRule="auto"/>
        <w:jc w:val="both"/>
        <w:rPr>
          <w:rFonts w:ascii="Open Sans" w:hAnsi="Open Sans" w:cs="Open Sans"/>
          <w:sz w:val="20"/>
          <w:szCs w:val="20"/>
        </w:rPr>
      </w:pPr>
    </w:p>
    <w:p w14:paraId="6B111740" w14:textId="13BC3892" w:rsidR="0050097D" w:rsidRPr="00A07BE9" w:rsidRDefault="00671CE2" w:rsidP="00671CE2">
      <w:pPr>
        <w:spacing w:after="0" w:line="276" w:lineRule="auto"/>
        <w:jc w:val="both"/>
        <w:rPr>
          <w:rFonts w:ascii="Open Sans" w:hAnsi="Open Sans" w:cs="Open Sans"/>
          <w:sz w:val="20"/>
          <w:szCs w:val="20"/>
        </w:rPr>
      </w:pPr>
      <w:r w:rsidRPr="00A07BE9">
        <w:rPr>
          <w:rFonts w:ascii="Open Sans" w:hAnsi="Open Sans" w:cs="Open Sans"/>
          <w:sz w:val="20"/>
          <w:szCs w:val="20"/>
        </w:rPr>
        <w:t>Por lo que se refiere a España, hasta el momento, el único territorio que protege de hecho</w:t>
      </w:r>
      <w:r w:rsidRPr="00A07BE9">
        <w:rPr>
          <w:rFonts w:ascii="Open Sans" w:hAnsi="Open Sans" w:cs="Open Sans"/>
          <w:color w:val="000000"/>
          <w:sz w:val="20"/>
          <w:szCs w:val="20"/>
        </w:rPr>
        <w:t xml:space="preserve"> mediante una institución específica e independiente</w:t>
      </w:r>
      <w:r w:rsidRPr="00A07BE9">
        <w:rPr>
          <w:rFonts w:ascii="Open Sans" w:hAnsi="Open Sans" w:cs="Open Sans"/>
          <w:sz w:val="20"/>
          <w:szCs w:val="20"/>
        </w:rPr>
        <w:t xml:space="preserve"> a quienes denuncian corrupción es la Comunitat Valenciana, a través de la Agencia de Prevención y Lucha contra el Fraude y la Corrupción, creada mediante la </w:t>
      </w:r>
      <w:hyperlink r:id="rId197" w:history="1">
        <w:r w:rsidR="0050097D" w:rsidRPr="00A07BE9">
          <w:rPr>
            <w:rStyle w:val="Hipervnculo"/>
            <w:rFonts w:ascii="Open Sans" w:hAnsi="Open Sans" w:cs="Open Sans"/>
            <w:sz w:val="20"/>
            <w:szCs w:val="20"/>
          </w:rPr>
          <w:t>Ley 11/2016</w:t>
        </w:r>
        <w:r w:rsidR="0050097D" w:rsidRPr="00A07BE9">
          <w:rPr>
            <w:rStyle w:val="Hipervnculo"/>
            <w:rFonts w:ascii="Open Sans" w:hAnsi="Open Sans"/>
            <w:color w:val="auto"/>
            <w:sz w:val="20"/>
            <w:szCs w:val="20"/>
            <w:u w:val="none"/>
          </w:rPr>
          <w:t>, de 28 de noviembre, de la Generalitat</w:t>
        </w:r>
      </w:hyperlink>
      <w:r w:rsidR="0050097D" w:rsidRPr="00A07BE9">
        <w:rPr>
          <w:rFonts w:ascii="Open Sans" w:hAnsi="Open Sans" w:cs="Open Sans"/>
          <w:sz w:val="20"/>
          <w:szCs w:val="20"/>
        </w:rPr>
        <w:t>.</w:t>
      </w:r>
    </w:p>
    <w:p w14:paraId="36D3010C" w14:textId="77777777" w:rsidR="0050097D" w:rsidRPr="00A07BE9" w:rsidRDefault="0050097D" w:rsidP="00671CE2">
      <w:pPr>
        <w:spacing w:after="0" w:line="276" w:lineRule="auto"/>
        <w:jc w:val="both"/>
        <w:rPr>
          <w:rFonts w:ascii="Open Sans" w:hAnsi="Open Sans" w:cs="Open Sans"/>
          <w:sz w:val="20"/>
          <w:szCs w:val="20"/>
        </w:rPr>
      </w:pPr>
    </w:p>
    <w:p w14:paraId="6026A279" w14:textId="6FC2CB50" w:rsidR="00671CE2" w:rsidRPr="00A07BE9" w:rsidRDefault="00671CE2" w:rsidP="00671CE2">
      <w:pPr>
        <w:spacing w:after="0" w:line="276" w:lineRule="auto"/>
        <w:jc w:val="both"/>
        <w:rPr>
          <w:rFonts w:ascii="Open Sans" w:hAnsi="Open Sans" w:cs="Open Sans"/>
          <w:sz w:val="20"/>
          <w:szCs w:val="20"/>
        </w:rPr>
      </w:pPr>
      <w:r w:rsidRPr="00A07BE9">
        <w:rPr>
          <w:rFonts w:ascii="Open Sans" w:hAnsi="Open Sans" w:cs="Open Sans"/>
          <w:sz w:val="20"/>
          <w:szCs w:val="20"/>
        </w:rPr>
        <w:t xml:space="preserve">El objeto de la </w:t>
      </w:r>
      <w:hyperlink r:id="rId198" w:history="1">
        <w:r w:rsidRPr="00A07BE9">
          <w:rPr>
            <w:rStyle w:val="Hipervnculo"/>
            <w:rFonts w:ascii="Open Sans" w:hAnsi="Open Sans" w:cs="Open Sans"/>
            <w:sz w:val="20"/>
            <w:szCs w:val="20"/>
          </w:rPr>
          <w:t>Directiva</w:t>
        </w:r>
      </w:hyperlink>
      <w:r w:rsidRPr="00A07BE9">
        <w:rPr>
          <w:rFonts w:ascii="Open Sans" w:hAnsi="Open Sans" w:cs="Open Sans"/>
          <w:sz w:val="20"/>
          <w:szCs w:val="20"/>
        </w:rPr>
        <w:t xml:space="preserve"> es establecer normas mínimas para proteger a las personas que informan, comunican, alertan o denuncian infracciones.</w:t>
      </w:r>
    </w:p>
    <w:p w14:paraId="4533DD84" w14:textId="77777777" w:rsidR="00671CE2" w:rsidRPr="00A07BE9" w:rsidRDefault="00671CE2" w:rsidP="00671CE2">
      <w:pPr>
        <w:spacing w:after="0" w:line="276" w:lineRule="auto"/>
        <w:jc w:val="both"/>
        <w:rPr>
          <w:rFonts w:ascii="Open Sans" w:hAnsi="Open Sans" w:cs="Open Sans"/>
          <w:sz w:val="20"/>
          <w:szCs w:val="20"/>
        </w:rPr>
      </w:pPr>
      <w:r w:rsidRPr="00A07BE9">
        <w:rPr>
          <w:rFonts w:ascii="Open Sans" w:hAnsi="Open Sans" w:cs="Open Sans"/>
          <w:sz w:val="20"/>
          <w:szCs w:val="20"/>
        </w:rPr>
        <w:lastRenderedPageBreak/>
        <w:t>En la actualidad, la protección de los denunciantes en los distintos Estados miembros es desigual y está fragmentada, por lo que se pretende donde ya existen instrumentos o legislación, su mejora, y donde no existen, su implantación a través de unas exigencias mínimas que refuercen la aplicación del Derecho y el respeto al principio de legalidad.</w:t>
      </w:r>
    </w:p>
    <w:p w14:paraId="71C5D775" w14:textId="77777777" w:rsidR="00671CE2" w:rsidRPr="00A07BE9" w:rsidRDefault="00671CE2" w:rsidP="00671CE2">
      <w:pPr>
        <w:spacing w:after="0" w:line="276" w:lineRule="auto"/>
        <w:jc w:val="both"/>
        <w:rPr>
          <w:rFonts w:ascii="Open Sans" w:hAnsi="Open Sans" w:cs="Open Sans"/>
          <w:sz w:val="20"/>
          <w:szCs w:val="20"/>
        </w:rPr>
      </w:pPr>
    </w:p>
    <w:p w14:paraId="4A100D78" w14:textId="1312BDD1" w:rsidR="00671CE2" w:rsidRPr="00A07BE9" w:rsidRDefault="00671CE2" w:rsidP="00671CE2">
      <w:pPr>
        <w:spacing w:after="0" w:line="276" w:lineRule="auto"/>
        <w:jc w:val="both"/>
        <w:rPr>
          <w:rFonts w:ascii="Open Sans" w:hAnsi="Open Sans" w:cs="Open Sans"/>
          <w:sz w:val="20"/>
          <w:szCs w:val="20"/>
        </w:rPr>
      </w:pPr>
      <w:r w:rsidRPr="00A07BE9">
        <w:rPr>
          <w:rFonts w:ascii="Open Sans" w:hAnsi="Open Sans" w:cs="Open Sans"/>
          <w:sz w:val="20"/>
          <w:szCs w:val="20"/>
        </w:rPr>
        <w:t xml:space="preserve">La razón subyacente para prestar protección a los denunciantes es su posición de vulnerabilidad frente a la persona de la que dependen laboralmente. Esta protección permitirá combatir actividades ilegales y los abusos que se producen, tanto en el sector público como en el privado, y luchar contra el fraude y la corrupción. </w:t>
      </w:r>
    </w:p>
    <w:p w14:paraId="64E19540" w14:textId="4334F202" w:rsidR="00671CE2" w:rsidRPr="00A07BE9" w:rsidRDefault="00671CE2" w:rsidP="00671CE2">
      <w:pPr>
        <w:spacing w:after="0" w:line="276" w:lineRule="auto"/>
        <w:jc w:val="both"/>
        <w:rPr>
          <w:rFonts w:ascii="Open Sans" w:hAnsi="Open Sans" w:cs="Open Sans"/>
          <w:sz w:val="20"/>
          <w:szCs w:val="20"/>
        </w:rPr>
      </w:pPr>
      <w:r w:rsidRPr="00A07BE9">
        <w:rPr>
          <w:rFonts w:ascii="Open Sans" w:hAnsi="Open Sans" w:cs="Open Sans"/>
          <w:sz w:val="20"/>
          <w:szCs w:val="20"/>
        </w:rPr>
        <w:t xml:space="preserve">Asimismo, se hace necesario destacar que el ámbito de aplicación material de la </w:t>
      </w:r>
      <w:hyperlink r:id="rId199" w:history="1">
        <w:r w:rsidRPr="00A07BE9">
          <w:rPr>
            <w:rStyle w:val="Hipervnculo"/>
            <w:rFonts w:ascii="Open Sans" w:hAnsi="Open Sans" w:cs="Open Sans"/>
            <w:sz w:val="20"/>
            <w:szCs w:val="20"/>
          </w:rPr>
          <w:t>Directiva</w:t>
        </w:r>
      </w:hyperlink>
      <w:r w:rsidRPr="00A07BE9">
        <w:rPr>
          <w:rFonts w:ascii="Open Sans" w:hAnsi="Open Sans" w:cs="Open Sans"/>
          <w:sz w:val="20"/>
          <w:szCs w:val="20"/>
        </w:rPr>
        <w:t xml:space="preserve"> es muy amplio, e incluye</w:t>
      </w:r>
      <w:r w:rsidRPr="00A07BE9">
        <w:rPr>
          <w:rFonts w:ascii="Open Sans" w:hAnsi="Open Sans" w:cs="Open Sans"/>
          <w:color w:val="000000"/>
          <w:sz w:val="20"/>
          <w:szCs w:val="20"/>
        </w:rPr>
        <w:t xml:space="preserve"> los siguientes sectores: </w:t>
      </w:r>
    </w:p>
    <w:p w14:paraId="3D279E3A" w14:textId="77777777" w:rsidR="00671CE2" w:rsidRPr="00A07BE9" w:rsidRDefault="00671CE2" w:rsidP="00671CE2">
      <w:pPr>
        <w:spacing w:after="0" w:line="276" w:lineRule="auto"/>
        <w:jc w:val="both"/>
        <w:rPr>
          <w:rFonts w:ascii="Open Sans" w:hAnsi="Open Sans" w:cs="Open Sans"/>
          <w:color w:val="000000"/>
          <w:sz w:val="20"/>
          <w:szCs w:val="20"/>
        </w:rPr>
      </w:pPr>
    </w:p>
    <w:p w14:paraId="33EDF914" w14:textId="77777777" w:rsidR="00671CE2" w:rsidRPr="00A07BE9" w:rsidRDefault="00671CE2" w:rsidP="00D75F2C">
      <w:pPr>
        <w:pStyle w:val="Prrafodelista"/>
        <w:numPr>
          <w:ilvl w:val="0"/>
          <w:numId w:val="2"/>
        </w:numPr>
        <w:spacing w:after="0" w:line="276" w:lineRule="auto"/>
        <w:ind w:left="924" w:hanging="357"/>
        <w:jc w:val="both"/>
        <w:rPr>
          <w:rFonts w:ascii="Open Sans" w:hAnsi="Open Sans" w:cs="Open Sans"/>
          <w:color w:val="000000"/>
          <w:sz w:val="20"/>
          <w:szCs w:val="20"/>
        </w:rPr>
      </w:pPr>
      <w:r w:rsidRPr="00A07BE9">
        <w:rPr>
          <w:rFonts w:ascii="Open Sans" w:hAnsi="Open Sans" w:cs="Open Sans"/>
          <w:color w:val="000000"/>
          <w:sz w:val="20"/>
          <w:szCs w:val="20"/>
        </w:rPr>
        <w:t>Contratación pública y concesiones.</w:t>
      </w:r>
    </w:p>
    <w:p w14:paraId="4B793E38" w14:textId="77777777" w:rsidR="00671CE2" w:rsidRPr="00A07BE9" w:rsidRDefault="00671CE2" w:rsidP="00D75F2C">
      <w:pPr>
        <w:pStyle w:val="Prrafodelista"/>
        <w:numPr>
          <w:ilvl w:val="0"/>
          <w:numId w:val="2"/>
        </w:numPr>
        <w:spacing w:after="0" w:line="276" w:lineRule="auto"/>
        <w:ind w:left="924" w:hanging="357"/>
        <w:jc w:val="both"/>
        <w:rPr>
          <w:rFonts w:ascii="Open Sans" w:hAnsi="Open Sans" w:cs="Open Sans"/>
          <w:color w:val="000000"/>
          <w:sz w:val="20"/>
          <w:szCs w:val="20"/>
        </w:rPr>
      </w:pPr>
      <w:r w:rsidRPr="00A07BE9">
        <w:rPr>
          <w:rFonts w:ascii="Open Sans" w:hAnsi="Open Sans" w:cs="Open Sans"/>
          <w:color w:val="000000"/>
          <w:sz w:val="20"/>
          <w:szCs w:val="20"/>
        </w:rPr>
        <w:t>Servicios, productos y mercados financieros, y prevención del blanqueo de capitales y financiación del terrorismo.</w:t>
      </w:r>
    </w:p>
    <w:p w14:paraId="0554CEE7" w14:textId="77777777" w:rsidR="00671CE2" w:rsidRPr="00A07BE9" w:rsidRDefault="00671CE2" w:rsidP="00D75F2C">
      <w:pPr>
        <w:pStyle w:val="Prrafodelista"/>
        <w:numPr>
          <w:ilvl w:val="0"/>
          <w:numId w:val="2"/>
        </w:numPr>
        <w:spacing w:after="0" w:line="276" w:lineRule="auto"/>
        <w:ind w:left="924" w:hanging="357"/>
        <w:jc w:val="both"/>
        <w:rPr>
          <w:rFonts w:ascii="Open Sans" w:hAnsi="Open Sans" w:cs="Open Sans"/>
          <w:color w:val="000000"/>
          <w:sz w:val="20"/>
          <w:szCs w:val="20"/>
        </w:rPr>
      </w:pPr>
      <w:r w:rsidRPr="00A07BE9">
        <w:rPr>
          <w:rFonts w:ascii="Open Sans" w:hAnsi="Open Sans" w:cs="Open Sans"/>
          <w:color w:val="000000"/>
          <w:sz w:val="20"/>
          <w:szCs w:val="20"/>
        </w:rPr>
        <w:t>Seguridad de los productos.</w:t>
      </w:r>
    </w:p>
    <w:p w14:paraId="21921E41" w14:textId="77777777" w:rsidR="00671CE2" w:rsidRPr="00A07BE9" w:rsidRDefault="00671CE2" w:rsidP="00D75F2C">
      <w:pPr>
        <w:pStyle w:val="Prrafodelista"/>
        <w:numPr>
          <w:ilvl w:val="0"/>
          <w:numId w:val="2"/>
        </w:numPr>
        <w:spacing w:after="0" w:line="276" w:lineRule="auto"/>
        <w:ind w:left="924" w:hanging="357"/>
        <w:jc w:val="both"/>
        <w:rPr>
          <w:rFonts w:ascii="Open Sans" w:hAnsi="Open Sans" w:cs="Open Sans"/>
          <w:color w:val="000000"/>
          <w:sz w:val="20"/>
          <w:szCs w:val="20"/>
        </w:rPr>
      </w:pPr>
      <w:r w:rsidRPr="00A07BE9">
        <w:rPr>
          <w:rFonts w:ascii="Open Sans" w:hAnsi="Open Sans" w:cs="Open Sans"/>
          <w:color w:val="000000"/>
          <w:sz w:val="20"/>
          <w:szCs w:val="20"/>
        </w:rPr>
        <w:t>Seguridad del transporte.</w:t>
      </w:r>
    </w:p>
    <w:p w14:paraId="7D9F6F23" w14:textId="77777777" w:rsidR="00671CE2" w:rsidRPr="00A07BE9" w:rsidRDefault="00671CE2" w:rsidP="00D75F2C">
      <w:pPr>
        <w:pStyle w:val="Prrafodelista"/>
        <w:numPr>
          <w:ilvl w:val="0"/>
          <w:numId w:val="2"/>
        </w:numPr>
        <w:spacing w:after="0" w:line="276" w:lineRule="auto"/>
        <w:ind w:left="924" w:hanging="357"/>
        <w:jc w:val="both"/>
        <w:rPr>
          <w:rFonts w:ascii="Open Sans" w:hAnsi="Open Sans" w:cs="Open Sans"/>
          <w:color w:val="000000"/>
          <w:sz w:val="20"/>
          <w:szCs w:val="20"/>
        </w:rPr>
      </w:pPr>
      <w:r w:rsidRPr="00A07BE9">
        <w:rPr>
          <w:rFonts w:ascii="Open Sans" w:hAnsi="Open Sans" w:cs="Open Sans"/>
          <w:color w:val="000000"/>
          <w:sz w:val="20"/>
          <w:szCs w:val="20"/>
        </w:rPr>
        <w:t>Protección del medio ambiente: protección frente a las radiaciones y seguridad nuclear.</w:t>
      </w:r>
    </w:p>
    <w:p w14:paraId="68779583" w14:textId="77777777" w:rsidR="00671CE2" w:rsidRPr="00A07BE9" w:rsidRDefault="00671CE2" w:rsidP="00D75F2C">
      <w:pPr>
        <w:pStyle w:val="Prrafodelista"/>
        <w:numPr>
          <w:ilvl w:val="0"/>
          <w:numId w:val="2"/>
        </w:numPr>
        <w:spacing w:after="0" w:line="276" w:lineRule="auto"/>
        <w:ind w:left="924" w:hanging="357"/>
        <w:jc w:val="both"/>
        <w:rPr>
          <w:rFonts w:ascii="Open Sans" w:hAnsi="Open Sans" w:cs="Open Sans"/>
          <w:color w:val="000000"/>
          <w:sz w:val="20"/>
          <w:szCs w:val="20"/>
        </w:rPr>
      </w:pPr>
      <w:r w:rsidRPr="00A07BE9">
        <w:rPr>
          <w:rFonts w:ascii="Open Sans" w:hAnsi="Open Sans" w:cs="Open Sans"/>
          <w:color w:val="000000"/>
          <w:sz w:val="20"/>
          <w:szCs w:val="20"/>
        </w:rPr>
        <w:t>Seguridad de los alimentos y de los piensos, sanidad animal y bienestar de los animales.</w:t>
      </w:r>
    </w:p>
    <w:p w14:paraId="4EAFAFE9" w14:textId="77777777" w:rsidR="00671CE2" w:rsidRPr="00A07BE9" w:rsidRDefault="00671CE2" w:rsidP="00D75F2C">
      <w:pPr>
        <w:pStyle w:val="Prrafodelista"/>
        <w:numPr>
          <w:ilvl w:val="0"/>
          <w:numId w:val="2"/>
        </w:numPr>
        <w:spacing w:after="0" w:line="276" w:lineRule="auto"/>
        <w:ind w:left="924" w:hanging="357"/>
        <w:jc w:val="both"/>
        <w:rPr>
          <w:rFonts w:ascii="Open Sans" w:hAnsi="Open Sans" w:cs="Open Sans"/>
          <w:color w:val="000000"/>
          <w:sz w:val="20"/>
          <w:szCs w:val="20"/>
        </w:rPr>
      </w:pPr>
      <w:r w:rsidRPr="00A07BE9">
        <w:rPr>
          <w:rFonts w:ascii="Open Sans" w:hAnsi="Open Sans" w:cs="Open Sans"/>
          <w:color w:val="000000"/>
          <w:sz w:val="20"/>
          <w:szCs w:val="20"/>
        </w:rPr>
        <w:t>Salud pública.</w:t>
      </w:r>
    </w:p>
    <w:p w14:paraId="44FC5802" w14:textId="77777777" w:rsidR="00671CE2" w:rsidRPr="00A07BE9" w:rsidRDefault="00671CE2" w:rsidP="00D75F2C">
      <w:pPr>
        <w:pStyle w:val="Prrafodelista"/>
        <w:numPr>
          <w:ilvl w:val="0"/>
          <w:numId w:val="2"/>
        </w:numPr>
        <w:spacing w:after="0" w:line="276" w:lineRule="auto"/>
        <w:ind w:left="924" w:hanging="357"/>
        <w:jc w:val="both"/>
        <w:rPr>
          <w:rFonts w:ascii="Open Sans" w:hAnsi="Open Sans" w:cs="Open Sans"/>
          <w:color w:val="000000"/>
          <w:sz w:val="20"/>
          <w:szCs w:val="20"/>
        </w:rPr>
      </w:pPr>
      <w:r w:rsidRPr="00A07BE9">
        <w:rPr>
          <w:rFonts w:ascii="Open Sans" w:hAnsi="Open Sans" w:cs="Open Sans"/>
          <w:color w:val="000000"/>
          <w:sz w:val="20"/>
          <w:szCs w:val="20"/>
        </w:rPr>
        <w:t>Protección de los consumidores.</w:t>
      </w:r>
    </w:p>
    <w:p w14:paraId="1FC920D1" w14:textId="77777777" w:rsidR="00671CE2" w:rsidRPr="00A07BE9" w:rsidRDefault="00671CE2" w:rsidP="00D75F2C">
      <w:pPr>
        <w:pStyle w:val="Prrafodelista"/>
        <w:numPr>
          <w:ilvl w:val="0"/>
          <w:numId w:val="2"/>
        </w:numPr>
        <w:spacing w:after="0" w:line="276" w:lineRule="auto"/>
        <w:ind w:left="924" w:hanging="357"/>
        <w:jc w:val="both"/>
        <w:rPr>
          <w:rFonts w:ascii="Open Sans" w:hAnsi="Open Sans" w:cs="Open Sans"/>
          <w:color w:val="000000"/>
          <w:sz w:val="20"/>
          <w:szCs w:val="20"/>
        </w:rPr>
      </w:pPr>
      <w:r w:rsidRPr="00A07BE9">
        <w:rPr>
          <w:rFonts w:ascii="Open Sans" w:hAnsi="Open Sans" w:cs="Open Sans"/>
          <w:color w:val="000000"/>
          <w:sz w:val="20"/>
          <w:szCs w:val="20"/>
        </w:rPr>
        <w:t>Protección de la privacidad y de los datos personales, y seguridad de las redes y los sistemas de información.</w:t>
      </w:r>
    </w:p>
    <w:p w14:paraId="01FCAE79" w14:textId="77777777" w:rsidR="00671CE2" w:rsidRPr="00A07BE9" w:rsidRDefault="00671CE2" w:rsidP="00D75F2C">
      <w:pPr>
        <w:pStyle w:val="Prrafodelista"/>
        <w:numPr>
          <w:ilvl w:val="0"/>
          <w:numId w:val="2"/>
        </w:numPr>
        <w:spacing w:after="0" w:line="276" w:lineRule="auto"/>
        <w:ind w:left="924" w:hanging="357"/>
        <w:jc w:val="both"/>
        <w:rPr>
          <w:rFonts w:ascii="Open Sans" w:hAnsi="Open Sans" w:cs="Open Sans"/>
          <w:color w:val="000000"/>
          <w:sz w:val="20"/>
          <w:szCs w:val="20"/>
        </w:rPr>
      </w:pPr>
      <w:r w:rsidRPr="00A07BE9">
        <w:rPr>
          <w:rFonts w:ascii="Open Sans" w:hAnsi="Open Sans" w:cs="Open Sans"/>
          <w:color w:val="000000"/>
          <w:sz w:val="20"/>
          <w:szCs w:val="20"/>
        </w:rPr>
        <w:t>Infracciones que afecten a los intereses financieros y al mercado interior.</w:t>
      </w:r>
    </w:p>
    <w:p w14:paraId="55BE0271" w14:textId="77777777" w:rsidR="00671CE2" w:rsidRPr="00A07BE9" w:rsidRDefault="00671CE2" w:rsidP="00671CE2">
      <w:pPr>
        <w:spacing w:after="0" w:line="276" w:lineRule="auto"/>
        <w:jc w:val="both"/>
        <w:rPr>
          <w:rFonts w:ascii="Open Sans" w:hAnsi="Open Sans" w:cs="Open Sans"/>
          <w:sz w:val="20"/>
          <w:szCs w:val="20"/>
        </w:rPr>
      </w:pPr>
    </w:p>
    <w:p w14:paraId="229AB585" w14:textId="2539902A" w:rsidR="006046AD" w:rsidRPr="00A07BE9" w:rsidRDefault="00671CE2" w:rsidP="00671CE2">
      <w:pPr>
        <w:spacing w:after="0" w:line="276" w:lineRule="auto"/>
        <w:jc w:val="both"/>
        <w:rPr>
          <w:rFonts w:ascii="Open Sans" w:hAnsi="Open Sans" w:cs="Open Sans"/>
          <w:sz w:val="20"/>
          <w:szCs w:val="20"/>
        </w:rPr>
      </w:pPr>
      <w:r w:rsidRPr="00A07BE9">
        <w:rPr>
          <w:rFonts w:ascii="Open Sans" w:hAnsi="Open Sans" w:cs="Open Sans"/>
          <w:sz w:val="20"/>
          <w:szCs w:val="20"/>
        </w:rPr>
        <w:t>En relación con las denuncias y canales internos para denunciar, se establece que los Estados miembros deben promocionar su existencia.</w:t>
      </w:r>
    </w:p>
    <w:p w14:paraId="2C5C51BB" w14:textId="77777777" w:rsidR="00A07E7F" w:rsidRPr="00A07BE9" w:rsidRDefault="00A07E7F" w:rsidP="00671CE2">
      <w:pPr>
        <w:spacing w:after="0" w:line="276" w:lineRule="auto"/>
        <w:jc w:val="both"/>
        <w:rPr>
          <w:rFonts w:ascii="Open Sans" w:hAnsi="Open Sans" w:cs="Open Sans"/>
          <w:sz w:val="20"/>
          <w:szCs w:val="20"/>
        </w:rPr>
      </w:pPr>
    </w:p>
    <w:p w14:paraId="13FC0CBC" w14:textId="77777777" w:rsidR="00671CE2" w:rsidRPr="00A07BE9" w:rsidRDefault="00671CE2" w:rsidP="00671CE2">
      <w:pPr>
        <w:spacing w:after="0" w:line="276" w:lineRule="auto"/>
        <w:jc w:val="both"/>
        <w:rPr>
          <w:rFonts w:ascii="Open Sans" w:hAnsi="Open Sans" w:cs="Open Sans"/>
          <w:sz w:val="20"/>
          <w:szCs w:val="20"/>
        </w:rPr>
      </w:pPr>
      <w:r w:rsidRPr="00A07BE9">
        <w:rPr>
          <w:rFonts w:ascii="Open Sans" w:hAnsi="Open Sans" w:cs="Open Sans"/>
          <w:sz w:val="20"/>
          <w:szCs w:val="20"/>
        </w:rPr>
        <w:t>Son obligatorios los canales internos en empresas de 50 o más trabajadores. En caso de empresas entre 50 a 249 trabajadores podrán compartir canal y entidad de investigación de las denuncias.</w:t>
      </w:r>
    </w:p>
    <w:p w14:paraId="4781558C" w14:textId="77777777" w:rsidR="00671CE2" w:rsidRPr="00A07BE9" w:rsidRDefault="00671CE2" w:rsidP="00671CE2">
      <w:pPr>
        <w:spacing w:after="0" w:line="276" w:lineRule="auto"/>
        <w:jc w:val="both"/>
        <w:rPr>
          <w:rFonts w:ascii="Open Sans" w:hAnsi="Open Sans" w:cs="Open Sans"/>
          <w:sz w:val="20"/>
          <w:szCs w:val="20"/>
        </w:rPr>
      </w:pPr>
    </w:p>
    <w:p w14:paraId="47BBC01D" w14:textId="0157F6A5" w:rsidR="00671CE2" w:rsidRPr="00A07BE9" w:rsidRDefault="00671CE2" w:rsidP="00671CE2">
      <w:pPr>
        <w:spacing w:after="0" w:line="276" w:lineRule="auto"/>
        <w:jc w:val="both"/>
        <w:rPr>
          <w:rFonts w:ascii="Open Sans" w:hAnsi="Open Sans" w:cs="Open Sans"/>
          <w:sz w:val="20"/>
          <w:szCs w:val="20"/>
        </w:rPr>
      </w:pPr>
      <w:r w:rsidRPr="00A07BE9">
        <w:rPr>
          <w:rFonts w:ascii="Open Sans" w:hAnsi="Open Sans" w:cs="Open Sans"/>
          <w:sz w:val="20"/>
          <w:szCs w:val="20"/>
        </w:rPr>
        <w:t>Tratándose de administraciones públicas, sector público vinculado y otras personas jurídicas sujetas al control de estas, los canales internos son obligatorios en municipios de más de</w:t>
      </w:r>
      <w:r w:rsidR="009A3D76" w:rsidRPr="00A07BE9">
        <w:rPr>
          <w:rFonts w:ascii="Open Sans" w:hAnsi="Open Sans" w:cs="Open Sans"/>
          <w:sz w:val="20"/>
          <w:szCs w:val="20"/>
        </w:rPr>
        <w:t xml:space="preserve"> </w:t>
      </w:r>
      <w:r w:rsidRPr="00A07BE9">
        <w:rPr>
          <w:rFonts w:ascii="Open Sans" w:hAnsi="Open Sans" w:cs="Open Sans"/>
          <w:sz w:val="20"/>
          <w:szCs w:val="20"/>
        </w:rPr>
        <w:t>10.000 habitantes o entidades con más de 50 trabajadores. En el resto de casos, los Estados miembros decidirán si son obligatorios o no, pudiendo también unirse o agruparse.</w:t>
      </w:r>
    </w:p>
    <w:p w14:paraId="08C5F3BA" w14:textId="77777777" w:rsidR="00671CE2" w:rsidRPr="00A07BE9" w:rsidRDefault="00671CE2" w:rsidP="00671CE2">
      <w:pPr>
        <w:spacing w:after="0" w:line="276" w:lineRule="auto"/>
        <w:jc w:val="both"/>
        <w:rPr>
          <w:rFonts w:ascii="Open Sans" w:hAnsi="Open Sans" w:cs="Open Sans"/>
          <w:sz w:val="20"/>
          <w:szCs w:val="20"/>
        </w:rPr>
      </w:pPr>
    </w:p>
    <w:p w14:paraId="53C42C48" w14:textId="1EFEC1F6" w:rsidR="00671CE2" w:rsidRPr="00A07BE9" w:rsidRDefault="00671CE2" w:rsidP="00671CE2">
      <w:pPr>
        <w:spacing w:after="0" w:line="276" w:lineRule="auto"/>
        <w:jc w:val="both"/>
        <w:rPr>
          <w:rFonts w:ascii="Open Sans" w:hAnsi="Open Sans" w:cs="Open Sans"/>
          <w:sz w:val="20"/>
          <w:szCs w:val="20"/>
        </w:rPr>
      </w:pPr>
      <w:r w:rsidRPr="00A07BE9">
        <w:rPr>
          <w:rFonts w:ascii="Open Sans" w:hAnsi="Open Sans" w:cs="Open Sans"/>
          <w:sz w:val="20"/>
          <w:szCs w:val="20"/>
        </w:rPr>
        <w:t xml:space="preserve">No obstante lo contemplado en la </w:t>
      </w:r>
      <w:hyperlink r:id="rId200" w:history="1">
        <w:r w:rsidRPr="00A07BE9">
          <w:rPr>
            <w:rStyle w:val="Hipervnculo"/>
            <w:rFonts w:ascii="Open Sans" w:hAnsi="Open Sans" w:cs="Open Sans"/>
            <w:sz w:val="20"/>
            <w:szCs w:val="20"/>
          </w:rPr>
          <w:t>Directiva</w:t>
        </w:r>
      </w:hyperlink>
      <w:r w:rsidRPr="00A07BE9">
        <w:rPr>
          <w:rFonts w:ascii="Open Sans" w:hAnsi="Open Sans" w:cs="Open Sans"/>
          <w:sz w:val="20"/>
          <w:szCs w:val="20"/>
        </w:rPr>
        <w:t>, como mínimos, habida cuenta de que en España nuestro tejido empresarial se basa en la pequeña y mediana empresa y nuestros municipios tienen por regla general un número medio de habitantes inferior al de 10.000, lo razonable sería que el legislador español rebaj</w:t>
      </w:r>
      <w:r w:rsidRPr="00A07BE9">
        <w:rPr>
          <w:rFonts w:ascii="Open Sans" w:hAnsi="Open Sans" w:cs="Open Sans"/>
          <w:color w:val="000000"/>
          <w:sz w:val="20"/>
          <w:szCs w:val="20"/>
        </w:rPr>
        <w:t>ase</w:t>
      </w:r>
      <w:r w:rsidRPr="00A07BE9">
        <w:rPr>
          <w:rFonts w:ascii="Open Sans" w:hAnsi="Open Sans" w:cs="Open Sans"/>
          <w:sz w:val="20"/>
          <w:szCs w:val="20"/>
        </w:rPr>
        <w:t xml:space="preserve"> considerablemente estas cifras para determinar la existencia de canales internos de denuncia.</w:t>
      </w:r>
    </w:p>
    <w:p w14:paraId="27E39B20" w14:textId="43162D7D" w:rsidR="00671CE2" w:rsidRPr="00A07BE9" w:rsidRDefault="00671CE2" w:rsidP="00671CE2">
      <w:pPr>
        <w:spacing w:after="0" w:line="276" w:lineRule="auto"/>
        <w:jc w:val="both"/>
        <w:rPr>
          <w:rFonts w:ascii="Open Sans" w:hAnsi="Open Sans" w:cs="Open Sans"/>
          <w:sz w:val="20"/>
          <w:szCs w:val="20"/>
        </w:rPr>
      </w:pPr>
      <w:r w:rsidRPr="00A07BE9">
        <w:rPr>
          <w:rFonts w:ascii="Open Sans" w:hAnsi="Open Sans" w:cs="Open Sans"/>
          <w:sz w:val="20"/>
          <w:szCs w:val="20"/>
        </w:rPr>
        <w:lastRenderedPageBreak/>
        <w:t xml:space="preserve">En relación con el procedimiento de denuncia y seguimiento o investigación, se resaltan las siguientes prescripciones contempladas </w:t>
      </w:r>
      <w:r w:rsidRPr="00A07BE9">
        <w:rPr>
          <w:rFonts w:ascii="Open Sans" w:hAnsi="Open Sans" w:cs="Open Sans"/>
          <w:color w:val="000000"/>
          <w:sz w:val="20"/>
          <w:szCs w:val="20"/>
        </w:rPr>
        <w:t xml:space="preserve">en la </w:t>
      </w:r>
      <w:hyperlink r:id="rId201" w:history="1">
        <w:r w:rsidRPr="00A07BE9">
          <w:rPr>
            <w:rStyle w:val="Hipervnculo"/>
            <w:rFonts w:ascii="Open Sans" w:hAnsi="Open Sans" w:cs="Open Sans"/>
            <w:sz w:val="20"/>
            <w:szCs w:val="20"/>
          </w:rPr>
          <w:t>Directiva</w:t>
        </w:r>
      </w:hyperlink>
      <w:r w:rsidRPr="00A07BE9">
        <w:rPr>
          <w:rFonts w:ascii="Open Sans" w:hAnsi="Open Sans" w:cs="Open Sans"/>
          <w:color w:val="000000"/>
          <w:sz w:val="20"/>
          <w:szCs w:val="20"/>
        </w:rPr>
        <w:t>:</w:t>
      </w:r>
    </w:p>
    <w:p w14:paraId="61C2F3B7" w14:textId="77777777" w:rsidR="00671CE2" w:rsidRPr="00A07BE9" w:rsidRDefault="00671CE2" w:rsidP="00671CE2">
      <w:pPr>
        <w:spacing w:after="0" w:line="276" w:lineRule="auto"/>
        <w:jc w:val="both"/>
        <w:rPr>
          <w:rFonts w:ascii="Open Sans" w:hAnsi="Open Sans" w:cs="Open Sans"/>
          <w:sz w:val="20"/>
          <w:szCs w:val="20"/>
        </w:rPr>
      </w:pPr>
    </w:p>
    <w:p w14:paraId="0F0C8C33" w14:textId="77777777" w:rsidR="00D75F2C" w:rsidRPr="00A07BE9" w:rsidRDefault="00671CE2" w:rsidP="00D75F2C">
      <w:pPr>
        <w:pStyle w:val="Prrafodelista"/>
        <w:numPr>
          <w:ilvl w:val="0"/>
          <w:numId w:val="2"/>
        </w:numPr>
        <w:spacing w:after="0" w:line="276" w:lineRule="auto"/>
        <w:ind w:left="924" w:hanging="357"/>
        <w:jc w:val="both"/>
        <w:rPr>
          <w:rFonts w:ascii="Open Sans" w:hAnsi="Open Sans" w:cs="Open Sans"/>
          <w:sz w:val="20"/>
          <w:szCs w:val="20"/>
        </w:rPr>
      </w:pPr>
      <w:r w:rsidRPr="00A07BE9">
        <w:rPr>
          <w:rFonts w:ascii="Open Sans" w:hAnsi="Open Sans" w:cs="Open Sans"/>
          <w:sz w:val="20"/>
          <w:szCs w:val="20"/>
        </w:rPr>
        <w:t>Debe proporcionarse al denunciante información apropiada y clara relativa al uso de estos canales.</w:t>
      </w:r>
    </w:p>
    <w:p w14:paraId="6F6B3666" w14:textId="77777777" w:rsidR="00D75F2C" w:rsidRPr="00A07BE9" w:rsidRDefault="00671CE2" w:rsidP="00D75F2C">
      <w:pPr>
        <w:pStyle w:val="Prrafodelista"/>
        <w:numPr>
          <w:ilvl w:val="0"/>
          <w:numId w:val="2"/>
        </w:numPr>
        <w:spacing w:after="0" w:line="276" w:lineRule="auto"/>
        <w:ind w:left="924" w:hanging="357"/>
        <w:jc w:val="both"/>
        <w:rPr>
          <w:rFonts w:ascii="Open Sans" w:hAnsi="Open Sans" w:cs="Open Sans"/>
          <w:sz w:val="20"/>
          <w:szCs w:val="20"/>
        </w:rPr>
      </w:pPr>
      <w:r w:rsidRPr="00A07BE9">
        <w:rPr>
          <w:rFonts w:ascii="Open Sans" w:hAnsi="Open Sans" w:cs="Open Sans"/>
          <w:sz w:val="20"/>
          <w:szCs w:val="20"/>
        </w:rPr>
        <w:t>El canal desde ser seguro y fácilmente accesible.</w:t>
      </w:r>
    </w:p>
    <w:p w14:paraId="7F12D7E5" w14:textId="77777777" w:rsidR="00D75F2C" w:rsidRPr="00A07BE9" w:rsidRDefault="00671CE2" w:rsidP="00D75F2C">
      <w:pPr>
        <w:pStyle w:val="Prrafodelista"/>
        <w:numPr>
          <w:ilvl w:val="0"/>
          <w:numId w:val="2"/>
        </w:numPr>
        <w:spacing w:after="0" w:line="276" w:lineRule="auto"/>
        <w:ind w:left="924" w:hanging="357"/>
        <w:jc w:val="both"/>
        <w:rPr>
          <w:rFonts w:ascii="Open Sans" w:hAnsi="Open Sans" w:cs="Open Sans"/>
          <w:sz w:val="20"/>
          <w:szCs w:val="20"/>
        </w:rPr>
      </w:pPr>
      <w:r w:rsidRPr="00A07BE9">
        <w:rPr>
          <w:rFonts w:ascii="Open Sans" w:hAnsi="Open Sans" w:cs="Open Sans"/>
          <w:sz w:val="20"/>
          <w:szCs w:val="20"/>
        </w:rPr>
        <w:t>Debe permitirse denunciar por escrito y verbalmente, por teléfono o mediante reunión presencial.</w:t>
      </w:r>
    </w:p>
    <w:p w14:paraId="10F15B50" w14:textId="77777777" w:rsidR="00D75F2C" w:rsidRPr="00A07BE9" w:rsidRDefault="00671CE2" w:rsidP="00D75F2C">
      <w:pPr>
        <w:pStyle w:val="Prrafodelista"/>
        <w:numPr>
          <w:ilvl w:val="0"/>
          <w:numId w:val="2"/>
        </w:numPr>
        <w:spacing w:after="0" w:line="276" w:lineRule="auto"/>
        <w:ind w:left="924" w:hanging="357"/>
        <w:jc w:val="both"/>
        <w:rPr>
          <w:rFonts w:ascii="Open Sans" w:hAnsi="Open Sans" w:cs="Open Sans"/>
          <w:sz w:val="20"/>
          <w:szCs w:val="20"/>
        </w:rPr>
      </w:pPr>
      <w:r w:rsidRPr="00A07BE9">
        <w:rPr>
          <w:rFonts w:ascii="Open Sans" w:hAnsi="Open Sans" w:cs="Open Sans"/>
          <w:sz w:val="20"/>
          <w:szCs w:val="20"/>
        </w:rPr>
        <w:t>Debe de mantenerse la confidencialidad de la denuncia y de la identidad del denunciante.</w:t>
      </w:r>
    </w:p>
    <w:p w14:paraId="1648CDED" w14:textId="77777777" w:rsidR="00D75F2C" w:rsidRPr="00A07BE9" w:rsidRDefault="00671CE2" w:rsidP="00D75F2C">
      <w:pPr>
        <w:pStyle w:val="Prrafodelista"/>
        <w:numPr>
          <w:ilvl w:val="0"/>
          <w:numId w:val="2"/>
        </w:numPr>
        <w:spacing w:after="0" w:line="276" w:lineRule="auto"/>
        <w:ind w:left="924" w:hanging="357"/>
        <w:jc w:val="both"/>
        <w:rPr>
          <w:rFonts w:ascii="Open Sans" w:hAnsi="Open Sans" w:cs="Open Sans"/>
          <w:sz w:val="20"/>
          <w:szCs w:val="20"/>
        </w:rPr>
      </w:pPr>
      <w:r w:rsidRPr="00A07BE9">
        <w:rPr>
          <w:rFonts w:ascii="Open Sans" w:hAnsi="Open Sans" w:cs="Open Sans"/>
          <w:sz w:val="20"/>
          <w:szCs w:val="20"/>
        </w:rPr>
        <w:t>Se acusará recibo de la denuncia al denunciante.</w:t>
      </w:r>
    </w:p>
    <w:p w14:paraId="0210C9FA" w14:textId="77777777" w:rsidR="00671CE2" w:rsidRPr="00A07BE9" w:rsidRDefault="00671CE2" w:rsidP="00D75F2C">
      <w:pPr>
        <w:pStyle w:val="Prrafodelista"/>
        <w:numPr>
          <w:ilvl w:val="0"/>
          <w:numId w:val="2"/>
        </w:numPr>
        <w:spacing w:after="0" w:line="276" w:lineRule="auto"/>
        <w:ind w:left="924" w:hanging="357"/>
        <w:jc w:val="both"/>
        <w:rPr>
          <w:rFonts w:ascii="Open Sans" w:hAnsi="Open Sans" w:cs="Open Sans"/>
          <w:sz w:val="20"/>
          <w:szCs w:val="20"/>
        </w:rPr>
      </w:pPr>
      <w:r w:rsidRPr="00A07BE9">
        <w:rPr>
          <w:rFonts w:ascii="Open Sans" w:hAnsi="Open Sans" w:cs="Open Sans"/>
          <w:sz w:val="20"/>
          <w:szCs w:val="20"/>
        </w:rPr>
        <w:t>El departamento que sea competente para investigar las denuncias debe ser imparcial; solicitará en su caso información adicional y dará respuesta al denunciante en un plazo determinado.</w:t>
      </w:r>
    </w:p>
    <w:p w14:paraId="59213D3B" w14:textId="77777777" w:rsidR="00671CE2" w:rsidRPr="00A07BE9" w:rsidRDefault="00671CE2" w:rsidP="00671CE2">
      <w:pPr>
        <w:spacing w:after="0" w:line="276" w:lineRule="auto"/>
        <w:jc w:val="both"/>
        <w:rPr>
          <w:rFonts w:ascii="Open Sans" w:hAnsi="Open Sans" w:cs="Open Sans"/>
          <w:sz w:val="20"/>
          <w:szCs w:val="20"/>
        </w:rPr>
      </w:pPr>
    </w:p>
    <w:p w14:paraId="6B36F03A" w14:textId="77777777" w:rsidR="00671CE2" w:rsidRPr="00A07BE9" w:rsidRDefault="00671CE2" w:rsidP="00671CE2">
      <w:pPr>
        <w:spacing w:after="0" w:line="276" w:lineRule="auto"/>
        <w:jc w:val="both"/>
        <w:rPr>
          <w:rFonts w:ascii="Open Sans" w:hAnsi="Open Sans" w:cs="Open Sans"/>
          <w:sz w:val="20"/>
          <w:szCs w:val="20"/>
        </w:rPr>
      </w:pPr>
      <w:r w:rsidRPr="00A07BE9">
        <w:rPr>
          <w:rFonts w:ascii="Open Sans" w:hAnsi="Open Sans" w:cs="Open Sans"/>
          <w:sz w:val="20"/>
          <w:szCs w:val="20"/>
        </w:rPr>
        <w:t>Además de canales internos, deben existir canales externos, ajenos a las empresas y a las administraciones públicas, que sean independientes y autónomos, garanticen la integridad de la información, permitan su almacenamiento duradero para realizar nuevas investigaciones, impidan su acceso a personal no autorizado, no revelen cualquier información que pudiera permitir identificar al denunciante o a la persona afectada, y den respuesta al denunciante sobre el resultado final de la investigación.</w:t>
      </w:r>
    </w:p>
    <w:p w14:paraId="754F463E" w14:textId="77777777" w:rsidR="00671CE2" w:rsidRPr="00A07BE9" w:rsidRDefault="00671CE2" w:rsidP="00671CE2">
      <w:pPr>
        <w:spacing w:after="0" w:line="276" w:lineRule="auto"/>
        <w:jc w:val="both"/>
        <w:rPr>
          <w:rFonts w:ascii="Open Sans" w:hAnsi="Open Sans" w:cs="Open Sans"/>
          <w:sz w:val="20"/>
          <w:szCs w:val="20"/>
        </w:rPr>
      </w:pPr>
      <w:r w:rsidRPr="00A07BE9">
        <w:rPr>
          <w:rFonts w:ascii="Open Sans" w:hAnsi="Open Sans" w:cs="Open Sans"/>
          <w:sz w:val="20"/>
          <w:szCs w:val="20"/>
        </w:rPr>
        <w:t>Informar al denunciante, en la medida de lo jurídicamente posible y de la manera más completa posible, sobre el seguimiento de la denuncia es crucial para generar confianza en la eficacia del sistema y no desalentar a los denunciantes potenciales.</w:t>
      </w:r>
    </w:p>
    <w:p w14:paraId="7D46B68D" w14:textId="77777777" w:rsidR="00671CE2" w:rsidRPr="00A07BE9" w:rsidRDefault="00671CE2" w:rsidP="00671CE2">
      <w:pPr>
        <w:spacing w:after="0" w:line="276" w:lineRule="auto"/>
        <w:jc w:val="both"/>
        <w:rPr>
          <w:rFonts w:ascii="Open Sans" w:hAnsi="Open Sans" w:cs="Open Sans"/>
          <w:sz w:val="20"/>
          <w:szCs w:val="20"/>
        </w:rPr>
      </w:pPr>
    </w:p>
    <w:p w14:paraId="1CD62D25" w14:textId="77777777" w:rsidR="00671CE2" w:rsidRPr="00A07BE9" w:rsidRDefault="00671CE2" w:rsidP="00671CE2">
      <w:pPr>
        <w:spacing w:after="0" w:line="276" w:lineRule="auto"/>
        <w:jc w:val="both"/>
        <w:rPr>
          <w:rFonts w:ascii="Open Sans" w:hAnsi="Open Sans" w:cs="Open Sans"/>
          <w:sz w:val="20"/>
          <w:szCs w:val="20"/>
        </w:rPr>
      </w:pPr>
      <w:r w:rsidRPr="00A07BE9">
        <w:rPr>
          <w:rFonts w:ascii="Open Sans" w:hAnsi="Open Sans" w:cs="Open Sans"/>
          <w:sz w:val="20"/>
          <w:szCs w:val="20"/>
        </w:rPr>
        <w:t>Son reglas de aplicación común a los canales de denuncia internos y externos las siguientes:</w:t>
      </w:r>
    </w:p>
    <w:p w14:paraId="5F8EA9E6" w14:textId="77777777" w:rsidR="00671CE2" w:rsidRPr="00A07BE9" w:rsidRDefault="00671CE2" w:rsidP="00671CE2">
      <w:pPr>
        <w:spacing w:after="0" w:line="276" w:lineRule="auto"/>
        <w:jc w:val="both"/>
        <w:rPr>
          <w:rFonts w:ascii="Open Sans" w:hAnsi="Open Sans" w:cs="Open Sans"/>
          <w:sz w:val="20"/>
          <w:szCs w:val="20"/>
        </w:rPr>
      </w:pPr>
    </w:p>
    <w:p w14:paraId="7F18C500" w14:textId="77777777" w:rsidR="00E62917" w:rsidRPr="00A07BE9" w:rsidRDefault="00671CE2" w:rsidP="00E62917">
      <w:pPr>
        <w:pStyle w:val="Prrafodelista"/>
        <w:numPr>
          <w:ilvl w:val="0"/>
          <w:numId w:val="2"/>
        </w:numPr>
        <w:spacing w:after="0" w:line="276" w:lineRule="auto"/>
        <w:ind w:left="924" w:hanging="357"/>
        <w:jc w:val="both"/>
        <w:rPr>
          <w:rFonts w:ascii="Open Sans" w:hAnsi="Open Sans" w:cs="Open Sans"/>
          <w:sz w:val="20"/>
          <w:szCs w:val="20"/>
        </w:rPr>
      </w:pPr>
      <w:r w:rsidRPr="00A07BE9">
        <w:rPr>
          <w:rFonts w:ascii="Open Sans" w:hAnsi="Open Sans" w:cs="Open Sans"/>
          <w:sz w:val="20"/>
          <w:szCs w:val="20"/>
        </w:rPr>
        <w:t>Deber de confidencialidad. A salvo requerimiento judicial, no se revelará la identidad del denunciante sin su consentimiento expreso, incluida la información de la que se pueda deducir directa o indirectamente la misma.</w:t>
      </w:r>
    </w:p>
    <w:p w14:paraId="744A9924" w14:textId="77777777" w:rsidR="00E62917" w:rsidRPr="00A07BE9" w:rsidRDefault="00671CE2" w:rsidP="00E62917">
      <w:pPr>
        <w:pStyle w:val="Prrafodelista"/>
        <w:numPr>
          <w:ilvl w:val="0"/>
          <w:numId w:val="2"/>
        </w:numPr>
        <w:spacing w:after="0" w:line="276" w:lineRule="auto"/>
        <w:ind w:left="924" w:hanging="357"/>
        <w:jc w:val="both"/>
        <w:rPr>
          <w:rFonts w:ascii="Open Sans" w:hAnsi="Open Sans" w:cs="Open Sans"/>
          <w:sz w:val="20"/>
          <w:szCs w:val="20"/>
        </w:rPr>
      </w:pPr>
      <w:r w:rsidRPr="00A07BE9">
        <w:rPr>
          <w:rFonts w:ascii="Open Sans" w:hAnsi="Open Sans" w:cs="Open Sans"/>
          <w:sz w:val="20"/>
          <w:szCs w:val="20"/>
        </w:rPr>
        <w:t>El tratamiento de datos personales, incluido el intercambio o transmisión de estos datos entre autoridades competentes, se debe realizar de conformidad con su normativa reguladora.</w:t>
      </w:r>
    </w:p>
    <w:p w14:paraId="6CE1FBED" w14:textId="77777777" w:rsidR="00671CE2" w:rsidRPr="00A07BE9" w:rsidRDefault="00671CE2" w:rsidP="00E62917">
      <w:pPr>
        <w:pStyle w:val="Prrafodelista"/>
        <w:numPr>
          <w:ilvl w:val="0"/>
          <w:numId w:val="2"/>
        </w:numPr>
        <w:spacing w:after="0" w:line="276" w:lineRule="auto"/>
        <w:ind w:left="924" w:hanging="357"/>
        <w:jc w:val="both"/>
        <w:rPr>
          <w:rFonts w:ascii="Open Sans" w:hAnsi="Open Sans" w:cs="Open Sans"/>
          <w:sz w:val="20"/>
          <w:szCs w:val="20"/>
        </w:rPr>
      </w:pPr>
      <w:r w:rsidRPr="00A07BE9">
        <w:rPr>
          <w:rFonts w:ascii="Open Sans" w:hAnsi="Open Sans" w:cs="Open Sans"/>
          <w:sz w:val="20"/>
          <w:szCs w:val="20"/>
        </w:rPr>
        <w:t xml:space="preserve">Las autoridades competentes </w:t>
      </w:r>
      <w:r w:rsidRPr="00A07BE9">
        <w:rPr>
          <w:rFonts w:ascii="Open Sans" w:hAnsi="Open Sans" w:cs="Open Sans"/>
          <w:color w:val="000000"/>
          <w:sz w:val="20"/>
          <w:szCs w:val="20"/>
        </w:rPr>
        <w:t xml:space="preserve">deberán llevar </w:t>
      </w:r>
      <w:r w:rsidRPr="00A07BE9">
        <w:rPr>
          <w:rFonts w:ascii="Open Sans" w:hAnsi="Open Sans" w:cs="Open Sans"/>
          <w:sz w:val="20"/>
          <w:szCs w:val="20"/>
        </w:rPr>
        <w:t>un registro de todas las denuncias recibidas. Este registro debe ser completo y exacto, y debe permitir almacenar la información de forma duradera y accesible.</w:t>
      </w:r>
    </w:p>
    <w:p w14:paraId="348AAB0F" w14:textId="77777777" w:rsidR="00671CE2" w:rsidRPr="00A07BE9" w:rsidRDefault="00671CE2" w:rsidP="00671CE2">
      <w:pPr>
        <w:spacing w:after="0" w:line="276" w:lineRule="auto"/>
        <w:jc w:val="both"/>
        <w:rPr>
          <w:rFonts w:ascii="Open Sans" w:hAnsi="Open Sans" w:cs="Open Sans"/>
          <w:sz w:val="20"/>
          <w:szCs w:val="20"/>
        </w:rPr>
      </w:pPr>
    </w:p>
    <w:p w14:paraId="46D130F2" w14:textId="52837EC6" w:rsidR="00671CE2" w:rsidRDefault="00671CE2" w:rsidP="00671CE2">
      <w:pPr>
        <w:spacing w:after="0" w:line="276" w:lineRule="auto"/>
        <w:jc w:val="both"/>
        <w:rPr>
          <w:rFonts w:ascii="Open Sans" w:hAnsi="Open Sans" w:cs="Open Sans"/>
          <w:sz w:val="20"/>
          <w:szCs w:val="20"/>
        </w:rPr>
      </w:pPr>
      <w:r w:rsidRPr="00A07BE9">
        <w:rPr>
          <w:rFonts w:ascii="Open Sans" w:hAnsi="Open Sans" w:cs="Open Sans"/>
          <w:sz w:val="20"/>
          <w:szCs w:val="20"/>
        </w:rPr>
        <w:t>Por último, se establecen sanciones, proporcionadas y de carácter disuasorio, aplicables a las personas físicas o jurídicas, que incurran en alguno de los siguientes hechos:</w:t>
      </w:r>
    </w:p>
    <w:p w14:paraId="25520FEB" w14:textId="77777777" w:rsidR="00C87DEA" w:rsidRPr="00A07BE9" w:rsidRDefault="00C87DEA" w:rsidP="00671CE2">
      <w:pPr>
        <w:spacing w:after="0" w:line="276" w:lineRule="auto"/>
        <w:jc w:val="both"/>
        <w:rPr>
          <w:rFonts w:ascii="Open Sans" w:hAnsi="Open Sans" w:cs="Open Sans"/>
          <w:sz w:val="20"/>
          <w:szCs w:val="20"/>
        </w:rPr>
      </w:pPr>
    </w:p>
    <w:p w14:paraId="20E9D7B1" w14:textId="77777777" w:rsidR="00E62917" w:rsidRPr="00A07BE9" w:rsidRDefault="00671CE2" w:rsidP="00E62917">
      <w:pPr>
        <w:pStyle w:val="Prrafodelista"/>
        <w:numPr>
          <w:ilvl w:val="0"/>
          <w:numId w:val="2"/>
        </w:numPr>
        <w:spacing w:after="0" w:line="276" w:lineRule="auto"/>
        <w:ind w:left="924" w:hanging="357"/>
        <w:jc w:val="both"/>
        <w:rPr>
          <w:rFonts w:ascii="Open Sans" w:hAnsi="Open Sans" w:cs="Open Sans"/>
          <w:sz w:val="20"/>
          <w:szCs w:val="20"/>
        </w:rPr>
      </w:pPr>
      <w:r w:rsidRPr="00A07BE9">
        <w:rPr>
          <w:rFonts w:ascii="Open Sans" w:hAnsi="Open Sans" w:cs="Open Sans"/>
          <w:sz w:val="20"/>
          <w:szCs w:val="20"/>
        </w:rPr>
        <w:t>Impedir o intentar impedir las denuncias.</w:t>
      </w:r>
    </w:p>
    <w:p w14:paraId="4604712D" w14:textId="77777777" w:rsidR="00E62917" w:rsidRPr="00A07BE9" w:rsidRDefault="00671CE2" w:rsidP="00E62917">
      <w:pPr>
        <w:pStyle w:val="Prrafodelista"/>
        <w:numPr>
          <w:ilvl w:val="0"/>
          <w:numId w:val="2"/>
        </w:numPr>
        <w:spacing w:after="0" w:line="276" w:lineRule="auto"/>
        <w:ind w:left="924" w:hanging="357"/>
        <w:jc w:val="both"/>
        <w:rPr>
          <w:rFonts w:ascii="Open Sans" w:hAnsi="Open Sans" w:cs="Open Sans"/>
          <w:sz w:val="20"/>
          <w:szCs w:val="20"/>
        </w:rPr>
      </w:pPr>
      <w:r w:rsidRPr="00A07BE9">
        <w:rPr>
          <w:rFonts w:ascii="Open Sans" w:hAnsi="Open Sans" w:cs="Open Sans"/>
          <w:sz w:val="20"/>
          <w:szCs w:val="20"/>
        </w:rPr>
        <w:t>Adoptar medidas de represalia contra las personas denunciantes.</w:t>
      </w:r>
    </w:p>
    <w:p w14:paraId="337696F4" w14:textId="77777777" w:rsidR="00E62917" w:rsidRPr="00A07BE9" w:rsidRDefault="00671CE2" w:rsidP="00E62917">
      <w:pPr>
        <w:pStyle w:val="Prrafodelista"/>
        <w:numPr>
          <w:ilvl w:val="0"/>
          <w:numId w:val="2"/>
        </w:numPr>
        <w:spacing w:after="0" w:line="276" w:lineRule="auto"/>
        <w:ind w:left="924" w:hanging="357"/>
        <w:jc w:val="both"/>
        <w:rPr>
          <w:rFonts w:ascii="Open Sans" w:hAnsi="Open Sans" w:cs="Open Sans"/>
          <w:sz w:val="20"/>
          <w:szCs w:val="20"/>
        </w:rPr>
      </w:pPr>
      <w:r w:rsidRPr="00A07BE9">
        <w:rPr>
          <w:rFonts w:ascii="Open Sans" w:hAnsi="Open Sans" w:cs="Open Sans"/>
          <w:sz w:val="20"/>
          <w:szCs w:val="20"/>
        </w:rPr>
        <w:t>Incumplir el deber de confidencialidad.</w:t>
      </w:r>
    </w:p>
    <w:p w14:paraId="11BD78EB" w14:textId="7D8DF99A" w:rsidR="00EC444F" w:rsidRPr="007A571E" w:rsidRDefault="00671CE2" w:rsidP="002D1C6B">
      <w:pPr>
        <w:pStyle w:val="Prrafodelista"/>
        <w:numPr>
          <w:ilvl w:val="0"/>
          <w:numId w:val="2"/>
        </w:numPr>
        <w:spacing w:after="0" w:line="276" w:lineRule="auto"/>
        <w:ind w:left="924" w:hanging="357"/>
        <w:jc w:val="both"/>
        <w:rPr>
          <w:rFonts w:ascii="Open Sans" w:hAnsi="Open Sans" w:cs="Open Sans"/>
          <w:sz w:val="20"/>
          <w:szCs w:val="20"/>
        </w:rPr>
      </w:pPr>
      <w:r w:rsidRPr="00A07BE9">
        <w:rPr>
          <w:rFonts w:ascii="Open Sans" w:hAnsi="Open Sans" w:cs="Open Sans"/>
          <w:sz w:val="20"/>
          <w:szCs w:val="20"/>
        </w:rPr>
        <w:t>Comunicar o revelar información falsa a sabiendas.</w:t>
      </w:r>
    </w:p>
    <w:p w14:paraId="3347A2C7" w14:textId="77777777" w:rsidR="00671CE2" w:rsidRPr="00A07BE9" w:rsidRDefault="00671CE2" w:rsidP="00671CE2">
      <w:pPr>
        <w:spacing w:after="0" w:line="240" w:lineRule="auto"/>
        <w:jc w:val="both"/>
        <w:rPr>
          <w:rFonts w:ascii="Open Sans" w:eastAsia="Times New Roman" w:hAnsi="Open Sans" w:cs="Open Sans"/>
          <w:b/>
          <w:bCs/>
          <w:smallCaps/>
          <w:color w:val="9D2235"/>
          <w:sz w:val="32"/>
          <w:szCs w:val="32"/>
          <w:lang w:eastAsia="es-ES"/>
        </w:rPr>
      </w:pPr>
      <w:r w:rsidRPr="00A07BE9">
        <w:rPr>
          <w:rFonts w:ascii="Open Sans" w:eastAsia="Times New Roman" w:hAnsi="Open Sans" w:cs="Open Sans"/>
          <w:b/>
          <w:bCs/>
          <w:smallCaps/>
          <w:color w:val="9D2235"/>
          <w:sz w:val="32"/>
          <w:szCs w:val="32"/>
          <w:lang w:eastAsia="es-ES"/>
        </w:rPr>
        <w:lastRenderedPageBreak/>
        <w:t>4.3. Protección de las personas denunciantes, informadoras o alertadoras de fraude o corrupción</w:t>
      </w:r>
    </w:p>
    <w:p w14:paraId="2FFFF4AC" w14:textId="77777777" w:rsidR="000952B8" w:rsidRPr="00A07BE9" w:rsidRDefault="000952B8" w:rsidP="00671CE2">
      <w:pPr>
        <w:spacing w:after="0" w:line="240" w:lineRule="auto"/>
        <w:jc w:val="both"/>
        <w:rPr>
          <w:rFonts w:ascii="Open Sans" w:eastAsia="Times New Roman" w:hAnsi="Open Sans" w:cs="Open Sans"/>
          <w:b/>
          <w:bCs/>
          <w:smallCaps/>
          <w:color w:val="993333"/>
          <w:sz w:val="20"/>
          <w:szCs w:val="20"/>
          <w:lang w:eastAsia="es-ES"/>
        </w:rPr>
      </w:pPr>
    </w:p>
    <w:p w14:paraId="30499CD8" w14:textId="77777777" w:rsidR="00671CE2" w:rsidRPr="00A07BE9" w:rsidRDefault="00671CE2" w:rsidP="00671CE2">
      <w:pPr>
        <w:spacing w:after="0" w:line="240" w:lineRule="auto"/>
        <w:jc w:val="both"/>
        <w:rPr>
          <w:rFonts w:ascii="Open Sans" w:eastAsia="Times New Roman" w:hAnsi="Open Sans" w:cs="Open Sans"/>
          <w:b/>
          <w:bCs/>
          <w:smallCaps/>
          <w:color w:val="9D2235"/>
          <w:sz w:val="28"/>
          <w:szCs w:val="28"/>
          <w:lang w:eastAsia="es-ES"/>
        </w:rPr>
      </w:pPr>
      <w:r w:rsidRPr="00A07BE9">
        <w:rPr>
          <w:rFonts w:ascii="Open Sans" w:eastAsia="Times New Roman" w:hAnsi="Open Sans" w:cs="Open Sans"/>
          <w:b/>
          <w:bCs/>
          <w:smallCaps/>
          <w:color w:val="9D2235"/>
          <w:sz w:val="28"/>
          <w:szCs w:val="28"/>
          <w:lang w:eastAsia="es-ES"/>
        </w:rPr>
        <w:t>4.3.1. Introducción</w:t>
      </w:r>
    </w:p>
    <w:p w14:paraId="1312EA3B" w14:textId="77777777" w:rsidR="00671CE2" w:rsidRPr="00A07BE9" w:rsidRDefault="00671CE2" w:rsidP="00671CE2">
      <w:pPr>
        <w:spacing w:after="0" w:line="240" w:lineRule="auto"/>
        <w:jc w:val="both"/>
        <w:rPr>
          <w:rFonts w:ascii="Open Sans" w:eastAsia="Times New Roman" w:hAnsi="Open Sans" w:cs="Open Sans;Segoe UI"/>
          <w:sz w:val="20"/>
          <w:szCs w:val="20"/>
          <w:lang w:eastAsia="es-ES"/>
        </w:rPr>
      </w:pPr>
    </w:p>
    <w:p w14:paraId="57B09227" w14:textId="4A369C77" w:rsidR="00671CE2" w:rsidRPr="00A07BE9" w:rsidRDefault="00671CE2" w:rsidP="00671CE2">
      <w:pPr>
        <w:spacing w:after="0" w:line="276" w:lineRule="auto"/>
        <w:jc w:val="both"/>
        <w:rPr>
          <w:rFonts w:ascii="Open Sans" w:hAnsi="Open Sans"/>
          <w:sz w:val="20"/>
          <w:szCs w:val="20"/>
        </w:rPr>
      </w:pPr>
      <w:r w:rsidRPr="00A07BE9">
        <w:rPr>
          <w:rFonts w:ascii="Open Sans" w:eastAsia="Times New Roman" w:hAnsi="Open Sans" w:cs="Open Sans;Segoe UI"/>
          <w:color w:val="000000"/>
          <w:sz w:val="20"/>
          <w:szCs w:val="20"/>
          <w:lang w:eastAsia="es-ES"/>
        </w:rPr>
        <w:t xml:space="preserve">La Comunitat Valenciana es pionera en todo el territorio nacional en llevar a cabo la protección de las personas denunciantes, informadoras o alertadoras de fraude o corrupción, adelantándose incluso a la recién publicada </w:t>
      </w:r>
      <w:hyperlink r:id="rId202" w:history="1">
        <w:r w:rsidRPr="00A07BE9">
          <w:rPr>
            <w:rStyle w:val="Hipervnculo"/>
            <w:rFonts w:ascii="Open Sans" w:eastAsia="Times New Roman" w:hAnsi="Open Sans" w:cs="Open Sans;Segoe UI"/>
            <w:sz w:val="20"/>
            <w:szCs w:val="20"/>
            <w:lang w:eastAsia="es-ES"/>
          </w:rPr>
          <w:t>Directiva (UE) 2019/1937</w:t>
        </w:r>
      </w:hyperlink>
      <w:r w:rsidRPr="00A07BE9">
        <w:rPr>
          <w:rFonts w:ascii="Open Sans" w:eastAsia="Times New Roman" w:hAnsi="Open Sans" w:cs="Open Sans;Segoe UI"/>
          <w:color w:val="000000"/>
          <w:sz w:val="20"/>
          <w:szCs w:val="20"/>
          <w:lang w:eastAsia="es-ES"/>
        </w:rPr>
        <w:t xml:space="preserve">, y al propio Estado español, con la aprobación y entrada en vigor de la </w:t>
      </w:r>
      <w:hyperlink r:id="rId203" w:history="1">
        <w:r w:rsidR="0050097D" w:rsidRPr="00A07BE9">
          <w:rPr>
            <w:rStyle w:val="Hipervnculo"/>
            <w:rFonts w:ascii="Open Sans" w:hAnsi="Open Sans" w:cs="Open Sans"/>
            <w:sz w:val="20"/>
            <w:szCs w:val="20"/>
          </w:rPr>
          <w:t>Ley 11/2016</w:t>
        </w:r>
      </w:hyperlink>
      <w:r w:rsidRPr="00A07BE9">
        <w:rPr>
          <w:rFonts w:ascii="Open Sans" w:eastAsia="Times New Roman" w:hAnsi="Open Sans" w:cs="Open Sans;Segoe UI"/>
          <w:color w:val="000000"/>
          <w:sz w:val="20"/>
          <w:szCs w:val="20"/>
          <w:lang w:eastAsia="es-ES"/>
        </w:rPr>
        <w:t xml:space="preserve">, por la que se creó esta Agencia. </w:t>
      </w:r>
    </w:p>
    <w:p w14:paraId="2BE3CF44" w14:textId="77777777" w:rsidR="00671CE2" w:rsidRPr="00A07BE9" w:rsidRDefault="00671CE2" w:rsidP="00671CE2">
      <w:pPr>
        <w:spacing w:after="0" w:line="276" w:lineRule="auto"/>
        <w:jc w:val="both"/>
        <w:rPr>
          <w:rFonts w:ascii="Open Sans" w:eastAsia="Times New Roman" w:hAnsi="Open Sans" w:cs="Open Sans;Segoe UI"/>
          <w:color w:val="000000"/>
          <w:sz w:val="20"/>
          <w:szCs w:val="20"/>
          <w:lang w:eastAsia="es-ES"/>
        </w:rPr>
      </w:pPr>
    </w:p>
    <w:p w14:paraId="5D932929" w14:textId="06B85115" w:rsidR="00671CE2" w:rsidRPr="00A07BE9" w:rsidRDefault="00671CE2" w:rsidP="00671CE2">
      <w:pPr>
        <w:spacing w:after="0" w:line="276" w:lineRule="auto"/>
        <w:jc w:val="both"/>
        <w:rPr>
          <w:rFonts w:ascii="Open Sans" w:hAnsi="Open Sans"/>
          <w:sz w:val="20"/>
          <w:szCs w:val="20"/>
        </w:rPr>
      </w:pPr>
      <w:r w:rsidRPr="00A07BE9">
        <w:rPr>
          <w:rFonts w:ascii="Open Sans" w:eastAsia="Times New Roman" w:hAnsi="Open Sans" w:cs="Open Sans;Segoe UI"/>
          <w:color w:val="000000"/>
          <w:sz w:val="20"/>
          <w:szCs w:val="20"/>
          <w:lang w:eastAsia="es-ES"/>
        </w:rPr>
        <w:t>Subraya</w:t>
      </w:r>
      <w:r w:rsidRPr="00A07BE9">
        <w:rPr>
          <w:rFonts w:ascii="Open Sans" w:eastAsia="Times New Roman" w:hAnsi="Open Sans" w:cs="Open Sans;Segoe UI"/>
          <w:sz w:val="20"/>
          <w:szCs w:val="20"/>
          <w:lang w:eastAsia="es-ES"/>
        </w:rPr>
        <w:t xml:space="preserve"> la </w:t>
      </w:r>
      <w:hyperlink r:id="rId204" w:history="1">
        <w:r w:rsidR="0050097D" w:rsidRPr="00A07BE9">
          <w:rPr>
            <w:rStyle w:val="Hipervnculo"/>
            <w:rFonts w:ascii="Open Sans" w:hAnsi="Open Sans" w:cs="Open Sans"/>
            <w:sz w:val="20"/>
            <w:szCs w:val="20"/>
          </w:rPr>
          <w:t>Ley 11/2016</w:t>
        </w:r>
      </w:hyperlink>
      <w:r w:rsidR="0050097D" w:rsidRPr="00A07BE9">
        <w:rPr>
          <w:rFonts w:ascii="Open Sans" w:hAnsi="Open Sans" w:cs="Open Sans"/>
          <w:sz w:val="20"/>
          <w:szCs w:val="20"/>
        </w:rPr>
        <w:t xml:space="preserve"> </w:t>
      </w:r>
      <w:r w:rsidRPr="00A07BE9">
        <w:rPr>
          <w:rFonts w:ascii="Open Sans" w:eastAsia="Times New Roman" w:hAnsi="Open Sans" w:cs="Open Sans;Segoe UI"/>
          <w:sz w:val="20"/>
          <w:szCs w:val="20"/>
          <w:lang w:eastAsia="es-ES"/>
        </w:rPr>
        <w:t xml:space="preserve">que la actuación de la Agencia prestará especial atención a la protección de las personas denunciantes. </w:t>
      </w:r>
    </w:p>
    <w:p w14:paraId="719EF258" w14:textId="77777777" w:rsidR="00671CE2" w:rsidRPr="00A07BE9" w:rsidRDefault="00671CE2" w:rsidP="00671CE2">
      <w:pPr>
        <w:spacing w:after="0" w:line="276" w:lineRule="auto"/>
        <w:jc w:val="both"/>
        <w:rPr>
          <w:rFonts w:ascii="Open Sans" w:eastAsia="Times New Roman" w:hAnsi="Open Sans" w:cs="Open Sans;Segoe UI"/>
          <w:sz w:val="20"/>
          <w:szCs w:val="20"/>
          <w:lang w:eastAsia="es-ES"/>
        </w:rPr>
      </w:pPr>
    </w:p>
    <w:p w14:paraId="79C3FBBF" w14:textId="184C0E0D" w:rsidR="00671CE2" w:rsidRPr="00A07BE9" w:rsidRDefault="00671CE2" w:rsidP="00671CE2">
      <w:pPr>
        <w:spacing w:after="0" w:line="276" w:lineRule="auto"/>
        <w:jc w:val="both"/>
        <w:rPr>
          <w:rFonts w:ascii="Open Sans" w:eastAsia="Times New Roman" w:hAnsi="Open Sans" w:cs="Open Sans;Segoe UI"/>
          <w:sz w:val="20"/>
          <w:szCs w:val="20"/>
          <w:lang w:eastAsia="es-ES"/>
        </w:rPr>
      </w:pPr>
      <w:r w:rsidRPr="00A07BE9">
        <w:rPr>
          <w:rFonts w:ascii="Open Sans" w:eastAsia="Times New Roman" w:hAnsi="Open Sans" w:cs="Open Sans;Segoe UI"/>
          <w:sz w:val="20"/>
          <w:szCs w:val="20"/>
          <w:lang w:eastAsia="es-ES"/>
        </w:rPr>
        <w:t xml:space="preserve">Se considera persona denunciante, de conformidad con lo dispuesto en el artículo 14 de la </w:t>
      </w:r>
      <w:hyperlink r:id="rId205" w:history="1">
        <w:r w:rsidR="0050097D" w:rsidRPr="00A07BE9">
          <w:rPr>
            <w:rStyle w:val="Hipervnculo"/>
            <w:rFonts w:ascii="Open Sans" w:hAnsi="Open Sans" w:cs="Open Sans"/>
            <w:sz w:val="20"/>
            <w:szCs w:val="20"/>
          </w:rPr>
          <w:t>Ley 11/2016</w:t>
        </w:r>
        <w:r w:rsidR="0050097D" w:rsidRPr="00A07BE9">
          <w:rPr>
            <w:rStyle w:val="Hipervnculo"/>
            <w:rFonts w:ascii="Open Sans" w:hAnsi="Open Sans"/>
            <w:color w:val="auto"/>
            <w:sz w:val="20"/>
            <w:szCs w:val="20"/>
            <w:u w:val="none"/>
          </w:rPr>
          <w:t>, de 28 de noviembre, de la Generalitat</w:t>
        </w:r>
      </w:hyperlink>
      <w:r w:rsidR="0050097D" w:rsidRPr="00A07BE9">
        <w:rPr>
          <w:rFonts w:ascii="Open Sans" w:hAnsi="Open Sans" w:cs="Open Sans"/>
          <w:sz w:val="20"/>
          <w:szCs w:val="20"/>
        </w:rPr>
        <w:t xml:space="preserve">, </w:t>
      </w:r>
      <w:r w:rsidRPr="00A07BE9">
        <w:rPr>
          <w:rFonts w:ascii="Open Sans" w:eastAsia="Times New Roman" w:hAnsi="Open Sans" w:cs="Open Sans;Segoe UI"/>
          <w:sz w:val="20"/>
          <w:szCs w:val="20"/>
          <w:lang w:eastAsia="es-ES"/>
        </w:rPr>
        <w:t xml:space="preserve">y en el Reglamento, cualquier persona física o jurídica, que comunique hechos o conductas, presumiblemente fraudulentos o corruptos, que pueden dar lugar a la exigencia de responsabilidades legales, ante la propia Agencia o cualquier otro órgano administrativo, el Ministerio Fiscal o la autoridad judicial. </w:t>
      </w:r>
    </w:p>
    <w:p w14:paraId="08FF882E" w14:textId="77777777" w:rsidR="005E5A02" w:rsidRPr="00A07BE9" w:rsidRDefault="005E5A02" w:rsidP="00671CE2">
      <w:pPr>
        <w:spacing w:after="0" w:line="276" w:lineRule="auto"/>
        <w:jc w:val="both"/>
        <w:rPr>
          <w:rFonts w:ascii="Open Sans" w:hAnsi="Open Sans"/>
          <w:sz w:val="20"/>
          <w:szCs w:val="20"/>
        </w:rPr>
      </w:pPr>
    </w:p>
    <w:p w14:paraId="374A85C2" w14:textId="77777777" w:rsidR="00671CE2" w:rsidRPr="00A07BE9" w:rsidRDefault="00671CE2" w:rsidP="00671CE2">
      <w:pPr>
        <w:spacing w:after="0" w:line="276" w:lineRule="auto"/>
        <w:jc w:val="both"/>
        <w:rPr>
          <w:rFonts w:ascii="Open Sans" w:eastAsia="Times New Roman" w:hAnsi="Open Sans" w:cs="Open Sans;Segoe UI"/>
          <w:sz w:val="20"/>
          <w:szCs w:val="20"/>
          <w:lang w:eastAsia="es-ES"/>
        </w:rPr>
      </w:pPr>
      <w:r w:rsidRPr="00A07BE9">
        <w:rPr>
          <w:rFonts w:ascii="Open Sans" w:eastAsia="Times New Roman" w:hAnsi="Open Sans" w:cs="Open Sans;Segoe UI"/>
          <w:sz w:val="20"/>
          <w:szCs w:val="20"/>
          <w:lang w:eastAsia="es-ES"/>
        </w:rPr>
        <w:t>La denuncia por parte de la persona denunciante presupone para esta la existencia de una creencia, justificada o racional, de que la información revelada es cierta y se refiere a una conducta o hechos contrarios al interés público y general. Al mismo tiempo, la denuncia debe responder al ejercicio legítimo de un deber como miembro activo y leal con la sociedad y en defensa del bien común.</w:t>
      </w:r>
    </w:p>
    <w:p w14:paraId="40FA35F9" w14:textId="77777777" w:rsidR="00671CE2" w:rsidRPr="00A07BE9" w:rsidRDefault="00671CE2" w:rsidP="00671CE2">
      <w:pPr>
        <w:spacing w:after="0" w:line="276" w:lineRule="auto"/>
        <w:jc w:val="both"/>
        <w:rPr>
          <w:rFonts w:ascii="Open Sans" w:eastAsia="Times New Roman" w:hAnsi="Open Sans" w:cs="Open Sans;Segoe UI"/>
          <w:sz w:val="20"/>
          <w:szCs w:val="20"/>
          <w:lang w:eastAsia="es-ES"/>
        </w:rPr>
      </w:pPr>
    </w:p>
    <w:p w14:paraId="59F56AC5" w14:textId="53281FA6" w:rsidR="00671CE2" w:rsidRPr="00A07BE9" w:rsidRDefault="00671CE2" w:rsidP="00671CE2">
      <w:pPr>
        <w:spacing w:after="0" w:line="276" w:lineRule="auto"/>
        <w:jc w:val="both"/>
        <w:rPr>
          <w:rFonts w:ascii="Open Sans" w:eastAsia="Times New Roman" w:hAnsi="Open Sans" w:cs="Open Sans;Segoe UI"/>
          <w:sz w:val="20"/>
          <w:szCs w:val="20"/>
          <w:lang w:eastAsia="es-ES"/>
        </w:rPr>
      </w:pPr>
      <w:r w:rsidRPr="00A07BE9">
        <w:rPr>
          <w:rFonts w:ascii="Open Sans" w:eastAsia="Times New Roman" w:hAnsi="Open Sans" w:cs="Open Sans;Segoe UI"/>
          <w:sz w:val="20"/>
          <w:szCs w:val="20"/>
          <w:lang w:eastAsia="es-ES"/>
        </w:rPr>
        <w:t xml:space="preserve">La calificación de que la denuncia es o no de interés público y general, a efectos de otorgar la protección al denunciante, a que se refiere la </w:t>
      </w:r>
      <w:hyperlink r:id="rId206" w:history="1">
        <w:r w:rsidR="0050097D" w:rsidRPr="00A07BE9">
          <w:rPr>
            <w:rStyle w:val="Hipervnculo"/>
            <w:rFonts w:ascii="Open Sans" w:hAnsi="Open Sans" w:cs="Open Sans"/>
            <w:sz w:val="20"/>
            <w:szCs w:val="20"/>
          </w:rPr>
          <w:t>Ley 11/2016</w:t>
        </w:r>
      </w:hyperlink>
      <w:r w:rsidRPr="00A07BE9">
        <w:rPr>
          <w:rFonts w:ascii="Open Sans" w:eastAsia="Times New Roman" w:hAnsi="Open Sans" w:cs="Open Sans;Segoe UI"/>
          <w:sz w:val="20"/>
          <w:szCs w:val="20"/>
          <w:lang w:eastAsia="es-ES"/>
        </w:rPr>
        <w:t>, corresponde a la Agencia. La denuncia presentada deberá tener motivos fundados de ilegalidad y sospechas razonables de verosimilitud de la información sobre el fraude o corrupción.</w:t>
      </w:r>
    </w:p>
    <w:p w14:paraId="370DF530" w14:textId="77777777" w:rsidR="00671CE2" w:rsidRPr="00A07BE9" w:rsidRDefault="00671CE2" w:rsidP="00671CE2">
      <w:pPr>
        <w:spacing w:after="0" w:line="276" w:lineRule="auto"/>
        <w:jc w:val="both"/>
        <w:rPr>
          <w:rFonts w:ascii="Open Sans" w:eastAsia="Times New Roman" w:hAnsi="Open Sans" w:cs="Open Sans;Segoe UI"/>
          <w:sz w:val="20"/>
          <w:szCs w:val="20"/>
          <w:lang w:eastAsia="es-ES"/>
        </w:rPr>
      </w:pPr>
    </w:p>
    <w:p w14:paraId="2D840250" w14:textId="77777777" w:rsidR="00671CE2" w:rsidRPr="00A07BE9" w:rsidRDefault="00671CE2" w:rsidP="00671CE2">
      <w:pPr>
        <w:spacing w:after="0" w:line="276" w:lineRule="auto"/>
        <w:jc w:val="both"/>
        <w:rPr>
          <w:rFonts w:ascii="Open Sans" w:hAnsi="Open Sans"/>
          <w:sz w:val="20"/>
          <w:szCs w:val="20"/>
        </w:rPr>
      </w:pPr>
      <w:r w:rsidRPr="00A07BE9">
        <w:rPr>
          <w:rFonts w:ascii="Open Sans" w:eastAsia="Times New Roman" w:hAnsi="Open Sans" w:cs="Open Sans;Segoe UI"/>
          <w:sz w:val="20"/>
          <w:szCs w:val="20"/>
          <w:lang w:eastAsia="es-ES"/>
        </w:rPr>
        <w:t>En ningún caso, la denuncia de estos hechos o conductas supone una infracción del deber de sigilo impuesto al personal empleado respecto de los asuntos que conozca por razón de sus funciones, ni tampoco responsabilidad de ningún tipo en relación con dicha revelación.</w:t>
      </w:r>
    </w:p>
    <w:p w14:paraId="3C5982AA" w14:textId="77777777" w:rsidR="00671CE2" w:rsidRPr="00A07BE9" w:rsidRDefault="00671CE2" w:rsidP="00671CE2">
      <w:pPr>
        <w:spacing w:after="0" w:line="276" w:lineRule="auto"/>
        <w:jc w:val="both"/>
        <w:rPr>
          <w:rFonts w:ascii="Open Sans" w:hAnsi="Open Sans" w:cs="Open Sans;Segoe UI"/>
          <w:color w:val="1B1B1B"/>
          <w:sz w:val="20"/>
          <w:szCs w:val="20"/>
        </w:rPr>
      </w:pPr>
    </w:p>
    <w:p w14:paraId="50F69829" w14:textId="77777777" w:rsidR="00671CE2" w:rsidRPr="00A07BE9" w:rsidRDefault="00671CE2" w:rsidP="00671CE2">
      <w:pPr>
        <w:spacing w:after="0" w:line="276" w:lineRule="auto"/>
        <w:jc w:val="both"/>
        <w:rPr>
          <w:rFonts w:ascii="Open Sans" w:hAnsi="Open Sans" w:cs="Open Sans;Segoe UI"/>
          <w:color w:val="1B1B1B"/>
          <w:sz w:val="20"/>
          <w:szCs w:val="20"/>
        </w:rPr>
      </w:pPr>
    </w:p>
    <w:p w14:paraId="1F384605" w14:textId="77777777" w:rsidR="00671CE2" w:rsidRPr="00A07BE9" w:rsidRDefault="00671CE2" w:rsidP="00671CE2">
      <w:pPr>
        <w:spacing w:after="0" w:line="240" w:lineRule="auto"/>
        <w:jc w:val="both"/>
        <w:rPr>
          <w:rFonts w:ascii="Open Sans" w:eastAsia="Times New Roman" w:hAnsi="Open Sans" w:cs="Open Sans;Segoe UI"/>
          <w:b/>
          <w:bCs/>
          <w:smallCaps/>
          <w:color w:val="9D2235"/>
          <w:sz w:val="28"/>
          <w:szCs w:val="28"/>
          <w:lang w:eastAsia="es-ES"/>
        </w:rPr>
      </w:pPr>
      <w:r w:rsidRPr="00A07BE9">
        <w:rPr>
          <w:rFonts w:ascii="Open Sans" w:eastAsia="Times New Roman" w:hAnsi="Open Sans" w:cs="Open Sans;Segoe UI"/>
          <w:b/>
          <w:bCs/>
          <w:smallCaps/>
          <w:color w:val="9D2235"/>
          <w:sz w:val="28"/>
          <w:szCs w:val="28"/>
          <w:lang w:eastAsia="es-ES"/>
        </w:rPr>
        <w:t>4.3.2. Derechos de las Personas Denunciantes</w:t>
      </w:r>
    </w:p>
    <w:p w14:paraId="3BC0B42E" w14:textId="77777777" w:rsidR="00671CE2" w:rsidRPr="00A07BE9" w:rsidRDefault="00671CE2" w:rsidP="00671CE2">
      <w:pPr>
        <w:spacing w:after="0" w:line="240" w:lineRule="auto"/>
        <w:jc w:val="both"/>
        <w:rPr>
          <w:rFonts w:ascii="Open Sans" w:eastAsia="Times New Roman" w:hAnsi="Open Sans" w:cs="Open Sans;Segoe UI"/>
          <w:b/>
          <w:bCs/>
          <w:smallCaps/>
          <w:color w:val="9D2235"/>
          <w:sz w:val="20"/>
          <w:szCs w:val="20"/>
          <w:lang w:eastAsia="es-ES"/>
        </w:rPr>
      </w:pPr>
    </w:p>
    <w:p w14:paraId="6ACD16A2" w14:textId="77777777" w:rsidR="00671CE2" w:rsidRPr="00A07BE9" w:rsidRDefault="00671CE2" w:rsidP="00671CE2">
      <w:pPr>
        <w:spacing w:after="0" w:line="240" w:lineRule="auto"/>
        <w:jc w:val="both"/>
        <w:rPr>
          <w:rFonts w:ascii="Open Sans" w:eastAsia="Times New Roman" w:hAnsi="Open Sans" w:cs="Open Sans;Segoe UI"/>
          <w:b/>
          <w:bCs/>
          <w:smallCaps/>
          <w:color w:val="9D2235"/>
          <w:sz w:val="24"/>
          <w:szCs w:val="24"/>
          <w:lang w:eastAsia="es-ES"/>
        </w:rPr>
      </w:pPr>
      <w:r w:rsidRPr="00A07BE9">
        <w:rPr>
          <w:rFonts w:ascii="Open Sans" w:eastAsia="Times New Roman" w:hAnsi="Open Sans" w:cs="Open Sans;Segoe UI"/>
          <w:b/>
          <w:bCs/>
          <w:smallCaps/>
          <w:color w:val="9D2235"/>
          <w:sz w:val="24"/>
          <w:szCs w:val="24"/>
          <w:lang w:eastAsia="es-ES"/>
        </w:rPr>
        <w:t>4.3.2.1. Asesoría legal, confidencialidad, anonimato.</w:t>
      </w:r>
    </w:p>
    <w:p w14:paraId="58EA4175" w14:textId="77777777" w:rsidR="00671CE2" w:rsidRPr="00A07BE9" w:rsidRDefault="00671CE2" w:rsidP="00671CE2">
      <w:pPr>
        <w:spacing w:after="0" w:line="240" w:lineRule="auto"/>
        <w:jc w:val="both"/>
        <w:rPr>
          <w:rFonts w:ascii="Open Sans" w:hAnsi="Open Sans" w:cs="Open Sans;Segoe UI"/>
          <w:color w:val="000000"/>
          <w:sz w:val="20"/>
          <w:szCs w:val="20"/>
        </w:rPr>
      </w:pPr>
    </w:p>
    <w:p w14:paraId="2DDE020B" w14:textId="77777777" w:rsidR="00671CE2" w:rsidRPr="00A07BE9" w:rsidRDefault="00671CE2" w:rsidP="00671CE2">
      <w:pPr>
        <w:spacing w:after="0" w:line="276" w:lineRule="auto"/>
        <w:jc w:val="both"/>
        <w:rPr>
          <w:rFonts w:ascii="Open Sans" w:hAnsi="Open Sans"/>
          <w:sz w:val="20"/>
          <w:szCs w:val="20"/>
        </w:rPr>
      </w:pPr>
      <w:r w:rsidRPr="00A07BE9">
        <w:rPr>
          <w:rFonts w:ascii="Open Sans" w:hAnsi="Open Sans"/>
          <w:sz w:val="20"/>
          <w:szCs w:val="20"/>
        </w:rPr>
        <w:t xml:space="preserve">Las personas denunciantes de buena fe, por el simple hecho de serlo, reciben inmediatamente </w:t>
      </w:r>
      <w:r w:rsidRPr="00A07BE9">
        <w:rPr>
          <w:rFonts w:ascii="Open Sans" w:hAnsi="Open Sans"/>
          <w:b/>
          <w:bCs/>
          <w:sz w:val="20"/>
          <w:szCs w:val="20"/>
        </w:rPr>
        <w:t>asesoría legal</w:t>
      </w:r>
      <w:r w:rsidRPr="00A07BE9">
        <w:rPr>
          <w:rFonts w:ascii="Open Sans" w:hAnsi="Open Sans"/>
          <w:sz w:val="20"/>
          <w:szCs w:val="20"/>
        </w:rPr>
        <w:t xml:space="preserve"> en relación con los hechos denunciados, la cual se extiende </w:t>
      </w:r>
      <w:r w:rsidRPr="00A07BE9">
        <w:rPr>
          <w:rFonts w:ascii="Open Sans" w:hAnsi="Open Sans"/>
          <w:sz w:val="20"/>
          <w:szCs w:val="20"/>
        </w:rPr>
        <w:lastRenderedPageBreak/>
        <w:t>a los procedimientos que contra ellas se</w:t>
      </w:r>
      <w:r w:rsidRPr="00A07BE9">
        <w:rPr>
          <w:rFonts w:ascii="Open Sans" w:hAnsi="Open Sans"/>
          <w:color w:val="000000"/>
          <w:sz w:val="20"/>
          <w:szCs w:val="20"/>
        </w:rPr>
        <w:t xml:space="preserve"> interpongan con motivo de la denuncia, teniendo</w:t>
      </w:r>
      <w:r w:rsidRPr="00A07BE9">
        <w:rPr>
          <w:rFonts w:ascii="Open Sans" w:hAnsi="Open Sans"/>
          <w:sz w:val="20"/>
          <w:szCs w:val="20"/>
        </w:rPr>
        <w:t xml:space="preserve"> garantizada la </w:t>
      </w:r>
      <w:r w:rsidRPr="00A07BE9">
        <w:rPr>
          <w:rFonts w:ascii="Open Sans" w:hAnsi="Open Sans"/>
          <w:b/>
          <w:bCs/>
          <w:sz w:val="20"/>
          <w:szCs w:val="20"/>
        </w:rPr>
        <w:t>confidencialidad</w:t>
      </w:r>
      <w:r w:rsidRPr="00A07BE9">
        <w:rPr>
          <w:rFonts w:ascii="Open Sans" w:hAnsi="Open Sans"/>
          <w:sz w:val="20"/>
          <w:szCs w:val="20"/>
        </w:rPr>
        <w:t xml:space="preserve"> tanto de los hechos comunicados como de su identidad.</w:t>
      </w:r>
    </w:p>
    <w:p w14:paraId="39011FFC" w14:textId="77777777" w:rsidR="00671CE2" w:rsidRPr="00A07BE9" w:rsidRDefault="00671CE2" w:rsidP="00671CE2">
      <w:pPr>
        <w:spacing w:after="0" w:line="276" w:lineRule="auto"/>
        <w:jc w:val="both"/>
        <w:rPr>
          <w:rFonts w:ascii="Open Sans" w:hAnsi="Open Sans"/>
          <w:sz w:val="20"/>
          <w:szCs w:val="20"/>
        </w:rPr>
      </w:pPr>
    </w:p>
    <w:p w14:paraId="7B34E507" w14:textId="77777777" w:rsidR="00671CE2" w:rsidRPr="00A07BE9" w:rsidRDefault="00671CE2" w:rsidP="00671CE2">
      <w:pPr>
        <w:pStyle w:val="Standard"/>
        <w:spacing w:line="276" w:lineRule="auto"/>
        <w:jc w:val="both"/>
        <w:rPr>
          <w:rFonts w:ascii="Open Sans" w:hAnsi="Open Sans"/>
          <w:sz w:val="20"/>
          <w:szCs w:val="20"/>
        </w:rPr>
      </w:pPr>
      <w:r w:rsidRPr="00A07BE9">
        <w:rPr>
          <w:rFonts w:ascii="Open Sans" w:eastAsia="Calibri" w:hAnsi="Open Sans"/>
          <w:color w:val="000000"/>
          <w:sz w:val="20"/>
          <w:szCs w:val="20"/>
          <w:lang w:eastAsia="en-US" w:bidi="ar-SA"/>
        </w:rPr>
        <w:t>Esta asesoría legal, que realiza el personal funcionario de la Agencia, con carácter previo e independiente del reconocimiento del estatuto de protección, permite ayudar e impulsar a proceder con las denuncias, y evita la presentación de denuncias infundadas o no susceptibles de protección por parte de la Agencia, como denuncias cuya competencia corresponde a la Agencia Tributaria, a la Seguridad Social, a la Inspección de Trabajo o a la Comisión Nacional de los Mercados y la Competencia. En dicha asesoría, de carácter obviamente gratuito, se facilita una información fácilmente comprensible y accesible, siendo en todo caso, confidencial, imparcial e individual.</w:t>
      </w:r>
    </w:p>
    <w:p w14:paraId="37433F9F" w14:textId="77777777" w:rsidR="00671CE2" w:rsidRPr="00A07BE9" w:rsidRDefault="00671CE2" w:rsidP="00671CE2">
      <w:pPr>
        <w:pStyle w:val="Standard"/>
        <w:spacing w:line="276" w:lineRule="auto"/>
        <w:jc w:val="both"/>
        <w:rPr>
          <w:rFonts w:ascii="Open Sans" w:eastAsia="Calibri" w:hAnsi="Open Sans"/>
          <w:color w:val="000000"/>
          <w:sz w:val="20"/>
          <w:szCs w:val="20"/>
          <w:lang w:eastAsia="en-US" w:bidi="ar-SA"/>
        </w:rPr>
      </w:pPr>
    </w:p>
    <w:p w14:paraId="29EC76D4" w14:textId="77777777" w:rsidR="00671CE2" w:rsidRPr="00A07BE9" w:rsidRDefault="00671CE2" w:rsidP="00671CE2">
      <w:pPr>
        <w:pStyle w:val="Standard"/>
        <w:spacing w:line="276" w:lineRule="auto"/>
        <w:jc w:val="both"/>
        <w:rPr>
          <w:rFonts w:ascii="Open Sans" w:hAnsi="Open Sans"/>
          <w:sz w:val="20"/>
          <w:szCs w:val="20"/>
        </w:rPr>
      </w:pPr>
      <w:r w:rsidRPr="00A07BE9">
        <w:rPr>
          <w:rFonts w:ascii="Open Sans" w:eastAsia="Calibri" w:hAnsi="Open Sans"/>
          <w:color w:val="000000"/>
          <w:sz w:val="20"/>
          <w:szCs w:val="20"/>
          <w:lang w:eastAsia="en-US" w:bidi="ar-SA"/>
        </w:rPr>
        <w:t>Por otra parte, la confidencialidad es uno de los principios básicos de actuación de la Agencia, exigiendo a todo su personal el deber de secreto sobre todo aquello que conozca por razón de sus funciones; deber que se extiende más allá de su cese en un puesto de trabajo de la Agencia.</w:t>
      </w:r>
    </w:p>
    <w:p w14:paraId="6F97621A" w14:textId="77777777" w:rsidR="00671CE2" w:rsidRPr="00A07BE9" w:rsidRDefault="00671CE2" w:rsidP="00671CE2">
      <w:pPr>
        <w:spacing w:after="0" w:line="276" w:lineRule="auto"/>
        <w:jc w:val="both"/>
        <w:rPr>
          <w:rFonts w:ascii="Open Sans" w:hAnsi="Open Sans"/>
          <w:sz w:val="20"/>
          <w:szCs w:val="20"/>
        </w:rPr>
      </w:pPr>
    </w:p>
    <w:p w14:paraId="712698EE" w14:textId="5A2D8F40" w:rsidR="00671CE2" w:rsidRPr="00A07BE9" w:rsidRDefault="00671CE2" w:rsidP="00671CE2">
      <w:pPr>
        <w:pStyle w:val="Standard"/>
        <w:spacing w:line="276" w:lineRule="auto"/>
        <w:jc w:val="both"/>
        <w:rPr>
          <w:rFonts w:ascii="Open Sans" w:eastAsia="Calibri" w:hAnsi="Open Sans"/>
          <w:color w:val="000000"/>
          <w:sz w:val="20"/>
          <w:szCs w:val="20"/>
          <w:lang w:eastAsia="en-US" w:bidi="ar-SA"/>
        </w:rPr>
      </w:pPr>
      <w:r w:rsidRPr="00A07BE9">
        <w:rPr>
          <w:rFonts w:ascii="Open Sans" w:eastAsia="Calibri" w:hAnsi="Open Sans"/>
          <w:color w:val="000000"/>
          <w:sz w:val="20"/>
          <w:szCs w:val="20"/>
          <w:lang w:eastAsia="en-US" w:bidi="ar-SA"/>
        </w:rPr>
        <w:t xml:space="preserve">Tras la experiencia adquirida respecto a la protección de las personas denunciantes, y atendiendo a lo dispuesto en el artículo 14 de la </w:t>
      </w:r>
      <w:hyperlink r:id="rId207" w:history="1">
        <w:r w:rsidR="0050097D" w:rsidRPr="00A07BE9">
          <w:rPr>
            <w:rStyle w:val="Hipervnculo"/>
            <w:rFonts w:ascii="Open Sans" w:hAnsi="Open Sans" w:cs="Open Sans"/>
            <w:sz w:val="20"/>
            <w:szCs w:val="20"/>
          </w:rPr>
          <w:t>Ley 11/2016</w:t>
        </w:r>
        <w:r w:rsidR="0050097D" w:rsidRPr="00A07BE9">
          <w:rPr>
            <w:rStyle w:val="Hipervnculo"/>
            <w:rFonts w:ascii="Open Sans" w:hAnsi="Open Sans"/>
            <w:color w:val="auto"/>
            <w:sz w:val="20"/>
            <w:szCs w:val="20"/>
            <w:u w:val="none"/>
          </w:rPr>
          <w:t>, de 28 de noviembre, de la</w:t>
        </w:r>
        <w:r w:rsidR="0050097D" w:rsidRPr="00A07BE9">
          <w:rPr>
            <w:rStyle w:val="Hipervnculo"/>
            <w:rFonts w:ascii="Open Sans" w:hAnsi="Open Sans"/>
            <w:sz w:val="20"/>
            <w:szCs w:val="20"/>
          </w:rPr>
          <w:t xml:space="preserve"> </w:t>
        </w:r>
        <w:r w:rsidR="0050097D" w:rsidRPr="00A07BE9">
          <w:rPr>
            <w:rStyle w:val="Hipervnculo"/>
            <w:rFonts w:ascii="Open Sans" w:hAnsi="Open Sans"/>
            <w:color w:val="auto"/>
            <w:sz w:val="20"/>
            <w:szCs w:val="20"/>
            <w:u w:val="none"/>
          </w:rPr>
          <w:t>Generalitat</w:t>
        </w:r>
      </w:hyperlink>
      <w:r w:rsidRPr="00A07BE9">
        <w:rPr>
          <w:rFonts w:ascii="Open Sans" w:eastAsia="Calibri" w:hAnsi="Open Sans"/>
          <w:color w:val="000000"/>
          <w:sz w:val="20"/>
          <w:szCs w:val="20"/>
          <w:lang w:eastAsia="en-US" w:bidi="ar-SA"/>
        </w:rPr>
        <w:t xml:space="preserve"> y su Reglamento de desarrollo, la Agencia ha aperturado durante el ejercicio 2019 expedientes de asesoramiento a personas denunciantes, independientes de los expedientes propios de protección.</w:t>
      </w:r>
    </w:p>
    <w:p w14:paraId="32A044D3" w14:textId="77777777" w:rsidR="006046AD" w:rsidRPr="00A07BE9" w:rsidRDefault="006046AD" w:rsidP="00671CE2">
      <w:pPr>
        <w:pStyle w:val="Standard"/>
        <w:spacing w:line="276" w:lineRule="auto"/>
        <w:jc w:val="both"/>
        <w:rPr>
          <w:rFonts w:ascii="Open Sans" w:hAnsi="Open Sans"/>
          <w:sz w:val="20"/>
          <w:szCs w:val="20"/>
        </w:rPr>
      </w:pPr>
    </w:p>
    <w:p w14:paraId="70C5CB5C" w14:textId="77777777" w:rsidR="00671CE2" w:rsidRPr="00A07BE9" w:rsidRDefault="00671CE2" w:rsidP="00671CE2">
      <w:pPr>
        <w:pStyle w:val="Standard"/>
        <w:spacing w:line="276" w:lineRule="auto"/>
        <w:jc w:val="both"/>
        <w:rPr>
          <w:rFonts w:ascii="Open Sans" w:hAnsi="Open Sans"/>
          <w:sz w:val="20"/>
          <w:szCs w:val="20"/>
        </w:rPr>
      </w:pPr>
      <w:r w:rsidRPr="00A07BE9">
        <w:rPr>
          <w:rFonts w:ascii="Open Sans" w:eastAsia="Calibri" w:hAnsi="Open Sans"/>
          <w:color w:val="000000"/>
          <w:sz w:val="20"/>
          <w:szCs w:val="20"/>
          <w:lang w:eastAsia="en-US" w:bidi="ar-SA"/>
        </w:rPr>
        <w:t>Además, l</w:t>
      </w:r>
      <w:r w:rsidRPr="00A07BE9">
        <w:rPr>
          <w:rFonts w:ascii="Open Sans" w:eastAsia="Times New Roman" w:hAnsi="Open Sans"/>
          <w:color w:val="000000"/>
          <w:sz w:val="20"/>
          <w:szCs w:val="20"/>
          <w:lang w:eastAsia="en-US" w:bidi="ar-SA"/>
        </w:rPr>
        <w:t>a Agencia reconoce y garantiza a la persona denunciante su derecho al</w:t>
      </w:r>
      <w:r w:rsidRPr="00A07BE9">
        <w:rPr>
          <w:rFonts w:ascii="Open Sans" w:eastAsia="Times New Roman" w:hAnsi="Open Sans"/>
          <w:b/>
          <w:bCs/>
          <w:color w:val="000000"/>
          <w:sz w:val="20"/>
          <w:szCs w:val="20"/>
          <w:lang w:eastAsia="en-US" w:bidi="ar-SA"/>
        </w:rPr>
        <w:t xml:space="preserve"> anonimato</w:t>
      </w:r>
      <w:r w:rsidRPr="00A07BE9">
        <w:rPr>
          <w:rFonts w:ascii="Open Sans" w:eastAsia="Times New Roman" w:hAnsi="Open Sans"/>
          <w:color w:val="000000"/>
          <w:sz w:val="20"/>
          <w:szCs w:val="20"/>
          <w:lang w:eastAsia="en-US" w:bidi="ar-SA"/>
        </w:rPr>
        <w:t>, el cual se articula mediante la presentación de denuncias en el Buzón web de la Agencia, que también actúa como Oficina virtual del empleado público, en el buzón físico de su sede social, o incluso presencialmente en la Agencia de forma verbal ante funcionario competente sin que medie identificación de la persona a la que se atiende.</w:t>
      </w:r>
    </w:p>
    <w:p w14:paraId="6F176DA6" w14:textId="77777777" w:rsidR="00671CE2" w:rsidRPr="00A07BE9" w:rsidRDefault="00671CE2" w:rsidP="00671CE2">
      <w:pPr>
        <w:pStyle w:val="Standard"/>
        <w:spacing w:line="276" w:lineRule="auto"/>
        <w:jc w:val="both"/>
        <w:rPr>
          <w:rFonts w:ascii="Open Sans" w:eastAsia="Calibri" w:hAnsi="Open Sans"/>
          <w:color w:val="000000"/>
          <w:sz w:val="20"/>
          <w:szCs w:val="20"/>
          <w:lang w:eastAsia="en-US" w:bidi="ar-SA"/>
        </w:rPr>
      </w:pPr>
    </w:p>
    <w:p w14:paraId="70D6626D" w14:textId="74CAE10C" w:rsidR="00671CE2" w:rsidRPr="00A07BE9" w:rsidRDefault="00671CE2" w:rsidP="00671CE2">
      <w:pPr>
        <w:pStyle w:val="Textoindependiente"/>
        <w:spacing w:after="0"/>
        <w:jc w:val="both"/>
        <w:rPr>
          <w:sz w:val="20"/>
          <w:szCs w:val="20"/>
        </w:rPr>
      </w:pPr>
      <w:r w:rsidRPr="00A07BE9">
        <w:rPr>
          <w:rFonts w:eastAsia="Times New Roman" w:cs="Open Sans;Segoe UI"/>
          <w:color w:val="000000"/>
          <w:sz w:val="20"/>
          <w:szCs w:val="20"/>
          <w:lang w:eastAsia="es-ES"/>
        </w:rPr>
        <w:t xml:space="preserve">Respecto al anonimato de las denuncias, la </w:t>
      </w:r>
      <w:hyperlink r:id="rId208" w:history="1">
        <w:r w:rsidRPr="00A07BE9">
          <w:rPr>
            <w:rStyle w:val="Hipervnculo"/>
            <w:rFonts w:eastAsia="Times New Roman" w:cs="Open Sans;Segoe UI"/>
            <w:b/>
            <w:bCs/>
            <w:sz w:val="20"/>
            <w:szCs w:val="20"/>
            <w:lang w:eastAsia="es-ES"/>
          </w:rPr>
          <w:t>Sentencia núm. 54/2019 de 6 de febrero de 2019, de la Sala de lo Penal del Tribunal Supremo</w:t>
        </w:r>
      </w:hyperlink>
      <w:r w:rsidRPr="00A07BE9">
        <w:rPr>
          <w:rFonts w:eastAsia="Times New Roman" w:cs="Open Sans;Segoe UI"/>
          <w:color w:val="1B1B1B"/>
          <w:sz w:val="20"/>
          <w:szCs w:val="20"/>
          <w:lang w:eastAsia="es-ES"/>
        </w:rPr>
        <w:t xml:space="preserve">, recoge en el Fundamento de Derecho Quinto: </w:t>
      </w:r>
    </w:p>
    <w:p w14:paraId="6B8AE9CE" w14:textId="77777777" w:rsidR="00671CE2" w:rsidRPr="00A07BE9" w:rsidRDefault="00671CE2" w:rsidP="00671CE2">
      <w:pPr>
        <w:pStyle w:val="Textoindependiente"/>
        <w:spacing w:after="0"/>
        <w:ind w:left="567" w:firstLine="57"/>
        <w:jc w:val="both"/>
        <w:rPr>
          <w:rFonts w:eastAsia="Times New Roman" w:cs="Open Sans;Segoe UI"/>
          <w:i/>
          <w:iCs/>
          <w:strike/>
          <w:color w:val="1B1B1B"/>
          <w:sz w:val="20"/>
          <w:szCs w:val="20"/>
          <w:lang w:eastAsia="es-ES"/>
        </w:rPr>
      </w:pPr>
    </w:p>
    <w:p w14:paraId="4B386791" w14:textId="7640850A" w:rsidR="00671CE2" w:rsidRPr="00A07BE9" w:rsidRDefault="00671CE2" w:rsidP="00671CE2">
      <w:pPr>
        <w:pStyle w:val="Textoindependiente"/>
        <w:spacing w:after="0"/>
        <w:ind w:left="567" w:firstLine="57"/>
        <w:jc w:val="both"/>
        <w:rPr>
          <w:sz w:val="18"/>
          <w:szCs w:val="18"/>
        </w:rPr>
      </w:pPr>
      <w:r w:rsidRPr="00A07BE9">
        <w:rPr>
          <w:rFonts w:eastAsia="Times New Roman" w:cs="Open Sans;Segoe UI"/>
          <w:iCs/>
          <w:color w:val="1B1B1B"/>
          <w:sz w:val="20"/>
          <w:szCs w:val="20"/>
          <w:lang w:eastAsia="es-ES"/>
        </w:rPr>
        <w:t>“</w:t>
      </w:r>
      <w:r w:rsidRPr="00A07BE9">
        <w:rPr>
          <w:rFonts w:eastAsia="Times New Roman" w:cs="Open Sans;Segoe UI"/>
          <w:b/>
          <w:bCs/>
          <w:iCs/>
          <w:color w:val="1B1B1B"/>
          <w:sz w:val="18"/>
          <w:szCs w:val="18"/>
          <w:lang w:eastAsia="es-ES"/>
        </w:rPr>
        <w:t>Como bien señaló el Ministerio Fiscal, la delación anónima no impide ni limita el derecho de defensa, ni causa indefensión, pudiéndose en toda la fase instructora aportar como descargo todos los medios de prueba que se quisieran ejercitar.</w:t>
      </w:r>
      <w:r w:rsidRPr="00A07BE9">
        <w:rPr>
          <w:rFonts w:eastAsia="Times New Roman" w:cs="Open Sans;Segoe UI"/>
          <w:iCs/>
          <w:color w:val="1B1B1B"/>
          <w:sz w:val="18"/>
          <w:szCs w:val="18"/>
          <w:lang w:eastAsia="es-ES"/>
        </w:rPr>
        <w:t xml:space="preserve"> Procede aquí puntualizar que en el caso enjuiciado, no se trata de una denuncia anónima, sino una denuncia formalizada por dos concejales determinados nominativamente, que aportaron una documentación que les había llegado de forma anónima. Pues, bien, </w:t>
      </w:r>
      <w:r w:rsidRPr="00A07BE9">
        <w:rPr>
          <w:rFonts w:eastAsia="Times New Roman" w:cs="Open Sans;Segoe UI"/>
          <w:b/>
          <w:bCs/>
          <w:iCs/>
          <w:color w:val="1B1B1B"/>
          <w:sz w:val="18"/>
          <w:szCs w:val="18"/>
          <w:lang w:eastAsia="es-ES"/>
        </w:rPr>
        <w:t xml:space="preserve">aunque se tratara de una denuncia anónima, nuestra jurisprudencia le atribuye virtualidad para iniciar una investigación. </w:t>
      </w:r>
      <w:r w:rsidRPr="00A07BE9">
        <w:rPr>
          <w:rFonts w:eastAsia="Times New Roman" w:cs="Open Sans;Segoe UI"/>
          <w:iCs/>
          <w:color w:val="1B1B1B"/>
          <w:sz w:val="18"/>
          <w:szCs w:val="18"/>
          <w:lang w:eastAsia="es-ES"/>
        </w:rPr>
        <w:t>Así, la STS 318/2013, de 11 de abril, nos dice al respecto que</w:t>
      </w:r>
      <w:r w:rsidRPr="00A07BE9">
        <w:rPr>
          <w:rFonts w:eastAsia="Times New Roman" w:cs="Open Sans;Segoe UI"/>
          <w:b/>
          <w:bCs/>
          <w:iCs/>
          <w:color w:val="1B1B1B"/>
          <w:sz w:val="18"/>
          <w:szCs w:val="18"/>
          <w:lang w:eastAsia="es-ES"/>
        </w:rPr>
        <w:t xml:space="preserve"> la lógica prevención frente a la denuncia anónima no puede llevarnos a conclusiones contrarias al significado mismo de la fase de investigación</w:t>
      </w:r>
      <w:r w:rsidRPr="00A07BE9">
        <w:rPr>
          <w:rFonts w:eastAsia="Times New Roman" w:cs="Open Sans;Segoe UI"/>
          <w:iCs/>
          <w:color w:val="1B1B1B"/>
          <w:sz w:val="18"/>
          <w:szCs w:val="18"/>
          <w:lang w:eastAsia="es-ES"/>
        </w:rPr>
        <w:t xml:space="preserve">. Se olvidaría con ello que el </w:t>
      </w:r>
      <w:r w:rsidR="003408CE" w:rsidRPr="00A07BE9">
        <w:rPr>
          <w:rFonts w:eastAsia="Times New Roman" w:cs="Open Sans;Segoe UI"/>
          <w:iCs/>
          <w:color w:val="1B1B1B"/>
          <w:sz w:val="18"/>
          <w:szCs w:val="18"/>
          <w:lang w:eastAsia="es-ES"/>
        </w:rPr>
        <w:t>art.</w:t>
      </w:r>
      <w:r w:rsidRPr="00A07BE9">
        <w:rPr>
          <w:rFonts w:eastAsia="Times New Roman" w:cs="Open Sans;Segoe UI"/>
          <w:iCs/>
          <w:color w:val="1B1B1B"/>
          <w:sz w:val="18"/>
          <w:szCs w:val="18"/>
          <w:lang w:eastAsia="es-ES"/>
        </w:rPr>
        <w:t xml:space="preserve"> 308 de la LECrim referido al sumario ordinario, obliga a la práctica de las primeras diligencias inmediatamente que los Jueces de instrucción (...) tuvieren conocimiento de la perpetración de un delito. Es indudable que </w:t>
      </w:r>
      <w:r w:rsidRPr="00A07BE9">
        <w:rPr>
          <w:rFonts w:eastAsia="Times New Roman" w:cs="Open Sans;Segoe UI"/>
          <w:b/>
          <w:bCs/>
          <w:iCs/>
          <w:color w:val="1B1B1B"/>
          <w:sz w:val="18"/>
          <w:szCs w:val="18"/>
          <w:lang w:eastAsia="es-ES"/>
        </w:rPr>
        <w:t xml:space="preserve">ese conocimiento </w:t>
      </w:r>
      <w:r w:rsidRPr="00A07BE9">
        <w:rPr>
          <w:rFonts w:eastAsia="Times New Roman" w:cs="Open Sans;Segoe UI"/>
          <w:b/>
          <w:bCs/>
          <w:iCs/>
          <w:color w:val="1B1B1B"/>
          <w:sz w:val="18"/>
          <w:szCs w:val="18"/>
          <w:lang w:eastAsia="es-ES"/>
        </w:rPr>
        <w:lastRenderedPageBreak/>
        <w:t>puede serle proporcionado por una denuncia en la que no consta la identidad del denunciante</w:t>
      </w:r>
      <w:r w:rsidRPr="00A07BE9">
        <w:rPr>
          <w:rFonts w:eastAsia="Times New Roman" w:cs="Open Sans;Segoe UI"/>
          <w:iCs/>
          <w:color w:val="1B1B1B"/>
          <w:sz w:val="18"/>
          <w:szCs w:val="18"/>
          <w:lang w:eastAsia="es-ES"/>
        </w:rPr>
        <w:t>. Cuestión distinta es que ese carácter anónimo de la denuncia refuerce el deber del Juez instructor de realizar un examen anticipado, provisional y, por tanto, en el plano puramente indiciario, de la verosimilitud de los hechos delictivos puestos en su conocimiento. Ante cualquier denuncia -sea anónima o no-, el Juez instructor puede acordar su archivo inmediato si el hecho denunciado no revistiere carácter de delito o cuando la denuncia fuera manifiestamente falsa" (art. 269 LECrim). Nuestro sistema no conoce, por tanto, un mecanismo jurídico que habilite formalmente la denuncia anónima como vehículo de incoación del proceso penal, pero sí permite, reforzadas todas las cautelas jurisdiccionales, convertir ese documento en la fuente de conocimiento que, conforme al art. 308 de la LECrim, hace posible el inicio de la fase de investigación. De manera que tal denuncia permitía desde luego el inicio de la investigación, por ser los hechos denunciados presuntamente constitutivos de delito.”</w:t>
      </w:r>
    </w:p>
    <w:p w14:paraId="4DE9F686" w14:textId="77777777" w:rsidR="00671CE2" w:rsidRPr="00A07BE9" w:rsidRDefault="00671CE2" w:rsidP="00671CE2">
      <w:pPr>
        <w:pStyle w:val="Textoindependiente"/>
        <w:spacing w:after="0"/>
        <w:jc w:val="both"/>
        <w:rPr>
          <w:rFonts w:eastAsia="Times New Roman" w:cs="Open Sans;Segoe UI"/>
          <w:color w:val="1B1B1B"/>
          <w:sz w:val="20"/>
          <w:szCs w:val="20"/>
          <w:lang w:eastAsia="es-ES"/>
        </w:rPr>
      </w:pPr>
    </w:p>
    <w:p w14:paraId="23A34C25" w14:textId="359F5ACF" w:rsidR="00671CE2" w:rsidRPr="00A07BE9" w:rsidRDefault="00671CE2" w:rsidP="00671CE2">
      <w:pPr>
        <w:pStyle w:val="Textoindependiente"/>
        <w:spacing w:after="0"/>
        <w:jc w:val="both"/>
        <w:rPr>
          <w:sz w:val="20"/>
          <w:szCs w:val="20"/>
        </w:rPr>
      </w:pPr>
      <w:r w:rsidRPr="00A07BE9">
        <w:rPr>
          <w:rFonts w:eastAsia="Times New Roman" w:cs="Open Sans;Segoe UI"/>
          <w:color w:val="000000"/>
          <w:sz w:val="20"/>
          <w:szCs w:val="20"/>
          <w:lang w:eastAsia="es-ES"/>
        </w:rPr>
        <w:t xml:space="preserve">Más recientemente, </w:t>
      </w:r>
      <w:r w:rsidRPr="00A07BE9">
        <w:rPr>
          <w:rFonts w:eastAsia="Times New Roman" w:cs="Open Sans;Segoe UI"/>
          <w:color w:val="1B1B1B"/>
          <w:sz w:val="20"/>
          <w:szCs w:val="20"/>
          <w:lang w:eastAsia="es-ES"/>
        </w:rPr>
        <w:t xml:space="preserve">la </w:t>
      </w:r>
      <w:hyperlink r:id="rId209" w:history="1">
        <w:r w:rsidRPr="00A07BE9">
          <w:rPr>
            <w:rStyle w:val="Hipervnculo"/>
            <w:rFonts w:eastAsia="Times New Roman" w:cs="Open Sans;Segoe UI"/>
            <w:b/>
            <w:bCs/>
            <w:sz w:val="20"/>
            <w:szCs w:val="20"/>
            <w:lang w:eastAsia="es-ES"/>
          </w:rPr>
          <w:t>Sentencia núm. 35/2020 de 6 de febrero de 2020, dictada por la Sala de lo Penal del Tribunal Supremo</w:t>
        </w:r>
      </w:hyperlink>
      <w:r w:rsidRPr="00A07BE9">
        <w:rPr>
          <w:rFonts w:eastAsia="Times New Roman" w:cs="Open Sans;Segoe UI"/>
          <w:color w:val="1B1B1B"/>
          <w:sz w:val="20"/>
          <w:szCs w:val="20"/>
          <w:lang w:eastAsia="es-ES"/>
        </w:rPr>
        <w:t>, valida una denuncia anónima como origen de una investigación interna en una empresa para destapar un fraude. En concreto, su Fundamento de Derecho Segundo recoge lo siguiente:</w:t>
      </w:r>
    </w:p>
    <w:p w14:paraId="4AACFCA2" w14:textId="77777777" w:rsidR="00671CE2" w:rsidRPr="00A07BE9" w:rsidRDefault="00671CE2" w:rsidP="00671CE2">
      <w:pPr>
        <w:pStyle w:val="Textoindependiente"/>
        <w:spacing w:after="0"/>
        <w:jc w:val="both"/>
        <w:rPr>
          <w:rFonts w:eastAsia="Times New Roman" w:cs="Open Sans;Segoe UI"/>
          <w:i/>
          <w:iCs/>
          <w:color w:val="000000"/>
          <w:sz w:val="20"/>
          <w:szCs w:val="20"/>
          <w:lang w:eastAsia="es-ES"/>
        </w:rPr>
      </w:pPr>
    </w:p>
    <w:p w14:paraId="6964C0D8" w14:textId="77777777" w:rsidR="00671CE2" w:rsidRPr="00A07BE9" w:rsidRDefault="00671CE2" w:rsidP="00671CE2">
      <w:pPr>
        <w:pStyle w:val="Textoindependiente"/>
        <w:spacing w:after="0"/>
        <w:ind w:left="567"/>
        <w:jc w:val="both"/>
        <w:rPr>
          <w:sz w:val="18"/>
          <w:szCs w:val="18"/>
        </w:rPr>
      </w:pPr>
      <w:r w:rsidRPr="00A07BE9">
        <w:rPr>
          <w:rFonts w:cs="Open Sans;Segoe UI"/>
          <w:iCs/>
          <w:color w:val="000000"/>
          <w:sz w:val="18"/>
          <w:szCs w:val="18"/>
        </w:rPr>
        <w:t xml:space="preserve">“El Tribunal ha entendido suficiente la prueba existente y la corroboración de entidad suficiente, motivando de forma adecuada la sentencia. (…) </w:t>
      </w:r>
      <w:r w:rsidRPr="00A07BE9">
        <w:rPr>
          <w:rFonts w:cs="Open Sans;Segoe UI"/>
          <w:b/>
          <w:bCs/>
          <w:iCs/>
          <w:color w:val="000000"/>
          <w:sz w:val="18"/>
          <w:szCs w:val="18"/>
        </w:rPr>
        <w:t xml:space="preserve">Resulta notablemente interesante </w:t>
      </w:r>
      <w:r w:rsidRPr="00A07BE9">
        <w:rPr>
          <w:rFonts w:cs="Open Sans;Segoe UI"/>
          <w:iCs/>
          <w:color w:val="000000"/>
          <w:sz w:val="18"/>
          <w:szCs w:val="18"/>
        </w:rPr>
        <w:t xml:space="preserve">que en el periodo de los hechos probados se lleve a cabo una mecánica de actuación ad intra en el seno de la empresa que ha sido recientemente regulada en el denominado </w:t>
      </w:r>
      <w:r w:rsidRPr="00A07BE9">
        <w:rPr>
          <w:rFonts w:cs="Open Sans;Segoe UI"/>
          <w:b/>
          <w:bCs/>
          <w:iCs/>
          <w:color w:val="000000"/>
          <w:sz w:val="18"/>
          <w:szCs w:val="18"/>
        </w:rPr>
        <w:t>"canal de denuncias interno"</w:t>
      </w:r>
      <w:r w:rsidRPr="00A07BE9">
        <w:rPr>
          <w:rFonts w:cs="Open Sans;Segoe UI"/>
          <w:iCs/>
          <w:color w:val="000000"/>
          <w:sz w:val="18"/>
          <w:szCs w:val="18"/>
        </w:rPr>
        <w:t xml:space="preserve"> o también denominado Whistleblowing, y que ha sido incluido en la reciente</w:t>
      </w:r>
      <w:r w:rsidRPr="00A07BE9">
        <w:rPr>
          <w:rFonts w:cs="Open Sans;Segoe UI"/>
          <w:b/>
          <w:bCs/>
          <w:iCs/>
          <w:color w:val="000000"/>
          <w:sz w:val="18"/>
          <w:szCs w:val="18"/>
        </w:rPr>
        <w:t xml:space="preserve"> Directiva (UE) 2019/1937 del Parlamento Europeo y del Consejo, de 23 de octubre de 2019</w:t>
      </w:r>
      <w:r w:rsidRPr="00A07BE9">
        <w:rPr>
          <w:rFonts w:cs="Open Sans;Segoe UI"/>
          <w:iCs/>
          <w:color w:val="000000"/>
          <w:sz w:val="18"/>
          <w:szCs w:val="18"/>
        </w:rPr>
        <w:t>, relativa a la protección de las personas que informen sobre infracciones del Derecho de la Unión.</w:t>
      </w:r>
    </w:p>
    <w:p w14:paraId="5947112F" w14:textId="77777777" w:rsidR="00671CE2" w:rsidRPr="00A07BE9" w:rsidRDefault="00671CE2" w:rsidP="00671CE2">
      <w:pPr>
        <w:pStyle w:val="Textoindependiente"/>
        <w:spacing w:after="0"/>
        <w:ind w:left="567"/>
        <w:jc w:val="both"/>
        <w:rPr>
          <w:sz w:val="18"/>
          <w:szCs w:val="18"/>
        </w:rPr>
      </w:pPr>
      <w:r w:rsidRPr="00A07BE9">
        <w:rPr>
          <w:rFonts w:cs="Open Sans;Segoe UI"/>
          <w:iCs/>
          <w:color w:val="000000"/>
          <w:sz w:val="18"/>
          <w:szCs w:val="18"/>
        </w:rPr>
        <w:t>(…) Sobre esta</w:t>
      </w:r>
      <w:r w:rsidRPr="00A07BE9">
        <w:rPr>
          <w:rFonts w:cs="Open Sans;Segoe UI"/>
          <w:b/>
          <w:bCs/>
          <w:iCs/>
          <w:color w:val="000000"/>
          <w:sz w:val="18"/>
          <w:szCs w:val="18"/>
        </w:rPr>
        <w:t xml:space="preserve"> necesidad de implantar estos canales de denuncia</w:t>
      </w:r>
      <w:r w:rsidRPr="00A07BE9">
        <w:rPr>
          <w:rFonts w:cs="Open Sans;Segoe UI"/>
          <w:iCs/>
          <w:color w:val="000000"/>
          <w:sz w:val="18"/>
          <w:szCs w:val="18"/>
        </w:rPr>
        <w:t xml:space="preserve">, y que se vio en este caso con una alta eficacia al constituir el arranque de la investigación como "notitia criminis" se recoge por la doctrina a este respecto que </w:t>
      </w:r>
      <w:r w:rsidRPr="00A07BE9">
        <w:rPr>
          <w:rFonts w:cs="Open Sans;Segoe UI"/>
          <w:b/>
          <w:bCs/>
          <w:iCs/>
          <w:color w:val="000000"/>
          <w:sz w:val="18"/>
          <w:szCs w:val="18"/>
        </w:rPr>
        <w:t xml:space="preserve">la Directiva se justifica en la constatación de que los informantes, o denunciantes, son el cauce más importante para descubrir delitos </w:t>
      </w:r>
      <w:r w:rsidRPr="00A07BE9">
        <w:rPr>
          <w:rFonts w:cs="Open Sans;Segoe UI"/>
          <w:iCs/>
          <w:color w:val="000000"/>
          <w:sz w:val="18"/>
          <w:szCs w:val="18"/>
        </w:rPr>
        <w:t xml:space="preserve">de fraude cometidos en el seno de organizaciones; y </w:t>
      </w:r>
      <w:r w:rsidRPr="00A07BE9">
        <w:rPr>
          <w:rFonts w:cs="Open Sans;Segoe UI"/>
          <w:b/>
          <w:bCs/>
          <w:iCs/>
          <w:color w:val="000000"/>
          <w:sz w:val="18"/>
          <w:szCs w:val="18"/>
        </w:rPr>
        <w:t xml:space="preserve">la principal razón por la que personas </w:t>
      </w:r>
      <w:r w:rsidRPr="00A07BE9">
        <w:rPr>
          <w:rFonts w:cs="Open Sans;Segoe UI"/>
          <w:iCs/>
          <w:color w:val="000000"/>
          <w:sz w:val="18"/>
          <w:szCs w:val="18"/>
        </w:rPr>
        <w:t xml:space="preserve">que tienen conocimiento de prácticas delictivas en su empresa, o entidad pública, </w:t>
      </w:r>
      <w:r w:rsidRPr="00A07BE9">
        <w:rPr>
          <w:rFonts w:cs="Open Sans;Segoe UI"/>
          <w:b/>
          <w:bCs/>
          <w:iCs/>
          <w:color w:val="000000"/>
          <w:sz w:val="18"/>
          <w:szCs w:val="18"/>
        </w:rPr>
        <w:t xml:space="preserve">no proceden a denunciar, es fundamentalmente porque no se sienten suficientemente protegidos contra posibles represalias </w:t>
      </w:r>
      <w:r w:rsidRPr="00A07BE9">
        <w:rPr>
          <w:rFonts w:cs="Open Sans;Segoe UI"/>
          <w:iCs/>
          <w:color w:val="000000"/>
          <w:sz w:val="18"/>
          <w:szCs w:val="18"/>
        </w:rPr>
        <w:t>provenientes del ente cuyas infracciones denuncia.</w:t>
      </w:r>
    </w:p>
    <w:p w14:paraId="166B1570" w14:textId="77777777" w:rsidR="00671CE2" w:rsidRPr="00A07BE9" w:rsidRDefault="00671CE2" w:rsidP="00671CE2">
      <w:pPr>
        <w:pStyle w:val="Textoindependiente"/>
        <w:spacing w:after="0"/>
        <w:ind w:left="567"/>
        <w:jc w:val="both"/>
        <w:rPr>
          <w:sz w:val="18"/>
          <w:szCs w:val="18"/>
        </w:rPr>
      </w:pPr>
      <w:r w:rsidRPr="00A07BE9">
        <w:rPr>
          <w:rFonts w:cs="Open Sans;Segoe UI"/>
          <w:iCs/>
          <w:color w:val="000000"/>
          <w:sz w:val="18"/>
          <w:szCs w:val="18"/>
        </w:rPr>
        <w:t xml:space="preserve">En definitiva, se busca </w:t>
      </w:r>
      <w:r w:rsidRPr="00A07BE9">
        <w:rPr>
          <w:rFonts w:cs="Open Sans;Segoe UI"/>
          <w:b/>
          <w:bCs/>
          <w:iCs/>
          <w:color w:val="000000"/>
          <w:sz w:val="18"/>
          <w:szCs w:val="18"/>
        </w:rPr>
        <w:t xml:space="preserve">reforzar la protección del whistleblower </w:t>
      </w:r>
      <w:r w:rsidRPr="00A07BE9">
        <w:rPr>
          <w:rFonts w:cs="Open Sans;Segoe UI"/>
          <w:iCs/>
          <w:color w:val="000000"/>
          <w:sz w:val="18"/>
          <w:szCs w:val="18"/>
        </w:rPr>
        <w:t>y el ejercicio de su derecho a la libertad de expresión e información reconocida en el art. 10 CEDH y 11 de la Carta de los Derechos Fundamentales de la UE, y con ello</w:t>
      </w:r>
      <w:r w:rsidRPr="00A07BE9">
        <w:rPr>
          <w:rFonts w:cs="Open Sans;Segoe UI"/>
          <w:b/>
          <w:bCs/>
          <w:iCs/>
          <w:color w:val="000000"/>
          <w:sz w:val="18"/>
          <w:szCs w:val="18"/>
        </w:rPr>
        <w:t xml:space="preserve"> incrementar su actuación en el descubrimiento de prácticas ilícitas o delictivas</w:t>
      </w:r>
      <w:r w:rsidRPr="00A07BE9">
        <w:rPr>
          <w:rFonts w:cs="Open Sans;Segoe UI"/>
          <w:iCs/>
          <w:color w:val="000000"/>
          <w:sz w:val="18"/>
          <w:szCs w:val="18"/>
        </w:rPr>
        <w:t>, como en este caso se llevó a cabo y propició la debida investigación policial y descubrimiento de los hechos. Debe destacarse, en consecuencia, que la implantación de este canal de denuncias, forma parte integrante de las necesidades a las que antes hemos hecho referencia del programa de cumplimiento normativo, ya que con el canal de denuncias quien pretenda, o planee, llevar a cabo irregularidades conocerá que desde su entorno más directo puede producirse una denuncia anónima que determinará la apertura de una investigación que cercene de inmediato la misma.</w:t>
      </w:r>
    </w:p>
    <w:p w14:paraId="2522299A" w14:textId="77777777" w:rsidR="00671CE2" w:rsidRPr="00A07BE9" w:rsidRDefault="00671CE2" w:rsidP="00671CE2">
      <w:pPr>
        <w:pStyle w:val="Textoindependiente"/>
        <w:spacing w:after="0"/>
        <w:ind w:left="567"/>
        <w:jc w:val="both"/>
        <w:rPr>
          <w:sz w:val="18"/>
          <w:szCs w:val="18"/>
        </w:rPr>
      </w:pPr>
      <w:r w:rsidRPr="00A07BE9">
        <w:rPr>
          <w:rFonts w:cs="Open Sans;Segoe UI"/>
          <w:iCs/>
          <w:color w:val="000000"/>
          <w:sz w:val="18"/>
          <w:szCs w:val="18"/>
        </w:rPr>
        <w:t xml:space="preserve">En el caso ahora analizado una </w:t>
      </w:r>
      <w:r w:rsidRPr="00A07BE9">
        <w:rPr>
          <w:rFonts w:cs="Open Sans;Segoe UI"/>
          <w:b/>
          <w:bCs/>
          <w:iCs/>
          <w:color w:val="000000"/>
          <w:sz w:val="18"/>
          <w:szCs w:val="18"/>
        </w:rPr>
        <w:t xml:space="preserve">denuncia interna, al modo del canal de denuncias aquí expuesto, provoca la apertura de la investigación que desemboca en el descubrimiento de las operaciones que estaban realizando los recurrentes durante el periodo de tiempo indicado en los hechos probados, y que causó el perjuicio económico que se ha considerado probado. </w:t>
      </w:r>
      <w:r w:rsidRPr="00A07BE9">
        <w:rPr>
          <w:rFonts w:cs="Open Sans;Segoe UI"/>
          <w:iCs/>
          <w:color w:val="000000"/>
          <w:sz w:val="18"/>
          <w:szCs w:val="18"/>
        </w:rPr>
        <w:t xml:space="preserve">Resulta, pues, necesaria la correlación entre el programa de </w:t>
      </w:r>
      <w:r w:rsidRPr="00A07BE9">
        <w:rPr>
          <w:rFonts w:cs="Open Sans;Segoe UI"/>
          <w:iCs/>
          <w:color w:val="000000"/>
          <w:sz w:val="18"/>
          <w:szCs w:val="18"/>
        </w:rPr>
        <w:lastRenderedPageBreak/>
        <w:t xml:space="preserve">cumplimiento normativo en la empresa para evitar y prevenir los delitos cometidos por directivos y empleados ad intra, como aquí ocurrió con los tres empleados, a fin de potenciar el control interno y el conocimiento de directivos y empleados de la posibilidad de que dentro de su empresa, y ante el conocimiento de alguna irregularidad, como aquí ocurrió perjudica a la propia empresa, y, al final, a los propios trabajadores, si el volumen de la irregularidad podría poner en riesgo y peligro hasta sus propios puestos de trabajo, pero </w:t>
      </w:r>
      <w:r w:rsidRPr="00A07BE9">
        <w:rPr>
          <w:rFonts w:cs="Open Sans;Segoe UI"/>
          <w:b/>
          <w:bCs/>
          <w:iCs/>
          <w:color w:val="000000"/>
          <w:sz w:val="18"/>
          <w:szCs w:val="18"/>
        </w:rPr>
        <w:t>más por el propio sentimiento de necesidad de la honradez profesional y evitación de actividades delictivas, o meras irregularidades en el seno de la empresa.</w:t>
      </w:r>
    </w:p>
    <w:p w14:paraId="2AA2D077" w14:textId="77777777" w:rsidR="00671CE2" w:rsidRPr="00A07BE9" w:rsidRDefault="00671CE2" w:rsidP="00671CE2">
      <w:pPr>
        <w:pStyle w:val="Textoindependiente"/>
        <w:spacing w:after="0"/>
        <w:ind w:left="567"/>
        <w:jc w:val="both"/>
        <w:rPr>
          <w:sz w:val="18"/>
          <w:szCs w:val="18"/>
        </w:rPr>
      </w:pPr>
      <w:r w:rsidRPr="00A07BE9">
        <w:rPr>
          <w:rFonts w:eastAsia="Times New Roman" w:cs="Open Sans;Segoe UI"/>
          <w:iCs/>
          <w:color w:val="1B1B1B"/>
          <w:sz w:val="18"/>
          <w:szCs w:val="18"/>
          <w:lang w:eastAsia="es-ES"/>
        </w:rPr>
        <w:t xml:space="preserve">(…) </w:t>
      </w:r>
      <w:r w:rsidRPr="00A07BE9">
        <w:rPr>
          <w:rFonts w:eastAsia="Times New Roman" w:cs="Open Sans;Segoe UI"/>
          <w:b/>
          <w:bCs/>
          <w:iCs/>
          <w:color w:val="1B1B1B"/>
          <w:sz w:val="18"/>
          <w:szCs w:val="18"/>
          <w:lang w:eastAsia="es-ES"/>
        </w:rPr>
        <w:t>Una denuncia anónima no impide una investigación penal, sino que exige únicamente un análisis reforzado</w:t>
      </w:r>
      <w:r w:rsidRPr="00A07BE9">
        <w:rPr>
          <w:rFonts w:eastAsia="Times New Roman" w:cs="Open Sans;Segoe UI"/>
          <w:iCs/>
          <w:color w:val="1B1B1B"/>
          <w:sz w:val="18"/>
          <w:szCs w:val="18"/>
          <w:lang w:eastAsia="es-ES"/>
        </w:rPr>
        <w:t xml:space="preserve"> para su toma en consideración que pondere la coherencia y la verosimilitud de los datos.”</w:t>
      </w:r>
    </w:p>
    <w:p w14:paraId="5BBA9F14" w14:textId="77777777" w:rsidR="00671CE2" w:rsidRPr="00A07BE9" w:rsidRDefault="00671CE2" w:rsidP="009A3D76">
      <w:pPr>
        <w:pStyle w:val="Textoindependiente"/>
        <w:spacing w:after="0" w:line="240" w:lineRule="auto"/>
        <w:jc w:val="both"/>
        <w:rPr>
          <w:rFonts w:eastAsia="Times New Roman" w:cs="Open Sans;Segoe UI"/>
          <w:i/>
          <w:iCs/>
          <w:color w:val="1B1B1B"/>
          <w:sz w:val="20"/>
          <w:szCs w:val="20"/>
          <w:lang w:eastAsia="es-ES"/>
        </w:rPr>
      </w:pPr>
    </w:p>
    <w:p w14:paraId="2175AB3E" w14:textId="77777777" w:rsidR="00671CE2" w:rsidRPr="00A07BE9" w:rsidRDefault="00671CE2" w:rsidP="00671CE2">
      <w:pPr>
        <w:spacing w:after="0" w:line="240" w:lineRule="auto"/>
        <w:jc w:val="both"/>
        <w:rPr>
          <w:rFonts w:ascii="Open Sans" w:eastAsia="Times New Roman" w:hAnsi="Open Sans" w:cs="Open Sans;Segoe UI"/>
          <w:b/>
          <w:bCs/>
          <w:smallCaps/>
          <w:color w:val="9D2235"/>
          <w:sz w:val="24"/>
          <w:szCs w:val="24"/>
          <w:lang w:eastAsia="es-ES"/>
        </w:rPr>
      </w:pPr>
      <w:r w:rsidRPr="00A07BE9">
        <w:rPr>
          <w:rFonts w:ascii="Open Sans" w:eastAsia="Times New Roman" w:hAnsi="Open Sans" w:cs="Open Sans;Segoe UI"/>
          <w:b/>
          <w:bCs/>
          <w:smallCaps/>
          <w:color w:val="9D2235"/>
          <w:sz w:val="24"/>
          <w:szCs w:val="24"/>
          <w:lang w:eastAsia="es-ES"/>
        </w:rPr>
        <w:t>4.3.2.2. Otros derechos de las personas denunciantes</w:t>
      </w:r>
    </w:p>
    <w:p w14:paraId="3A372F5B" w14:textId="77777777" w:rsidR="00671CE2" w:rsidRPr="00A07BE9" w:rsidRDefault="00671CE2" w:rsidP="00671CE2">
      <w:pPr>
        <w:spacing w:after="0" w:line="240" w:lineRule="auto"/>
        <w:jc w:val="both"/>
        <w:rPr>
          <w:rFonts w:ascii="Open Sans" w:hAnsi="Open Sans"/>
          <w:color w:val="9D2235"/>
          <w:sz w:val="20"/>
          <w:szCs w:val="20"/>
        </w:rPr>
      </w:pPr>
    </w:p>
    <w:p w14:paraId="67E6A916" w14:textId="0A9FA14C" w:rsidR="00671CE2" w:rsidRPr="00A07BE9" w:rsidRDefault="00671CE2" w:rsidP="00671CE2">
      <w:pPr>
        <w:pStyle w:val="Standard"/>
        <w:spacing w:line="276" w:lineRule="auto"/>
        <w:jc w:val="both"/>
        <w:rPr>
          <w:rFonts w:ascii="Open Sans" w:eastAsia="Calibri" w:hAnsi="Open Sans"/>
          <w:sz w:val="20"/>
          <w:szCs w:val="20"/>
          <w:lang w:eastAsia="en-US" w:bidi="ar-SA"/>
        </w:rPr>
      </w:pPr>
      <w:r w:rsidRPr="00A07BE9">
        <w:rPr>
          <w:rFonts w:ascii="Open Sans" w:eastAsia="Calibri" w:hAnsi="Open Sans"/>
          <w:color w:val="000000"/>
          <w:sz w:val="20"/>
          <w:szCs w:val="20"/>
          <w:lang w:eastAsia="en-US" w:bidi="ar-SA"/>
        </w:rPr>
        <w:t xml:space="preserve">Otro de los derechos reconocidos a las personas que denuncian es la garantía de que la denuncia de estos hechos o conductas </w:t>
      </w:r>
      <w:r w:rsidRPr="00A07BE9">
        <w:rPr>
          <w:rFonts w:ascii="Open Sans" w:eastAsia="Calibri" w:hAnsi="Open Sans"/>
          <w:b/>
          <w:bCs/>
          <w:color w:val="000000"/>
          <w:sz w:val="20"/>
          <w:szCs w:val="20"/>
          <w:lang w:eastAsia="en-US" w:bidi="ar-SA"/>
        </w:rPr>
        <w:t>no supondrá</w:t>
      </w:r>
      <w:r w:rsidRPr="00A07BE9">
        <w:rPr>
          <w:rFonts w:ascii="Open Sans" w:eastAsia="Calibri" w:hAnsi="Open Sans"/>
          <w:color w:val="000000"/>
          <w:sz w:val="20"/>
          <w:szCs w:val="20"/>
          <w:lang w:eastAsia="en-US" w:bidi="ar-SA"/>
        </w:rPr>
        <w:t xml:space="preserve"> </w:t>
      </w:r>
      <w:r w:rsidRPr="00A07BE9">
        <w:rPr>
          <w:rFonts w:ascii="Open Sans" w:eastAsia="Calibri" w:hAnsi="Open Sans"/>
          <w:b/>
          <w:bCs/>
          <w:color w:val="000000"/>
          <w:sz w:val="20"/>
          <w:szCs w:val="20"/>
          <w:lang w:eastAsia="en-US" w:bidi="ar-SA"/>
        </w:rPr>
        <w:t>infracción del deber de sigilo</w:t>
      </w:r>
      <w:r w:rsidRPr="00A07BE9">
        <w:rPr>
          <w:rFonts w:ascii="Open Sans" w:eastAsia="Calibri" w:hAnsi="Open Sans"/>
          <w:color w:val="000000"/>
          <w:sz w:val="20"/>
          <w:szCs w:val="20"/>
          <w:lang w:eastAsia="en-US" w:bidi="ar-SA"/>
        </w:rPr>
        <w:t xml:space="preserve"> impuesto al personal empleado respecto de los asuntos que conozcan por razón de sus funciones </w:t>
      </w:r>
      <w:r w:rsidRPr="00A07BE9">
        <w:rPr>
          <w:rFonts w:ascii="Open Sans" w:eastAsia="Calibri" w:hAnsi="Open Sans"/>
          <w:b/>
          <w:bCs/>
          <w:color w:val="000000"/>
          <w:sz w:val="20"/>
          <w:szCs w:val="20"/>
          <w:lang w:eastAsia="en-US" w:bidi="ar-SA"/>
        </w:rPr>
        <w:t>ni responsabilidad</w:t>
      </w:r>
      <w:r w:rsidRPr="00A07BE9">
        <w:rPr>
          <w:rFonts w:ascii="Open Sans" w:eastAsia="Calibri" w:hAnsi="Open Sans"/>
          <w:color w:val="000000"/>
          <w:sz w:val="20"/>
          <w:szCs w:val="20"/>
          <w:lang w:eastAsia="en-US" w:bidi="ar-SA"/>
        </w:rPr>
        <w:t xml:space="preserve"> alguna por la revelación realizada; g</w:t>
      </w:r>
      <w:r w:rsidRPr="00A07BE9">
        <w:rPr>
          <w:rFonts w:ascii="Open Sans" w:eastAsia="Calibri" w:hAnsi="Open Sans"/>
          <w:sz w:val="20"/>
          <w:szCs w:val="20"/>
          <w:lang w:eastAsia="en-US" w:bidi="ar-SA"/>
        </w:rPr>
        <w:t>arantía que deviene fundamental, pues en caso contrario difícilmente un empleado podría estar dispuesto a denunciar las posibles ilegalidades que conozca con motivo de su trabajo.</w:t>
      </w:r>
    </w:p>
    <w:p w14:paraId="28FB9117" w14:textId="77777777" w:rsidR="00B81E44" w:rsidRPr="00A07BE9" w:rsidRDefault="00B81E44" w:rsidP="00671CE2">
      <w:pPr>
        <w:pStyle w:val="Standard"/>
        <w:spacing w:line="276" w:lineRule="auto"/>
        <w:jc w:val="both"/>
        <w:rPr>
          <w:rFonts w:ascii="Open Sans" w:hAnsi="Open Sans"/>
          <w:sz w:val="20"/>
          <w:szCs w:val="20"/>
        </w:rPr>
      </w:pPr>
    </w:p>
    <w:p w14:paraId="16F18E6E" w14:textId="50DE2E7E" w:rsidR="00671CE2" w:rsidRPr="00A07BE9" w:rsidRDefault="00671CE2" w:rsidP="00671CE2">
      <w:pPr>
        <w:pStyle w:val="Standard"/>
        <w:spacing w:line="276" w:lineRule="auto"/>
        <w:jc w:val="both"/>
        <w:rPr>
          <w:rFonts w:ascii="Open Sans" w:hAnsi="Open Sans"/>
          <w:color w:val="000000"/>
          <w:sz w:val="20"/>
          <w:szCs w:val="20"/>
        </w:rPr>
      </w:pPr>
      <w:r w:rsidRPr="00A07BE9">
        <w:rPr>
          <w:rFonts w:ascii="Open Sans" w:eastAsia="Calibri" w:hAnsi="Open Sans"/>
          <w:color w:val="000000"/>
          <w:sz w:val="20"/>
          <w:szCs w:val="20"/>
          <w:lang w:eastAsia="en-US" w:bidi="ar-SA"/>
        </w:rPr>
        <w:t xml:space="preserve">Se trae a colación a este respecto la </w:t>
      </w:r>
      <w:hyperlink r:id="rId210" w:history="1">
        <w:r w:rsidRPr="00A07BE9">
          <w:rPr>
            <w:rStyle w:val="Hipervnculo"/>
            <w:rFonts w:ascii="Open Sans" w:eastAsia="Calibri" w:hAnsi="Open Sans"/>
            <w:b/>
            <w:bCs/>
            <w:sz w:val="20"/>
            <w:szCs w:val="20"/>
            <w:lang w:eastAsia="en-US" w:bidi="ar-SA"/>
          </w:rPr>
          <w:t>Sentencia núm. 97/2019 de 16 de julio de 2019, del Pleno del Tribunal Constitucional</w:t>
        </w:r>
      </w:hyperlink>
      <w:r w:rsidRPr="00A07BE9">
        <w:rPr>
          <w:rFonts w:ascii="Open Sans" w:eastAsia="Calibri" w:hAnsi="Open Sans"/>
          <w:color w:val="000000"/>
          <w:sz w:val="20"/>
          <w:szCs w:val="20"/>
          <w:lang w:eastAsia="en-US" w:bidi="ar-SA"/>
        </w:rPr>
        <w:t xml:space="preserve">, que se pronuncia a favor de la licitud probatoria de la denominada </w:t>
      </w:r>
      <w:r w:rsidRPr="00A07BE9">
        <w:rPr>
          <w:rFonts w:ascii="Open Sans" w:eastAsia="Calibri" w:hAnsi="Open Sans"/>
          <w:i/>
          <w:iCs/>
          <w:color w:val="000000"/>
          <w:sz w:val="20"/>
          <w:szCs w:val="20"/>
          <w:lang w:eastAsia="en-US" w:bidi="ar-SA"/>
        </w:rPr>
        <w:t>lista Falciani</w:t>
      </w:r>
      <w:r w:rsidRPr="00A07BE9">
        <w:rPr>
          <w:rFonts w:ascii="Open Sans" w:eastAsia="Calibri" w:hAnsi="Open Sans"/>
          <w:color w:val="000000"/>
          <w:sz w:val="20"/>
          <w:szCs w:val="20"/>
          <w:lang w:eastAsia="en-US" w:bidi="ar-SA"/>
        </w:rPr>
        <w:t xml:space="preserve">, desestimando la supuesta vulneración de los derechos de tutela judicial efectiva, a un proceso con todas las garantías y a la presunción de inocencia. De acuerdo con su Fundamento Jurídico Sexto: </w:t>
      </w:r>
    </w:p>
    <w:p w14:paraId="4BF1D8D8" w14:textId="77777777" w:rsidR="00671CE2" w:rsidRPr="00A07BE9" w:rsidRDefault="00671CE2" w:rsidP="00671CE2">
      <w:pPr>
        <w:pStyle w:val="Standard"/>
        <w:spacing w:line="276" w:lineRule="auto"/>
        <w:jc w:val="both"/>
        <w:rPr>
          <w:rFonts w:ascii="Open Sans" w:hAnsi="Open Sans"/>
          <w:color w:val="000000"/>
          <w:sz w:val="20"/>
          <w:szCs w:val="20"/>
        </w:rPr>
      </w:pPr>
    </w:p>
    <w:p w14:paraId="1818A9DE" w14:textId="77777777" w:rsidR="00671CE2" w:rsidRPr="00A07BE9" w:rsidRDefault="00671CE2" w:rsidP="00671CE2">
      <w:pPr>
        <w:pStyle w:val="Standard"/>
        <w:spacing w:line="276" w:lineRule="auto"/>
        <w:ind w:left="567"/>
        <w:jc w:val="both"/>
        <w:rPr>
          <w:rFonts w:ascii="Open Sans" w:hAnsi="Open Sans"/>
          <w:color w:val="000000"/>
          <w:sz w:val="18"/>
          <w:szCs w:val="18"/>
        </w:rPr>
      </w:pPr>
      <w:r w:rsidRPr="00A07BE9">
        <w:rPr>
          <w:rFonts w:ascii="Open Sans" w:hAnsi="Open Sans"/>
          <w:iCs/>
          <w:color w:val="000000"/>
          <w:sz w:val="18"/>
          <w:szCs w:val="18"/>
        </w:rPr>
        <w:t>“(…)</w:t>
      </w:r>
      <w:r w:rsidRPr="00A07BE9">
        <w:rPr>
          <w:rFonts w:ascii="Open Sans" w:hAnsi="Open Sans"/>
          <w:color w:val="000000"/>
          <w:sz w:val="18"/>
          <w:szCs w:val="18"/>
        </w:rPr>
        <w:t xml:space="preserve"> </w:t>
      </w:r>
      <w:r w:rsidRPr="00A07BE9">
        <w:rPr>
          <w:rFonts w:ascii="Open Sans" w:eastAsia="Calibri" w:hAnsi="Open Sans" w:cs="Open Sans;Segoe UI"/>
          <w:iCs/>
          <w:sz w:val="18"/>
          <w:szCs w:val="18"/>
          <w:lang w:eastAsia="en-US" w:bidi="ar-SA"/>
        </w:rPr>
        <w:t xml:space="preserve">a) Con carácter general, hay que tener presente que el </w:t>
      </w:r>
      <w:r w:rsidRPr="00A07BE9">
        <w:rPr>
          <w:rFonts w:ascii="Open Sans" w:eastAsia="Calibri" w:hAnsi="Open Sans" w:cs="Open Sans;Segoe UI"/>
          <w:b/>
          <w:bCs/>
          <w:iCs/>
          <w:sz w:val="18"/>
          <w:szCs w:val="18"/>
          <w:lang w:eastAsia="en-US" w:bidi="ar-SA"/>
        </w:rPr>
        <w:t>dato de que la vulneración originaria del derecho sustantivo fuera cometida, en el caso que nos ocupa, por un particular no altera en absoluto el canon de constitucionalidad aplicable desde la óptica del derecho a un proceso con todas las garantías (art. 24.2 CE),</w:t>
      </w:r>
      <w:r w:rsidRPr="00A07BE9">
        <w:rPr>
          <w:rFonts w:ascii="Open Sans" w:eastAsia="Calibri" w:hAnsi="Open Sans" w:cs="Open Sans;Segoe UI"/>
          <w:iCs/>
          <w:sz w:val="18"/>
          <w:szCs w:val="18"/>
          <w:lang w:eastAsia="en-US" w:bidi="ar-SA"/>
        </w:rPr>
        <w:t xml:space="preserve"> de suerte que la exclusión de los elementos probatorios obtenidos ha de ser, también en este tipo de supuestos, el punto de partida o regla general, si bien, en cada caso concreto, el órgano judicial puede apreciar, con arreglo a los parámetros que ya han sido expuestos, la ausencia de necesidades de tutela procesal en relación con la vulneración consumada, incorporando, en esos casos excepcionales, los elementos controvertidos al acervo probatorio.</w:t>
      </w:r>
    </w:p>
    <w:p w14:paraId="0539637F" w14:textId="77777777" w:rsidR="00671CE2" w:rsidRPr="00A07BE9" w:rsidRDefault="00671CE2" w:rsidP="00671CE2">
      <w:pPr>
        <w:pStyle w:val="Default"/>
        <w:tabs>
          <w:tab w:val="left" w:pos="566"/>
        </w:tabs>
        <w:spacing w:line="276" w:lineRule="auto"/>
        <w:ind w:left="567"/>
        <w:jc w:val="both"/>
        <w:rPr>
          <w:rFonts w:ascii="Open Sans" w:eastAsia="Calibri" w:hAnsi="Open Sans" w:cs="Open Sans;Segoe UI"/>
          <w:iCs/>
          <w:color w:val="auto"/>
          <w:sz w:val="18"/>
          <w:szCs w:val="18"/>
          <w:lang w:eastAsia="en-US" w:bidi="ar-SA"/>
        </w:rPr>
      </w:pPr>
      <w:r w:rsidRPr="00A07BE9">
        <w:rPr>
          <w:rFonts w:ascii="Open Sans" w:eastAsia="Calibri" w:hAnsi="Open Sans" w:cs="Open Sans;Segoe UI"/>
          <w:iCs/>
          <w:color w:val="auto"/>
          <w:sz w:val="18"/>
          <w:szCs w:val="18"/>
          <w:lang w:eastAsia="en-US" w:bidi="ar-SA"/>
        </w:rPr>
        <w:t xml:space="preserve">(…) c) A la misma conclusión se llega si se examina, también desde el punto de vista interno, el «resultado» de la violación consumada en el derecho a la intimidad. Puede advertirse que </w:t>
      </w:r>
      <w:r w:rsidRPr="00A07BE9">
        <w:rPr>
          <w:rFonts w:ascii="Open Sans" w:eastAsia="Calibri" w:hAnsi="Open Sans" w:cs="Open Sans;Segoe UI"/>
          <w:b/>
          <w:bCs/>
          <w:iCs/>
          <w:color w:val="auto"/>
          <w:sz w:val="18"/>
          <w:szCs w:val="18"/>
          <w:lang w:eastAsia="en-US" w:bidi="ar-SA"/>
        </w:rPr>
        <w:t>los datos que son utilizados por la hacienda pública española se refieren a aspectos periféricos e inocuos de la llamada «intimidad económica»</w:t>
      </w:r>
      <w:r w:rsidRPr="00A07BE9">
        <w:rPr>
          <w:rFonts w:ascii="Open Sans" w:eastAsia="Calibri" w:hAnsi="Open Sans" w:cs="Open Sans;Segoe UI"/>
          <w:iCs/>
          <w:color w:val="auto"/>
          <w:sz w:val="18"/>
          <w:szCs w:val="18"/>
          <w:lang w:eastAsia="en-US" w:bidi="ar-SA"/>
        </w:rPr>
        <w:t xml:space="preserve">. No se han introducido dentro del proceso penal datos, como podrían ser los concretos movimientos de cuentas, que puedan revelar o que permitan deducir los comportamientos o hábitos de vida del interesado (SSTC 142/1993, de 22 de abril, FJ 7, y 233/2005, de 26 de septiembre, FJ 4). Los datos controvertidos son, exclusivamente, la existencia de la cuenta bancaria y el importe ingresado en la misma. </w:t>
      </w:r>
      <w:r w:rsidRPr="00A07BE9">
        <w:rPr>
          <w:rFonts w:ascii="Open Sans" w:eastAsia="Calibri" w:hAnsi="Open Sans" w:cs="Open Sans;Segoe UI"/>
          <w:b/>
          <w:bCs/>
          <w:iCs/>
          <w:color w:val="auto"/>
          <w:sz w:val="18"/>
          <w:szCs w:val="18"/>
          <w:lang w:eastAsia="en-US" w:bidi="ar-SA"/>
        </w:rPr>
        <w:t xml:space="preserve">El resultado de la intromisión en la intimidad no es, por tanto, de tal intensidad que exija, por sí mismo, extender las necesidades de tutela del derecho sustantivo al ámbito del proceso penal, habida cuenta que, como ya se ha dicho, éste no tiene conexión </w:t>
      </w:r>
      <w:r w:rsidRPr="00A07BE9">
        <w:rPr>
          <w:rFonts w:ascii="Open Sans" w:eastAsia="Calibri" w:hAnsi="Open Sans" w:cs="Open Sans;Segoe UI"/>
          <w:b/>
          <w:bCs/>
          <w:iCs/>
          <w:color w:val="auto"/>
          <w:sz w:val="18"/>
          <w:szCs w:val="18"/>
          <w:lang w:eastAsia="en-US" w:bidi="ar-SA"/>
        </w:rPr>
        <w:lastRenderedPageBreak/>
        <w:t>instrumental alguna con el acto de injerencia verificado entre particulares.</w:t>
      </w:r>
    </w:p>
    <w:p w14:paraId="05AABB4F" w14:textId="77777777" w:rsidR="00671CE2" w:rsidRPr="00A07BE9" w:rsidRDefault="00671CE2" w:rsidP="00671CE2">
      <w:pPr>
        <w:pStyle w:val="Default"/>
        <w:tabs>
          <w:tab w:val="left" w:pos="566"/>
        </w:tabs>
        <w:spacing w:line="276" w:lineRule="auto"/>
        <w:ind w:left="567"/>
        <w:jc w:val="both"/>
        <w:rPr>
          <w:rFonts w:ascii="Open Sans" w:eastAsia="Calibri" w:hAnsi="Open Sans" w:cs="Open Sans;Segoe UI"/>
          <w:iCs/>
          <w:color w:val="auto"/>
          <w:sz w:val="18"/>
          <w:szCs w:val="18"/>
          <w:lang w:eastAsia="en-US" w:bidi="ar-SA"/>
        </w:rPr>
      </w:pPr>
      <w:r w:rsidRPr="00A07BE9">
        <w:rPr>
          <w:rFonts w:ascii="Open Sans" w:eastAsia="Calibri" w:hAnsi="Open Sans" w:cs="Open Sans;Segoe UI"/>
          <w:iCs/>
          <w:color w:val="auto"/>
          <w:sz w:val="18"/>
          <w:szCs w:val="18"/>
          <w:lang w:eastAsia="en-US" w:bidi="ar-SA"/>
        </w:rPr>
        <w:t>Debe además recordarse que la intromisión en la intimidad se ha producido fuera del territorio donde rige la soberanía española, por lo que a la menor intensidad de la injerencia se une que «solo el núcleo irrenunciable del derecho fundamental inherente a la dignidad de la persona [podría] alcanzar proyección universal» (STC 91/2000, de 30 de marzo, FJ 8).</w:t>
      </w:r>
    </w:p>
    <w:p w14:paraId="01E073B6" w14:textId="77777777" w:rsidR="00671CE2" w:rsidRPr="00A07BE9" w:rsidRDefault="00671CE2" w:rsidP="00671CE2">
      <w:pPr>
        <w:pStyle w:val="Default"/>
        <w:tabs>
          <w:tab w:val="left" w:pos="566"/>
        </w:tabs>
        <w:spacing w:line="276" w:lineRule="auto"/>
        <w:ind w:left="567"/>
        <w:jc w:val="both"/>
        <w:rPr>
          <w:rFonts w:ascii="Open Sans" w:eastAsia="Calibri" w:hAnsi="Open Sans" w:cs="Open Sans;Segoe UI"/>
          <w:iCs/>
          <w:color w:val="auto"/>
          <w:sz w:val="18"/>
          <w:szCs w:val="18"/>
          <w:lang w:eastAsia="en-US" w:bidi="ar-SA"/>
        </w:rPr>
      </w:pPr>
      <w:r w:rsidRPr="00A07BE9">
        <w:rPr>
          <w:rFonts w:ascii="Open Sans" w:eastAsia="Calibri" w:hAnsi="Open Sans" w:cs="Open Sans;Segoe UI"/>
          <w:iCs/>
          <w:color w:val="auto"/>
          <w:sz w:val="18"/>
          <w:szCs w:val="18"/>
          <w:lang w:eastAsia="en-US" w:bidi="ar-SA"/>
        </w:rPr>
        <w:t>d) (…) Dicho en otras palabras: en España la obtención por parte de las autoridades de datos bancarios a efectos de desarrollar investigaciones tributarias o penales está prevista en la ley y resulta plenamente asequible a través de instrumentos procesales ordinarios. (...)</w:t>
      </w:r>
    </w:p>
    <w:p w14:paraId="1AC3AE76" w14:textId="77777777" w:rsidR="00671CE2" w:rsidRPr="00A07BE9" w:rsidRDefault="00671CE2" w:rsidP="00671CE2">
      <w:pPr>
        <w:tabs>
          <w:tab w:val="left" w:pos="566"/>
        </w:tabs>
        <w:spacing w:after="0" w:line="276" w:lineRule="auto"/>
        <w:ind w:left="567"/>
        <w:jc w:val="both"/>
        <w:rPr>
          <w:rFonts w:ascii="Open Sans" w:hAnsi="Open Sans"/>
          <w:sz w:val="18"/>
          <w:szCs w:val="18"/>
        </w:rPr>
      </w:pPr>
      <w:r w:rsidRPr="00A07BE9">
        <w:rPr>
          <w:rFonts w:ascii="Open Sans" w:hAnsi="Open Sans" w:cs="Open Sans;Segoe UI"/>
          <w:iCs/>
          <w:sz w:val="18"/>
          <w:szCs w:val="18"/>
        </w:rPr>
        <w:t>Por todo ello, hemos de concluir que la decisión del Tribunal Supremo no ha vulnerado el derecho a un proceso con todas las garantías (art. 24.2 CE) que asiste al recurrente de amparo. En consecuencia, tampoco el derecho a la presunción de inocencia (art. 24.2 CE) ha resultado lesionado, ya que esta concreta queja era puramente tributaria de la que acaba de ser descartada. Procede, por todo lo anterior, desestimar el amparo interesado por el recurrente.”</w:t>
      </w:r>
    </w:p>
    <w:p w14:paraId="6008B830" w14:textId="77777777" w:rsidR="00671CE2" w:rsidRPr="00A07BE9" w:rsidRDefault="00671CE2" w:rsidP="00671CE2">
      <w:pPr>
        <w:pStyle w:val="Standard"/>
        <w:spacing w:line="276" w:lineRule="auto"/>
        <w:jc w:val="both"/>
        <w:rPr>
          <w:rFonts w:ascii="Open Sans" w:eastAsia="Calibri" w:hAnsi="Open Sans"/>
          <w:color w:val="000000"/>
          <w:sz w:val="20"/>
          <w:szCs w:val="20"/>
          <w:lang w:eastAsia="en-US" w:bidi="ar-SA"/>
        </w:rPr>
      </w:pPr>
    </w:p>
    <w:p w14:paraId="498EF9AE" w14:textId="77777777" w:rsidR="00671CE2" w:rsidRPr="00A07BE9" w:rsidRDefault="00671CE2" w:rsidP="00671CE2">
      <w:pPr>
        <w:pStyle w:val="Standard"/>
        <w:spacing w:line="276" w:lineRule="auto"/>
        <w:jc w:val="both"/>
        <w:rPr>
          <w:rFonts w:ascii="Open Sans" w:hAnsi="Open Sans"/>
          <w:sz w:val="20"/>
          <w:szCs w:val="20"/>
        </w:rPr>
      </w:pPr>
      <w:r w:rsidRPr="00A07BE9">
        <w:rPr>
          <w:rFonts w:ascii="Open Sans" w:eastAsia="Calibri" w:hAnsi="Open Sans"/>
          <w:color w:val="000000"/>
          <w:sz w:val="20"/>
          <w:szCs w:val="20"/>
          <w:lang w:eastAsia="en-US" w:bidi="ar-SA"/>
        </w:rPr>
        <w:t xml:space="preserve">En los supuestos que la denuncia se esté investigando por la Agencia y salvo mantenimiento del secreto en aras al buen fin de la investigación o la limitación del acceso a la información por motivo de la investigación que se esté llevando a cabo de acuerdo con las leyes de transparencia, la persona denunciante tiene </w:t>
      </w:r>
      <w:r w:rsidRPr="00A07BE9">
        <w:rPr>
          <w:rFonts w:ascii="Open Sans" w:eastAsia="Calibri" w:hAnsi="Open Sans"/>
          <w:b/>
          <w:bCs/>
          <w:color w:val="000000"/>
          <w:sz w:val="20"/>
          <w:szCs w:val="20"/>
          <w:lang w:eastAsia="en-US" w:bidi="ar-SA"/>
        </w:rPr>
        <w:t>derecho a recibir comunicación</w:t>
      </w:r>
      <w:r w:rsidRPr="00A07BE9">
        <w:rPr>
          <w:rFonts w:ascii="Open Sans" w:eastAsia="Calibri" w:hAnsi="Open Sans"/>
          <w:color w:val="000000"/>
          <w:sz w:val="20"/>
          <w:szCs w:val="20"/>
          <w:lang w:eastAsia="en-US" w:bidi="ar-SA"/>
        </w:rPr>
        <w:t xml:space="preserve"> acerca del inicio de las actuaciones de investigación o del archivo, así como de los resultados de la investigación.</w:t>
      </w:r>
    </w:p>
    <w:p w14:paraId="0D0D65CD" w14:textId="77777777" w:rsidR="00671CE2" w:rsidRPr="00A07BE9" w:rsidRDefault="00671CE2" w:rsidP="00671CE2">
      <w:pPr>
        <w:pStyle w:val="Standard"/>
        <w:spacing w:line="276" w:lineRule="auto"/>
        <w:jc w:val="both"/>
        <w:rPr>
          <w:rFonts w:ascii="Open Sans" w:hAnsi="Open Sans"/>
          <w:sz w:val="20"/>
          <w:szCs w:val="20"/>
        </w:rPr>
      </w:pPr>
    </w:p>
    <w:p w14:paraId="560717ED" w14:textId="77777777" w:rsidR="00671CE2" w:rsidRPr="00A07BE9" w:rsidRDefault="00671CE2" w:rsidP="00671CE2">
      <w:pPr>
        <w:pStyle w:val="Standard"/>
        <w:spacing w:line="276" w:lineRule="auto"/>
        <w:jc w:val="both"/>
        <w:rPr>
          <w:rFonts w:ascii="Open Sans" w:hAnsi="Open Sans"/>
          <w:sz w:val="20"/>
          <w:szCs w:val="20"/>
        </w:rPr>
      </w:pPr>
      <w:r w:rsidRPr="00A07BE9">
        <w:rPr>
          <w:rFonts w:ascii="Open Sans" w:eastAsia="Calibri" w:hAnsi="Open Sans"/>
          <w:color w:val="000000"/>
          <w:sz w:val="20"/>
          <w:szCs w:val="20"/>
          <w:lang w:eastAsia="en-US" w:bidi="ar-SA"/>
        </w:rPr>
        <w:t xml:space="preserve">Con demasiada frecuencia, la persona que se atreve a dar el paso de denunciar una situación que considera ilegal, pasa o es probable que pase, en un breve período de tiempo, por situaciones complicadas a nivel profesional e incluso personal, por lo que otro de los derechos de las personas denunciantes es el de </w:t>
      </w:r>
      <w:r w:rsidRPr="00A07BE9">
        <w:rPr>
          <w:rFonts w:ascii="Open Sans" w:eastAsia="Calibri" w:hAnsi="Open Sans"/>
          <w:b/>
          <w:bCs/>
          <w:color w:val="000000"/>
          <w:sz w:val="20"/>
          <w:szCs w:val="20"/>
          <w:lang w:eastAsia="en-US" w:bidi="ar-SA"/>
        </w:rPr>
        <w:t>favorecer su atención y apoyo psicológico o médico</w:t>
      </w:r>
      <w:r w:rsidRPr="00A07BE9">
        <w:rPr>
          <w:rFonts w:ascii="Open Sans" w:eastAsia="Calibri" w:hAnsi="Open Sans"/>
          <w:color w:val="000000"/>
          <w:sz w:val="20"/>
          <w:szCs w:val="20"/>
          <w:lang w:eastAsia="en-US" w:bidi="ar-SA"/>
        </w:rPr>
        <w:t xml:space="preserve"> a través del sistema sanitario público, cuando así lo requiera a causa de trastornos, alteraciones o cualquier tipo de perturbación derivada de los hechos denunciados.</w:t>
      </w:r>
    </w:p>
    <w:p w14:paraId="692DD09D" w14:textId="77777777" w:rsidR="00671CE2" w:rsidRPr="00A07BE9" w:rsidRDefault="00671CE2" w:rsidP="00671CE2">
      <w:pPr>
        <w:pStyle w:val="Standard"/>
        <w:tabs>
          <w:tab w:val="center" w:pos="567"/>
        </w:tabs>
        <w:spacing w:line="276" w:lineRule="auto"/>
        <w:jc w:val="both"/>
        <w:rPr>
          <w:rFonts w:ascii="Open Sans" w:eastAsia="Calibri" w:hAnsi="Open Sans"/>
          <w:color w:val="000000"/>
          <w:sz w:val="20"/>
          <w:szCs w:val="20"/>
          <w:lang w:eastAsia="en-US" w:bidi="ar-SA"/>
        </w:rPr>
      </w:pPr>
    </w:p>
    <w:p w14:paraId="1DA8F7FF" w14:textId="6EFF6249" w:rsidR="00671CE2" w:rsidRPr="00A07BE9" w:rsidRDefault="00671CE2" w:rsidP="00671CE2">
      <w:pPr>
        <w:pStyle w:val="Standard"/>
        <w:spacing w:line="276" w:lineRule="auto"/>
        <w:jc w:val="both"/>
        <w:rPr>
          <w:rFonts w:ascii="Open Sans" w:hAnsi="Open Sans"/>
          <w:sz w:val="20"/>
          <w:szCs w:val="20"/>
        </w:rPr>
      </w:pPr>
      <w:r w:rsidRPr="00A07BE9">
        <w:rPr>
          <w:rFonts w:ascii="Open Sans" w:eastAsia="Calibri" w:hAnsi="Open Sans"/>
          <w:color w:val="000000"/>
          <w:sz w:val="20"/>
          <w:szCs w:val="20"/>
          <w:lang w:eastAsia="en-US" w:bidi="ar-SA"/>
        </w:rPr>
        <w:t xml:space="preserve">Por otra parte, conforme a lo previsto en la </w:t>
      </w:r>
      <w:hyperlink r:id="rId211" w:history="1">
        <w:r w:rsidRPr="00A07BE9">
          <w:rPr>
            <w:rStyle w:val="Hipervnculo"/>
            <w:rFonts w:ascii="Open Sans" w:eastAsia="Calibri" w:hAnsi="Open Sans"/>
            <w:sz w:val="20"/>
            <w:szCs w:val="20"/>
            <w:lang w:eastAsia="en-US" w:bidi="ar-SA"/>
          </w:rPr>
          <w:t>Directiva (UE) 2019/1937</w:t>
        </w:r>
      </w:hyperlink>
      <w:r w:rsidRPr="00A07BE9">
        <w:rPr>
          <w:rFonts w:ascii="Open Sans" w:eastAsia="Calibri" w:hAnsi="Open Sans"/>
          <w:color w:val="000000"/>
          <w:sz w:val="20"/>
          <w:szCs w:val="20"/>
          <w:lang w:eastAsia="en-US" w:bidi="ar-SA"/>
        </w:rPr>
        <w:t>, en los procesos judiciales que la persona denunciante entable para defender o restablecer sus derechos perjudicados por interposición de la denuncia, el denunciante tiene</w:t>
      </w:r>
      <w:r w:rsidRPr="00A07BE9">
        <w:rPr>
          <w:rFonts w:ascii="Open Sans" w:eastAsia="Calibri" w:hAnsi="Open Sans"/>
          <w:color w:val="CE181E"/>
          <w:sz w:val="20"/>
          <w:szCs w:val="20"/>
          <w:lang w:eastAsia="en-US" w:bidi="ar-SA"/>
        </w:rPr>
        <w:t xml:space="preserve"> </w:t>
      </w:r>
      <w:r w:rsidRPr="00A07BE9">
        <w:rPr>
          <w:rFonts w:ascii="Open Sans" w:eastAsia="Calibri" w:hAnsi="Open Sans"/>
          <w:b/>
          <w:bCs/>
          <w:color w:val="000000"/>
          <w:sz w:val="20"/>
          <w:szCs w:val="20"/>
          <w:lang w:eastAsia="en-US" w:bidi="ar-SA"/>
        </w:rPr>
        <w:t>derecho</w:t>
      </w:r>
      <w:r w:rsidRPr="00A07BE9">
        <w:rPr>
          <w:rFonts w:ascii="Open Sans" w:eastAsia="Calibri" w:hAnsi="Open Sans"/>
          <w:color w:val="000000"/>
          <w:sz w:val="20"/>
          <w:szCs w:val="20"/>
          <w:lang w:eastAsia="en-US" w:bidi="ar-SA"/>
        </w:rPr>
        <w:t xml:space="preserve"> </w:t>
      </w:r>
      <w:r w:rsidRPr="00A07BE9">
        <w:rPr>
          <w:rFonts w:ascii="Open Sans" w:eastAsia="Calibri" w:hAnsi="Open Sans"/>
          <w:b/>
          <w:bCs/>
          <w:color w:val="000000"/>
          <w:sz w:val="20"/>
          <w:szCs w:val="20"/>
          <w:lang w:eastAsia="en-US" w:bidi="ar-SA"/>
        </w:rPr>
        <w:t>a alegar en su descargo el haber presentado una denuncia</w:t>
      </w:r>
      <w:r w:rsidRPr="00A07BE9">
        <w:rPr>
          <w:rFonts w:ascii="Open Sans" w:eastAsia="Calibri" w:hAnsi="Open Sans"/>
          <w:color w:val="000000"/>
          <w:sz w:val="20"/>
          <w:szCs w:val="20"/>
          <w:lang w:eastAsia="en-US" w:bidi="ar-SA"/>
        </w:rPr>
        <w:t xml:space="preserve"> o haber revelado determinada información de interés para la investigación.</w:t>
      </w:r>
    </w:p>
    <w:p w14:paraId="763EA6C2" w14:textId="77777777" w:rsidR="00671CE2" w:rsidRPr="00A07BE9" w:rsidRDefault="00671CE2" w:rsidP="00671CE2">
      <w:pPr>
        <w:pStyle w:val="Standard"/>
        <w:spacing w:line="276" w:lineRule="auto"/>
        <w:jc w:val="both"/>
        <w:rPr>
          <w:rFonts w:ascii="Open Sans" w:hAnsi="Open Sans"/>
          <w:sz w:val="20"/>
          <w:szCs w:val="20"/>
        </w:rPr>
      </w:pPr>
    </w:p>
    <w:p w14:paraId="5C90585C" w14:textId="695FB940" w:rsidR="00671CE2" w:rsidRPr="00A07BE9" w:rsidRDefault="00671CE2" w:rsidP="00671CE2">
      <w:pPr>
        <w:pStyle w:val="Standard"/>
        <w:spacing w:line="276" w:lineRule="auto"/>
        <w:jc w:val="both"/>
        <w:rPr>
          <w:rFonts w:ascii="Open Sans" w:hAnsi="Open Sans"/>
          <w:color w:val="000000"/>
          <w:sz w:val="20"/>
          <w:szCs w:val="20"/>
        </w:rPr>
      </w:pPr>
      <w:r w:rsidRPr="00A07BE9">
        <w:rPr>
          <w:rFonts w:ascii="Open Sans" w:eastAsia="Calibri" w:hAnsi="Open Sans"/>
          <w:color w:val="000000"/>
          <w:sz w:val="20"/>
          <w:szCs w:val="20"/>
          <w:lang w:eastAsia="en-US" w:bidi="ar-SA"/>
        </w:rPr>
        <w:t xml:space="preserve">Asimismo, tanto la </w:t>
      </w:r>
      <w:hyperlink r:id="rId212" w:history="1">
        <w:r w:rsidRPr="00A07BE9">
          <w:rPr>
            <w:rStyle w:val="Hipervnculo"/>
            <w:rFonts w:ascii="Open Sans" w:eastAsia="Calibri" w:hAnsi="Open Sans"/>
            <w:sz w:val="20"/>
            <w:szCs w:val="20"/>
            <w:lang w:eastAsia="en-US" w:bidi="ar-SA"/>
          </w:rPr>
          <w:t>Directiva</w:t>
        </w:r>
      </w:hyperlink>
      <w:r w:rsidRPr="00A07BE9">
        <w:rPr>
          <w:rFonts w:ascii="Open Sans" w:eastAsia="Calibri" w:hAnsi="Open Sans"/>
          <w:color w:val="000000"/>
          <w:sz w:val="20"/>
          <w:szCs w:val="20"/>
          <w:lang w:eastAsia="en-US" w:bidi="ar-SA"/>
        </w:rPr>
        <w:t xml:space="preserve"> como el </w:t>
      </w:r>
      <w:hyperlink r:id="rId213" w:history="1">
        <w:r w:rsidRPr="00A07BE9">
          <w:rPr>
            <w:rStyle w:val="Hipervnculo"/>
            <w:rFonts w:ascii="Open Sans" w:eastAsia="Calibri" w:hAnsi="Open Sans"/>
            <w:sz w:val="20"/>
            <w:szCs w:val="20"/>
            <w:lang w:eastAsia="en-US" w:bidi="ar-SA"/>
          </w:rPr>
          <w:t>Reglamento de funcionamiento y régimen interior</w:t>
        </w:r>
      </w:hyperlink>
      <w:r w:rsidRPr="00A07BE9">
        <w:rPr>
          <w:rFonts w:ascii="Open Sans" w:eastAsia="Calibri" w:hAnsi="Open Sans"/>
          <w:color w:val="000000"/>
          <w:sz w:val="20"/>
          <w:szCs w:val="20"/>
          <w:lang w:eastAsia="en-US" w:bidi="ar-SA"/>
        </w:rPr>
        <w:t xml:space="preserve"> de la Agencia reconocen el</w:t>
      </w:r>
      <w:r w:rsidRPr="00A07BE9">
        <w:rPr>
          <w:rFonts w:ascii="Open Sans" w:eastAsia="Calibri" w:hAnsi="Open Sans"/>
          <w:b/>
          <w:bCs/>
          <w:color w:val="000000"/>
          <w:sz w:val="20"/>
          <w:szCs w:val="20"/>
          <w:lang w:eastAsia="en-US" w:bidi="ar-SA"/>
        </w:rPr>
        <w:t xml:space="preserve"> derecho a</w:t>
      </w:r>
      <w:r w:rsidRPr="00A07BE9">
        <w:rPr>
          <w:rFonts w:ascii="Open Sans" w:eastAsia="Calibri" w:hAnsi="Open Sans"/>
          <w:color w:val="000000"/>
          <w:sz w:val="20"/>
          <w:szCs w:val="20"/>
          <w:lang w:eastAsia="en-US" w:bidi="ar-SA"/>
        </w:rPr>
        <w:t xml:space="preserve"> </w:t>
      </w:r>
      <w:bookmarkStart w:id="15" w:name="_Hlk26357724"/>
      <w:r w:rsidRPr="00A07BE9">
        <w:rPr>
          <w:rFonts w:ascii="Open Sans" w:hAnsi="Open Sans"/>
          <w:b/>
          <w:bCs/>
          <w:color w:val="000000"/>
          <w:sz w:val="20"/>
          <w:szCs w:val="20"/>
        </w:rPr>
        <w:t>la inversión de la carga de la prueba</w:t>
      </w:r>
      <w:bookmarkEnd w:id="15"/>
      <w:r w:rsidRPr="00A07BE9">
        <w:rPr>
          <w:rFonts w:ascii="Open Sans" w:hAnsi="Open Sans"/>
          <w:color w:val="000000"/>
          <w:sz w:val="20"/>
          <w:szCs w:val="20"/>
        </w:rPr>
        <w:t xml:space="preserve"> en los supuestos de existencia de represalias contra las que la Agencia podrá adoptar medidas correctivas o de restablecimiento de derechos, previa audiencia a las personas, físicas o jurídicas, causantes de la lesión, lo que comporta que corresponde a estas probar que el perjuicio no ha sido consecuencia de la denuncia interpuesta, sino que se basa en razones objetivas, justificadas y de conformidad con lo establecido en la ley. </w:t>
      </w:r>
      <w:r w:rsidRPr="00A07BE9">
        <w:rPr>
          <w:rFonts w:ascii="Open Sans" w:hAnsi="Open Sans" w:cs="Open Sans;Segoe UI"/>
          <w:color w:val="000000"/>
          <w:sz w:val="20"/>
          <w:szCs w:val="20"/>
        </w:rPr>
        <w:t>El objetivo de la inversión de la carga de la prueba es equilibrar, en cierto modo, el plano de desigualdad existente entre denunciante y denunciado, esto es, entre alertador y represaliador.</w:t>
      </w:r>
    </w:p>
    <w:p w14:paraId="5B50AF54" w14:textId="1CF6149D" w:rsidR="009953A7" w:rsidRDefault="009953A7" w:rsidP="00671CE2">
      <w:pPr>
        <w:pStyle w:val="Standard"/>
        <w:spacing w:line="276" w:lineRule="auto"/>
        <w:jc w:val="both"/>
        <w:rPr>
          <w:rFonts w:ascii="Open Sans" w:eastAsia="Calibri" w:hAnsi="Open Sans"/>
          <w:color w:val="000000"/>
          <w:sz w:val="20"/>
          <w:szCs w:val="20"/>
          <w:lang w:eastAsia="en-US" w:bidi="ar-SA"/>
        </w:rPr>
      </w:pPr>
    </w:p>
    <w:p w14:paraId="27819990" w14:textId="77777777" w:rsidR="00904116" w:rsidRPr="00A07BE9" w:rsidRDefault="00904116" w:rsidP="00671CE2">
      <w:pPr>
        <w:pStyle w:val="Standard"/>
        <w:spacing w:line="276" w:lineRule="auto"/>
        <w:jc w:val="both"/>
        <w:rPr>
          <w:rFonts w:ascii="Open Sans" w:eastAsia="Calibri" w:hAnsi="Open Sans"/>
          <w:color w:val="000000"/>
          <w:sz w:val="20"/>
          <w:szCs w:val="20"/>
          <w:lang w:eastAsia="en-US" w:bidi="ar-SA"/>
        </w:rPr>
      </w:pPr>
    </w:p>
    <w:p w14:paraId="51DB01A0" w14:textId="77777777" w:rsidR="00671CE2" w:rsidRPr="00A07BE9" w:rsidRDefault="00671CE2" w:rsidP="00671CE2">
      <w:pPr>
        <w:pStyle w:val="Standard"/>
        <w:spacing w:line="276" w:lineRule="auto"/>
        <w:jc w:val="both"/>
        <w:rPr>
          <w:rFonts w:ascii="Open Sans" w:hAnsi="Open Sans"/>
          <w:sz w:val="20"/>
          <w:szCs w:val="20"/>
        </w:rPr>
      </w:pPr>
      <w:r w:rsidRPr="00A07BE9">
        <w:rPr>
          <w:rFonts w:ascii="Open Sans" w:eastAsia="Calibri" w:hAnsi="Open Sans"/>
          <w:color w:val="000000"/>
          <w:sz w:val="20"/>
          <w:szCs w:val="20"/>
          <w:lang w:eastAsia="en-US" w:bidi="ar-SA"/>
        </w:rPr>
        <w:lastRenderedPageBreak/>
        <w:t>Por otra parte, c</w:t>
      </w:r>
      <w:r w:rsidRPr="00A07BE9">
        <w:rPr>
          <w:rFonts w:ascii="Open Sans" w:hAnsi="Open Sans"/>
          <w:color w:val="000000"/>
          <w:sz w:val="20"/>
          <w:szCs w:val="20"/>
          <w:lang w:bidi="ar-SA"/>
        </w:rPr>
        <w:t xml:space="preserve">uando la persona denunciante sea objeto, directa o indirectamente, de actos de intimidación o de represalias por haber realizado la denuncia, la persona denunciante tendrá </w:t>
      </w:r>
      <w:r w:rsidRPr="00A07BE9">
        <w:rPr>
          <w:rFonts w:ascii="Open Sans" w:hAnsi="Open Sans"/>
          <w:b/>
          <w:bCs/>
          <w:color w:val="000000"/>
          <w:sz w:val="20"/>
          <w:szCs w:val="20"/>
          <w:lang w:bidi="ar-SA"/>
        </w:rPr>
        <w:t>derecho a</w:t>
      </w:r>
      <w:r w:rsidRPr="00A07BE9">
        <w:rPr>
          <w:rFonts w:ascii="Open Sans" w:hAnsi="Open Sans"/>
          <w:color w:val="000000"/>
          <w:sz w:val="20"/>
          <w:szCs w:val="20"/>
          <w:lang w:bidi="ar-SA"/>
        </w:rPr>
        <w:t xml:space="preserve"> </w:t>
      </w:r>
      <w:r w:rsidRPr="00A07BE9">
        <w:rPr>
          <w:rFonts w:ascii="Open Sans" w:hAnsi="Open Sans"/>
          <w:b/>
          <w:bCs/>
          <w:color w:val="000000"/>
          <w:sz w:val="20"/>
          <w:szCs w:val="20"/>
          <w:lang w:bidi="ar-SA"/>
        </w:rPr>
        <w:t>que la Agencia ejerza acciones correctivas y de restablecimiento</w:t>
      </w:r>
      <w:r w:rsidRPr="00A07BE9">
        <w:rPr>
          <w:rFonts w:ascii="Open Sans" w:hAnsi="Open Sans"/>
          <w:color w:val="000000"/>
          <w:sz w:val="20"/>
          <w:szCs w:val="20"/>
          <w:lang w:bidi="ar-SA"/>
        </w:rPr>
        <w:t xml:space="preserve">, a instancia de la persona denunciante, como solicitar al órgano competente su traslado a otro puesto, siempre que no implique perjuicio a su estatuto personal y carrera profesional, o conceder un permiso por tiempo determinado con mantenimiento de la retribución. </w:t>
      </w:r>
    </w:p>
    <w:p w14:paraId="59DA487E" w14:textId="77777777" w:rsidR="00671CE2" w:rsidRPr="00A07BE9" w:rsidRDefault="00671CE2" w:rsidP="00671CE2">
      <w:pPr>
        <w:pStyle w:val="Standard"/>
        <w:spacing w:line="276" w:lineRule="auto"/>
        <w:jc w:val="both"/>
        <w:rPr>
          <w:rFonts w:ascii="Open Sans" w:hAnsi="Open Sans"/>
          <w:color w:val="000000"/>
          <w:sz w:val="20"/>
          <w:szCs w:val="20"/>
        </w:rPr>
      </w:pPr>
    </w:p>
    <w:p w14:paraId="15F23B7B" w14:textId="749444DE" w:rsidR="00671CE2" w:rsidRPr="00A07BE9" w:rsidRDefault="00671CE2" w:rsidP="009A3D76">
      <w:pPr>
        <w:spacing w:after="0" w:line="276" w:lineRule="auto"/>
        <w:jc w:val="both"/>
        <w:rPr>
          <w:rFonts w:ascii="Open Sans" w:hAnsi="Open Sans"/>
          <w:sz w:val="20"/>
          <w:szCs w:val="20"/>
        </w:rPr>
      </w:pPr>
      <w:r w:rsidRPr="00A07BE9">
        <w:rPr>
          <w:rFonts w:ascii="Open Sans" w:hAnsi="Open Sans" w:cs="Open Sans;Segoe UI"/>
          <w:color w:val="000000"/>
          <w:sz w:val="20"/>
          <w:szCs w:val="20"/>
        </w:rPr>
        <w:t xml:space="preserve">De especial trascendencia dentro de este ámbito es la </w:t>
      </w:r>
      <w:r w:rsidRPr="00A07BE9">
        <w:rPr>
          <w:rFonts w:ascii="Open Sans" w:hAnsi="Open Sans" w:cs="Open Sans;Segoe UI"/>
          <w:b/>
          <w:bCs/>
          <w:color w:val="000000"/>
          <w:sz w:val="20"/>
          <w:szCs w:val="20"/>
        </w:rPr>
        <w:t xml:space="preserve">garantía de indemnidad laboral </w:t>
      </w:r>
      <w:r w:rsidRPr="00A07BE9">
        <w:rPr>
          <w:rFonts w:ascii="Open Sans" w:hAnsi="Open Sans" w:cs="Open Sans;Segoe UI"/>
          <w:color w:val="000000"/>
          <w:sz w:val="20"/>
          <w:szCs w:val="20"/>
        </w:rPr>
        <w:t>de que debe gozar toda persona que en cumplimiento de su deber pone a disposición de las autoridades competentes información sobre un posible hecho o conducta reveladora de fraude o corrupción</w:t>
      </w:r>
      <w:r w:rsidRPr="00A07BE9">
        <w:rPr>
          <w:rFonts w:ascii="Open Sans" w:hAnsi="Open Sans" w:cs="Open Sans;Segoe UI"/>
          <w:bCs/>
          <w:sz w:val="20"/>
          <w:szCs w:val="20"/>
        </w:rPr>
        <w:t xml:space="preserve">. </w:t>
      </w:r>
      <w:r w:rsidRPr="00A07BE9">
        <w:rPr>
          <w:rFonts w:ascii="Open Sans" w:hAnsi="Open Sans" w:cs="Open Sans;Segoe UI"/>
          <w:color w:val="000000"/>
          <w:sz w:val="20"/>
          <w:szCs w:val="20"/>
        </w:rPr>
        <w:t>Dicha garantía</w:t>
      </w:r>
      <w:r w:rsidRPr="00A07BE9">
        <w:rPr>
          <w:rFonts w:ascii="Open Sans" w:hAnsi="Open Sans" w:cs="Open Sans;Segoe UI"/>
          <w:b/>
          <w:bCs/>
          <w:color w:val="CE181E"/>
          <w:sz w:val="20"/>
          <w:szCs w:val="20"/>
        </w:rPr>
        <w:t xml:space="preserve"> </w:t>
      </w:r>
      <w:r w:rsidRPr="00A07BE9">
        <w:rPr>
          <w:rFonts w:ascii="Open Sans" w:hAnsi="Open Sans"/>
          <w:sz w:val="20"/>
          <w:szCs w:val="20"/>
        </w:rPr>
        <w:t>supone la prohibición de cualquier género de represalia, ejercida contra el trabajador, sea o no empleado público, bien directamente por el propio empresario, bien indirectamente por un tercero prevaliéndose de una situación de poder, que traiga causa en el ejercicio por parte del trabajador de su derecho a la tutela judicial efectiva.</w:t>
      </w:r>
    </w:p>
    <w:p w14:paraId="772301C4" w14:textId="77777777" w:rsidR="00AF1161" w:rsidRPr="00A07BE9" w:rsidRDefault="00AF1161" w:rsidP="009A3D76">
      <w:pPr>
        <w:spacing w:after="0" w:line="276" w:lineRule="auto"/>
        <w:jc w:val="both"/>
        <w:rPr>
          <w:rFonts w:ascii="Open Sans" w:hAnsi="Open Sans"/>
          <w:sz w:val="20"/>
          <w:szCs w:val="20"/>
        </w:rPr>
      </w:pPr>
    </w:p>
    <w:p w14:paraId="08E08819" w14:textId="77777777" w:rsidR="00671CE2" w:rsidRPr="00A07BE9" w:rsidRDefault="00671CE2" w:rsidP="00671CE2">
      <w:pPr>
        <w:pStyle w:val="Standard"/>
        <w:spacing w:line="276" w:lineRule="auto"/>
        <w:jc w:val="both"/>
        <w:rPr>
          <w:rFonts w:ascii="Open Sans" w:hAnsi="Open Sans"/>
          <w:sz w:val="20"/>
          <w:szCs w:val="20"/>
        </w:rPr>
      </w:pPr>
      <w:r w:rsidRPr="00A07BE9">
        <w:rPr>
          <w:rFonts w:ascii="Open Sans" w:hAnsi="Open Sans"/>
          <w:sz w:val="20"/>
          <w:szCs w:val="20"/>
        </w:rPr>
        <w:t>El derecho-deber de denunciar hechos, presumiblemente constitutivos de ilícitos penales o de cualquier otro tipo, es una de las vertientes de este derecho fundamental, que no opera solo frente al despido, que deberá declararse radicalmente nulo, sino que se hace extensivo a cualquier otra medida dirigida a impedir, coartar o represaliar el ejercicio de dicha tutela.</w:t>
      </w:r>
    </w:p>
    <w:p w14:paraId="28D1D337" w14:textId="77777777" w:rsidR="00671CE2" w:rsidRPr="00A07BE9" w:rsidRDefault="00671CE2" w:rsidP="00671CE2">
      <w:pPr>
        <w:pStyle w:val="Standard"/>
        <w:spacing w:line="276" w:lineRule="auto"/>
        <w:jc w:val="both"/>
        <w:rPr>
          <w:rFonts w:ascii="Open Sans" w:hAnsi="Open Sans"/>
          <w:sz w:val="20"/>
          <w:szCs w:val="20"/>
        </w:rPr>
      </w:pPr>
    </w:p>
    <w:p w14:paraId="14A0BE4C" w14:textId="77777777" w:rsidR="00671CE2" w:rsidRPr="00A07BE9" w:rsidRDefault="00671CE2" w:rsidP="00671CE2">
      <w:pPr>
        <w:pStyle w:val="Standard"/>
        <w:spacing w:line="276" w:lineRule="auto"/>
        <w:jc w:val="both"/>
        <w:rPr>
          <w:rFonts w:ascii="Open Sans" w:hAnsi="Open Sans"/>
          <w:sz w:val="20"/>
          <w:szCs w:val="20"/>
        </w:rPr>
      </w:pPr>
      <w:r w:rsidRPr="00A07BE9">
        <w:rPr>
          <w:rFonts w:ascii="Open Sans" w:hAnsi="Open Sans"/>
          <w:sz w:val="20"/>
          <w:szCs w:val="20"/>
        </w:rPr>
        <w:t xml:space="preserve">De conformidad con los artículos 96.1 y 181.2 de la Ley Reguladora de la Jurisdicción Social se impone </w:t>
      </w:r>
      <w:r w:rsidRPr="00A07BE9">
        <w:rPr>
          <w:rFonts w:ascii="Open Sans" w:hAnsi="Open Sans"/>
          <w:i/>
          <w:iCs/>
          <w:sz w:val="20"/>
          <w:szCs w:val="20"/>
        </w:rPr>
        <w:t>la inversión de la carga de la prueba</w:t>
      </w:r>
      <w:r w:rsidRPr="00A07BE9">
        <w:rPr>
          <w:rFonts w:ascii="Open Sans" w:hAnsi="Open Sans"/>
          <w:sz w:val="20"/>
          <w:szCs w:val="20"/>
        </w:rPr>
        <w:t>, y con ello se traslada a la empresa la obligación de probar, con prueba plena, que la medida adoptada frente al trabajador obedece a motivos ajenos a la lesión del derecho fundamental alegada.</w:t>
      </w:r>
    </w:p>
    <w:p w14:paraId="75B130DD" w14:textId="77777777" w:rsidR="00671CE2" w:rsidRPr="00A07BE9" w:rsidRDefault="00671CE2" w:rsidP="00671CE2">
      <w:pPr>
        <w:pStyle w:val="Standard"/>
        <w:spacing w:line="276" w:lineRule="auto"/>
        <w:jc w:val="both"/>
        <w:rPr>
          <w:rFonts w:ascii="Open Sans" w:hAnsi="Open Sans"/>
          <w:sz w:val="20"/>
          <w:szCs w:val="20"/>
        </w:rPr>
      </w:pPr>
    </w:p>
    <w:p w14:paraId="29AC8486" w14:textId="48D6FDEC" w:rsidR="00671CE2" w:rsidRPr="00A07BE9" w:rsidRDefault="00671CE2" w:rsidP="00671CE2">
      <w:pPr>
        <w:pStyle w:val="Standard"/>
        <w:spacing w:line="276" w:lineRule="auto"/>
        <w:jc w:val="both"/>
        <w:rPr>
          <w:rFonts w:ascii="Open Sans" w:hAnsi="Open Sans"/>
          <w:sz w:val="20"/>
          <w:szCs w:val="20"/>
        </w:rPr>
      </w:pPr>
      <w:r w:rsidRPr="00A07BE9">
        <w:rPr>
          <w:rFonts w:ascii="Open Sans" w:hAnsi="Open Sans"/>
          <w:sz w:val="20"/>
          <w:szCs w:val="20"/>
        </w:rPr>
        <w:t xml:space="preserve">La jurisprudencia del Tribunal Constitucional sobre la garantía de indemnidad tiene su precedente en la </w:t>
      </w:r>
      <w:hyperlink r:id="rId214" w:history="1">
        <w:r w:rsidRPr="00A07BE9">
          <w:rPr>
            <w:rStyle w:val="Hipervnculo"/>
            <w:rFonts w:ascii="Open Sans" w:hAnsi="Open Sans"/>
            <w:sz w:val="20"/>
            <w:szCs w:val="20"/>
          </w:rPr>
          <w:t>Sentencia núm. 38/1981, de 23 de noviembre</w:t>
        </w:r>
      </w:hyperlink>
      <w:r w:rsidRPr="00A07BE9">
        <w:rPr>
          <w:rFonts w:ascii="Open Sans" w:hAnsi="Open Sans"/>
          <w:sz w:val="20"/>
          <w:szCs w:val="20"/>
        </w:rPr>
        <w:t xml:space="preserve"> (BOE núm. 305, de 22 de diciembre de 1981), sobre nulidad radical de los despidos discriminatorios o lesivos a derechos fundamentales, y se consolida y amplifica a partir de la doctrina de la garantía de indemnidad, en varias Sentencias del Tribunal Constitucional, como la </w:t>
      </w:r>
      <w:hyperlink r:id="rId215" w:history="1">
        <w:r w:rsidRPr="00A07BE9">
          <w:rPr>
            <w:rStyle w:val="Hipervnculo"/>
            <w:rFonts w:ascii="Open Sans" w:hAnsi="Open Sans"/>
            <w:sz w:val="20"/>
            <w:szCs w:val="20"/>
          </w:rPr>
          <w:t>7/1993</w:t>
        </w:r>
      </w:hyperlink>
      <w:r w:rsidRPr="00A07BE9">
        <w:rPr>
          <w:rFonts w:ascii="Open Sans" w:hAnsi="Open Sans"/>
          <w:sz w:val="20"/>
          <w:szCs w:val="20"/>
        </w:rPr>
        <w:t xml:space="preserve"> o la </w:t>
      </w:r>
      <w:hyperlink r:id="rId216" w:history="1">
        <w:r w:rsidRPr="00A07BE9">
          <w:rPr>
            <w:rStyle w:val="Hipervnculo"/>
            <w:rFonts w:ascii="Open Sans" w:hAnsi="Open Sans"/>
            <w:sz w:val="20"/>
            <w:szCs w:val="20"/>
          </w:rPr>
          <w:t>14/1993</w:t>
        </w:r>
      </w:hyperlink>
      <w:r w:rsidRPr="00A07BE9">
        <w:rPr>
          <w:rFonts w:ascii="Open Sans" w:hAnsi="Open Sans"/>
          <w:sz w:val="20"/>
          <w:szCs w:val="20"/>
        </w:rPr>
        <w:t>, ambas de 18 de enero</w:t>
      </w:r>
      <w:r w:rsidRPr="00A07BE9">
        <w:rPr>
          <w:rFonts w:ascii="Open Sans" w:hAnsi="Open Sans"/>
          <w:color w:val="1B1B1B"/>
          <w:sz w:val="20"/>
          <w:szCs w:val="20"/>
        </w:rPr>
        <w:t>.</w:t>
      </w:r>
    </w:p>
    <w:p w14:paraId="5A64D46E" w14:textId="77777777" w:rsidR="00671CE2" w:rsidRPr="00A07BE9" w:rsidRDefault="00671CE2" w:rsidP="00671CE2">
      <w:pPr>
        <w:pStyle w:val="Standard"/>
        <w:spacing w:line="276" w:lineRule="auto"/>
        <w:jc w:val="both"/>
        <w:rPr>
          <w:rFonts w:ascii="Open Sans" w:hAnsi="Open Sans"/>
          <w:strike/>
          <w:sz w:val="20"/>
          <w:szCs w:val="20"/>
        </w:rPr>
      </w:pPr>
    </w:p>
    <w:p w14:paraId="6936724D" w14:textId="2CD48C11" w:rsidR="00671CE2" w:rsidRPr="00A07BE9" w:rsidRDefault="00671CE2" w:rsidP="00671CE2">
      <w:pPr>
        <w:pStyle w:val="Standard"/>
        <w:spacing w:line="276" w:lineRule="auto"/>
        <w:jc w:val="both"/>
        <w:rPr>
          <w:rFonts w:ascii="Open Sans" w:hAnsi="Open Sans" w:cs="Open Sans;Segoe UI"/>
          <w:color w:val="000000"/>
          <w:sz w:val="20"/>
          <w:szCs w:val="20"/>
        </w:rPr>
      </w:pPr>
      <w:r w:rsidRPr="00A07BE9">
        <w:rPr>
          <w:rFonts w:ascii="Open Sans" w:hAnsi="Open Sans"/>
          <w:sz w:val="20"/>
          <w:szCs w:val="20"/>
        </w:rPr>
        <w:t xml:space="preserve">Asimismo, el denunciante tiene </w:t>
      </w:r>
      <w:r w:rsidRPr="00A07BE9">
        <w:rPr>
          <w:rFonts w:ascii="Open Sans" w:hAnsi="Open Sans"/>
          <w:b/>
          <w:bCs/>
          <w:sz w:val="20"/>
          <w:szCs w:val="20"/>
        </w:rPr>
        <w:t>de</w:t>
      </w:r>
      <w:r w:rsidRPr="00A07BE9">
        <w:rPr>
          <w:rFonts w:ascii="Open Sans" w:hAnsi="Open Sans" w:cs="Open Sans;Segoe UI"/>
          <w:b/>
          <w:bCs/>
          <w:color w:val="000000"/>
          <w:sz w:val="20"/>
          <w:szCs w:val="20"/>
        </w:rPr>
        <w:t xml:space="preserve">recho a la indemnización de los daños y perjuicios, </w:t>
      </w:r>
      <w:r w:rsidRPr="00A07BE9">
        <w:rPr>
          <w:rFonts w:ascii="Open Sans" w:hAnsi="Open Sans" w:cs="Open Sans;Segoe UI"/>
          <w:color w:val="000000"/>
          <w:sz w:val="20"/>
          <w:szCs w:val="20"/>
        </w:rPr>
        <w:t>determinados e individualizados económicamente, cuando se acredite que son producidos como consecuencia directa de la presentación de la denuncia, en los términos previstos en la legislación vigente y de acuerdo con la jurisprudencia consolidada, bien por la vía de la responsabilidad patrimonial de las administraciones públicas y repetición respecto de sus autores, bien por la vía de la responsabilidad civil y laboral de aquéllos que causaron el daño cuanto se trate de otras entidades integradas en el sector público instrumental o vinculado a las administraciones públicas.</w:t>
      </w:r>
    </w:p>
    <w:p w14:paraId="710E2098" w14:textId="77777777" w:rsidR="00EC444F" w:rsidRPr="00A07BE9" w:rsidRDefault="00EC444F" w:rsidP="00671CE2">
      <w:pPr>
        <w:pStyle w:val="Standard"/>
        <w:spacing w:line="276" w:lineRule="auto"/>
        <w:jc w:val="both"/>
        <w:rPr>
          <w:rFonts w:ascii="Open Sans" w:hAnsi="Open Sans"/>
          <w:sz w:val="20"/>
          <w:szCs w:val="20"/>
        </w:rPr>
      </w:pPr>
    </w:p>
    <w:p w14:paraId="6EB1AA13" w14:textId="77777777" w:rsidR="00671CE2" w:rsidRPr="00A07BE9" w:rsidRDefault="00671CE2" w:rsidP="00671CE2">
      <w:pPr>
        <w:spacing w:after="0" w:line="276" w:lineRule="auto"/>
        <w:jc w:val="both"/>
        <w:rPr>
          <w:rFonts w:ascii="Open Sans" w:hAnsi="Open Sans" w:cs="Open Sans;Segoe UI"/>
          <w:color w:val="000000"/>
          <w:sz w:val="20"/>
          <w:szCs w:val="20"/>
        </w:rPr>
      </w:pPr>
      <w:r w:rsidRPr="00A07BE9">
        <w:rPr>
          <w:rFonts w:ascii="Open Sans" w:hAnsi="Open Sans" w:cs="Open Sans;Segoe UI"/>
          <w:color w:val="000000"/>
          <w:sz w:val="20"/>
          <w:szCs w:val="20"/>
        </w:rPr>
        <w:t xml:space="preserve">Por último, de acuerdo con lo previsto en las leyes, la persona que denuncia informa o alerta de hechos o conductas que pueden ser considerados como fraude o corrupción, goza del </w:t>
      </w:r>
      <w:r w:rsidRPr="00A07BE9">
        <w:rPr>
          <w:rFonts w:ascii="Open Sans" w:eastAsia="Times New Roman" w:hAnsi="Open Sans" w:cs="Times New Roman"/>
          <w:b/>
          <w:bCs/>
          <w:color w:val="000000"/>
          <w:sz w:val="20"/>
          <w:szCs w:val="20"/>
        </w:rPr>
        <w:lastRenderedPageBreak/>
        <w:t>derecho fundamental a su seguridad personal y familiar</w:t>
      </w:r>
      <w:r w:rsidRPr="00A07BE9">
        <w:rPr>
          <w:rFonts w:ascii="Open Sans" w:eastAsia="Times New Roman" w:hAnsi="Open Sans" w:cs="Times New Roman"/>
          <w:color w:val="000000"/>
          <w:sz w:val="20"/>
          <w:szCs w:val="20"/>
        </w:rPr>
        <w:t>, por lo que deberá recibir protección policial cuando comunique la existencia de un peligro o amenaza sobre su vida, su integridad física o sobre sus bienes, como consecuencia de la revelación de la denuncia o de determinada información.</w:t>
      </w:r>
    </w:p>
    <w:p w14:paraId="336833CC" w14:textId="77777777" w:rsidR="00671CE2" w:rsidRPr="00A07BE9" w:rsidRDefault="00671CE2" w:rsidP="00671CE2">
      <w:pPr>
        <w:spacing w:after="0" w:line="240" w:lineRule="auto"/>
        <w:jc w:val="both"/>
        <w:rPr>
          <w:rFonts w:ascii="Open Sans" w:hAnsi="Open Sans" w:cs="Open Sans;Segoe UI"/>
          <w:b/>
          <w:bCs/>
          <w:color w:val="000000"/>
          <w:sz w:val="20"/>
          <w:szCs w:val="20"/>
        </w:rPr>
      </w:pPr>
    </w:p>
    <w:p w14:paraId="3F97FA11" w14:textId="77777777" w:rsidR="00671CE2" w:rsidRPr="00A07BE9" w:rsidRDefault="00671CE2" w:rsidP="00671CE2">
      <w:pPr>
        <w:spacing w:after="0" w:line="240" w:lineRule="auto"/>
        <w:jc w:val="both"/>
        <w:rPr>
          <w:rFonts w:ascii="Open Sans" w:eastAsia="Times New Roman" w:hAnsi="Open Sans" w:cs="Open Sans;Segoe UI"/>
          <w:b/>
          <w:bCs/>
          <w:smallCaps/>
          <w:color w:val="9D2235"/>
          <w:sz w:val="24"/>
          <w:szCs w:val="24"/>
          <w:lang w:eastAsia="es-ES"/>
        </w:rPr>
      </w:pPr>
      <w:r w:rsidRPr="00A07BE9">
        <w:rPr>
          <w:rFonts w:ascii="Open Sans" w:eastAsia="Times New Roman" w:hAnsi="Open Sans" w:cs="Open Sans;Segoe UI"/>
          <w:b/>
          <w:bCs/>
          <w:smallCaps/>
          <w:color w:val="9D2235"/>
          <w:sz w:val="24"/>
          <w:szCs w:val="24"/>
          <w:lang w:eastAsia="es-ES"/>
        </w:rPr>
        <w:t>4.3.2.3. Deberes y responsabilidades de las personas denunciantes</w:t>
      </w:r>
    </w:p>
    <w:p w14:paraId="446139AA" w14:textId="77777777" w:rsidR="00671CE2" w:rsidRPr="00A07BE9" w:rsidRDefault="00671CE2" w:rsidP="00671CE2">
      <w:pPr>
        <w:spacing w:after="0" w:line="240" w:lineRule="auto"/>
        <w:jc w:val="both"/>
        <w:rPr>
          <w:rFonts w:ascii="Open Sans" w:hAnsi="Open Sans" w:cs="Open Sans;Segoe UI"/>
          <w:b/>
          <w:bCs/>
          <w:color w:val="000000"/>
          <w:sz w:val="20"/>
          <w:szCs w:val="20"/>
        </w:rPr>
      </w:pPr>
    </w:p>
    <w:p w14:paraId="60EE0047" w14:textId="77777777" w:rsidR="00671CE2" w:rsidRPr="00A07BE9" w:rsidRDefault="00671CE2" w:rsidP="00671CE2">
      <w:pPr>
        <w:spacing w:after="0" w:line="276" w:lineRule="auto"/>
        <w:jc w:val="both"/>
        <w:rPr>
          <w:rFonts w:ascii="Open Sans" w:hAnsi="Open Sans"/>
          <w:color w:val="000000"/>
          <w:sz w:val="20"/>
          <w:szCs w:val="20"/>
        </w:rPr>
      </w:pPr>
      <w:r w:rsidRPr="00A07BE9">
        <w:rPr>
          <w:rFonts w:ascii="Open Sans" w:hAnsi="Open Sans" w:cs="Open Sans;Segoe UI"/>
          <w:color w:val="000000"/>
          <w:sz w:val="20"/>
          <w:szCs w:val="20"/>
        </w:rPr>
        <w:t xml:space="preserve">No obstante la existencia de los derechos descritos, la concesión del estatuto de protección a la persona denunciante conlleva el cumplimiento de una serie de </w:t>
      </w:r>
      <w:r w:rsidRPr="00A07BE9">
        <w:rPr>
          <w:rFonts w:ascii="Open Sans" w:hAnsi="Open Sans" w:cs="Open Sans;Segoe UI"/>
          <w:b/>
          <w:bCs/>
          <w:color w:val="000000"/>
          <w:sz w:val="20"/>
          <w:szCs w:val="20"/>
        </w:rPr>
        <w:t>deberes y responsabilidades.</w:t>
      </w:r>
    </w:p>
    <w:p w14:paraId="258D959C" w14:textId="77777777" w:rsidR="00671CE2" w:rsidRPr="00A07BE9" w:rsidRDefault="00671CE2" w:rsidP="00671CE2">
      <w:pPr>
        <w:spacing w:after="0" w:line="276" w:lineRule="auto"/>
        <w:jc w:val="both"/>
        <w:rPr>
          <w:rFonts w:ascii="Open Sans" w:hAnsi="Open Sans"/>
          <w:color w:val="000000"/>
          <w:sz w:val="20"/>
          <w:szCs w:val="20"/>
        </w:rPr>
      </w:pPr>
    </w:p>
    <w:p w14:paraId="43B15824" w14:textId="77777777" w:rsidR="00671CE2" w:rsidRPr="00A07BE9" w:rsidRDefault="00671CE2" w:rsidP="00671CE2">
      <w:pPr>
        <w:spacing w:after="0" w:line="276" w:lineRule="auto"/>
        <w:jc w:val="both"/>
        <w:rPr>
          <w:rFonts w:ascii="Open Sans" w:hAnsi="Open Sans"/>
          <w:sz w:val="20"/>
          <w:szCs w:val="20"/>
        </w:rPr>
      </w:pPr>
      <w:r w:rsidRPr="00A07BE9">
        <w:rPr>
          <w:rFonts w:ascii="Open Sans" w:hAnsi="Open Sans" w:cs="Open Sans;Segoe UI"/>
          <w:color w:val="000000"/>
          <w:sz w:val="20"/>
          <w:szCs w:val="20"/>
        </w:rPr>
        <w:t xml:space="preserve">Así, </w:t>
      </w:r>
      <w:r w:rsidRPr="00A07BE9">
        <w:rPr>
          <w:rFonts w:ascii="Open Sans" w:hAnsi="Open Sans" w:cs="Open Sans;Segoe UI"/>
          <w:b/>
          <w:bCs/>
          <w:color w:val="000000"/>
          <w:sz w:val="20"/>
          <w:szCs w:val="20"/>
        </w:rPr>
        <w:t xml:space="preserve">en aras del interés general </w:t>
      </w:r>
      <w:r w:rsidRPr="00A07BE9">
        <w:rPr>
          <w:rFonts w:ascii="Open Sans" w:hAnsi="Open Sans" w:cs="Open Sans;Segoe UI"/>
          <w:color w:val="000000"/>
          <w:sz w:val="20"/>
          <w:szCs w:val="20"/>
        </w:rPr>
        <w:t xml:space="preserve">y el deber de las autoridades competentes de perseguir o sancionar ilícitos, </w:t>
      </w:r>
      <w:r w:rsidRPr="00A07BE9">
        <w:rPr>
          <w:rFonts w:ascii="Open Sans" w:hAnsi="Open Sans" w:cs="Open Sans;Segoe UI"/>
          <w:sz w:val="20"/>
          <w:szCs w:val="20"/>
        </w:rPr>
        <w:t xml:space="preserve">las personas denunciantes protegidas tienen el </w:t>
      </w:r>
      <w:r w:rsidRPr="00A07BE9">
        <w:rPr>
          <w:rFonts w:ascii="Open Sans" w:hAnsi="Open Sans" w:cs="Open Sans;Segoe UI"/>
          <w:b/>
          <w:bCs/>
          <w:sz w:val="20"/>
          <w:szCs w:val="20"/>
        </w:rPr>
        <w:t>deber de</w:t>
      </w:r>
      <w:r w:rsidRPr="00A07BE9">
        <w:rPr>
          <w:rFonts w:ascii="Open Sans" w:hAnsi="Open Sans" w:cs="Open Sans;Segoe UI"/>
          <w:sz w:val="20"/>
          <w:szCs w:val="20"/>
        </w:rPr>
        <w:t xml:space="preserve"> </w:t>
      </w:r>
      <w:r w:rsidRPr="00A07BE9">
        <w:rPr>
          <w:rFonts w:ascii="Open Sans" w:hAnsi="Open Sans" w:cs="Open Sans;Segoe UI"/>
          <w:b/>
          <w:bCs/>
          <w:color w:val="000000"/>
          <w:sz w:val="20"/>
          <w:szCs w:val="20"/>
        </w:rPr>
        <w:t xml:space="preserve">colaborar </w:t>
      </w:r>
      <w:r w:rsidRPr="00A07BE9">
        <w:rPr>
          <w:rFonts w:ascii="Open Sans" w:eastAsia="Times New Roman" w:hAnsi="Open Sans" w:cs="Open Sans;Segoe UI"/>
          <w:color w:val="1B1B1B"/>
          <w:sz w:val="20"/>
          <w:szCs w:val="20"/>
        </w:rPr>
        <w:t>en la investigación que se esté llevando a cabo, a requerimiento de la Agencia, del Ministerio Fiscal o de la autoridad judicial (artículo 43.3 del Reglamento). Dicho deber de colaboración se puede plasmar en la necesidad de emitir testimonio en un proceso judicial, realizar comparecencias ante las autoridades competentes, prestar declaración o informar y, por supuesto, decir la verdad.</w:t>
      </w:r>
    </w:p>
    <w:p w14:paraId="058F2816" w14:textId="77777777" w:rsidR="00671CE2" w:rsidRPr="00A07BE9" w:rsidRDefault="00671CE2" w:rsidP="00671CE2">
      <w:pPr>
        <w:pStyle w:val="Standard"/>
        <w:spacing w:line="276" w:lineRule="auto"/>
        <w:rPr>
          <w:rFonts w:ascii="Open Sans" w:eastAsia="Calibri" w:hAnsi="Open Sans"/>
          <w:color w:val="000000"/>
          <w:sz w:val="20"/>
          <w:szCs w:val="20"/>
          <w:lang w:eastAsia="en-US" w:bidi="ar-SA"/>
        </w:rPr>
      </w:pPr>
    </w:p>
    <w:p w14:paraId="600180A6" w14:textId="69E2462E" w:rsidR="00671CE2" w:rsidRPr="00A07BE9" w:rsidRDefault="00671CE2" w:rsidP="00671CE2">
      <w:pPr>
        <w:pStyle w:val="Standard"/>
        <w:spacing w:line="276" w:lineRule="auto"/>
        <w:jc w:val="both"/>
        <w:rPr>
          <w:rFonts w:ascii="Open Sans" w:hAnsi="Open Sans"/>
          <w:color w:val="000000"/>
          <w:sz w:val="20"/>
          <w:szCs w:val="20"/>
        </w:rPr>
      </w:pPr>
      <w:r w:rsidRPr="00A07BE9">
        <w:rPr>
          <w:rFonts w:ascii="Open Sans" w:eastAsia="Calibri" w:hAnsi="Open Sans"/>
          <w:color w:val="000000"/>
          <w:sz w:val="20"/>
          <w:szCs w:val="20"/>
          <w:lang w:eastAsia="en-US" w:bidi="ar-SA"/>
        </w:rPr>
        <w:t xml:space="preserve">El principio de colaboración se plasma, con carácter general, en el artículo 7 de la </w:t>
      </w:r>
      <w:hyperlink r:id="rId217" w:history="1">
        <w:r w:rsidR="0050097D" w:rsidRPr="00A07BE9">
          <w:rPr>
            <w:rStyle w:val="Hipervnculo"/>
            <w:rFonts w:ascii="Open Sans" w:hAnsi="Open Sans" w:cs="Open Sans"/>
            <w:sz w:val="20"/>
            <w:szCs w:val="20"/>
          </w:rPr>
          <w:t>Ley 11/2016</w:t>
        </w:r>
        <w:r w:rsidR="0050097D" w:rsidRPr="00A07BE9">
          <w:rPr>
            <w:rStyle w:val="Hipervnculo"/>
            <w:rFonts w:ascii="Open Sans" w:hAnsi="Open Sans"/>
            <w:color w:val="auto"/>
            <w:sz w:val="20"/>
            <w:szCs w:val="20"/>
            <w:u w:val="none"/>
          </w:rPr>
          <w:t>, de 28 de noviembre, de la Generalitat</w:t>
        </w:r>
      </w:hyperlink>
      <w:r w:rsidRPr="00A07BE9">
        <w:rPr>
          <w:rFonts w:ascii="Open Sans" w:eastAsia="Calibri" w:hAnsi="Open Sans"/>
          <w:color w:val="000000"/>
          <w:sz w:val="20"/>
          <w:szCs w:val="20"/>
          <w:lang w:eastAsia="en-US" w:bidi="ar-SA"/>
        </w:rPr>
        <w:t>, a cuyo tenor:</w:t>
      </w:r>
    </w:p>
    <w:p w14:paraId="34B14409" w14:textId="77777777" w:rsidR="00671CE2" w:rsidRPr="00A07BE9" w:rsidRDefault="00671CE2" w:rsidP="00671CE2">
      <w:pPr>
        <w:pStyle w:val="Standard"/>
        <w:spacing w:line="276" w:lineRule="auto"/>
        <w:jc w:val="both"/>
        <w:rPr>
          <w:rFonts w:ascii="Open Sans" w:eastAsia="Calibri" w:hAnsi="Open Sans"/>
          <w:iCs/>
          <w:sz w:val="20"/>
          <w:szCs w:val="20"/>
          <w:lang w:eastAsia="en-US" w:bidi="ar-SA"/>
        </w:rPr>
      </w:pPr>
    </w:p>
    <w:p w14:paraId="0F8BDE0C" w14:textId="77777777" w:rsidR="00671CE2" w:rsidRPr="00A07BE9" w:rsidRDefault="00671CE2" w:rsidP="00671CE2">
      <w:pPr>
        <w:pStyle w:val="Standard"/>
        <w:spacing w:line="276" w:lineRule="auto"/>
        <w:ind w:left="567"/>
        <w:jc w:val="both"/>
        <w:rPr>
          <w:rFonts w:ascii="Open Sans" w:hAnsi="Open Sans"/>
          <w:sz w:val="18"/>
          <w:szCs w:val="18"/>
        </w:rPr>
      </w:pPr>
      <w:r w:rsidRPr="00A07BE9">
        <w:rPr>
          <w:rFonts w:ascii="Open Sans" w:eastAsia="Calibri" w:hAnsi="Open Sans"/>
          <w:iCs/>
          <w:color w:val="000000"/>
          <w:sz w:val="18"/>
          <w:szCs w:val="18"/>
          <w:lang w:eastAsia="en-US" w:bidi="ar-SA"/>
        </w:rPr>
        <w:t>“1. Las</w:t>
      </w:r>
      <w:r w:rsidRPr="00A07BE9">
        <w:rPr>
          <w:rFonts w:ascii="Open Sans" w:hAnsi="Open Sans"/>
          <w:iCs/>
          <w:sz w:val="18"/>
          <w:szCs w:val="18"/>
        </w:rPr>
        <w:t xml:space="preserve"> entidades públicas y las personas físicas o jurídicas privadas incluidas en el ámbito de actuación de la Agencia, a quien deben auxiliarla con celeridad y diligencia en el ejercicio de las funciones que le corresponden, y le comunicarán, de forma inmediata, cualquier información de que dispongan relativa a hechos cuyo conocimiento sea o pueda ser competencia de aquélla</w:t>
      </w:r>
      <w:r w:rsidRPr="00A07BE9">
        <w:rPr>
          <w:rFonts w:ascii="Open Sans" w:hAnsi="Open Sans"/>
          <w:sz w:val="18"/>
          <w:szCs w:val="18"/>
        </w:rPr>
        <w:t>.</w:t>
      </w:r>
    </w:p>
    <w:p w14:paraId="03D21E7F" w14:textId="77777777" w:rsidR="00671CE2" w:rsidRPr="00A07BE9" w:rsidRDefault="00671CE2" w:rsidP="00671CE2">
      <w:pPr>
        <w:pStyle w:val="Standard"/>
        <w:spacing w:line="276" w:lineRule="auto"/>
        <w:ind w:left="567"/>
        <w:jc w:val="both"/>
        <w:rPr>
          <w:rFonts w:ascii="Open Sans" w:hAnsi="Open Sans"/>
          <w:iCs/>
          <w:sz w:val="18"/>
          <w:szCs w:val="18"/>
        </w:rPr>
      </w:pPr>
      <w:r w:rsidRPr="00A07BE9">
        <w:rPr>
          <w:rFonts w:ascii="Open Sans" w:hAnsi="Open Sans"/>
          <w:iCs/>
          <w:sz w:val="18"/>
          <w:szCs w:val="18"/>
        </w:rPr>
        <w:t>2. El personal al servicio de las entidades públicas, los cargos públicos y los particulares incluidos en el ámbito de actuación de la Agencia que impidan o dificulten el ejercicio de sus funciones o que se nieguen a facilitarle los informes, documentos o expedientes que les hayan sido requeridos, incurrirán en las responsabilidades que la legislación vigente establece.”</w:t>
      </w:r>
    </w:p>
    <w:p w14:paraId="2EE8A117" w14:textId="77777777" w:rsidR="00671CE2" w:rsidRPr="00A07BE9" w:rsidRDefault="00671CE2" w:rsidP="00671CE2">
      <w:pPr>
        <w:spacing w:after="0" w:line="276" w:lineRule="auto"/>
        <w:jc w:val="both"/>
        <w:rPr>
          <w:rFonts w:ascii="Open Sans" w:hAnsi="Open Sans" w:cs="Open Sans;Segoe UI"/>
          <w:b/>
          <w:bCs/>
          <w:sz w:val="20"/>
          <w:szCs w:val="20"/>
        </w:rPr>
      </w:pPr>
    </w:p>
    <w:p w14:paraId="2D78B69D" w14:textId="77777777" w:rsidR="00671CE2" w:rsidRPr="00A07BE9" w:rsidRDefault="00671CE2" w:rsidP="00671CE2">
      <w:pPr>
        <w:spacing w:after="0" w:line="276" w:lineRule="auto"/>
        <w:jc w:val="both"/>
        <w:rPr>
          <w:rFonts w:ascii="Open Sans" w:hAnsi="Open Sans"/>
          <w:color w:val="000000"/>
          <w:sz w:val="20"/>
          <w:szCs w:val="20"/>
        </w:rPr>
      </w:pPr>
      <w:r w:rsidRPr="00A07BE9">
        <w:rPr>
          <w:rFonts w:ascii="Open Sans" w:hAnsi="Open Sans" w:cs="Open Sans;Segoe UI"/>
          <w:color w:val="000000"/>
          <w:sz w:val="20"/>
          <w:szCs w:val="20"/>
        </w:rPr>
        <w:t xml:space="preserve">Asimismo, la protección de la persona denunciante </w:t>
      </w:r>
      <w:r w:rsidRPr="00A07BE9">
        <w:rPr>
          <w:rFonts w:ascii="Open Sans" w:hAnsi="Open Sans" w:cs="Open Sans;Segoe UI"/>
          <w:b/>
          <w:bCs/>
          <w:color w:val="000000"/>
          <w:sz w:val="20"/>
          <w:szCs w:val="20"/>
        </w:rPr>
        <w:t xml:space="preserve">no exime </w:t>
      </w:r>
      <w:r w:rsidRPr="00A07BE9">
        <w:rPr>
          <w:rFonts w:ascii="Open Sans" w:hAnsi="Open Sans" w:cs="Open Sans;Segoe UI"/>
          <w:color w:val="000000"/>
          <w:sz w:val="20"/>
          <w:szCs w:val="20"/>
        </w:rPr>
        <w:t>a esta</w:t>
      </w:r>
      <w:r w:rsidRPr="00A07BE9">
        <w:rPr>
          <w:rFonts w:ascii="Open Sans" w:hAnsi="Open Sans" w:cs="Open Sans;Segoe UI"/>
          <w:b/>
          <w:bCs/>
          <w:color w:val="000000"/>
          <w:sz w:val="20"/>
          <w:szCs w:val="20"/>
        </w:rPr>
        <w:t xml:space="preserve"> de las responsabilidades</w:t>
      </w:r>
      <w:r w:rsidRPr="00A07BE9">
        <w:rPr>
          <w:rFonts w:ascii="Open Sans" w:hAnsi="Open Sans" w:cs="Open Sans;Segoe UI"/>
          <w:color w:val="000000"/>
          <w:sz w:val="20"/>
          <w:szCs w:val="20"/>
        </w:rPr>
        <w:t xml:space="preserve"> en que haya podido </w:t>
      </w:r>
      <w:r w:rsidRPr="00A07BE9">
        <w:rPr>
          <w:rFonts w:ascii="Open Sans" w:eastAsia="Times New Roman" w:hAnsi="Open Sans" w:cs="Open Sans;Segoe UI"/>
          <w:color w:val="000000"/>
          <w:sz w:val="20"/>
          <w:szCs w:val="20"/>
        </w:rPr>
        <w:t>incurrir por hechos diferentes de los que constituyan el objeto de la denuncia.</w:t>
      </w:r>
    </w:p>
    <w:p w14:paraId="0B0274EA" w14:textId="77777777" w:rsidR="00671CE2" w:rsidRPr="00A07BE9" w:rsidRDefault="00671CE2" w:rsidP="00671CE2">
      <w:pPr>
        <w:spacing w:after="0" w:line="276" w:lineRule="auto"/>
        <w:jc w:val="both"/>
        <w:rPr>
          <w:rFonts w:ascii="Open Sans" w:hAnsi="Open Sans" w:cs="Open Sans;Segoe UI"/>
          <w:sz w:val="20"/>
          <w:szCs w:val="20"/>
        </w:rPr>
      </w:pPr>
    </w:p>
    <w:p w14:paraId="784BDA3E" w14:textId="31ECEA94" w:rsidR="00671CE2" w:rsidRDefault="00671CE2" w:rsidP="00671CE2">
      <w:pPr>
        <w:pStyle w:val="Standard"/>
        <w:spacing w:line="276" w:lineRule="auto"/>
        <w:jc w:val="both"/>
        <w:rPr>
          <w:rFonts w:ascii="Open Sans" w:hAnsi="Open Sans" w:cs="Open Sans;Segoe UI"/>
          <w:sz w:val="20"/>
          <w:szCs w:val="20"/>
        </w:rPr>
      </w:pPr>
      <w:r w:rsidRPr="00A07BE9">
        <w:rPr>
          <w:rFonts w:ascii="Open Sans" w:hAnsi="Open Sans"/>
          <w:sz w:val="20"/>
          <w:szCs w:val="20"/>
        </w:rPr>
        <w:t xml:space="preserve">En todo caso, el denunciante protegido </w:t>
      </w:r>
      <w:r w:rsidRPr="00A07BE9">
        <w:rPr>
          <w:rFonts w:ascii="Open Sans" w:hAnsi="Open Sans"/>
          <w:b/>
          <w:bCs/>
          <w:sz w:val="20"/>
          <w:szCs w:val="20"/>
        </w:rPr>
        <w:t xml:space="preserve">debe </w:t>
      </w:r>
      <w:r w:rsidRPr="00A07BE9">
        <w:rPr>
          <w:rFonts w:ascii="Open Sans" w:hAnsi="Open Sans"/>
          <w:b/>
          <w:bCs/>
          <w:color w:val="000000"/>
          <w:sz w:val="20"/>
          <w:szCs w:val="20"/>
        </w:rPr>
        <w:t>actuar de buena fe</w:t>
      </w:r>
      <w:r w:rsidRPr="00A07BE9">
        <w:rPr>
          <w:rFonts w:ascii="Open Sans" w:hAnsi="Open Sans"/>
          <w:color w:val="000000"/>
          <w:sz w:val="20"/>
          <w:szCs w:val="20"/>
        </w:rPr>
        <w:t xml:space="preserve"> en su relación con la Agencia; deber de buena fe que se corresponde con la </w:t>
      </w:r>
      <w:r w:rsidRPr="00A07BE9">
        <w:rPr>
          <w:rFonts w:ascii="Open Sans" w:eastAsia="Times New Roman" w:hAnsi="Open Sans"/>
          <w:color w:val="1B1B1B"/>
          <w:sz w:val="20"/>
          <w:szCs w:val="20"/>
        </w:rPr>
        <w:t xml:space="preserve">creencia racional de que la información revelada es cierta y que con su denuncia actúa </w:t>
      </w:r>
      <w:r w:rsidRPr="00A07BE9">
        <w:rPr>
          <w:rFonts w:ascii="Open Sans" w:hAnsi="Open Sans"/>
          <w:color w:val="000000"/>
          <w:sz w:val="20"/>
          <w:szCs w:val="20"/>
        </w:rPr>
        <w:t xml:space="preserve">en aras a salvaguardar los intereses públicos y, por ende, el bien común. </w:t>
      </w:r>
      <w:r w:rsidRPr="00A07BE9">
        <w:rPr>
          <w:rFonts w:ascii="Open Sans" w:hAnsi="Open Sans" w:cs="Open Sans;Segoe UI"/>
          <w:sz w:val="20"/>
          <w:szCs w:val="20"/>
        </w:rPr>
        <w:t>Desde esta perspectiva, la relación entre el denunciante protegido y la Agencia debe estar basada en la confianza mutua.</w:t>
      </w:r>
    </w:p>
    <w:p w14:paraId="68EFEB42" w14:textId="77777777" w:rsidR="00904116" w:rsidRPr="00A07BE9" w:rsidRDefault="00904116" w:rsidP="00671CE2">
      <w:pPr>
        <w:pStyle w:val="Standard"/>
        <w:spacing w:line="276" w:lineRule="auto"/>
        <w:jc w:val="both"/>
        <w:rPr>
          <w:rFonts w:ascii="Open Sans" w:hAnsi="Open Sans"/>
          <w:sz w:val="20"/>
          <w:szCs w:val="20"/>
        </w:rPr>
      </w:pPr>
    </w:p>
    <w:p w14:paraId="78DA1F7E" w14:textId="5721255B" w:rsidR="00671CE2" w:rsidRPr="00A07BE9" w:rsidRDefault="00671CE2" w:rsidP="00671CE2">
      <w:pPr>
        <w:pStyle w:val="Standard"/>
        <w:spacing w:line="276" w:lineRule="auto"/>
        <w:jc w:val="both"/>
        <w:rPr>
          <w:rFonts w:ascii="Open Sans" w:hAnsi="Open Sans"/>
          <w:sz w:val="20"/>
          <w:szCs w:val="20"/>
        </w:rPr>
      </w:pPr>
      <w:r w:rsidRPr="00A07BE9">
        <w:rPr>
          <w:rFonts w:ascii="Open Sans" w:eastAsia="Times New Roman" w:hAnsi="Open Sans"/>
          <w:color w:val="1B1B1B"/>
          <w:sz w:val="20"/>
          <w:szCs w:val="20"/>
        </w:rPr>
        <w:t xml:space="preserve">En el supuesto de que la </w:t>
      </w:r>
      <w:r w:rsidRPr="00A07BE9">
        <w:rPr>
          <w:rFonts w:ascii="Open Sans" w:eastAsia="Times New Roman" w:hAnsi="Open Sans"/>
          <w:b/>
          <w:bCs/>
          <w:color w:val="1B1B1B"/>
          <w:sz w:val="20"/>
          <w:szCs w:val="20"/>
        </w:rPr>
        <w:t>denuncia</w:t>
      </w:r>
      <w:r w:rsidRPr="00A07BE9">
        <w:rPr>
          <w:rFonts w:ascii="Open Sans" w:eastAsia="Times New Roman" w:hAnsi="Open Sans"/>
          <w:color w:val="1B1B1B"/>
          <w:sz w:val="20"/>
          <w:szCs w:val="20"/>
        </w:rPr>
        <w:t xml:space="preserve"> revele </w:t>
      </w:r>
      <w:r w:rsidRPr="00A07BE9">
        <w:rPr>
          <w:rFonts w:ascii="Open Sans" w:eastAsia="Times New Roman" w:hAnsi="Open Sans"/>
          <w:b/>
          <w:bCs/>
          <w:color w:val="1B1B1B"/>
          <w:sz w:val="20"/>
          <w:szCs w:val="20"/>
        </w:rPr>
        <w:t>información falsa, tergiversada u obtenida</w:t>
      </w:r>
      <w:r w:rsidRPr="00A07BE9">
        <w:rPr>
          <w:rFonts w:ascii="Open Sans" w:eastAsia="Times New Roman" w:hAnsi="Open Sans"/>
          <w:color w:val="1B1B1B"/>
          <w:sz w:val="20"/>
          <w:szCs w:val="20"/>
        </w:rPr>
        <w:t xml:space="preserve"> </w:t>
      </w:r>
      <w:r w:rsidRPr="00A07BE9">
        <w:rPr>
          <w:rFonts w:ascii="Open Sans" w:eastAsia="Times New Roman" w:hAnsi="Open Sans"/>
          <w:b/>
          <w:bCs/>
          <w:color w:val="1B1B1B"/>
          <w:sz w:val="20"/>
          <w:szCs w:val="20"/>
        </w:rPr>
        <w:t>ilícitamente</w:t>
      </w:r>
      <w:r w:rsidRPr="00A07BE9">
        <w:rPr>
          <w:rFonts w:ascii="Open Sans" w:eastAsia="Times New Roman" w:hAnsi="Open Sans"/>
          <w:color w:val="1B1B1B"/>
          <w:sz w:val="20"/>
          <w:szCs w:val="20"/>
        </w:rPr>
        <w:t xml:space="preserve">, que pudiera derivar responsabilidades de orden penal, civil o disciplinario, la Agencia advertirá de ello a la persona denunciante y de sus consecuencias, pudiendo dar lugar a una sanción por falta muy grave (artículos 18 y 19 de la </w:t>
      </w:r>
      <w:hyperlink r:id="rId218" w:history="1">
        <w:r w:rsidR="0050097D" w:rsidRPr="00A07BE9">
          <w:rPr>
            <w:rStyle w:val="Hipervnculo"/>
            <w:rFonts w:ascii="Open Sans" w:hAnsi="Open Sans" w:cs="Open Sans"/>
            <w:sz w:val="20"/>
            <w:szCs w:val="20"/>
          </w:rPr>
          <w:t>Ley 11/2016</w:t>
        </w:r>
      </w:hyperlink>
      <w:r w:rsidRPr="00A07BE9">
        <w:rPr>
          <w:rFonts w:ascii="Open Sans" w:eastAsia="Times New Roman" w:hAnsi="Open Sans"/>
          <w:color w:val="1B1B1B"/>
          <w:sz w:val="20"/>
          <w:szCs w:val="20"/>
        </w:rPr>
        <w:t>).</w:t>
      </w:r>
    </w:p>
    <w:p w14:paraId="62F727D2" w14:textId="0FC0E519" w:rsidR="00671CE2" w:rsidRPr="00A07BE9" w:rsidRDefault="00671CE2" w:rsidP="00671CE2">
      <w:pPr>
        <w:pStyle w:val="Standard"/>
        <w:spacing w:line="276" w:lineRule="auto"/>
        <w:jc w:val="both"/>
        <w:rPr>
          <w:rFonts w:ascii="Open Sans" w:hAnsi="Open Sans"/>
          <w:sz w:val="20"/>
          <w:szCs w:val="20"/>
        </w:rPr>
      </w:pPr>
      <w:r w:rsidRPr="00A07BE9">
        <w:rPr>
          <w:rFonts w:ascii="Open Sans" w:eastAsia="Calibri" w:hAnsi="Open Sans"/>
          <w:color w:val="000000"/>
          <w:sz w:val="20"/>
          <w:szCs w:val="20"/>
          <w:lang w:eastAsia="en-US" w:bidi="ar-SA"/>
        </w:rPr>
        <w:lastRenderedPageBreak/>
        <w:t xml:space="preserve">Por último, conforme a la </w:t>
      </w:r>
      <w:hyperlink r:id="rId219" w:history="1">
        <w:r w:rsidR="00A510AA" w:rsidRPr="00A07BE9">
          <w:rPr>
            <w:rStyle w:val="Hipervnculo"/>
            <w:rFonts w:ascii="Open Sans" w:eastAsia="Calibri" w:hAnsi="Open Sans"/>
            <w:sz w:val="20"/>
            <w:szCs w:val="20"/>
            <w:lang w:eastAsia="en-US" w:bidi="ar-SA"/>
          </w:rPr>
          <w:t>Directiva (UE) 2019/1937</w:t>
        </w:r>
      </w:hyperlink>
      <w:r w:rsidRPr="00A07BE9">
        <w:rPr>
          <w:rFonts w:ascii="Open Sans" w:eastAsia="Calibri" w:hAnsi="Open Sans"/>
          <w:color w:val="000000"/>
          <w:sz w:val="20"/>
          <w:szCs w:val="20"/>
          <w:lang w:eastAsia="en-US" w:bidi="ar-SA"/>
        </w:rPr>
        <w:t xml:space="preserve"> la persona denunciante </w:t>
      </w:r>
      <w:r w:rsidRPr="00A07BE9">
        <w:rPr>
          <w:rFonts w:ascii="Open Sans" w:eastAsia="Calibri" w:hAnsi="Open Sans"/>
          <w:b/>
          <w:bCs/>
          <w:color w:val="000000"/>
          <w:sz w:val="20"/>
          <w:szCs w:val="20"/>
          <w:lang w:eastAsia="en-US" w:bidi="ar-SA"/>
        </w:rPr>
        <w:t xml:space="preserve">no </w:t>
      </w:r>
      <w:r w:rsidRPr="00A07BE9">
        <w:rPr>
          <w:rFonts w:ascii="Open Sans" w:eastAsia="Calibri" w:hAnsi="Open Sans"/>
          <w:color w:val="000000"/>
          <w:sz w:val="20"/>
          <w:szCs w:val="20"/>
          <w:lang w:eastAsia="en-US" w:bidi="ar-SA"/>
        </w:rPr>
        <w:t>será</w:t>
      </w:r>
      <w:r w:rsidRPr="00A07BE9">
        <w:rPr>
          <w:rFonts w:ascii="Open Sans" w:eastAsia="Calibri" w:hAnsi="Open Sans"/>
          <w:b/>
          <w:bCs/>
          <w:color w:val="000000"/>
          <w:sz w:val="20"/>
          <w:szCs w:val="20"/>
          <w:lang w:eastAsia="en-US" w:bidi="ar-SA"/>
        </w:rPr>
        <w:t xml:space="preserve"> responsable por los daños y perjuicios</w:t>
      </w:r>
      <w:r w:rsidRPr="00A07BE9">
        <w:rPr>
          <w:rFonts w:ascii="Open Sans" w:eastAsia="Calibri" w:hAnsi="Open Sans"/>
          <w:color w:val="000000"/>
          <w:sz w:val="20"/>
          <w:szCs w:val="20"/>
          <w:lang w:eastAsia="en-US" w:bidi="ar-SA"/>
        </w:rPr>
        <w:t xml:space="preserve"> que puedan derivarse de la comunicación o divulgación de la alerta fundada, ni incurrirá en </w:t>
      </w:r>
      <w:r w:rsidRPr="00A07BE9">
        <w:rPr>
          <w:rFonts w:ascii="Open Sans" w:eastAsia="Calibri" w:hAnsi="Open Sans"/>
          <w:b/>
          <w:bCs/>
          <w:color w:val="000000"/>
          <w:sz w:val="20"/>
          <w:szCs w:val="20"/>
          <w:lang w:eastAsia="en-US" w:bidi="ar-SA"/>
        </w:rPr>
        <w:t>ningún otro tipo de responsabilidad, civil o penal</w:t>
      </w:r>
      <w:r w:rsidRPr="00A07BE9">
        <w:rPr>
          <w:rFonts w:ascii="Open Sans" w:eastAsia="Calibri" w:hAnsi="Open Sans"/>
          <w:color w:val="000000"/>
          <w:sz w:val="20"/>
          <w:szCs w:val="20"/>
          <w:lang w:eastAsia="en-US" w:bidi="ar-SA"/>
        </w:rPr>
        <w:t xml:space="preserve">, que pueda desprenderse de tales circunstancias, incluidas expresamente las referidas al posible menoscabo del </w:t>
      </w:r>
      <w:r w:rsidRPr="00A07BE9">
        <w:rPr>
          <w:rFonts w:ascii="Open Sans" w:eastAsia="Calibri" w:hAnsi="Open Sans"/>
          <w:b/>
          <w:bCs/>
          <w:color w:val="000000"/>
          <w:sz w:val="20"/>
          <w:szCs w:val="20"/>
          <w:lang w:eastAsia="en-US" w:bidi="ar-SA"/>
        </w:rPr>
        <w:t>derecho al</w:t>
      </w:r>
      <w:r w:rsidRPr="00A07BE9">
        <w:rPr>
          <w:rFonts w:ascii="Open Sans" w:eastAsia="Calibri" w:hAnsi="Open Sans"/>
          <w:color w:val="000000"/>
          <w:sz w:val="20"/>
          <w:szCs w:val="20"/>
          <w:lang w:eastAsia="en-US" w:bidi="ar-SA"/>
        </w:rPr>
        <w:t xml:space="preserve"> </w:t>
      </w:r>
      <w:r w:rsidRPr="00A07BE9">
        <w:rPr>
          <w:rFonts w:ascii="Open Sans" w:eastAsia="Calibri" w:hAnsi="Open Sans"/>
          <w:b/>
          <w:bCs/>
          <w:color w:val="000000"/>
          <w:sz w:val="20"/>
          <w:szCs w:val="20"/>
          <w:lang w:eastAsia="en-US" w:bidi="ar-SA"/>
        </w:rPr>
        <w:t xml:space="preserve">honor y </w:t>
      </w:r>
      <w:r w:rsidRPr="00A07BE9">
        <w:rPr>
          <w:rFonts w:ascii="Open Sans" w:eastAsia="Calibri" w:hAnsi="Open Sans"/>
          <w:color w:val="000000"/>
          <w:sz w:val="20"/>
          <w:szCs w:val="20"/>
          <w:lang w:eastAsia="en-US" w:bidi="ar-SA"/>
        </w:rPr>
        <w:t>de la</w:t>
      </w:r>
      <w:r w:rsidRPr="00A07BE9">
        <w:rPr>
          <w:rFonts w:ascii="Open Sans" w:eastAsia="Calibri" w:hAnsi="Open Sans"/>
          <w:b/>
          <w:bCs/>
          <w:color w:val="000000"/>
          <w:sz w:val="20"/>
          <w:szCs w:val="20"/>
          <w:lang w:eastAsia="en-US" w:bidi="ar-SA"/>
        </w:rPr>
        <w:t xml:space="preserve"> protección de datos personales, </w:t>
      </w:r>
      <w:r w:rsidRPr="00A07BE9">
        <w:rPr>
          <w:rFonts w:ascii="Open Sans" w:eastAsia="Calibri" w:hAnsi="Open Sans"/>
          <w:color w:val="000000"/>
          <w:sz w:val="20"/>
          <w:szCs w:val="20"/>
          <w:lang w:eastAsia="en-US" w:bidi="ar-SA"/>
        </w:rPr>
        <w:t xml:space="preserve">salvo que la resolución que ponga fin al procedimiento demuestre probadamente que la persona denunciante conocía la escasa fiabilidad, inexactitud o falsedad de la información o se le condene por denuncia falsa. </w:t>
      </w:r>
    </w:p>
    <w:p w14:paraId="5729BEE1" w14:textId="60C59FB3" w:rsidR="00671CE2" w:rsidRPr="00A07BE9" w:rsidRDefault="00671CE2" w:rsidP="00671CE2">
      <w:pPr>
        <w:spacing w:after="0" w:line="240" w:lineRule="auto"/>
        <w:jc w:val="both"/>
        <w:rPr>
          <w:rFonts w:ascii="Open Sans" w:hAnsi="Open Sans" w:cs="Arial"/>
          <w:b/>
          <w:bCs/>
          <w:color w:val="0070C0"/>
          <w:sz w:val="20"/>
          <w:szCs w:val="20"/>
        </w:rPr>
      </w:pPr>
    </w:p>
    <w:p w14:paraId="188C74AA" w14:textId="77777777" w:rsidR="00265AF0" w:rsidRPr="00A07BE9" w:rsidRDefault="00265AF0" w:rsidP="00671CE2">
      <w:pPr>
        <w:spacing w:after="0" w:line="240" w:lineRule="auto"/>
        <w:jc w:val="both"/>
        <w:rPr>
          <w:rFonts w:ascii="Open Sans" w:hAnsi="Open Sans" w:cs="Arial"/>
          <w:b/>
          <w:bCs/>
          <w:color w:val="0070C0"/>
          <w:sz w:val="20"/>
          <w:szCs w:val="20"/>
        </w:rPr>
      </w:pPr>
    </w:p>
    <w:p w14:paraId="778C9613" w14:textId="77777777" w:rsidR="00671CE2" w:rsidRPr="00A07BE9" w:rsidRDefault="00671CE2" w:rsidP="00671CE2">
      <w:pPr>
        <w:spacing w:after="0" w:line="240" w:lineRule="auto"/>
        <w:jc w:val="both"/>
        <w:rPr>
          <w:rFonts w:ascii="Open Sans" w:eastAsia="Times New Roman" w:hAnsi="Open Sans" w:cs="Open Sans;Segoe UI"/>
          <w:b/>
          <w:bCs/>
          <w:smallCaps/>
          <w:color w:val="9D2235"/>
          <w:sz w:val="28"/>
          <w:szCs w:val="28"/>
          <w:lang w:eastAsia="es-ES"/>
        </w:rPr>
      </w:pPr>
      <w:r w:rsidRPr="00A07BE9">
        <w:rPr>
          <w:rFonts w:ascii="Open Sans" w:eastAsia="Times New Roman" w:hAnsi="Open Sans" w:cs="Open Sans;Segoe UI"/>
          <w:b/>
          <w:bCs/>
          <w:smallCaps/>
          <w:color w:val="9D2235"/>
          <w:sz w:val="28"/>
          <w:szCs w:val="28"/>
          <w:lang w:eastAsia="es-ES"/>
        </w:rPr>
        <w:t>4.3.3. Estatuto de Protección de la Persona Denunciante</w:t>
      </w:r>
    </w:p>
    <w:p w14:paraId="67665D06" w14:textId="77777777" w:rsidR="00671CE2" w:rsidRPr="00A07BE9" w:rsidRDefault="00671CE2" w:rsidP="00671CE2">
      <w:pPr>
        <w:spacing w:after="0" w:line="240" w:lineRule="auto"/>
        <w:jc w:val="both"/>
        <w:rPr>
          <w:rFonts w:ascii="Open Sans" w:hAnsi="Open Sans" w:cs="Open Sans;Segoe UI"/>
          <w:color w:val="9D2235"/>
          <w:sz w:val="20"/>
          <w:szCs w:val="20"/>
        </w:rPr>
      </w:pPr>
    </w:p>
    <w:p w14:paraId="5D0B8E69" w14:textId="77777777" w:rsidR="00671CE2" w:rsidRPr="00A07BE9" w:rsidRDefault="00671CE2" w:rsidP="00671CE2">
      <w:pPr>
        <w:spacing w:after="0" w:line="276" w:lineRule="auto"/>
        <w:jc w:val="both"/>
        <w:rPr>
          <w:sz w:val="20"/>
          <w:szCs w:val="20"/>
        </w:rPr>
      </w:pPr>
      <w:r w:rsidRPr="00A07BE9">
        <w:rPr>
          <w:rStyle w:val="Fuentedeprrafopredeter2"/>
          <w:rFonts w:ascii="Open Sans" w:eastAsia="Times New Roman" w:hAnsi="Open Sans" w:cs="Open Sans;Segoe UI"/>
          <w:color w:val="000000"/>
          <w:sz w:val="20"/>
          <w:szCs w:val="20"/>
        </w:rPr>
        <w:t xml:space="preserve">El estatuto de </w:t>
      </w:r>
      <w:r w:rsidRPr="00A07BE9">
        <w:rPr>
          <w:rFonts w:ascii="Open Sans" w:eastAsia="Times New Roman" w:hAnsi="Open Sans" w:cs="Open Sans;Segoe UI"/>
          <w:color w:val="000000"/>
          <w:sz w:val="20"/>
          <w:szCs w:val="20"/>
        </w:rPr>
        <w:t xml:space="preserve">protección de persona denunciante nace como </w:t>
      </w:r>
      <w:r w:rsidRPr="00A07BE9">
        <w:rPr>
          <w:rFonts w:ascii="Open Sans" w:eastAsia="Times New Roman" w:hAnsi="Open Sans" w:cs="Open Sans;Segoe UI"/>
          <w:b/>
          <w:color w:val="000000"/>
          <w:sz w:val="20"/>
          <w:szCs w:val="20"/>
        </w:rPr>
        <w:t>herramienta de lucha contra la corrupción</w:t>
      </w:r>
      <w:r w:rsidRPr="00A07BE9">
        <w:rPr>
          <w:rFonts w:ascii="Open Sans" w:eastAsia="Times New Roman" w:hAnsi="Open Sans" w:cs="Open Sans;Segoe UI"/>
          <w:color w:val="000000"/>
          <w:sz w:val="20"/>
          <w:szCs w:val="20"/>
        </w:rPr>
        <w:t xml:space="preserve"> </w:t>
      </w:r>
      <w:r w:rsidRPr="00A07BE9">
        <w:rPr>
          <w:rFonts w:ascii="Open Sans" w:eastAsia="Times New Roman" w:hAnsi="Open Sans" w:cs="Open Sans;Segoe UI"/>
          <w:b/>
          <w:color w:val="000000"/>
          <w:sz w:val="20"/>
          <w:szCs w:val="20"/>
        </w:rPr>
        <w:t>y para</w:t>
      </w:r>
      <w:r w:rsidRPr="00A07BE9">
        <w:rPr>
          <w:rFonts w:ascii="Open Sans" w:eastAsia="Times New Roman" w:hAnsi="Open Sans" w:cs="Open Sans;Segoe UI"/>
          <w:color w:val="000000"/>
          <w:sz w:val="20"/>
          <w:szCs w:val="20"/>
        </w:rPr>
        <w:t xml:space="preserve"> </w:t>
      </w:r>
      <w:r w:rsidRPr="00A07BE9">
        <w:rPr>
          <w:rFonts w:ascii="Open Sans" w:eastAsia="Times New Roman" w:hAnsi="Open Sans" w:cs="Open Sans;Segoe UI"/>
          <w:b/>
          <w:color w:val="000000"/>
          <w:sz w:val="20"/>
          <w:szCs w:val="20"/>
        </w:rPr>
        <w:t xml:space="preserve">contrarrestar el </w:t>
      </w:r>
      <w:r w:rsidRPr="00A07BE9">
        <w:rPr>
          <w:rStyle w:val="Fuentedeprrafopredeter2"/>
          <w:rFonts w:ascii="Open Sans" w:eastAsia="Times New Roman" w:hAnsi="Open Sans" w:cs="Open Sans;Segoe UI"/>
          <w:b/>
          <w:color w:val="000000"/>
          <w:sz w:val="20"/>
          <w:szCs w:val="20"/>
        </w:rPr>
        <w:t>alto riesgo, profesional y personal</w:t>
      </w:r>
      <w:r w:rsidRPr="00A07BE9">
        <w:rPr>
          <w:rStyle w:val="Fuentedeprrafopredeter2"/>
          <w:rFonts w:ascii="Open Sans" w:eastAsia="Times New Roman" w:hAnsi="Open Sans" w:cs="Open Sans;Segoe UI"/>
          <w:color w:val="000000"/>
          <w:sz w:val="20"/>
          <w:szCs w:val="20"/>
        </w:rPr>
        <w:t xml:space="preserve">, que dichas personas </w:t>
      </w:r>
      <w:r w:rsidRPr="00A07BE9">
        <w:rPr>
          <w:rStyle w:val="Fuentedeprrafopredeter2"/>
          <w:rFonts w:ascii="Open Sans" w:eastAsia="Times New Roman" w:hAnsi="Open Sans" w:cs="Open Sans;Segoe UI"/>
          <w:color w:val="1B1B1B"/>
          <w:sz w:val="20"/>
          <w:szCs w:val="20"/>
        </w:rPr>
        <w:t>soportan como consecuencia directa del resultado de haber informado, comunicado o revelado información</w:t>
      </w:r>
      <w:r w:rsidRPr="00A07BE9">
        <w:rPr>
          <w:rStyle w:val="Fuentedeprrafopredeter2"/>
          <w:rFonts w:ascii="Open Sans" w:eastAsia="Times New Roman" w:hAnsi="Open Sans" w:cs="Open Sans;Segoe UI"/>
          <w:color w:val="1B1B1B"/>
          <w:sz w:val="20"/>
          <w:szCs w:val="20"/>
          <w:lang w:eastAsia="es-ES"/>
        </w:rPr>
        <w:t xml:space="preserve"> respecto de la que han tenido acceso o conocimiento en cumplimiento de sus obligaciones laborales o profesionales, que puede dar lugar a responsabilidades por hechos o conductas susceptibles de ser considerados como fraude o corrupción. </w:t>
      </w:r>
    </w:p>
    <w:p w14:paraId="1F634D2E" w14:textId="77777777" w:rsidR="00671CE2" w:rsidRPr="00A07BE9" w:rsidRDefault="00671CE2" w:rsidP="00671CE2">
      <w:pPr>
        <w:spacing w:after="0" w:line="276" w:lineRule="auto"/>
        <w:jc w:val="both"/>
        <w:rPr>
          <w:rStyle w:val="Fuentedeprrafopredeter2"/>
          <w:rFonts w:ascii="Open Sans" w:eastAsia="Times New Roman" w:hAnsi="Open Sans" w:cs="Open Sans;Segoe UI"/>
          <w:color w:val="1B1B1B"/>
          <w:sz w:val="20"/>
          <w:szCs w:val="20"/>
          <w:lang w:eastAsia="es-ES"/>
        </w:rPr>
      </w:pPr>
    </w:p>
    <w:p w14:paraId="3F949AED" w14:textId="77777777" w:rsidR="00671CE2" w:rsidRPr="00A07BE9" w:rsidRDefault="00671CE2" w:rsidP="00671CE2">
      <w:pPr>
        <w:spacing w:after="0" w:line="276" w:lineRule="auto"/>
        <w:jc w:val="both"/>
        <w:rPr>
          <w:sz w:val="20"/>
          <w:szCs w:val="20"/>
        </w:rPr>
      </w:pPr>
      <w:r w:rsidRPr="00A07BE9">
        <w:rPr>
          <w:rStyle w:val="Fuentedeprrafopredeter2"/>
          <w:rFonts w:ascii="Open Sans" w:eastAsia="Times New Roman" w:hAnsi="Open Sans" w:cs="Open Sans;Segoe UI"/>
          <w:color w:val="1B1B1B"/>
          <w:sz w:val="20"/>
          <w:szCs w:val="20"/>
          <w:lang w:eastAsia="es-ES"/>
        </w:rPr>
        <w:t xml:space="preserve">El otorgamiento del estatuto de protección pretende, pues, que los peligros que afrontan estas personas como consecuencia de la información revelada no desincentiven su ejemplar actuación. </w:t>
      </w:r>
    </w:p>
    <w:p w14:paraId="43085F4C" w14:textId="77777777" w:rsidR="00671CE2" w:rsidRPr="00A07BE9" w:rsidRDefault="00671CE2" w:rsidP="00671CE2">
      <w:pPr>
        <w:spacing w:after="0" w:line="276" w:lineRule="auto"/>
        <w:jc w:val="both"/>
        <w:rPr>
          <w:rFonts w:ascii="Open Sans" w:eastAsia="Times New Roman" w:hAnsi="Open Sans" w:cs="Open Sans;Segoe UI"/>
          <w:color w:val="000000"/>
          <w:sz w:val="20"/>
          <w:szCs w:val="20"/>
        </w:rPr>
      </w:pPr>
    </w:p>
    <w:p w14:paraId="333CC159" w14:textId="77777777" w:rsidR="00671CE2" w:rsidRPr="00A07BE9" w:rsidRDefault="00671CE2" w:rsidP="00671CE2">
      <w:pPr>
        <w:spacing w:after="0" w:line="276" w:lineRule="auto"/>
        <w:jc w:val="both"/>
        <w:rPr>
          <w:sz w:val="20"/>
          <w:szCs w:val="20"/>
        </w:rPr>
      </w:pPr>
      <w:r w:rsidRPr="00A07BE9">
        <w:rPr>
          <w:rStyle w:val="Fuentedeprrafopredeter2"/>
          <w:rFonts w:ascii="Open Sans" w:eastAsia="Times New Roman" w:hAnsi="Open Sans" w:cs="Open Sans;Segoe UI"/>
          <w:color w:val="000000"/>
          <w:sz w:val="20"/>
          <w:szCs w:val="20"/>
        </w:rPr>
        <w:t xml:space="preserve">Es una realidad que, pese a que la revelación de irregularidades es </w:t>
      </w:r>
      <w:r w:rsidRPr="00A07BE9">
        <w:rPr>
          <w:rStyle w:val="Fuentedeprrafopredeter2"/>
          <w:rFonts w:ascii="Open Sans" w:eastAsia="Times New Roman" w:hAnsi="Open Sans" w:cs="Open Sans;Segoe UI"/>
          <w:b/>
          <w:bCs/>
          <w:color w:val="000000"/>
          <w:sz w:val="20"/>
          <w:szCs w:val="20"/>
        </w:rPr>
        <w:t>esencial para la salvaguarda del interés público</w:t>
      </w:r>
      <w:r w:rsidRPr="00A07BE9">
        <w:rPr>
          <w:rStyle w:val="Fuentedeprrafopredeter2"/>
          <w:rFonts w:ascii="Open Sans" w:eastAsia="Times New Roman" w:hAnsi="Open Sans" w:cs="Open Sans;Segoe UI"/>
          <w:color w:val="000000"/>
          <w:sz w:val="20"/>
          <w:szCs w:val="20"/>
        </w:rPr>
        <w:t xml:space="preserve">, dicha loable actuación suele conllevar para la persona denunciante </w:t>
      </w:r>
      <w:r w:rsidRPr="00A07BE9">
        <w:rPr>
          <w:rStyle w:val="Fuentedeprrafopredeter2"/>
          <w:rFonts w:ascii="Open Sans" w:eastAsia="Times New Roman" w:hAnsi="Open Sans" w:cs="Open Sans;Segoe UI"/>
          <w:b/>
          <w:bCs/>
          <w:color w:val="000000"/>
          <w:sz w:val="20"/>
          <w:szCs w:val="20"/>
        </w:rPr>
        <w:t>un alto coste profesional y personal</w:t>
      </w:r>
      <w:r w:rsidRPr="00A07BE9">
        <w:rPr>
          <w:rStyle w:val="Fuentedeprrafopredeter2"/>
          <w:rFonts w:ascii="Open Sans" w:eastAsia="Times New Roman" w:hAnsi="Open Sans" w:cs="Open Sans;Segoe UI"/>
          <w:color w:val="000000"/>
          <w:sz w:val="20"/>
          <w:szCs w:val="20"/>
        </w:rPr>
        <w:t>, que el estatuto de protección pretende mitigar o combatir.</w:t>
      </w:r>
    </w:p>
    <w:p w14:paraId="3CD24BE6" w14:textId="77777777" w:rsidR="00671CE2" w:rsidRPr="00A07BE9" w:rsidRDefault="00671CE2" w:rsidP="00671CE2">
      <w:pPr>
        <w:spacing w:after="0" w:line="276" w:lineRule="auto"/>
        <w:jc w:val="both"/>
        <w:rPr>
          <w:rFonts w:ascii="Open Sans" w:hAnsi="Open Sans"/>
          <w:sz w:val="20"/>
          <w:szCs w:val="20"/>
        </w:rPr>
      </w:pPr>
    </w:p>
    <w:p w14:paraId="6AB684DA" w14:textId="46055ECE" w:rsidR="00671CE2" w:rsidRPr="00A07BE9" w:rsidRDefault="00671CE2" w:rsidP="00671CE2">
      <w:pPr>
        <w:spacing w:after="0" w:line="276" w:lineRule="auto"/>
        <w:jc w:val="both"/>
        <w:rPr>
          <w:rStyle w:val="Fuentedeprrafopredeter2"/>
          <w:rFonts w:ascii="Open Sans" w:eastAsia="Times New Roman" w:hAnsi="Open Sans" w:cs="Open Sans;Segoe UI"/>
          <w:color w:val="000000"/>
          <w:sz w:val="20"/>
          <w:szCs w:val="20"/>
        </w:rPr>
      </w:pPr>
      <w:r w:rsidRPr="00A07BE9">
        <w:rPr>
          <w:rStyle w:val="Fuentedeprrafopredeter2"/>
          <w:rFonts w:ascii="Open Sans" w:eastAsia="Times New Roman" w:hAnsi="Open Sans" w:cs="Open Sans;Segoe UI"/>
          <w:color w:val="1B1B1B"/>
          <w:sz w:val="20"/>
          <w:szCs w:val="20"/>
        </w:rPr>
        <w:t xml:space="preserve">Tras la experiencia llevada a cabo por la Agencia desde finales de 2017 hasta la actualidad, se observa, de manera repetida, que las personas denunciantes de actos de corrupción sufren, como consecuencia de ello, actos de intimidación y represalias en su trabajo, lo que habitualmente les supone una sobrecarga difícil de asumir, pues se encuentran dentro del contexto laboral en una </w:t>
      </w:r>
      <w:r w:rsidRPr="00A07BE9">
        <w:rPr>
          <w:rStyle w:val="Fuentedeprrafopredeter2"/>
          <w:rFonts w:ascii="Open Sans" w:eastAsia="Times New Roman" w:hAnsi="Open Sans" w:cs="Open Sans;Segoe UI"/>
          <w:b/>
          <w:bCs/>
          <w:color w:val="1B1B1B"/>
          <w:sz w:val="20"/>
          <w:szCs w:val="20"/>
        </w:rPr>
        <w:t>posición de inferioridad</w:t>
      </w:r>
      <w:r w:rsidRPr="00A07BE9">
        <w:rPr>
          <w:rStyle w:val="Fuentedeprrafopredeter2"/>
          <w:rFonts w:ascii="Open Sans" w:eastAsia="Times New Roman" w:hAnsi="Open Sans" w:cs="Open Sans;Segoe UI"/>
          <w:color w:val="1B1B1B"/>
          <w:sz w:val="20"/>
          <w:szCs w:val="20"/>
        </w:rPr>
        <w:t xml:space="preserve"> (o vulnerabilidad) respecto de las personas denunciadas y que están siendo investigadas</w:t>
      </w:r>
      <w:r w:rsidRPr="00A07BE9">
        <w:rPr>
          <w:rStyle w:val="Fuentedeprrafopredeter2"/>
          <w:rFonts w:ascii="Open Sans" w:eastAsia="Times New Roman" w:hAnsi="Open Sans" w:cs="Open Sans;Segoe UI"/>
          <w:color w:val="C00000"/>
          <w:sz w:val="20"/>
          <w:szCs w:val="20"/>
        </w:rPr>
        <w:t xml:space="preserve">, </w:t>
      </w:r>
      <w:r w:rsidRPr="00A07BE9">
        <w:rPr>
          <w:rStyle w:val="Fuentedeprrafopredeter2"/>
          <w:rFonts w:ascii="Open Sans" w:eastAsia="Times New Roman" w:hAnsi="Open Sans" w:cs="Open Sans;Segoe UI"/>
          <w:color w:val="000000"/>
          <w:sz w:val="20"/>
          <w:szCs w:val="20"/>
        </w:rPr>
        <w:t>que son las autoridades de las que dependen o a las que están adscritos, sus superiores jerárquicos, sus empleadores o personas del entorno de estos.</w:t>
      </w:r>
    </w:p>
    <w:p w14:paraId="5712DAC7" w14:textId="77777777" w:rsidR="00EC444F" w:rsidRPr="00A07BE9" w:rsidRDefault="00EC444F" w:rsidP="00671CE2">
      <w:pPr>
        <w:spacing w:after="0" w:line="276" w:lineRule="auto"/>
        <w:jc w:val="both"/>
        <w:rPr>
          <w:sz w:val="20"/>
          <w:szCs w:val="20"/>
        </w:rPr>
      </w:pPr>
    </w:p>
    <w:p w14:paraId="45C5CA03" w14:textId="77777777" w:rsidR="00671CE2" w:rsidRPr="00A07BE9" w:rsidRDefault="00671CE2" w:rsidP="00671CE2">
      <w:pPr>
        <w:spacing w:after="0" w:line="276" w:lineRule="auto"/>
        <w:jc w:val="both"/>
        <w:rPr>
          <w:sz w:val="20"/>
          <w:szCs w:val="20"/>
        </w:rPr>
      </w:pPr>
      <w:r w:rsidRPr="00A07BE9">
        <w:rPr>
          <w:rStyle w:val="Fuentedeprrafopredeter2"/>
          <w:rFonts w:ascii="Open Sans" w:hAnsi="Open Sans" w:cs="Open Sans;Segoe UI"/>
          <w:color w:val="000000"/>
          <w:sz w:val="20"/>
          <w:szCs w:val="20"/>
        </w:rPr>
        <w:t>La configuración de la citada protección por parte de la Agencia debe ser interpretada en consonancia con las normas de la Unión Europea, h</w:t>
      </w:r>
      <w:r w:rsidRPr="00A07BE9">
        <w:rPr>
          <w:rStyle w:val="Fuentedeprrafopredeter2"/>
          <w:rFonts w:ascii="Open Sans" w:hAnsi="Open Sans" w:cs="Open Sans;Segoe UI"/>
          <w:color w:val="1B1B1B"/>
          <w:sz w:val="20"/>
          <w:szCs w:val="20"/>
        </w:rPr>
        <w:t xml:space="preserve">abida cuenta que </w:t>
      </w:r>
      <w:r w:rsidRPr="00A07BE9">
        <w:rPr>
          <w:rStyle w:val="Fuentedeprrafopredeter2"/>
          <w:rFonts w:ascii="Open Sans" w:hAnsi="Open Sans" w:cs="Open Sans;Segoe UI"/>
          <w:b/>
          <w:bCs/>
          <w:color w:val="1B1B1B"/>
          <w:sz w:val="20"/>
          <w:szCs w:val="20"/>
        </w:rPr>
        <w:t>muchas pueden ser las personas que denuncian, pero no todas ellas necesitan, activamente, la protección que este texto legal reconoce</w:t>
      </w:r>
      <w:r w:rsidRPr="00A07BE9">
        <w:rPr>
          <w:rStyle w:val="Fuentedeprrafopredeter2"/>
          <w:rFonts w:ascii="Open Sans" w:hAnsi="Open Sans" w:cs="Open Sans;Segoe UI"/>
          <w:color w:val="1B1B1B"/>
          <w:sz w:val="20"/>
          <w:szCs w:val="20"/>
        </w:rPr>
        <w:t>, específicamente, a través del estatuto de protección de la persona denunciante.</w:t>
      </w:r>
    </w:p>
    <w:p w14:paraId="4FE3B66C" w14:textId="77777777" w:rsidR="00671CE2" w:rsidRPr="00A07BE9" w:rsidRDefault="00671CE2" w:rsidP="00671CE2">
      <w:pPr>
        <w:spacing w:after="0" w:line="276" w:lineRule="auto"/>
        <w:jc w:val="both"/>
        <w:rPr>
          <w:rFonts w:ascii="Open Sans" w:eastAsia="Times New Roman" w:hAnsi="Open Sans" w:cs="Open Sans;Segoe UI"/>
          <w:sz w:val="20"/>
          <w:szCs w:val="20"/>
        </w:rPr>
      </w:pPr>
    </w:p>
    <w:p w14:paraId="6DDA2533" w14:textId="3BD0190B" w:rsidR="00671CE2" w:rsidRPr="00A07BE9" w:rsidRDefault="00671CE2" w:rsidP="00671CE2">
      <w:pPr>
        <w:spacing w:after="0" w:line="276" w:lineRule="auto"/>
        <w:jc w:val="both"/>
        <w:rPr>
          <w:rFonts w:ascii="Open Sans" w:hAnsi="Open Sans"/>
          <w:sz w:val="20"/>
          <w:szCs w:val="20"/>
        </w:rPr>
      </w:pPr>
      <w:r w:rsidRPr="00A07BE9">
        <w:rPr>
          <w:rFonts w:ascii="Open Sans" w:eastAsia="Times New Roman" w:hAnsi="Open Sans" w:cs="Open Sans;Segoe UI"/>
          <w:color w:val="000000"/>
          <w:sz w:val="20"/>
          <w:szCs w:val="20"/>
        </w:rPr>
        <w:lastRenderedPageBreak/>
        <w:t xml:space="preserve">Conforme establece la </w:t>
      </w:r>
      <w:hyperlink r:id="rId220" w:history="1">
        <w:r w:rsidR="0050097D" w:rsidRPr="00A07BE9">
          <w:rPr>
            <w:rStyle w:val="Hipervnculo"/>
            <w:rFonts w:ascii="Open Sans" w:hAnsi="Open Sans" w:cs="Open Sans"/>
            <w:sz w:val="20"/>
            <w:szCs w:val="20"/>
          </w:rPr>
          <w:t>Ley 11/2016</w:t>
        </w:r>
        <w:r w:rsidR="0050097D" w:rsidRPr="00A07BE9">
          <w:rPr>
            <w:rStyle w:val="Hipervnculo"/>
            <w:rFonts w:ascii="Open Sans" w:hAnsi="Open Sans"/>
            <w:color w:val="auto"/>
            <w:sz w:val="20"/>
            <w:szCs w:val="20"/>
            <w:u w:val="none"/>
          </w:rPr>
          <w:t>, de 28 de noviembre, de la Generalitat</w:t>
        </w:r>
      </w:hyperlink>
      <w:r w:rsidRPr="00A07BE9">
        <w:rPr>
          <w:rFonts w:ascii="Open Sans" w:eastAsia="Times New Roman" w:hAnsi="Open Sans" w:cs="Open Sans;Segoe UI"/>
          <w:color w:val="000000"/>
          <w:sz w:val="20"/>
          <w:szCs w:val="20"/>
        </w:rPr>
        <w:t xml:space="preserve">, y su </w:t>
      </w:r>
      <w:hyperlink r:id="rId221" w:history="1">
        <w:r w:rsidR="00A510AA" w:rsidRPr="00A07BE9">
          <w:rPr>
            <w:rStyle w:val="Hipervnculo"/>
            <w:rFonts w:ascii="Open Sans" w:eastAsia="Calibri" w:hAnsi="Open Sans"/>
            <w:sz w:val="20"/>
            <w:szCs w:val="20"/>
          </w:rPr>
          <w:t>Reglamento de funcionamiento y régimen interior</w:t>
        </w:r>
      </w:hyperlink>
      <w:r w:rsidRPr="00A07BE9">
        <w:rPr>
          <w:rFonts w:ascii="Open Sans" w:eastAsia="Times New Roman" w:hAnsi="Open Sans" w:cs="Open Sans;Segoe UI"/>
          <w:color w:val="000000"/>
          <w:sz w:val="20"/>
          <w:szCs w:val="20"/>
        </w:rPr>
        <w:t xml:space="preserve">, los </w:t>
      </w:r>
      <w:r w:rsidRPr="00A07BE9">
        <w:rPr>
          <w:rFonts w:ascii="Open Sans" w:eastAsia="Times New Roman" w:hAnsi="Open Sans" w:cs="Open Sans;Segoe UI"/>
          <w:b/>
          <w:bCs/>
          <w:color w:val="000000"/>
          <w:sz w:val="20"/>
          <w:szCs w:val="20"/>
        </w:rPr>
        <w:t xml:space="preserve">requisitos </w:t>
      </w:r>
      <w:r w:rsidRPr="00A07BE9">
        <w:rPr>
          <w:rFonts w:ascii="Open Sans" w:eastAsia="Times New Roman" w:hAnsi="Open Sans" w:cs="Open Sans;Segoe UI"/>
          <w:color w:val="000000"/>
          <w:sz w:val="20"/>
          <w:szCs w:val="20"/>
        </w:rPr>
        <w:t>que debe reunir la persona denunciante para el otorgamiento del estatuto de protección son los siguientes:</w:t>
      </w:r>
    </w:p>
    <w:p w14:paraId="64D1F8CE" w14:textId="77777777" w:rsidR="00671CE2" w:rsidRPr="00A07BE9" w:rsidRDefault="00671CE2" w:rsidP="00671CE2">
      <w:pPr>
        <w:spacing w:after="0" w:line="276" w:lineRule="auto"/>
        <w:jc w:val="both"/>
        <w:rPr>
          <w:rFonts w:ascii="Open Sans" w:hAnsi="Open Sans" w:cs="Calibri"/>
          <w:sz w:val="20"/>
          <w:szCs w:val="20"/>
          <w:lang w:eastAsia="zh-CN"/>
        </w:rPr>
      </w:pPr>
    </w:p>
    <w:p w14:paraId="6642EA99" w14:textId="77777777" w:rsidR="00E62917" w:rsidRPr="00A07BE9" w:rsidRDefault="00671CE2" w:rsidP="00E62917">
      <w:pPr>
        <w:pStyle w:val="Prrafodelista"/>
        <w:numPr>
          <w:ilvl w:val="0"/>
          <w:numId w:val="2"/>
        </w:numPr>
        <w:spacing w:after="0" w:line="276" w:lineRule="auto"/>
        <w:ind w:left="924" w:hanging="357"/>
        <w:jc w:val="both"/>
        <w:rPr>
          <w:rFonts w:ascii="Open Sans" w:hAnsi="Open Sans"/>
          <w:sz w:val="20"/>
          <w:szCs w:val="20"/>
        </w:rPr>
      </w:pPr>
      <w:r w:rsidRPr="00A07BE9">
        <w:rPr>
          <w:rFonts w:ascii="Open Sans" w:hAnsi="Open Sans"/>
          <w:sz w:val="20"/>
          <w:szCs w:val="20"/>
        </w:rPr>
        <w:t>Puede ser denunciante cualquier persona física o jurídica.</w:t>
      </w:r>
    </w:p>
    <w:p w14:paraId="302EE1C6" w14:textId="77777777" w:rsidR="00E62917" w:rsidRPr="00A07BE9" w:rsidRDefault="00671CE2" w:rsidP="00E62917">
      <w:pPr>
        <w:pStyle w:val="Prrafodelista"/>
        <w:numPr>
          <w:ilvl w:val="0"/>
          <w:numId w:val="2"/>
        </w:numPr>
        <w:spacing w:after="0" w:line="276" w:lineRule="auto"/>
        <w:ind w:left="924" w:hanging="357"/>
        <w:jc w:val="both"/>
        <w:rPr>
          <w:rFonts w:ascii="Open Sans" w:hAnsi="Open Sans"/>
          <w:sz w:val="20"/>
          <w:szCs w:val="20"/>
        </w:rPr>
      </w:pPr>
      <w:r w:rsidRPr="00A07BE9">
        <w:rPr>
          <w:rFonts w:ascii="Open Sans" w:hAnsi="Open Sans" w:cs="Open Sans;Segoe UI"/>
          <w:sz w:val="20"/>
          <w:szCs w:val="20"/>
        </w:rPr>
        <w:t>Dicha persona debe actuar de</w:t>
      </w:r>
      <w:r w:rsidRPr="00A07BE9">
        <w:rPr>
          <w:rFonts w:ascii="Open Sans" w:hAnsi="Open Sans" w:cs="Open Sans;Segoe UI"/>
          <w:b/>
          <w:bCs/>
          <w:sz w:val="20"/>
          <w:szCs w:val="20"/>
        </w:rPr>
        <w:t xml:space="preserve"> buena fe y por motivos de interés público y </w:t>
      </w:r>
      <w:r w:rsidRPr="00A07BE9">
        <w:rPr>
          <w:rFonts w:ascii="Open Sans" w:hAnsi="Open Sans" w:cs="Open Sans;Segoe UI"/>
          <w:sz w:val="20"/>
          <w:szCs w:val="20"/>
        </w:rPr>
        <w:t xml:space="preserve">general, en aras al bien común, no movida por intereses partidistas y personales. </w:t>
      </w:r>
    </w:p>
    <w:p w14:paraId="11983BE1" w14:textId="77777777" w:rsidR="00E62917" w:rsidRPr="00A07BE9" w:rsidRDefault="00671CE2" w:rsidP="00E62917">
      <w:pPr>
        <w:pStyle w:val="Prrafodelista"/>
        <w:numPr>
          <w:ilvl w:val="0"/>
          <w:numId w:val="2"/>
        </w:numPr>
        <w:spacing w:after="0" w:line="276" w:lineRule="auto"/>
        <w:ind w:left="924" w:hanging="357"/>
        <w:jc w:val="both"/>
        <w:rPr>
          <w:rFonts w:ascii="Open Sans" w:hAnsi="Open Sans"/>
          <w:sz w:val="20"/>
          <w:szCs w:val="20"/>
        </w:rPr>
      </w:pPr>
      <w:r w:rsidRPr="00A07BE9">
        <w:rPr>
          <w:rFonts w:ascii="Open Sans" w:hAnsi="Open Sans" w:cs="Open Sans;Segoe UI"/>
          <w:sz w:val="20"/>
          <w:szCs w:val="20"/>
        </w:rPr>
        <w:t xml:space="preserve">La denuncia debe presentar </w:t>
      </w:r>
      <w:r w:rsidRPr="00A07BE9">
        <w:rPr>
          <w:rFonts w:ascii="Open Sans" w:hAnsi="Open Sans" w:cs="Open Sans;Segoe UI"/>
          <w:b/>
          <w:bCs/>
          <w:sz w:val="20"/>
          <w:szCs w:val="20"/>
        </w:rPr>
        <w:t>indicios razonables de verosimilitud.</w:t>
      </w:r>
    </w:p>
    <w:p w14:paraId="183DDD24" w14:textId="77777777" w:rsidR="00E62917" w:rsidRPr="00A07BE9" w:rsidRDefault="00671CE2" w:rsidP="00E62917">
      <w:pPr>
        <w:pStyle w:val="Prrafodelista"/>
        <w:numPr>
          <w:ilvl w:val="0"/>
          <w:numId w:val="2"/>
        </w:numPr>
        <w:spacing w:after="0" w:line="276" w:lineRule="auto"/>
        <w:ind w:left="924" w:hanging="357"/>
        <w:jc w:val="both"/>
        <w:rPr>
          <w:rFonts w:ascii="Open Sans" w:hAnsi="Open Sans"/>
          <w:sz w:val="20"/>
          <w:szCs w:val="20"/>
        </w:rPr>
      </w:pPr>
      <w:r w:rsidRPr="00A07BE9">
        <w:rPr>
          <w:rFonts w:ascii="Open Sans" w:hAnsi="Open Sans" w:cs="Open Sans;Segoe UI"/>
          <w:sz w:val="20"/>
          <w:szCs w:val="20"/>
        </w:rPr>
        <w:t xml:space="preserve">Debe denunciarse una actuación no amparada por el derecho, en principio </w:t>
      </w:r>
      <w:r w:rsidRPr="00A07BE9">
        <w:rPr>
          <w:rFonts w:ascii="Open Sans" w:hAnsi="Open Sans" w:cs="Open Sans;Segoe UI"/>
          <w:b/>
          <w:bCs/>
          <w:sz w:val="20"/>
          <w:szCs w:val="20"/>
        </w:rPr>
        <w:t>irregular o</w:t>
      </w:r>
      <w:r w:rsidRPr="00A07BE9">
        <w:rPr>
          <w:rFonts w:ascii="Open Sans" w:hAnsi="Open Sans" w:cs="Open Sans;Segoe UI"/>
          <w:sz w:val="20"/>
          <w:szCs w:val="20"/>
        </w:rPr>
        <w:t xml:space="preserve"> </w:t>
      </w:r>
      <w:r w:rsidRPr="00A07BE9">
        <w:rPr>
          <w:rFonts w:ascii="Open Sans" w:hAnsi="Open Sans" w:cs="Open Sans;Segoe UI"/>
          <w:b/>
          <w:bCs/>
          <w:sz w:val="20"/>
          <w:szCs w:val="20"/>
        </w:rPr>
        <w:t>ilegal</w:t>
      </w:r>
      <w:r w:rsidRPr="00A07BE9">
        <w:rPr>
          <w:rFonts w:ascii="Open Sans" w:hAnsi="Open Sans" w:cs="Open Sans;Segoe UI"/>
          <w:sz w:val="20"/>
          <w:szCs w:val="20"/>
        </w:rPr>
        <w:t xml:space="preserve">, que puede dar lugar a </w:t>
      </w:r>
      <w:r w:rsidRPr="00A07BE9">
        <w:rPr>
          <w:rFonts w:ascii="Open Sans" w:hAnsi="Open Sans" w:cs="Open Sans;Segoe UI"/>
          <w:b/>
          <w:bCs/>
          <w:sz w:val="20"/>
          <w:szCs w:val="20"/>
        </w:rPr>
        <w:t xml:space="preserve">responsabilidades </w:t>
      </w:r>
      <w:r w:rsidRPr="00A07BE9">
        <w:rPr>
          <w:rFonts w:ascii="Open Sans" w:hAnsi="Open Sans" w:cs="Open Sans;Segoe UI"/>
          <w:sz w:val="20"/>
          <w:szCs w:val="20"/>
        </w:rPr>
        <w:t xml:space="preserve">legales. </w:t>
      </w:r>
    </w:p>
    <w:p w14:paraId="18595C9D" w14:textId="77777777" w:rsidR="00E62917" w:rsidRPr="00A07BE9" w:rsidRDefault="00671CE2" w:rsidP="00E62917">
      <w:pPr>
        <w:pStyle w:val="Prrafodelista"/>
        <w:numPr>
          <w:ilvl w:val="0"/>
          <w:numId w:val="2"/>
        </w:numPr>
        <w:spacing w:after="0" w:line="276" w:lineRule="auto"/>
        <w:ind w:left="924" w:hanging="357"/>
        <w:jc w:val="both"/>
        <w:rPr>
          <w:rFonts w:ascii="Open Sans" w:hAnsi="Open Sans"/>
          <w:sz w:val="20"/>
          <w:szCs w:val="20"/>
        </w:rPr>
      </w:pPr>
      <w:r w:rsidRPr="00A07BE9">
        <w:rPr>
          <w:rFonts w:ascii="Open Sans" w:hAnsi="Open Sans" w:cs="Open Sans;Segoe UI"/>
          <w:sz w:val="20"/>
          <w:szCs w:val="20"/>
        </w:rPr>
        <w:t xml:space="preserve">Los hechos o conductas denunciados deben referirse a un posible </w:t>
      </w:r>
      <w:r w:rsidRPr="00A07BE9">
        <w:rPr>
          <w:rFonts w:ascii="Open Sans" w:hAnsi="Open Sans" w:cs="Open Sans;Segoe UI"/>
          <w:b/>
          <w:bCs/>
          <w:sz w:val="20"/>
          <w:szCs w:val="20"/>
        </w:rPr>
        <w:t xml:space="preserve">fraude o corrupción. </w:t>
      </w:r>
    </w:p>
    <w:p w14:paraId="37429ECB" w14:textId="77777777" w:rsidR="00671CE2" w:rsidRPr="00A07BE9" w:rsidRDefault="00671CE2" w:rsidP="00E62917">
      <w:pPr>
        <w:pStyle w:val="Prrafodelista"/>
        <w:numPr>
          <w:ilvl w:val="0"/>
          <w:numId w:val="2"/>
        </w:numPr>
        <w:spacing w:after="0" w:line="276" w:lineRule="auto"/>
        <w:ind w:left="924" w:hanging="357"/>
        <w:jc w:val="both"/>
        <w:rPr>
          <w:rFonts w:ascii="Open Sans" w:hAnsi="Open Sans"/>
          <w:sz w:val="20"/>
          <w:szCs w:val="20"/>
        </w:rPr>
      </w:pPr>
      <w:r w:rsidRPr="00A07BE9">
        <w:rPr>
          <w:rFonts w:ascii="Open Sans" w:hAnsi="Open Sans" w:cs="Open Sans;Segoe UI"/>
          <w:sz w:val="20"/>
          <w:szCs w:val="20"/>
        </w:rPr>
        <w:t xml:space="preserve">El denunciante debe encontrarse en una </w:t>
      </w:r>
      <w:r w:rsidRPr="00A07BE9">
        <w:rPr>
          <w:rFonts w:ascii="Open Sans" w:hAnsi="Open Sans" w:cs="Open Sans;Segoe UI"/>
          <w:b/>
          <w:bCs/>
          <w:sz w:val="20"/>
          <w:szCs w:val="20"/>
        </w:rPr>
        <w:t xml:space="preserve">posición de vulnerabilidad </w:t>
      </w:r>
      <w:r w:rsidRPr="00A07BE9">
        <w:rPr>
          <w:rFonts w:ascii="Open Sans" w:hAnsi="Open Sans" w:cs="Open Sans;Segoe UI"/>
          <w:sz w:val="20"/>
          <w:szCs w:val="20"/>
        </w:rPr>
        <w:t xml:space="preserve">y en relación con un </w:t>
      </w:r>
      <w:r w:rsidRPr="00A07BE9">
        <w:rPr>
          <w:rFonts w:ascii="Open Sans" w:hAnsi="Open Sans" w:cs="Open Sans;Segoe UI"/>
          <w:b/>
          <w:bCs/>
          <w:sz w:val="20"/>
          <w:szCs w:val="20"/>
        </w:rPr>
        <w:t>contexto laboral</w:t>
      </w:r>
      <w:r w:rsidRPr="00A07BE9">
        <w:rPr>
          <w:rFonts w:ascii="Open Sans" w:hAnsi="Open Sans" w:cs="Open Sans;Segoe UI"/>
          <w:sz w:val="20"/>
          <w:szCs w:val="20"/>
        </w:rPr>
        <w:t>, sufriendo o pudiendo sufrir, en un espacio breve de tiempo,</w:t>
      </w:r>
      <w:r w:rsidRPr="00A07BE9">
        <w:rPr>
          <w:rFonts w:ascii="Open Sans" w:hAnsi="Open Sans" w:cs="Open Sans;Segoe UI"/>
          <w:b/>
          <w:bCs/>
          <w:sz w:val="20"/>
          <w:szCs w:val="20"/>
        </w:rPr>
        <w:t xml:space="preserve"> represalias</w:t>
      </w:r>
      <w:r w:rsidRPr="00A07BE9">
        <w:rPr>
          <w:rFonts w:ascii="Open Sans" w:hAnsi="Open Sans" w:cs="Open Sans;Segoe UI"/>
          <w:sz w:val="20"/>
          <w:szCs w:val="20"/>
        </w:rPr>
        <w:t xml:space="preserve"> como consecuencia de la denuncia interpuesta.</w:t>
      </w:r>
    </w:p>
    <w:p w14:paraId="11D2AE96" w14:textId="77777777" w:rsidR="00671CE2" w:rsidRPr="00A07BE9" w:rsidRDefault="00671CE2" w:rsidP="00671CE2">
      <w:pPr>
        <w:pStyle w:val="Prrafodelista"/>
        <w:spacing w:after="0" w:line="276" w:lineRule="auto"/>
        <w:ind w:left="1287"/>
        <w:jc w:val="both"/>
        <w:rPr>
          <w:rFonts w:ascii="Open Sans" w:hAnsi="Open Sans" w:cs="Open Sans;Segoe UI"/>
          <w:sz w:val="20"/>
          <w:szCs w:val="20"/>
        </w:rPr>
      </w:pPr>
    </w:p>
    <w:p w14:paraId="5A8065FD" w14:textId="77777777" w:rsidR="00671CE2" w:rsidRPr="00A07BE9" w:rsidRDefault="00671CE2" w:rsidP="00671CE2">
      <w:pPr>
        <w:spacing w:after="0" w:line="276" w:lineRule="auto"/>
        <w:jc w:val="both"/>
        <w:rPr>
          <w:rFonts w:ascii="Open Sans" w:hAnsi="Open Sans"/>
          <w:sz w:val="20"/>
          <w:szCs w:val="20"/>
        </w:rPr>
      </w:pPr>
      <w:r w:rsidRPr="00A07BE9">
        <w:rPr>
          <w:rFonts w:ascii="Open Sans" w:hAnsi="Open Sans" w:cs="Open Sans;Segoe UI"/>
          <w:color w:val="000000"/>
          <w:sz w:val="20"/>
          <w:szCs w:val="20"/>
        </w:rPr>
        <w:t xml:space="preserve">También </w:t>
      </w:r>
      <w:r w:rsidRPr="00A07BE9">
        <w:rPr>
          <w:rFonts w:ascii="Open Sans" w:hAnsi="Open Sans" w:cs="Open Sans;Segoe UI"/>
          <w:sz w:val="20"/>
          <w:szCs w:val="20"/>
        </w:rPr>
        <w:t xml:space="preserve">podrán beneficiarse de los derechos derivados del estatuto de la persona denunciante </w:t>
      </w:r>
      <w:r w:rsidRPr="00A07BE9">
        <w:rPr>
          <w:rFonts w:ascii="Open Sans" w:hAnsi="Open Sans" w:cs="Open Sans;Segoe UI"/>
          <w:b/>
          <w:sz w:val="20"/>
          <w:szCs w:val="20"/>
        </w:rPr>
        <w:t>los testigos y peritos</w:t>
      </w:r>
      <w:r w:rsidRPr="00A07BE9">
        <w:rPr>
          <w:rFonts w:ascii="Open Sans" w:hAnsi="Open Sans" w:cs="Open Sans;Segoe UI"/>
          <w:sz w:val="20"/>
          <w:szCs w:val="20"/>
        </w:rPr>
        <w:t xml:space="preserve">, así como sus </w:t>
      </w:r>
      <w:r w:rsidRPr="00A07BE9">
        <w:rPr>
          <w:rFonts w:ascii="Open Sans" w:hAnsi="Open Sans" w:cs="Open Sans;Segoe UI"/>
          <w:b/>
          <w:sz w:val="20"/>
          <w:szCs w:val="20"/>
        </w:rPr>
        <w:t>cónyuges o</w:t>
      </w:r>
      <w:r w:rsidRPr="00A07BE9">
        <w:rPr>
          <w:rFonts w:ascii="Open Sans" w:hAnsi="Open Sans" w:cs="Open Sans;Segoe UI"/>
          <w:sz w:val="20"/>
          <w:szCs w:val="20"/>
        </w:rPr>
        <w:t xml:space="preserve"> las personas con quienes se encuentren ligados por análoga relación de afectividad </w:t>
      </w:r>
      <w:r w:rsidRPr="00A07BE9">
        <w:rPr>
          <w:rFonts w:ascii="Open Sans" w:hAnsi="Open Sans" w:cs="Open Sans;Segoe UI"/>
          <w:b/>
          <w:sz w:val="20"/>
          <w:szCs w:val="20"/>
        </w:rPr>
        <w:t>y los ascendientes, descendientes y hermanos</w:t>
      </w:r>
      <w:r w:rsidRPr="00A07BE9">
        <w:rPr>
          <w:rFonts w:ascii="Open Sans" w:hAnsi="Open Sans" w:cs="Open Sans;Segoe UI"/>
          <w:sz w:val="20"/>
          <w:szCs w:val="20"/>
        </w:rPr>
        <w:t>, siempre que también estos sufran represalias o amenaza de actos lesivos como consecuencia de la presentación de la denuncia, la declaración testifical o la emisión del informe pericial.</w:t>
      </w:r>
    </w:p>
    <w:p w14:paraId="0AD58F47" w14:textId="77777777" w:rsidR="00671CE2" w:rsidRPr="00A07BE9" w:rsidRDefault="00671CE2" w:rsidP="00671CE2">
      <w:pPr>
        <w:spacing w:after="0" w:line="276" w:lineRule="auto"/>
        <w:jc w:val="both"/>
        <w:rPr>
          <w:rFonts w:ascii="Open Sans" w:hAnsi="Open Sans" w:cs="Open Sans;Segoe UI"/>
          <w:sz w:val="20"/>
          <w:szCs w:val="20"/>
        </w:rPr>
      </w:pPr>
    </w:p>
    <w:p w14:paraId="3DE64DA4" w14:textId="167BBC10" w:rsidR="00671CE2" w:rsidRPr="00A07BE9" w:rsidRDefault="00671CE2" w:rsidP="00671CE2">
      <w:pPr>
        <w:spacing w:after="0" w:line="276" w:lineRule="auto"/>
        <w:jc w:val="both"/>
        <w:rPr>
          <w:rFonts w:ascii="Open Sans" w:hAnsi="Open Sans"/>
          <w:sz w:val="20"/>
          <w:szCs w:val="20"/>
        </w:rPr>
      </w:pPr>
      <w:r w:rsidRPr="00A07BE9">
        <w:rPr>
          <w:rFonts w:ascii="Open Sans" w:hAnsi="Open Sans" w:cs="Open Sans;Segoe UI"/>
          <w:sz w:val="20"/>
          <w:szCs w:val="20"/>
        </w:rPr>
        <w:t>Dentro de este contexto,</w:t>
      </w:r>
      <w:r w:rsidRPr="00A07BE9">
        <w:rPr>
          <w:rFonts w:ascii="Open Sans" w:eastAsia="Times New Roman" w:hAnsi="Open Sans" w:cs="Open Sans;Segoe UI"/>
          <w:color w:val="000000"/>
          <w:sz w:val="20"/>
          <w:szCs w:val="20"/>
          <w:lang w:eastAsia="es-ES"/>
        </w:rPr>
        <w:t xml:space="preserve"> en España se han emitido los primeros pronunciamientos judiciales en torno a la </w:t>
      </w:r>
      <w:hyperlink r:id="rId222" w:history="1">
        <w:r w:rsidR="00DA5809" w:rsidRPr="00A07BE9">
          <w:rPr>
            <w:rStyle w:val="Hipervnculo"/>
            <w:rFonts w:ascii="Open Sans" w:eastAsia="Calibri" w:hAnsi="Open Sans"/>
            <w:sz w:val="20"/>
            <w:szCs w:val="20"/>
          </w:rPr>
          <w:t>Directiva (UE) 2019/1937</w:t>
        </w:r>
      </w:hyperlink>
      <w:r w:rsidRPr="00A07BE9">
        <w:rPr>
          <w:rFonts w:ascii="Open Sans" w:eastAsia="Times New Roman" w:hAnsi="Open Sans" w:cs="Open Sans;Segoe UI"/>
          <w:color w:val="000000"/>
          <w:sz w:val="20"/>
          <w:szCs w:val="20"/>
          <w:lang w:eastAsia="es-ES"/>
        </w:rPr>
        <w:t>, sobre protección de las personas que informen sobre infracciones del Derecho de la Unión.</w:t>
      </w:r>
    </w:p>
    <w:p w14:paraId="473D64EB" w14:textId="77777777" w:rsidR="00671CE2" w:rsidRPr="00A07BE9" w:rsidRDefault="00671CE2" w:rsidP="00671CE2">
      <w:pPr>
        <w:spacing w:after="0" w:line="276" w:lineRule="auto"/>
        <w:jc w:val="both"/>
        <w:rPr>
          <w:rFonts w:ascii="Open Sans" w:eastAsia="Times New Roman" w:hAnsi="Open Sans" w:cs="Open Sans;Segoe UI"/>
          <w:sz w:val="20"/>
          <w:szCs w:val="20"/>
          <w:lang w:eastAsia="es-ES"/>
        </w:rPr>
      </w:pPr>
    </w:p>
    <w:p w14:paraId="19556B22" w14:textId="74908668" w:rsidR="00671CE2" w:rsidRPr="00A07BE9" w:rsidRDefault="00671CE2" w:rsidP="00671CE2">
      <w:pPr>
        <w:spacing w:after="0" w:line="276" w:lineRule="auto"/>
        <w:jc w:val="both"/>
        <w:rPr>
          <w:rFonts w:ascii="Open Sans" w:hAnsi="Open Sans"/>
          <w:color w:val="000000"/>
          <w:sz w:val="20"/>
          <w:szCs w:val="20"/>
        </w:rPr>
      </w:pPr>
      <w:r w:rsidRPr="00A07BE9">
        <w:rPr>
          <w:rFonts w:ascii="Open Sans" w:eastAsia="Times New Roman" w:hAnsi="Open Sans" w:cs="Open Sans;Segoe UI"/>
          <w:color w:val="000000"/>
          <w:sz w:val="20"/>
          <w:szCs w:val="20"/>
          <w:lang w:eastAsia="es-ES"/>
        </w:rPr>
        <w:t xml:space="preserve">Así, la </w:t>
      </w:r>
      <w:hyperlink r:id="rId223" w:history="1">
        <w:r w:rsidRPr="00A07BE9">
          <w:rPr>
            <w:rStyle w:val="Hipervnculo"/>
            <w:rFonts w:ascii="Open Sans" w:eastAsia="Times New Roman" w:hAnsi="Open Sans" w:cs="Open Sans;Segoe UI"/>
            <w:b/>
            <w:bCs/>
            <w:sz w:val="20"/>
            <w:szCs w:val="20"/>
            <w:lang w:eastAsia="es-ES"/>
          </w:rPr>
          <w:t>Sentencia núm. 405/2019 de 2 de diciembre de 2019, de la Audiencia Provincial de las Palmas de Gran Canaria</w:t>
        </w:r>
      </w:hyperlink>
      <w:r w:rsidRPr="00A07BE9">
        <w:rPr>
          <w:rFonts w:ascii="Open Sans" w:eastAsia="Times New Roman" w:hAnsi="Open Sans" w:cs="Open Sans;Segoe UI"/>
          <w:color w:val="000000"/>
          <w:sz w:val="20"/>
          <w:szCs w:val="20"/>
          <w:lang w:eastAsia="es-ES"/>
        </w:rPr>
        <w:t xml:space="preserve">, trata en su Fundamento de Derecho Quinto a la presunción de buena fe profesional de la persona denunciante: </w:t>
      </w:r>
    </w:p>
    <w:p w14:paraId="7CFBB012" w14:textId="77777777" w:rsidR="00671CE2" w:rsidRPr="00A07BE9" w:rsidRDefault="00671CE2" w:rsidP="00671CE2">
      <w:pPr>
        <w:spacing w:after="0" w:line="276" w:lineRule="auto"/>
        <w:jc w:val="both"/>
        <w:rPr>
          <w:rFonts w:ascii="Open Sans" w:eastAsia="Times New Roman" w:hAnsi="Open Sans" w:cs="Open Sans;Segoe UI"/>
          <w:i/>
          <w:iCs/>
          <w:color w:val="000000"/>
          <w:sz w:val="20"/>
          <w:szCs w:val="20"/>
          <w:lang w:eastAsia="es-ES"/>
        </w:rPr>
      </w:pPr>
    </w:p>
    <w:p w14:paraId="5E9E8FA2" w14:textId="77777777" w:rsidR="00671CE2" w:rsidRPr="00A07BE9" w:rsidRDefault="00671CE2" w:rsidP="00671CE2">
      <w:pPr>
        <w:spacing w:after="0" w:line="276" w:lineRule="auto"/>
        <w:ind w:left="567"/>
        <w:jc w:val="both"/>
        <w:rPr>
          <w:rFonts w:ascii="Open Sans" w:hAnsi="Open Sans"/>
          <w:sz w:val="18"/>
          <w:szCs w:val="18"/>
        </w:rPr>
      </w:pPr>
      <w:r w:rsidRPr="00A07BE9">
        <w:rPr>
          <w:rFonts w:ascii="Open Sans" w:eastAsia="Times New Roman" w:hAnsi="Open Sans" w:cs="Open Sans;Segoe UI"/>
          <w:iCs/>
          <w:color w:val="000000"/>
          <w:sz w:val="18"/>
          <w:szCs w:val="18"/>
          <w:lang w:eastAsia="es-ES"/>
        </w:rPr>
        <w:t xml:space="preserve">“Finalmente, y a título complementario, es de referir </w:t>
      </w:r>
      <w:r w:rsidRPr="00A07BE9">
        <w:rPr>
          <w:rFonts w:ascii="Open Sans" w:eastAsia="Times New Roman" w:hAnsi="Open Sans" w:cs="Open Sans;Segoe UI"/>
          <w:b/>
          <w:bCs/>
          <w:iCs/>
          <w:color w:val="000000"/>
          <w:sz w:val="18"/>
          <w:szCs w:val="18"/>
          <w:lang w:eastAsia="es-ES"/>
        </w:rPr>
        <w:t>la Directiva (UE) 2019/1937</w:t>
      </w:r>
      <w:r w:rsidRPr="00A07BE9">
        <w:rPr>
          <w:rFonts w:ascii="Open Sans" w:eastAsia="Times New Roman" w:hAnsi="Open Sans" w:cs="Open Sans;Segoe UI"/>
          <w:iCs/>
          <w:color w:val="000000"/>
          <w:sz w:val="18"/>
          <w:szCs w:val="18"/>
          <w:lang w:eastAsia="es-ES"/>
        </w:rPr>
        <w:t xml:space="preserve">, del Parlamento Europeo, de 23 </w:t>
      </w:r>
      <w:r w:rsidRPr="00A07BE9">
        <w:rPr>
          <w:rFonts w:ascii="Open Sans" w:hAnsi="Open Sans" w:cs="Open Sans;Segoe UI"/>
          <w:iCs/>
          <w:color w:val="000000"/>
          <w:sz w:val="18"/>
          <w:szCs w:val="18"/>
        </w:rPr>
        <w:t>de octubre de 2019 y relativa a la protección de las personas, (integrantes de las Fuerzas y Cuerpos de seguridad incluidos), que informen sobre infracciones. Y a tal fin destacar el apartado relativo a la protección del medio ambiente y conductas ilícitas relacionadas con el mismo. Así se concluye que la actuación de la sargento tiene cabida dentro del contexto de protección establecido por tal normativa europea para los denunciantes,</w:t>
      </w:r>
      <w:r w:rsidRPr="00A07BE9">
        <w:rPr>
          <w:rFonts w:ascii="Open Sans" w:hAnsi="Open Sans" w:cs="Open Sans;Segoe UI"/>
          <w:b/>
          <w:bCs/>
          <w:iCs/>
          <w:color w:val="000000"/>
          <w:sz w:val="18"/>
          <w:szCs w:val="18"/>
        </w:rPr>
        <w:t xml:space="preserve"> pues no existe base fáctica para calificar de malintencionado, ni de frívolo ni de abusivo a su informe-denuncia, sin que conste que su elaboración esté presidida y regida por la mala fe, por lo que no queda desvirtuada la presunción de buena fe profesional que la ampara</w:t>
      </w:r>
      <w:r w:rsidRPr="00A07BE9">
        <w:rPr>
          <w:rFonts w:ascii="Open Sans" w:hAnsi="Open Sans" w:cs="Open Sans;Segoe UI"/>
          <w:iCs/>
          <w:color w:val="000000"/>
          <w:sz w:val="18"/>
          <w:szCs w:val="18"/>
        </w:rPr>
        <w:t>. Significar además que se cursó y canalizó por vía interna y que fue luego, tras el atestado elaborado por la unidad de policía judicial, cuando se pasa al juzgado y se sobresee.</w:t>
      </w:r>
    </w:p>
    <w:p w14:paraId="03F925AD" w14:textId="77777777" w:rsidR="00671CE2" w:rsidRPr="00A07BE9" w:rsidRDefault="00671CE2" w:rsidP="00671CE2">
      <w:pPr>
        <w:spacing w:after="0" w:line="276" w:lineRule="auto"/>
        <w:ind w:left="567"/>
        <w:jc w:val="both"/>
        <w:rPr>
          <w:rFonts w:ascii="Open Sans" w:hAnsi="Open Sans"/>
          <w:sz w:val="18"/>
          <w:szCs w:val="18"/>
        </w:rPr>
      </w:pPr>
      <w:r w:rsidRPr="00A07BE9">
        <w:rPr>
          <w:rFonts w:ascii="Open Sans" w:hAnsi="Open Sans" w:cs="Open Sans;Segoe UI"/>
          <w:iCs/>
          <w:color w:val="000000"/>
          <w:sz w:val="18"/>
          <w:szCs w:val="18"/>
        </w:rPr>
        <w:t xml:space="preserve">Lo expuesto </w:t>
      </w:r>
      <w:r w:rsidRPr="00A07BE9">
        <w:rPr>
          <w:rFonts w:ascii="Open Sans" w:hAnsi="Open Sans" w:cs="Open Sans;Segoe UI"/>
          <w:b/>
          <w:bCs/>
          <w:iCs/>
          <w:color w:val="000000"/>
          <w:sz w:val="18"/>
          <w:szCs w:val="18"/>
        </w:rPr>
        <w:t>hace innecesario entrar a valorar más extremos, sin que sea preciso proceder al análisis exhaustivo de los otros elementos típicos</w:t>
      </w:r>
      <w:r w:rsidRPr="00A07BE9">
        <w:rPr>
          <w:rFonts w:ascii="Open Sans" w:hAnsi="Open Sans" w:cs="Open Sans;Segoe UI"/>
          <w:iCs/>
          <w:color w:val="000000"/>
          <w:sz w:val="18"/>
          <w:szCs w:val="18"/>
        </w:rPr>
        <w:t xml:space="preserve">, como lo es el elemento subjetivo, tanto el relativo al dolo falsario (art. 390 CP) como el relativo al actuar imprudente, (391 CP). Asimismo, </w:t>
      </w:r>
      <w:r w:rsidRPr="00A07BE9">
        <w:rPr>
          <w:rFonts w:ascii="Open Sans" w:hAnsi="Open Sans" w:cs="Open Sans;Segoe UI"/>
          <w:iCs/>
          <w:color w:val="000000"/>
          <w:sz w:val="18"/>
          <w:szCs w:val="18"/>
        </w:rPr>
        <w:lastRenderedPageBreak/>
        <w:t>queda igualmente excluida la posibilidad de incardinar los hechos probados dentro de ese pretendido delito de calumnias (art. 205), que postula sin mucho empeño la acusación particular.</w:t>
      </w:r>
    </w:p>
    <w:p w14:paraId="08271FF0" w14:textId="77777777" w:rsidR="00671CE2" w:rsidRPr="00A07BE9" w:rsidRDefault="00671CE2" w:rsidP="00671CE2">
      <w:pPr>
        <w:spacing w:after="0" w:line="276" w:lineRule="auto"/>
        <w:ind w:left="567"/>
        <w:jc w:val="both"/>
        <w:rPr>
          <w:rFonts w:ascii="Open Sans" w:hAnsi="Open Sans"/>
          <w:sz w:val="18"/>
          <w:szCs w:val="18"/>
        </w:rPr>
      </w:pPr>
      <w:r w:rsidRPr="00A07BE9">
        <w:rPr>
          <w:rFonts w:ascii="Open Sans" w:hAnsi="Open Sans" w:cs="Open Sans;Segoe UI"/>
          <w:iCs/>
          <w:color w:val="000000"/>
          <w:sz w:val="18"/>
          <w:szCs w:val="18"/>
        </w:rPr>
        <w:t xml:space="preserve">Así las cosas, lo que procede, sin necesidad de ahondar más en la materia, es absolver a la acusada y dictar </w:t>
      </w:r>
      <w:r w:rsidRPr="00A07BE9">
        <w:rPr>
          <w:rFonts w:ascii="Open Sans" w:eastAsia="Times New Roman" w:hAnsi="Open Sans" w:cs="Open Sans;Segoe UI"/>
          <w:iCs/>
          <w:color w:val="000000"/>
          <w:sz w:val="18"/>
          <w:szCs w:val="18"/>
          <w:lang w:eastAsia="es-ES"/>
        </w:rPr>
        <w:t>un pronunciamiento en tal sentido, con todos los efectos al mismo inherentes.”</w:t>
      </w:r>
    </w:p>
    <w:p w14:paraId="6000F59B" w14:textId="77777777" w:rsidR="00671CE2" w:rsidRPr="00A07BE9" w:rsidRDefault="00671CE2" w:rsidP="00671CE2">
      <w:pPr>
        <w:spacing w:after="0" w:line="276" w:lineRule="auto"/>
        <w:jc w:val="both"/>
        <w:rPr>
          <w:rFonts w:ascii="Open Sans" w:hAnsi="Open Sans"/>
          <w:sz w:val="18"/>
          <w:szCs w:val="18"/>
        </w:rPr>
      </w:pPr>
    </w:p>
    <w:p w14:paraId="1FDB16B9" w14:textId="77777777" w:rsidR="00671CE2" w:rsidRPr="00A07BE9" w:rsidRDefault="00671CE2" w:rsidP="00671CE2">
      <w:pPr>
        <w:spacing w:after="0" w:line="276" w:lineRule="auto"/>
        <w:jc w:val="both"/>
        <w:rPr>
          <w:rFonts w:ascii="Open Sans" w:hAnsi="Open Sans"/>
          <w:sz w:val="20"/>
          <w:szCs w:val="20"/>
        </w:rPr>
      </w:pPr>
      <w:r w:rsidRPr="00A07BE9">
        <w:rPr>
          <w:rFonts w:ascii="Open Sans" w:hAnsi="Open Sans" w:cs="Open Sans;Segoe UI"/>
          <w:sz w:val="20"/>
          <w:szCs w:val="20"/>
        </w:rPr>
        <w:t>El bloque de derechos-deberes inherentes a la concesión del estatuto de persona denunciante se mantendrá durante todo el tiempo que se encuentre vigente tal resolución administrativa, hasta que</w:t>
      </w:r>
      <w:r w:rsidRPr="00A07BE9">
        <w:rPr>
          <w:rFonts w:ascii="Open Sans" w:hAnsi="Open Sans" w:cs="Open Sans;Segoe UI"/>
          <w:color w:val="000000"/>
          <w:sz w:val="20"/>
          <w:szCs w:val="20"/>
        </w:rPr>
        <w:t xml:space="preserve"> desaparezcan las causas que dieron lugar al otorgamiento de la protección, en cuyo caso se abrirá el procedimiento de pérdida de la misma.</w:t>
      </w:r>
    </w:p>
    <w:p w14:paraId="330381C3" w14:textId="77777777" w:rsidR="00671CE2" w:rsidRPr="00A07BE9" w:rsidRDefault="00671CE2" w:rsidP="00671CE2">
      <w:pPr>
        <w:spacing w:after="0" w:line="240" w:lineRule="auto"/>
        <w:jc w:val="both"/>
        <w:rPr>
          <w:rFonts w:ascii="Open Sans" w:eastAsia="Times New Roman" w:hAnsi="Open Sans" w:cs="Open Sans;Segoe UI"/>
          <w:sz w:val="20"/>
          <w:szCs w:val="20"/>
          <w:lang w:eastAsia="es-ES"/>
        </w:rPr>
      </w:pPr>
    </w:p>
    <w:p w14:paraId="2895E56A" w14:textId="77777777" w:rsidR="00671CE2" w:rsidRPr="00A07BE9" w:rsidRDefault="00671CE2" w:rsidP="00671CE2">
      <w:pPr>
        <w:spacing w:after="0" w:line="240" w:lineRule="auto"/>
        <w:jc w:val="both"/>
        <w:rPr>
          <w:rFonts w:ascii="Open Sans" w:eastAsia="Times New Roman" w:hAnsi="Open Sans" w:cs="Open Sans;Segoe UI"/>
          <w:sz w:val="20"/>
          <w:szCs w:val="20"/>
          <w:lang w:eastAsia="es-ES"/>
        </w:rPr>
      </w:pPr>
    </w:p>
    <w:p w14:paraId="198EE99A" w14:textId="77777777" w:rsidR="00671CE2" w:rsidRPr="00A07BE9" w:rsidRDefault="00671CE2" w:rsidP="00671CE2">
      <w:pPr>
        <w:spacing w:after="0" w:line="240" w:lineRule="auto"/>
        <w:jc w:val="both"/>
        <w:rPr>
          <w:rFonts w:ascii="Open Sans" w:eastAsia="Times New Roman" w:hAnsi="Open Sans" w:cs="Open Sans;Segoe UI"/>
          <w:b/>
          <w:bCs/>
          <w:smallCaps/>
          <w:color w:val="9D2235"/>
          <w:sz w:val="28"/>
          <w:szCs w:val="28"/>
          <w:lang w:eastAsia="es-ES"/>
        </w:rPr>
      </w:pPr>
      <w:r w:rsidRPr="00A07BE9">
        <w:rPr>
          <w:rFonts w:ascii="Open Sans" w:eastAsia="Times New Roman" w:hAnsi="Open Sans" w:cs="Open Sans;Segoe UI"/>
          <w:b/>
          <w:bCs/>
          <w:smallCaps/>
          <w:color w:val="9D2235"/>
          <w:sz w:val="28"/>
          <w:szCs w:val="28"/>
          <w:lang w:eastAsia="es-ES"/>
        </w:rPr>
        <w:t>4.3.4. Represalias</w:t>
      </w:r>
    </w:p>
    <w:p w14:paraId="1AA48779" w14:textId="77777777" w:rsidR="00671CE2" w:rsidRPr="00A07BE9" w:rsidRDefault="00671CE2" w:rsidP="00671CE2">
      <w:pPr>
        <w:spacing w:after="0" w:line="240" w:lineRule="auto"/>
        <w:jc w:val="both"/>
        <w:rPr>
          <w:rFonts w:ascii="Open Sans" w:eastAsia="Times New Roman" w:hAnsi="Open Sans" w:cs="Open Sans;Segoe UI"/>
          <w:smallCaps/>
          <w:color w:val="1B1B1B"/>
          <w:sz w:val="20"/>
          <w:szCs w:val="20"/>
          <w:lang w:eastAsia="es-ES"/>
        </w:rPr>
      </w:pPr>
    </w:p>
    <w:p w14:paraId="34EDEE38" w14:textId="50420A76" w:rsidR="00671CE2" w:rsidRPr="00A07BE9" w:rsidRDefault="00671CE2" w:rsidP="00671CE2">
      <w:pPr>
        <w:spacing w:after="0" w:line="276" w:lineRule="auto"/>
        <w:jc w:val="both"/>
        <w:rPr>
          <w:rFonts w:ascii="Open Sans" w:hAnsi="Open Sans"/>
          <w:sz w:val="20"/>
          <w:szCs w:val="20"/>
        </w:rPr>
      </w:pPr>
      <w:r w:rsidRPr="00A07BE9">
        <w:rPr>
          <w:rFonts w:ascii="Open Sans" w:hAnsi="Open Sans" w:cs="Open Sans;Segoe UI"/>
          <w:color w:val="1B1B1B"/>
          <w:sz w:val="20"/>
          <w:szCs w:val="20"/>
        </w:rPr>
        <w:t>La Unión Europea viene destacando la importante contribución de las personas denunciantes a la hora de prevenir y enfrentar conductas ile</w:t>
      </w:r>
      <w:r w:rsidRPr="00A07BE9">
        <w:rPr>
          <w:rFonts w:ascii="Open Sans" w:hAnsi="Open Sans" w:cs="Open Sans;Segoe UI"/>
          <w:color w:val="000000"/>
          <w:sz w:val="20"/>
          <w:szCs w:val="20"/>
        </w:rPr>
        <w:t>gales que dañan los intereses públicos</w:t>
      </w:r>
      <w:r w:rsidRPr="00A07BE9">
        <w:rPr>
          <w:rFonts w:ascii="Open Sans" w:hAnsi="Open Sans" w:cs="Open Sans;Segoe UI"/>
          <w:i/>
          <w:iCs/>
          <w:color w:val="000000"/>
          <w:sz w:val="20"/>
          <w:szCs w:val="20"/>
        </w:rPr>
        <w:t xml:space="preserve">, </w:t>
      </w:r>
      <w:r w:rsidRPr="00A07BE9">
        <w:rPr>
          <w:rFonts w:ascii="Open Sans" w:hAnsi="Open Sans" w:cs="Open Sans;Segoe UI"/>
          <w:color w:val="000000"/>
          <w:sz w:val="20"/>
          <w:szCs w:val="20"/>
        </w:rPr>
        <w:t xml:space="preserve">y ha emitido hasta el momento numerosas Recomendaciones y otras Resoluciones que han servido de marco jurídico para la elaboración y aprobación de la mencionada </w:t>
      </w:r>
      <w:hyperlink r:id="rId224" w:history="1">
        <w:r w:rsidR="006C787A" w:rsidRPr="00A07BE9">
          <w:rPr>
            <w:rStyle w:val="Hipervnculo"/>
            <w:rFonts w:ascii="Open Sans" w:eastAsia="Calibri" w:hAnsi="Open Sans"/>
            <w:sz w:val="20"/>
            <w:szCs w:val="20"/>
          </w:rPr>
          <w:t>Directiva (UE) 2019/1937</w:t>
        </w:r>
      </w:hyperlink>
      <w:r w:rsidRPr="00A07BE9">
        <w:rPr>
          <w:rFonts w:ascii="Open Sans" w:hAnsi="Open Sans" w:cs="Open Sans;Segoe UI"/>
          <w:color w:val="000000"/>
          <w:sz w:val="20"/>
          <w:szCs w:val="20"/>
        </w:rPr>
        <w:t>.</w:t>
      </w:r>
    </w:p>
    <w:p w14:paraId="26D8BC34" w14:textId="77777777" w:rsidR="00671CE2" w:rsidRPr="00A07BE9" w:rsidRDefault="00671CE2" w:rsidP="00671CE2">
      <w:pPr>
        <w:spacing w:after="0" w:line="276" w:lineRule="auto"/>
        <w:jc w:val="both"/>
        <w:rPr>
          <w:rFonts w:ascii="Open Sans" w:hAnsi="Open Sans"/>
          <w:sz w:val="20"/>
          <w:szCs w:val="20"/>
        </w:rPr>
      </w:pPr>
    </w:p>
    <w:p w14:paraId="63B8D2E8" w14:textId="77777777" w:rsidR="00671CE2" w:rsidRPr="00A07BE9" w:rsidRDefault="00671CE2" w:rsidP="00671CE2">
      <w:pPr>
        <w:spacing w:after="0" w:line="276" w:lineRule="auto"/>
        <w:jc w:val="both"/>
        <w:rPr>
          <w:rFonts w:ascii="Open Sans" w:hAnsi="Open Sans"/>
          <w:sz w:val="20"/>
          <w:szCs w:val="20"/>
        </w:rPr>
      </w:pPr>
      <w:r w:rsidRPr="00A07BE9">
        <w:rPr>
          <w:rFonts w:ascii="Open Sans" w:hAnsi="Open Sans" w:cs="Open Sans;Segoe UI"/>
          <w:color w:val="000000"/>
          <w:sz w:val="20"/>
          <w:szCs w:val="20"/>
        </w:rPr>
        <w:t xml:space="preserve">La referida normativa, que comporta un imprescindible cambio cultural, refleja la creciente sensibilidad y </w:t>
      </w:r>
      <w:r w:rsidRPr="00A07BE9">
        <w:rPr>
          <w:rFonts w:ascii="Open Sans" w:hAnsi="Open Sans" w:cs="Open Sans;Segoe UI"/>
          <w:sz w:val="20"/>
          <w:szCs w:val="20"/>
        </w:rPr>
        <w:t>preocupación de las instituciones europeas en torno a la necesaria protección de los</w:t>
      </w:r>
      <w:r w:rsidRPr="00A07BE9">
        <w:rPr>
          <w:rFonts w:ascii="Open Sans" w:hAnsi="Open Sans" w:cs="Open Sans;Segoe UI"/>
          <w:i/>
          <w:iCs/>
          <w:sz w:val="20"/>
          <w:szCs w:val="20"/>
        </w:rPr>
        <w:t xml:space="preserve"> </w:t>
      </w:r>
      <w:r w:rsidRPr="00A07BE9">
        <w:rPr>
          <w:rFonts w:ascii="Open Sans" w:hAnsi="Open Sans" w:cs="Open Sans;Segoe UI"/>
          <w:iCs/>
          <w:sz w:val="20"/>
          <w:szCs w:val="20"/>
        </w:rPr>
        <w:t>“whistleblowers”</w:t>
      </w:r>
      <w:r w:rsidRPr="00A07BE9">
        <w:rPr>
          <w:rFonts w:ascii="Open Sans" w:hAnsi="Open Sans" w:cs="Open Sans;Segoe UI"/>
          <w:i/>
          <w:iCs/>
          <w:sz w:val="20"/>
          <w:szCs w:val="20"/>
        </w:rPr>
        <w:t xml:space="preserve">, </w:t>
      </w:r>
      <w:r w:rsidRPr="00A07BE9">
        <w:rPr>
          <w:rFonts w:ascii="Open Sans" w:hAnsi="Open Sans" w:cs="Open Sans;Segoe UI"/>
          <w:sz w:val="20"/>
          <w:szCs w:val="20"/>
        </w:rPr>
        <w:t>persona denunciante de un acto ilegal o irregular que presencia en su puesto de trabajo</w:t>
      </w:r>
      <w:r w:rsidRPr="00A07BE9">
        <w:rPr>
          <w:rFonts w:ascii="Open Sans" w:hAnsi="Open Sans" w:cs="Open Sans;Segoe UI"/>
          <w:i/>
          <w:iCs/>
          <w:sz w:val="20"/>
          <w:szCs w:val="20"/>
        </w:rPr>
        <w:t xml:space="preserve">. </w:t>
      </w:r>
      <w:r w:rsidRPr="00A07BE9">
        <w:rPr>
          <w:rFonts w:ascii="Open Sans" w:hAnsi="Open Sans" w:cs="Open Sans;Segoe UI"/>
          <w:sz w:val="20"/>
          <w:szCs w:val="20"/>
        </w:rPr>
        <w:t xml:space="preserve">Si dicha protección y el seguimiento no son efectivos, los potenciales denunciantes pueden ver disuadida su voluntad de denunciar actos contrarios al interés general. </w:t>
      </w:r>
    </w:p>
    <w:p w14:paraId="447FFB14" w14:textId="77777777" w:rsidR="00671CE2" w:rsidRPr="00A07BE9" w:rsidRDefault="00671CE2" w:rsidP="00671CE2">
      <w:pPr>
        <w:spacing w:after="0" w:line="276" w:lineRule="auto"/>
        <w:jc w:val="both"/>
        <w:rPr>
          <w:rFonts w:ascii="Open Sans" w:hAnsi="Open Sans" w:cs="Open Sans;Segoe UI"/>
          <w:color w:val="1B1B1B"/>
          <w:sz w:val="20"/>
          <w:szCs w:val="20"/>
        </w:rPr>
      </w:pPr>
    </w:p>
    <w:p w14:paraId="7CCFFE36" w14:textId="77777777" w:rsidR="00671CE2" w:rsidRPr="00A07BE9" w:rsidRDefault="00671CE2" w:rsidP="00671CE2">
      <w:pPr>
        <w:spacing w:after="0" w:line="276" w:lineRule="auto"/>
        <w:jc w:val="both"/>
        <w:rPr>
          <w:rFonts w:ascii="Open Sans" w:hAnsi="Open Sans" w:cs="Open Sans;Segoe UI"/>
          <w:color w:val="000000"/>
          <w:sz w:val="20"/>
          <w:szCs w:val="20"/>
        </w:rPr>
      </w:pPr>
      <w:r w:rsidRPr="00A07BE9">
        <w:rPr>
          <w:rFonts w:ascii="Open Sans" w:hAnsi="Open Sans" w:cs="Open Sans;Segoe UI"/>
          <w:color w:val="000000"/>
          <w:sz w:val="20"/>
          <w:szCs w:val="20"/>
        </w:rPr>
        <w:t>Entre los objetivos y fines de la Agencia se enfatiza, como ya ha quedado dicho en la presente Memoria, el de velar para que las que las personas denunciantes no sufran, como consecuencia de la denuncia, ningún tipo de aislamiento, persecución o empeoramiento de sus condiciones laborales o profesionales, ni ninguna medida que implique cualquier forma de perjuicio o discriminación, intimidación o represalia, directa o indirecta, ni durante la investigación de los hechos denunciados ni después de ella.</w:t>
      </w:r>
    </w:p>
    <w:p w14:paraId="5258568D" w14:textId="77777777" w:rsidR="00671CE2" w:rsidRPr="00A07BE9" w:rsidRDefault="00671CE2" w:rsidP="00671CE2">
      <w:pPr>
        <w:spacing w:after="0" w:line="276" w:lineRule="auto"/>
        <w:jc w:val="both"/>
        <w:rPr>
          <w:rFonts w:ascii="Open Sans" w:hAnsi="Open Sans"/>
          <w:sz w:val="20"/>
          <w:szCs w:val="20"/>
        </w:rPr>
      </w:pPr>
    </w:p>
    <w:p w14:paraId="0B7FE11B" w14:textId="5ECE4608" w:rsidR="00671CE2" w:rsidRPr="00417A14" w:rsidRDefault="00671CE2" w:rsidP="00671CE2">
      <w:pPr>
        <w:spacing w:after="0" w:line="276" w:lineRule="auto"/>
        <w:jc w:val="both"/>
        <w:rPr>
          <w:rFonts w:ascii="Open Sans" w:hAnsi="Open Sans"/>
          <w:sz w:val="20"/>
          <w:szCs w:val="20"/>
        </w:rPr>
      </w:pPr>
      <w:r w:rsidRPr="00A07BE9">
        <w:rPr>
          <w:rFonts w:ascii="Open Sans" w:hAnsi="Open Sans"/>
          <w:sz w:val="20"/>
          <w:szCs w:val="20"/>
        </w:rPr>
        <w:t xml:space="preserve">Así pues, tras la resolución declarativa de la Agencia que otorga </w:t>
      </w:r>
      <w:r w:rsidRPr="00A07BE9">
        <w:rPr>
          <w:rFonts w:ascii="Open Sans" w:hAnsi="Open Sans" w:cs="Open Sans;Segoe UI"/>
          <w:color w:val="000000"/>
          <w:sz w:val="20"/>
          <w:szCs w:val="20"/>
        </w:rPr>
        <w:t>el estatuto de protección de persona denunciante, por su personal funcionario se procede al seguimiento de la situación laboral y profesional de aquélla, a cuyo efecto la persona denunciante podrá comunicar cualquier acción que perturbe sus derechos como consecuencia de la denuncia realizada.</w:t>
      </w:r>
    </w:p>
    <w:p w14:paraId="43EB90D1" w14:textId="349860A4" w:rsidR="00671CE2" w:rsidRPr="00A07BE9" w:rsidRDefault="00671CE2" w:rsidP="00671CE2">
      <w:pPr>
        <w:spacing w:after="0" w:line="276" w:lineRule="auto"/>
        <w:jc w:val="both"/>
        <w:rPr>
          <w:rFonts w:ascii="Open Sans" w:hAnsi="Open Sans"/>
          <w:sz w:val="20"/>
          <w:szCs w:val="20"/>
        </w:rPr>
      </w:pPr>
      <w:r w:rsidRPr="00A07BE9">
        <w:rPr>
          <w:rFonts w:ascii="Open Sans" w:eastAsia="Times New Roman" w:hAnsi="Open Sans" w:cs="Open Sans;Segoe UI"/>
          <w:color w:val="1B1B1B"/>
          <w:sz w:val="20"/>
          <w:szCs w:val="20"/>
          <w:lang w:eastAsia="es-ES"/>
        </w:rPr>
        <w:t xml:space="preserve">La </w:t>
      </w:r>
      <w:hyperlink r:id="rId225" w:history="1">
        <w:r w:rsidRPr="00A07BE9">
          <w:rPr>
            <w:rStyle w:val="Hipervnculo"/>
            <w:rFonts w:ascii="Open Sans" w:eastAsia="Times New Roman" w:hAnsi="Open Sans" w:cs="Open Sans;Segoe UI"/>
            <w:sz w:val="20"/>
            <w:szCs w:val="20"/>
            <w:lang w:eastAsia="es-ES"/>
          </w:rPr>
          <w:t>Directiva (UE) 2019/1937</w:t>
        </w:r>
      </w:hyperlink>
      <w:r w:rsidRPr="00A07BE9">
        <w:rPr>
          <w:rFonts w:ascii="Open Sans" w:eastAsia="Times New Roman" w:hAnsi="Open Sans" w:cs="Open Sans;Segoe UI"/>
          <w:color w:val="1B1B1B"/>
          <w:sz w:val="20"/>
          <w:szCs w:val="20"/>
          <w:lang w:eastAsia="es-ES"/>
        </w:rPr>
        <w:t xml:space="preserve"> recoge la expresa </w:t>
      </w:r>
      <w:r w:rsidRPr="00A07BE9">
        <w:rPr>
          <w:rFonts w:ascii="Open Sans" w:eastAsia="Times New Roman" w:hAnsi="Open Sans" w:cs="Open Sans;Segoe UI"/>
          <w:b/>
          <w:bCs/>
          <w:color w:val="1B1B1B"/>
          <w:sz w:val="20"/>
          <w:szCs w:val="20"/>
          <w:lang w:eastAsia="es-ES"/>
        </w:rPr>
        <w:t>prohibición de represalias</w:t>
      </w:r>
      <w:r w:rsidRPr="00A07BE9">
        <w:rPr>
          <w:rFonts w:ascii="Open Sans" w:eastAsia="Times New Roman" w:hAnsi="Open Sans" w:cs="Open Sans;Segoe UI"/>
          <w:color w:val="1B1B1B"/>
          <w:sz w:val="20"/>
          <w:szCs w:val="20"/>
          <w:lang w:eastAsia="es-ES"/>
        </w:rPr>
        <w:t xml:space="preserve"> y ordena a los Estados miembros que adopten las medidas necesarias para prohibir todas las formas que las mismas pueden revestir, </w:t>
      </w:r>
      <w:r w:rsidRPr="00A07BE9">
        <w:rPr>
          <w:rFonts w:ascii="Open Sans" w:eastAsia="Times New Roman" w:hAnsi="Open Sans" w:cs="Open Sans;Segoe UI"/>
          <w:b/>
          <w:bCs/>
          <w:color w:val="1B1B1B"/>
          <w:sz w:val="20"/>
          <w:szCs w:val="20"/>
          <w:lang w:eastAsia="es-ES"/>
        </w:rPr>
        <w:t>incluidas las amenazas y las tentativas</w:t>
      </w:r>
      <w:r w:rsidRPr="00A07BE9">
        <w:rPr>
          <w:rFonts w:ascii="Open Sans" w:eastAsia="Times New Roman" w:hAnsi="Open Sans" w:cs="Open Sans;Segoe UI"/>
          <w:color w:val="1B1B1B"/>
          <w:sz w:val="20"/>
          <w:szCs w:val="20"/>
          <w:lang w:eastAsia="es-ES"/>
        </w:rPr>
        <w:t xml:space="preserve"> de represalia, relacionando un </w:t>
      </w:r>
      <w:r w:rsidRPr="00A07BE9">
        <w:rPr>
          <w:rFonts w:ascii="Open Sans" w:eastAsia="Times New Roman" w:hAnsi="Open Sans" w:cs="Open Sans;Segoe UI"/>
          <w:i/>
          <w:iCs/>
          <w:color w:val="1B1B1B"/>
          <w:sz w:val="20"/>
          <w:szCs w:val="20"/>
          <w:lang w:eastAsia="es-ES"/>
        </w:rPr>
        <w:t>numerus apertus</w:t>
      </w:r>
      <w:r w:rsidRPr="00A07BE9">
        <w:rPr>
          <w:rFonts w:ascii="Open Sans" w:eastAsia="Times New Roman" w:hAnsi="Open Sans" w:cs="Open Sans;Segoe UI"/>
          <w:color w:val="1B1B1B"/>
          <w:sz w:val="20"/>
          <w:szCs w:val="20"/>
          <w:lang w:eastAsia="es-ES"/>
        </w:rPr>
        <w:t xml:space="preserve"> de situaciones:</w:t>
      </w:r>
    </w:p>
    <w:p w14:paraId="6D22E618" w14:textId="7D095C2E" w:rsidR="00BC510D" w:rsidRDefault="00BC510D" w:rsidP="00671CE2">
      <w:pPr>
        <w:spacing w:after="0" w:line="276" w:lineRule="auto"/>
        <w:jc w:val="both"/>
        <w:rPr>
          <w:rFonts w:ascii="Open Sans" w:eastAsia="Times New Roman" w:hAnsi="Open Sans" w:cs="Open Sans;Segoe UI"/>
          <w:i/>
          <w:iCs/>
          <w:color w:val="1B1B1B"/>
          <w:sz w:val="20"/>
          <w:szCs w:val="20"/>
          <w:lang w:eastAsia="es-ES"/>
        </w:rPr>
      </w:pPr>
    </w:p>
    <w:p w14:paraId="6B224705" w14:textId="77777777" w:rsidR="00436B6D" w:rsidRPr="00A07BE9" w:rsidRDefault="00436B6D" w:rsidP="00671CE2">
      <w:pPr>
        <w:spacing w:after="0" w:line="276" w:lineRule="auto"/>
        <w:jc w:val="both"/>
        <w:rPr>
          <w:rFonts w:ascii="Open Sans" w:eastAsia="Times New Roman" w:hAnsi="Open Sans" w:cs="Open Sans;Segoe UI"/>
          <w:i/>
          <w:iCs/>
          <w:color w:val="1B1B1B"/>
          <w:sz w:val="20"/>
          <w:szCs w:val="20"/>
          <w:lang w:eastAsia="es-ES"/>
        </w:rPr>
      </w:pPr>
    </w:p>
    <w:p w14:paraId="334F5D3C" w14:textId="321E5796" w:rsidR="00671CE2" w:rsidRPr="00A07BE9" w:rsidRDefault="00B81E44" w:rsidP="00671CE2">
      <w:pPr>
        <w:spacing w:after="0" w:line="276" w:lineRule="auto"/>
        <w:ind w:left="567"/>
        <w:jc w:val="both"/>
        <w:rPr>
          <w:rFonts w:ascii="Open Sans" w:eastAsia="Times New Roman" w:hAnsi="Open Sans" w:cs="Open Sans;Segoe UI"/>
          <w:iCs/>
          <w:color w:val="1B1B1B"/>
          <w:sz w:val="20"/>
          <w:szCs w:val="20"/>
          <w:lang w:eastAsia="es-ES"/>
        </w:rPr>
      </w:pPr>
      <w:r w:rsidRPr="00A07BE9">
        <w:rPr>
          <w:rFonts w:ascii="Open Sans" w:eastAsia="Times New Roman" w:hAnsi="Open Sans" w:cs="Open Sans;Segoe UI"/>
          <w:iCs/>
          <w:color w:val="1B1B1B"/>
          <w:sz w:val="20"/>
          <w:szCs w:val="20"/>
          <w:lang w:eastAsia="es-ES"/>
        </w:rPr>
        <w:lastRenderedPageBreak/>
        <w:t>“</w:t>
      </w:r>
      <w:r w:rsidR="00671CE2" w:rsidRPr="00A07BE9">
        <w:rPr>
          <w:rFonts w:ascii="Open Sans" w:eastAsia="Times New Roman" w:hAnsi="Open Sans" w:cs="Open Sans;Segoe UI"/>
          <w:iCs/>
          <w:color w:val="1B1B1B"/>
          <w:sz w:val="20"/>
          <w:szCs w:val="20"/>
          <w:lang w:eastAsia="es-ES"/>
        </w:rPr>
        <w:t>a) Suspensión, despido, destitución o medidas equivalentes.</w:t>
      </w:r>
    </w:p>
    <w:p w14:paraId="06B88896" w14:textId="77777777" w:rsidR="00671CE2" w:rsidRPr="00A07BE9" w:rsidRDefault="00671CE2" w:rsidP="00671CE2">
      <w:pPr>
        <w:spacing w:after="0" w:line="276" w:lineRule="auto"/>
        <w:ind w:left="567"/>
        <w:jc w:val="both"/>
        <w:rPr>
          <w:rFonts w:ascii="Open Sans" w:eastAsia="Times New Roman" w:hAnsi="Open Sans" w:cs="Open Sans;Segoe UI"/>
          <w:iCs/>
          <w:color w:val="1B1B1B"/>
          <w:sz w:val="20"/>
          <w:szCs w:val="20"/>
          <w:lang w:eastAsia="es-ES"/>
        </w:rPr>
      </w:pPr>
      <w:r w:rsidRPr="00A07BE9">
        <w:rPr>
          <w:rFonts w:ascii="Open Sans" w:eastAsia="Times New Roman" w:hAnsi="Open Sans" w:cs="Open Sans;Segoe UI"/>
          <w:iCs/>
          <w:color w:val="1B1B1B"/>
          <w:sz w:val="20"/>
          <w:szCs w:val="20"/>
          <w:lang w:eastAsia="es-ES"/>
        </w:rPr>
        <w:t>b) Degradación o denegación de ascensos.</w:t>
      </w:r>
    </w:p>
    <w:p w14:paraId="705CA866" w14:textId="77777777" w:rsidR="00671CE2" w:rsidRPr="00A07BE9" w:rsidRDefault="00671CE2" w:rsidP="00671CE2">
      <w:pPr>
        <w:spacing w:after="0" w:line="276" w:lineRule="auto"/>
        <w:ind w:left="567"/>
        <w:jc w:val="both"/>
        <w:rPr>
          <w:rFonts w:ascii="Open Sans" w:eastAsia="Times New Roman" w:hAnsi="Open Sans" w:cs="Open Sans;Segoe UI"/>
          <w:iCs/>
          <w:color w:val="1B1B1B"/>
          <w:sz w:val="20"/>
          <w:szCs w:val="20"/>
          <w:lang w:eastAsia="es-ES"/>
        </w:rPr>
      </w:pPr>
      <w:r w:rsidRPr="00A07BE9">
        <w:rPr>
          <w:rFonts w:ascii="Open Sans" w:eastAsia="Times New Roman" w:hAnsi="Open Sans" w:cs="Open Sans;Segoe UI"/>
          <w:iCs/>
          <w:color w:val="1B1B1B"/>
          <w:sz w:val="20"/>
          <w:szCs w:val="20"/>
          <w:lang w:eastAsia="es-ES"/>
        </w:rPr>
        <w:t>c) Cambio de puesto de trabajo, cambio de ubicación del lugar de trabajo, reducción salarial o cambio del horario de trabajo.</w:t>
      </w:r>
    </w:p>
    <w:p w14:paraId="2DB53CF4" w14:textId="77777777" w:rsidR="00671CE2" w:rsidRPr="00A07BE9" w:rsidRDefault="00671CE2" w:rsidP="00671CE2">
      <w:pPr>
        <w:spacing w:after="0" w:line="276" w:lineRule="auto"/>
        <w:ind w:left="567"/>
        <w:jc w:val="both"/>
        <w:rPr>
          <w:rFonts w:ascii="Open Sans" w:eastAsia="Times New Roman" w:hAnsi="Open Sans" w:cs="Open Sans;Segoe UI"/>
          <w:iCs/>
          <w:color w:val="1B1B1B"/>
          <w:sz w:val="20"/>
          <w:szCs w:val="20"/>
          <w:lang w:eastAsia="es-ES"/>
        </w:rPr>
      </w:pPr>
      <w:r w:rsidRPr="00A07BE9">
        <w:rPr>
          <w:rFonts w:ascii="Open Sans" w:eastAsia="Times New Roman" w:hAnsi="Open Sans" w:cs="Open Sans;Segoe UI"/>
          <w:iCs/>
          <w:color w:val="1B1B1B"/>
          <w:sz w:val="20"/>
          <w:szCs w:val="20"/>
          <w:lang w:eastAsia="es-ES"/>
        </w:rPr>
        <w:t>d) Denegación de formación.</w:t>
      </w:r>
    </w:p>
    <w:p w14:paraId="1CF025B3" w14:textId="77777777" w:rsidR="00671CE2" w:rsidRPr="00A07BE9" w:rsidRDefault="00671CE2" w:rsidP="00671CE2">
      <w:pPr>
        <w:spacing w:after="0" w:line="276" w:lineRule="auto"/>
        <w:ind w:left="567"/>
        <w:jc w:val="both"/>
        <w:rPr>
          <w:rFonts w:ascii="Open Sans" w:eastAsia="Times New Roman" w:hAnsi="Open Sans" w:cs="Open Sans;Segoe UI"/>
          <w:iCs/>
          <w:color w:val="1B1B1B"/>
          <w:sz w:val="20"/>
          <w:szCs w:val="20"/>
          <w:lang w:eastAsia="es-ES"/>
        </w:rPr>
      </w:pPr>
      <w:r w:rsidRPr="00A07BE9">
        <w:rPr>
          <w:rFonts w:ascii="Open Sans" w:eastAsia="Times New Roman" w:hAnsi="Open Sans" w:cs="Open Sans;Segoe UI"/>
          <w:iCs/>
          <w:color w:val="1B1B1B"/>
          <w:sz w:val="20"/>
          <w:szCs w:val="20"/>
          <w:lang w:eastAsia="es-ES"/>
        </w:rPr>
        <w:t>e) Evaluación o referencias negativas con respecto a los resultados laborales.</w:t>
      </w:r>
    </w:p>
    <w:p w14:paraId="43E2FB53" w14:textId="77777777" w:rsidR="00671CE2" w:rsidRPr="00A07BE9" w:rsidRDefault="00671CE2" w:rsidP="00671CE2">
      <w:pPr>
        <w:spacing w:after="0" w:line="276" w:lineRule="auto"/>
        <w:ind w:left="567"/>
        <w:jc w:val="both"/>
        <w:rPr>
          <w:rFonts w:ascii="Open Sans" w:eastAsia="Times New Roman" w:hAnsi="Open Sans" w:cs="Open Sans;Segoe UI"/>
          <w:iCs/>
          <w:color w:val="1B1B1B"/>
          <w:sz w:val="20"/>
          <w:szCs w:val="20"/>
          <w:lang w:eastAsia="es-ES"/>
        </w:rPr>
      </w:pPr>
      <w:r w:rsidRPr="00A07BE9">
        <w:rPr>
          <w:rFonts w:ascii="Open Sans" w:eastAsia="Times New Roman" w:hAnsi="Open Sans" w:cs="Open Sans;Segoe UI"/>
          <w:iCs/>
          <w:color w:val="1B1B1B"/>
          <w:sz w:val="20"/>
          <w:szCs w:val="20"/>
          <w:lang w:eastAsia="es-ES"/>
        </w:rPr>
        <w:t>f) Imposición de cualquier medida disciplinaria, amonestación u otra sanción, incluidas las sanciones pecuniarias.</w:t>
      </w:r>
    </w:p>
    <w:p w14:paraId="75D07AF0" w14:textId="77777777" w:rsidR="00671CE2" w:rsidRPr="00A07BE9" w:rsidRDefault="00671CE2" w:rsidP="00671CE2">
      <w:pPr>
        <w:spacing w:after="0" w:line="276" w:lineRule="auto"/>
        <w:ind w:left="567"/>
        <w:jc w:val="both"/>
        <w:rPr>
          <w:rFonts w:ascii="Open Sans" w:eastAsia="Times New Roman" w:hAnsi="Open Sans" w:cs="Open Sans;Segoe UI"/>
          <w:iCs/>
          <w:color w:val="1B1B1B"/>
          <w:sz w:val="20"/>
          <w:szCs w:val="20"/>
          <w:lang w:eastAsia="es-ES"/>
        </w:rPr>
      </w:pPr>
      <w:r w:rsidRPr="00A07BE9">
        <w:rPr>
          <w:rFonts w:ascii="Open Sans" w:eastAsia="Times New Roman" w:hAnsi="Open Sans" w:cs="Open Sans;Segoe UI"/>
          <w:iCs/>
          <w:color w:val="1B1B1B"/>
          <w:sz w:val="20"/>
          <w:szCs w:val="20"/>
          <w:lang w:eastAsia="es-ES"/>
        </w:rPr>
        <w:t>g) Coacciones, intimidaciones, acoso u ostracismo.</w:t>
      </w:r>
    </w:p>
    <w:p w14:paraId="5A093695" w14:textId="77777777" w:rsidR="00671CE2" w:rsidRPr="00A07BE9" w:rsidRDefault="00671CE2" w:rsidP="00671CE2">
      <w:pPr>
        <w:spacing w:after="0" w:line="276" w:lineRule="auto"/>
        <w:ind w:left="567"/>
        <w:jc w:val="both"/>
        <w:rPr>
          <w:rFonts w:ascii="Open Sans" w:eastAsia="Times New Roman" w:hAnsi="Open Sans" w:cs="Open Sans;Segoe UI"/>
          <w:iCs/>
          <w:color w:val="1B1B1B"/>
          <w:sz w:val="20"/>
          <w:szCs w:val="20"/>
          <w:lang w:eastAsia="es-ES"/>
        </w:rPr>
      </w:pPr>
      <w:r w:rsidRPr="00A07BE9">
        <w:rPr>
          <w:rFonts w:ascii="Open Sans" w:eastAsia="Times New Roman" w:hAnsi="Open Sans" w:cs="Open Sans;Segoe UI"/>
          <w:iCs/>
          <w:color w:val="1B1B1B"/>
          <w:sz w:val="20"/>
          <w:szCs w:val="20"/>
          <w:lang w:eastAsia="es-ES"/>
        </w:rPr>
        <w:t>h) Discriminación, o trato desfavorable o injusto.</w:t>
      </w:r>
    </w:p>
    <w:p w14:paraId="2E7FD376" w14:textId="77777777" w:rsidR="00671CE2" w:rsidRPr="00A07BE9" w:rsidRDefault="00671CE2" w:rsidP="00671CE2">
      <w:pPr>
        <w:spacing w:after="0" w:line="276" w:lineRule="auto"/>
        <w:ind w:left="567"/>
        <w:jc w:val="both"/>
        <w:rPr>
          <w:rFonts w:ascii="Open Sans" w:eastAsia="Times New Roman" w:hAnsi="Open Sans" w:cs="Open Sans;Segoe UI"/>
          <w:iCs/>
          <w:color w:val="1B1B1B"/>
          <w:sz w:val="20"/>
          <w:szCs w:val="20"/>
          <w:lang w:eastAsia="es-ES"/>
        </w:rPr>
      </w:pPr>
      <w:r w:rsidRPr="00A07BE9">
        <w:rPr>
          <w:rFonts w:ascii="Open Sans" w:eastAsia="Times New Roman" w:hAnsi="Open Sans" w:cs="Open Sans;Segoe UI"/>
          <w:iCs/>
          <w:color w:val="1B1B1B"/>
          <w:sz w:val="20"/>
          <w:szCs w:val="20"/>
          <w:lang w:eastAsia="es-ES"/>
        </w:rPr>
        <w:t>i) No conversión de un contrato de trabajo temporal en uno indefinido, en caso de que el trabajador tuviera expectativas legítimas de que se le ofrecería un trabajo indefinido.</w:t>
      </w:r>
    </w:p>
    <w:p w14:paraId="78E02DD4" w14:textId="77777777" w:rsidR="00671CE2" w:rsidRPr="00A07BE9" w:rsidRDefault="00671CE2" w:rsidP="00671CE2">
      <w:pPr>
        <w:spacing w:after="0" w:line="276" w:lineRule="auto"/>
        <w:ind w:left="567"/>
        <w:jc w:val="both"/>
        <w:rPr>
          <w:rFonts w:ascii="Open Sans" w:eastAsia="Times New Roman" w:hAnsi="Open Sans" w:cs="Open Sans;Segoe UI"/>
          <w:iCs/>
          <w:color w:val="1B1B1B"/>
          <w:sz w:val="20"/>
          <w:szCs w:val="20"/>
          <w:lang w:eastAsia="es-ES"/>
        </w:rPr>
      </w:pPr>
      <w:r w:rsidRPr="00A07BE9">
        <w:rPr>
          <w:rFonts w:ascii="Open Sans" w:eastAsia="Times New Roman" w:hAnsi="Open Sans" w:cs="Open Sans;Segoe UI"/>
          <w:iCs/>
          <w:color w:val="1B1B1B"/>
          <w:sz w:val="20"/>
          <w:szCs w:val="20"/>
          <w:lang w:eastAsia="es-ES"/>
        </w:rPr>
        <w:t>j) No renovación o terminación anticipada de un contrato de trabajo temporal.</w:t>
      </w:r>
    </w:p>
    <w:p w14:paraId="4B4B27A9" w14:textId="77777777" w:rsidR="00671CE2" w:rsidRPr="00A07BE9" w:rsidRDefault="00671CE2" w:rsidP="00671CE2">
      <w:pPr>
        <w:spacing w:after="0" w:line="276" w:lineRule="auto"/>
        <w:ind w:left="567"/>
        <w:jc w:val="both"/>
        <w:rPr>
          <w:rFonts w:ascii="Open Sans" w:eastAsia="Times New Roman" w:hAnsi="Open Sans" w:cs="Open Sans;Segoe UI"/>
          <w:iCs/>
          <w:color w:val="1B1B1B"/>
          <w:sz w:val="20"/>
          <w:szCs w:val="20"/>
          <w:lang w:eastAsia="es-ES"/>
        </w:rPr>
      </w:pPr>
      <w:r w:rsidRPr="00A07BE9">
        <w:rPr>
          <w:rFonts w:ascii="Open Sans" w:eastAsia="Times New Roman" w:hAnsi="Open Sans" w:cs="Open Sans;Segoe UI"/>
          <w:iCs/>
          <w:color w:val="1B1B1B"/>
          <w:sz w:val="20"/>
          <w:szCs w:val="20"/>
          <w:lang w:eastAsia="es-ES"/>
        </w:rPr>
        <w:t>k) Daños, incluidos a la reputación, o pérdidas económicas, incluidas la pérdida de negocio y de ingresos.</w:t>
      </w:r>
    </w:p>
    <w:p w14:paraId="1D3D4BCC" w14:textId="77777777" w:rsidR="00671CE2" w:rsidRPr="00A07BE9" w:rsidRDefault="00671CE2" w:rsidP="00671CE2">
      <w:pPr>
        <w:spacing w:after="0" w:line="276" w:lineRule="auto"/>
        <w:ind w:left="567"/>
        <w:jc w:val="both"/>
        <w:rPr>
          <w:rFonts w:ascii="Open Sans" w:eastAsia="Times New Roman" w:hAnsi="Open Sans" w:cs="Open Sans;Segoe UI"/>
          <w:iCs/>
          <w:color w:val="1B1B1B"/>
          <w:sz w:val="20"/>
          <w:szCs w:val="20"/>
          <w:lang w:eastAsia="es-ES"/>
        </w:rPr>
      </w:pPr>
      <w:r w:rsidRPr="00A07BE9">
        <w:rPr>
          <w:rFonts w:ascii="Open Sans" w:eastAsia="Times New Roman" w:hAnsi="Open Sans" w:cs="Open Sans;Segoe UI"/>
          <w:iCs/>
          <w:color w:val="1B1B1B"/>
          <w:sz w:val="20"/>
          <w:szCs w:val="20"/>
          <w:lang w:eastAsia="es-ES"/>
        </w:rPr>
        <w:t>l) Inclusión en listas negras sobre la base de un acuerdo sectorial, informal o formal, que pueda implicar que en el futuro la persona no vaya a encontrar empleo en dicho sector.</w:t>
      </w:r>
    </w:p>
    <w:p w14:paraId="53919CF0" w14:textId="77777777" w:rsidR="00671CE2" w:rsidRPr="00A07BE9" w:rsidRDefault="00671CE2" w:rsidP="00671CE2">
      <w:pPr>
        <w:spacing w:after="0" w:line="276" w:lineRule="auto"/>
        <w:ind w:left="567"/>
        <w:jc w:val="both"/>
        <w:rPr>
          <w:rFonts w:ascii="Open Sans" w:eastAsia="Times New Roman" w:hAnsi="Open Sans" w:cs="Open Sans;Segoe UI"/>
          <w:iCs/>
          <w:color w:val="1B1B1B"/>
          <w:sz w:val="20"/>
          <w:szCs w:val="20"/>
          <w:lang w:eastAsia="es-ES"/>
        </w:rPr>
      </w:pPr>
      <w:r w:rsidRPr="00A07BE9">
        <w:rPr>
          <w:rFonts w:ascii="Open Sans" w:eastAsia="Times New Roman" w:hAnsi="Open Sans" w:cs="Open Sans;Segoe UI"/>
          <w:iCs/>
          <w:color w:val="1B1B1B"/>
          <w:sz w:val="20"/>
          <w:szCs w:val="20"/>
          <w:lang w:eastAsia="es-ES"/>
        </w:rPr>
        <w:t>m) Terminación anticipada o anulación de contratos de bienes o servicios.</w:t>
      </w:r>
    </w:p>
    <w:p w14:paraId="143E7623" w14:textId="77777777" w:rsidR="00671CE2" w:rsidRPr="00A07BE9" w:rsidRDefault="00671CE2" w:rsidP="00671CE2">
      <w:pPr>
        <w:spacing w:after="0" w:line="276" w:lineRule="auto"/>
        <w:ind w:left="567"/>
        <w:jc w:val="both"/>
        <w:rPr>
          <w:rFonts w:ascii="Open Sans" w:eastAsia="Times New Roman" w:hAnsi="Open Sans" w:cs="Open Sans;Segoe UI"/>
          <w:iCs/>
          <w:color w:val="1B1B1B"/>
          <w:sz w:val="20"/>
          <w:szCs w:val="20"/>
          <w:lang w:eastAsia="es-ES"/>
        </w:rPr>
      </w:pPr>
      <w:r w:rsidRPr="00A07BE9">
        <w:rPr>
          <w:rFonts w:ascii="Open Sans" w:eastAsia="Times New Roman" w:hAnsi="Open Sans" w:cs="Open Sans;Segoe UI"/>
          <w:iCs/>
          <w:color w:val="1B1B1B"/>
          <w:sz w:val="20"/>
          <w:szCs w:val="20"/>
          <w:lang w:eastAsia="es-ES"/>
        </w:rPr>
        <w:t>n) Anulación de una licencia o permiso.</w:t>
      </w:r>
    </w:p>
    <w:p w14:paraId="3B46D31D" w14:textId="60E9F66D" w:rsidR="00671CE2" w:rsidRPr="00A07BE9" w:rsidRDefault="00671CE2" w:rsidP="00671CE2">
      <w:pPr>
        <w:spacing w:after="0" w:line="276" w:lineRule="auto"/>
        <w:ind w:left="567"/>
        <w:jc w:val="both"/>
        <w:rPr>
          <w:rFonts w:ascii="Open Sans" w:eastAsia="Times New Roman" w:hAnsi="Open Sans" w:cs="Open Sans;Segoe UI"/>
          <w:iCs/>
          <w:color w:val="1B1B1B"/>
          <w:sz w:val="20"/>
          <w:szCs w:val="20"/>
          <w:lang w:eastAsia="es-ES"/>
        </w:rPr>
      </w:pPr>
      <w:r w:rsidRPr="00A07BE9">
        <w:rPr>
          <w:rFonts w:ascii="Open Sans" w:eastAsia="Times New Roman" w:hAnsi="Open Sans" w:cs="Open Sans;Segoe UI"/>
          <w:iCs/>
          <w:color w:val="1B1B1B"/>
          <w:sz w:val="20"/>
          <w:szCs w:val="20"/>
          <w:lang w:eastAsia="es-ES"/>
        </w:rPr>
        <w:t>o) Referencias médicas o psiquiátricas.</w:t>
      </w:r>
      <w:r w:rsidR="00B81E44" w:rsidRPr="00A07BE9">
        <w:rPr>
          <w:rFonts w:ascii="Open Sans" w:eastAsia="Times New Roman" w:hAnsi="Open Sans" w:cs="Open Sans;Segoe UI"/>
          <w:iCs/>
          <w:color w:val="1B1B1B"/>
          <w:sz w:val="20"/>
          <w:szCs w:val="20"/>
          <w:lang w:eastAsia="es-ES"/>
        </w:rPr>
        <w:t>”</w:t>
      </w:r>
    </w:p>
    <w:p w14:paraId="084957C5" w14:textId="6831BB0E" w:rsidR="00035A91" w:rsidRPr="00A07BE9" w:rsidRDefault="00035A91" w:rsidP="00D45FAB">
      <w:pPr>
        <w:spacing w:after="0" w:line="276" w:lineRule="auto"/>
        <w:jc w:val="both"/>
        <w:rPr>
          <w:rFonts w:ascii="Open Sans" w:eastAsia="Times New Roman" w:hAnsi="Open Sans" w:cs="Open Sans;Segoe UI"/>
          <w:i/>
          <w:iCs/>
          <w:color w:val="1B1B1B"/>
          <w:sz w:val="20"/>
          <w:szCs w:val="20"/>
          <w:lang w:eastAsia="es-ES"/>
        </w:rPr>
      </w:pPr>
    </w:p>
    <w:p w14:paraId="56E1FB1A" w14:textId="77777777" w:rsidR="00D56DCC" w:rsidRPr="00A07BE9" w:rsidRDefault="00D56DCC" w:rsidP="00D45FAB">
      <w:pPr>
        <w:spacing w:after="0" w:line="276" w:lineRule="auto"/>
        <w:jc w:val="both"/>
        <w:rPr>
          <w:rFonts w:ascii="Open Sans" w:eastAsia="Times New Roman" w:hAnsi="Open Sans" w:cs="Open Sans;Segoe UI"/>
          <w:i/>
          <w:iCs/>
          <w:color w:val="1B1B1B"/>
          <w:sz w:val="20"/>
          <w:szCs w:val="20"/>
          <w:lang w:eastAsia="es-ES"/>
        </w:rPr>
      </w:pPr>
    </w:p>
    <w:p w14:paraId="3638CC77" w14:textId="77777777" w:rsidR="00671CE2" w:rsidRPr="00A07BE9" w:rsidRDefault="00671CE2" w:rsidP="00671CE2">
      <w:pPr>
        <w:pStyle w:val="ndicedeusuario3"/>
        <w:tabs>
          <w:tab w:val="left" w:pos="675"/>
        </w:tabs>
        <w:spacing w:after="0" w:line="240" w:lineRule="auto"/>
        <w:ind w:left="0"/>
        <w:jc w:val="both"/>
        <w:rPr>
          <w:rFonts w:ascii="Open Sans" w:eastAsia="Times New Roman" w:hAnsi="Open Sans" w:cs="Open Sans"/>
          <w:b/>
          <w:bCs/>
          <w:smallCaps/>
          <w:color w:val="9D2235"/>
          <w:sz w:val="28"/>
          <w:szCs w:val="28"/>
          <w:lang w:eastAsia="es-ES"/>
        </w:rPr>
      </w:pPr>
      <w:r w:rsidRPr="00A07BE9">
        <w:rPr>
          <w:rFonts w:ascii="Open Sans" w:eastAsia="Times New Roman" w:hAnsi="Open Sans" w:cs="Open Sans"/>
          <w:b/>
          <w:bCs/>
          <w:smallCaps/>
          <w:color w:val="9D2235"/>
          <w:sz w:val="28"/>
          <w:szCs w:val="28"/>
          <w:lang w:eastAsia="es-ES"/>
        </w:rPr>
        <w:t>4.3.5. Seguimiento de la Protección de las Personas Denunciantes</w:t>
      </w:r>
    </w:p>
    <w:p w14:paraId="3C08CD18" w14:textId="77777777" w:rsidR="00671CE2" w:rsidRPr="00A07BE9" w:rsidRDefault="00671CE2" w:rsidP="00671CE2">
      <w:pPr>
        <w:spacing w:after="0" w:line="240" w:lineRule="auto"/>
        <w:rPr>
          <w:rFonts w:ascii="Open Sans" w:hAnsi="Open Sans" w:cs="Open Sans"/>
          <w:sz w:val="20"/>
          <w:szCs w:val="20"/>
        </w:rPr>
      </w:pPr>
    </w:p>
    <w:p w14:paraId="38B0DFB8" w14:textId="0EEFB3AF" w:rsidR="00671CE2" w:rsidRPr="00A07BE9" w:rsidRDefault="00671CE2" w:rsidP="00671CE2">
      <w:pPr>
        <w:pStyle w:val="Standard"/>
        <w:spacing w:line="276" w:lineRule="auto"/>
        <w:jc w:val="both"/>
        <w:rPr>
          <w:sz w:val="20"/>
          <w:szCs w:val="20"/>
        </w:rPr>
      </w:pPr>
      <w:r w:rsidRPr="00A07BE9">
        <w:rPr>
          <w:rFonts w:ascii="Open Sans" w:eastAsia="Times New Roman" w:hAnsi="Open Sans"/>
          <w:color w:val="000000"/>
          <w:sz w:val="20"/>
          <w:szCs w:val="20"/>
          <w:lang w:eastAsia="es-ES"/>
        </w:rPr>
        <w:t xml:space="preserve">El estatuto de protección que la Agencia otorga a las personas denunciantes, en los términos que se ha ido exponiendo en la presente Memoria, supone la necesidad de que esta ponga en marcha, una vez declarada tal medida, de acuerdo con lo dispuesto en el artículo 14 de la </w:t>
      </w:r>
      <w:hyperlink r:id="rId226" w:history="1">
        <w:r w:rsidR="0050097D" w:rsidRPr="00A07BE9">
          <w:rPr>
            <w:rStyle w:val="Hipervnculo"/>
            <w:rFonts w:ascii="Open Sans" w:hAnsi="Open Sans" w:cs="Open Sans"/>
            <w:sz w:val="20"/>
            <w:szCs w:val="20"/>
          </w:rPr>
          <w:t>Ley 11/2016</w:t>
        </w:r>
        <w:r w:rsidR="0050097D" w:rsidRPr="00A07BE9">
          <w:rPr>
            <w:rStyle w:val="Hipervnculo"/>
            <w:rFonts w:ascii="Open Sans" w:hAnsi="Open Sans"/>
            <w:color w:val="auto"/>
            <w:sz w:val="20"/>
            <w:szCs w:val="20"/>
            <w:u w:val="none"/>
          </w:rPr>
          <w:t>, de 28 de noviembre, de la Generalitat</w:t>
        </w:r>
      </w:hyperlink>
      <w:r w:rsidRPr="00A07BE9">
        <w:rPr>
          <w:rFonts w:ascii="Open Sans" w:eastAsia="Times New Roman" w:hAnsi="Open Sans"/>
          <w:color w:val="000000"/>
          <w:sz w:val="20"/>
          <w:szCs w:val="20"/>
          <w:lang w:eastAsia="es-ES"/>
        </w:rPr>
        <w:t>, las acciones correctoras o de restablecimiento que considere ante la existencia de posibles represalias, de lo cual debe dejar constancia en la memoria anual.</w:t>
      </w:r>
    </w:p>
    <w:p w14:paraId="7483730D" w14:textId="77777777" w:rsidR="00671CE2" w:rsidRPr="00A07BE9" w:rsidRDefault="00671CE2" w:rsidP="00671CE2">
      <w:pPr>
        <w:pStyle w:val="Standard"/>
        <w:spacing w:line="276" w:lineRule="auto"/>
        <w:jc w:val="both"/>
        <w:rPr>
          <w:rFonts w:ascii="Open Sans" w:eastAsia="Times New Roman" w:hAnsi="Open Sans"/>
          <w:color w:val="000000"/>
          <w:sz w:val="20"/>
          <w:szCs w:val="20"/>
          <w:lang w:eastAsia="es-ES"/>
        </w:rPr>
      </w:pPr>
    </w:p>
    <w:p w14:paraId="71E1B86C" w14:textId="77777777" w:rsidR="00671CE2" w:rsidRPr="00A07BE9" w:rsidRDefault="00671CE2" w:rsidP="00671CE2">
      <w:pPr>
        <w:spacing w:after="0" w:line="276" w:lineRule="auto"/>
        <w:jc w:val="both"/>
        <w:rPr>
          <w:rFonts w:ascii="Open Sans" w:hAnsi="Open Sans" w:cs="Open Sans"/>
          <w:sz w:val="20"/>
          <w:szCs w:val="20"/>
        </w:rPr>
      </w:pPr>
      <w:r w:rsidRPr="00A07BE9">
        <w:rPr>
          <w:rFonts w:ascii="Open Sans" w:eastAsia="Times New Roman" w:hAnsi="Open Sans" w:cs="Open Sans"/>
          <w:b/>
          <w:color w:val="000000"/>
          <w:sz w:val="20"/>
          <w:szCs w:val="20"/>
          <w:lang w:eastAsia="es-ES"/>
        </w:rPr>
        <w:t>Todas las personas protegidas por la Agencia</w:t>
      </w:r>
      <w:r w:rsidRPr="00A07BE9">
        <w:rPr>
          <w:rFonts w:ascii="Open Sans" w:eastAsia="Times New Roman" w:hAnsi="Open Sans" w:cs="Open Sans"/>
          <w:color w:val="000000"/>
          <w:sz w:val="20"/>
          <w:szCs w:val="20"/>
          <w:lang w:eastAsia="es-ES"/>
        </w:rPr>
        <w:t xml:space="preserve">, en mayor o menor medida, se están viendo inmersas en </w:t>
      </w:r>
      <w:r w:rsidRPr="00A07BE9">
        <w:rPr>
          <w:rFonts w:ascii="Open Sans" w:eastAsia="Times New Roman" w:hAnsi="Open Sans" w:cs="Open Sans"/>
          <w:b/>
          <w:sz w:val="20"/>
          <w:szCs w:val="20"/>
          <w:lang w:eastAsia="es-ES"/>
        </w:rPr>
        <w:t>situaciones que conllevan</w:t>
      </w:r>
      <w:r w:rsidRPr="00A07BE9">
        <w:rPr>
          <w:rFonts w:ascii="Open Sans" w:hAnsi="Open Sans" w:cs="Open Sans"/>
          <w:b/>
          <w:sz w:val="20"/>
          <w:szCs w:val="20"/>
        </w:rPr>
        <w:t xml:space="preserve"> una larga lista de efectos negativos</w:t>
      </w:r>
      <w:r w:rsidRPr="00A07BE9">
        <w:rPr>
          <w:rFonts w:ascii="Open Sans" w:hAnsi="Open Sans" w:cs="Open Sans"/>
          <w:color w:val="000000"/>
          <w:sz w:val="20"/>
          <w:szCs w:val="20"/>
        </w:rPr>
        <w:t xml:space="preserve">, tanto a nivel profesional, como a nivel personal y familiar. </w:t>
      </w:r>
    </w:p>
    <w:p w14:paraId="7B6D0D6D" w14:textId="77777777" w:rsidR="00671CE2" w:rsidRPr="00A07BE9" w:rsidRDefault="00671CE2" w:rsidP="00671CE2">
      <w:pPr>
        <w:spacing w:after="0" w:line="276" w:lineRule="auto"/>
        <w:jc w:val="both"/>
        <w:rPr>
          <w:rFonts w:ascii="Open Sans" w:hAnsi="Open Sans"/>
          <w:color w:val="1B1B1B"/>
          <w:sz w:val="20"/>
          <w:szCs w:val="20"/>
        </w:rPr>
      </w:pPr>
    </w:p>
    <w:p w14:paraId="6F810B02" w14:textId="0D8F165F" w:rsidR="00671CE2" w:rsidRDefault="00671CE2" w:rsidP="00671CE2">
      <w:pPr>
        <w:spacing w:after="0" w:line="276" w:lineRule="auto"/>
        <w:jc w:val="both"/>
        <w:rPr>
          <w:rFonts w:ascii="Open Sans" w:hAnsi="Open Sans"/>
          <w:color w:val="000000"/>
          <w:sz w:val="20"/>
          <w:szCs w:val="20"/>
        </w:rPr>
      </w:pPr>
      <w:r w:rsidRPr="00A07BE9">
        <w:rPr>
          <w:rFonts w:ascii="Open Sans" w:hAnsi="Open Sans"/>
          <w:color w:val="000000"/>
          <w:sz w:val="20"/>
          <w:szCs w:val="20"/>
        </w:rPr>
        <w:t xml:space="preserve">La propia Organización Internacional del Trabajo, acogiendo el informe anual de su Confederación Internacional de 2018, en sus conclusiones relativas a </w:t>
      </w:r>
      <w:r w:rsidRPr="00A07BE9">
        <w:rPr>
          <w:rFonts w:ascii="Open Sans" w:hAnsi="Open Sans"/>
          <w:iCs/>
          <w:color w:val="000000"/>
          <w:sz w:val="20"/>
          <w:szCs w:val="20"/>
        </w:rPr>
        <w:t>“Acabar con la violencia y el acoso en el mundo del trabajo”</w:t>
      </w:r>
      <w:r w:rsidRPr="00A07BE9">
        <w:rPr>
          <w:rFonts w:ascii="Open Sans" w:hAnsi="Open Sans"/>
          <w:color w:val="000000"/>
          <w:sz w:val="20"/>
          <w:szCs w:val="20"/>
        </w:rPr>
        <w:t xml:space="preserve">, dentro del epígrafe </w:t>
      </w:r>
      <w:r w:rsidRPr="00A07BE9">
        <w:rPr>
          <w:rFonts w:ascii="Open Sans" w:hAnsi="Open Sans"/>
          <w:iCs/>
          <w:color w:val="000000"/>
          <w:sz w:val="20"/>
          <w:szCs w:val="20"/>
        </w:rPr>
        <w:t>“Control del cumplimiento, seguimiento y apoyo a las víctimas”</w:t>
      </w:r>
      <w:r w:rsidRPr="00A07BE9">
        <w:rPr>
          <w:rFonts w:ascii="Open Sans" w:hAnsi="Open Sans"/>
          <w:color w:val="000000"/>
          <w:sz w:val="20"/>
          <w:szCs w:val="20"/>
        </w:rPr>
        <w:t xml:space="preserve">, sostiene que todo Estado miembro debería velar por que todos los trabajadores dispongan de fácil acceso a vías de recurso y de reparación apropiadas y eficaces y a mecanismos de solución de conflictos seguros, equitativos y </w:t>
      </w:r>
      <w:r w:rsidRPr="00A07BE9">
        <w:rPr>
          <w:rFonts w:ascii="Open Sans" w:hAnsi="Open Sans"/>
          <w:color w:val="000000"/>
          <w:sz w:val="20"/>
          <w:szCs w:val="20"/>
        </w:rPr>
        <w:lastRenderedPageBreak/>
        <w:t>eficaces en caso de violencia y acoso que comprendan, entre otras medidas, la protección de los querellantes, los testigos y los denunciantes frente a la victimización, así como medidas de asistencia jurídica, social y administrativa.</w:t>
      </w:r>
    </w:p>
    <w:p w14:paraId="4559F5C8" w14:textId="77777777" w:rsidR="00A7781C" w:rsidRPr="00A07BE9" w:rsidRDefault="00A7781C" w:rsidP="00671CE2">
      <w:pPr>
        <w:spacing w:after="0" w:line="276" w:lineRule="auto"/>
        <w:jc w:val="both"/>
        <w:rPr>
          <w:sz w:val="20"/>
          <w:szCs w:val="20"/>
        </w:rPr>
      </w:pPr>
    </w:p>
    <w:p w14:paraId="44903AC5" w14:textId="162397B4" w:rsidR="00671CE2" w:rsidRPr="00A07BE9" w:rsidRDefault="00671CE2" w:rsidP="00671CE2">
      <w:pPr>
        <w:spacing w:after="0" w:line="276" w:lineRule="auto"/>
        <w:jc w:val="both"/>
        <w:rPr>
          <w:sz w:val="20"/>
          <w:szCs w:val="20"/>
        </w:rPr>
      </w:pPr>
      <w:r w:rsidRPr="00A07BE9">
        <w:rPr>
          <w:rFonts w:ascii="Open Sans" w:hAnsi="Open Sans"/>
          <w:color w:val="000000"/>
          <w:sz w:val="20"/>
          <w:szCs w:val="20"/>
        </w:rPr>
        <w:t>A estos efectos, es interesante el estudio de la socióloga Diana Scialpi, titulado “</w:t>
      </w:r>
      <w:r w:rsidRPr="00A07BE9">
        <w:rPr>
          <w:rFonts w:ascii="Open Sans" w:hAnsi="Open Sans"/>
          <w:iCs/>
          <w:color w:val="000000"/>
          <w:sz w:val="20"/>
          <w:szCs w:val="20"/>
        </w:rPr>
        <w:t>La violencia en la gestión de personal de la Administración Pública, como condición necesaria para la corrupción”</w:t>
      </w:r>
      <w:r w:rsidR="00C6342F" w:rsidRPr="00A07BE9">
        <w:rPr>
          <w:rFonts w:ascii="Open Sans" w:hAnsi="Open Sans"/>
          <w:color w:val="000000"/>
          <w:sz w:val="20"/>
          <w:szCs w:val="20"/>
        </w:rPr>
        <w:t xml:space="preserve">, </w:t>
      </w:r>
      <w:r w:rsidR="0068152E" w:rsidRPr="00A07BE9">
        <w:rPr>
          <w:rFonts w:ascii="Open Sans" w:hAnsi="Open Sans"/>
          <w:color w:val="000000"/>
          <w:sz w:val="20"/>
          <w:szCs w:val="20"/>
        </w:rPr>
        <w:t xml:space="preserve">en el que explicita la relación </w:t>
      </w:r>
      <w:r w:rsidRPr="00A07BE9">
        <w:rPr>
          <w:rFonts w:ascii="Open Sans" w:hAnsi="Open Sans"/>
          <w:color w:val="000000"/>
          <w:sz w:val="20"/>
          <w:szCs w:val="20"/>
        </w:rPr>
        <w:t>entre la denuncia y las consec</w:t>
      </w:r>
      <w:r w:rsidRPr="00A07BE9">
        <w:rPr>
          <w:rFonts w:ascii="Open Sans" w:hAnsi="Open Sans"/>
          <w:sz w:val="20"/>
          <w:szCs w:val="20"/>
        </w:rPr>
        <w:t>uencias que sufren las personas denunciantes en Estados democráticos y de Derecho, en los siguientes términos:</w:t>
      </w:r>
    </w:p>
    <w:p w14:paraId="6C2B78E5" w14:textId="77777777" w:rsidR="00671CE2" w:rsidRPr="00A07BE9" w:rsidRDefault="00671CE2" w:rsidP="00671CE2">
      <w:pPr>
        <w:spacing w:after="0" w:line="276" w:lineRule="auto"/>
        <w:jc w:val="both"/>
        <w:rPr>
          <w:rFonts w:ascii="Open Sans" w:hAnsi="Open Sans"/>
          <w:sz w:val="20"/>
          <w:szCs w:val="20"/>
        </w:rPr>
      </w:pPr>
    </w:p>
    <w:p w14:paraId="5AC9E785" w14:textId="77777777" w:rsidR="00671CE2" w:rsidRPr="00A07BE9" w:rsidRDefault="00671CE2" w:rsidP="00671CE2">
      <w:pPr>
        <w:spacing w:after="0" w:line="276" w:lineRule="auto"/>
        <w:ind w:left="567"/>
        <w:jc w:val="both"/>
        <w:rPr>
          <w:sz w:val="18"/>
          <w:szCs w:val="18"/>
        </w:rPr>
      </w:pPr>
      <w:r w:rsidRPr="00A07BE9">
        <w:rPr>
          <w:rFonts w:ascii="Open Sans" w:hAnsi="Open Sans"/>
          <w:iCs/>
          <w:sz w:val="18"/>
          <w:szCs w:val="18"/>
        </w:rPr>
        <w:t>“Resulta obvio que para perpetuarse, la corrupción en el Estado requiere en primer término, conductas violentas en la gestión de personal de la Administración Pública, en segundo término, impunidad absoluta de los agresores y victimarios y por último, víctimas afectadas del síndrome de indefensión aprendida.</w:t>
      </w:r>
    </w:p>
    <w:p w14:paraId="0EC3BCC0" w14:textId="77777777" w:rsidR="00671CE2" w:rsidRPr="00A07BE9" w:rsidRDefault="00671CE2" w:rsidP="00671CE2">
      <w:pPr>
        <w:spacing w:after="0" w:line="276" w:lineRule="auto"/>
        <w:ind w:left="567"/>
        <w:jc w:val="both"/>
        <w:rPr>
          <w:sz w:val="18"/>
          <w:szCs w:val="18"/>
        </w:rPr>
      </w:pPr>
      <w:r w:rsidRPr="00A07BE9">
        <w:rPr>
          <w:rFonts w:ascii="Open Sans" w:hAnsi="Open Sans"/>
          <w:iCs/>
          <w:sz w:val="18"/>
          <w:szCs w:val="18"/>
        </w:rPr>
        <w:t>(…) Existen funcionarios públicos que en aras de la ética arriesgan su tranquilidad, su puesto, su honor y a veces su vida, para denunciar irregularidades y delitos que advierten en el ejercicio de sus funciones. Se trata de los whistleblowers.</w:t>
      </w:r>
    </w:p>
    <w:p w14:paraId="062CC6A7" w14:textId="77777777" w:rsidR="00671CE2" w:rsidRPr="00A07BE9" w:rsidRDefault="00671CE2" w:rsidP="00671CE2">
      <w:pPr>
        <w:spacing w:after="0" w:line="276" w:lineRule="auto"/>
        <w:ind w:left="567"/>
        <w:jc w:val="both"/>
        <w:rPr>
          <w:sz w:val="18"/>
          <w:szCs w:val="18"/>
        </w:rPr>
      </w:pPr>
      <w:r w:rsidRPr="00A07BE9">
        <w:rPr>
          <w:rFonts w:ascii="Open Sans" w:hAnsi="Open Sans"/>
          <w:iCs/>
          <w:sz w:val="18"/>
          <w:szCs w:val="18"/>
        </w:rPr>
        <w:t>(…) Resulta urgente revisar las prácticas organizacionales e institucionales, legales e ilegales, con las que convalidamos y perpetuamos, por acción o por omisión, el autoritarismo y la arbitrariedad sistemática en ámbitos laborales y aún el desgobierno en las instituciones públicas del cual se nutre el fenómeno de la corrupción y tomar conciencia del impacto que dichas prácticas tienen tanto sobre la salud de las víctimas como sobre los resultados de la gestión de las instituciones y organizaciones y sobre el sistema democrático en su totalidad.”</w:t>
      </w:r>
    </w:p>
    <w:p w14:paraId="7ECDB148" w14:textId="77777777" w:rsidR="00671CE2" w:rsidRPr="00A07BE9" w:rsidRDefault="00671CE2" w:rsidP="00671CE2">
      <w:pPr>
        <w:spacing w:after="0" w:line="276" w:lineRule="auto"/>
        <w:jc w:val="both"/>
        <w:rPr>
          <w:rFonts w:ascii="Open Sans" w:hAnsi="Open Sans"/>
          <w:color w:val="000000"/>
          <w:sz w:val="20"/>
          <w:szCs w:val="20"/>
        </w:rPr>
      </w:pPr>
    </w:p>
    <w:p w14:paraId="34171556" w14:textId="3FD09964" w:rsidR="00671CE2" w:rsidRPr="00A07BE9" w:rsidRDefault="00671CE2" w:rsidP="00671CE2">
      <w:pPr>
        <w:spacing w:after="0" w:line="276" w:lineRule="auto"/>
        <w:jc w:val="both"/>
        <w:rPr>
          <w:rFonts w:ascii="Open Sans" w:hAnsi="Open Sans"/>
          <w:color w:val="000000"/>
          <w:sz w:val="20"/>
          <w:szCs w:val="20"/>
        </w:rPr>
      </w:pPr>
      <w:r w:rsidRPr="00A07BE9">
        <w:rPr>
          <w:rFonts w:ascii="Open Sans" w:hAnsi="Open Sans"/>
          <w:color w:val="000000"/>
          <w:sz w:val="20"/>
          <w:szCs w:val="20"/>
        </w:rPr>
        <w:t xml:space="preserve">En este contexto, otorgado el estatuto de persona denunciante protegida por la Agencia y comunicado el mismo a la administración pública o entidad de la que depende y para la que trabaja la persona que denuncia, la Agencia realiza el seguimiento de su situación laboral y profesional, y procede a su documentación en el correspondiente expediente, con objeto de adoptar, en su caso, las correspondientes medidas frente a aquellos que lesionan los derechos de las personas denunciantes o realizan cualquier acto de hostigamiento como reacción frente a la denuncia realizada. </w:t>
      </w:r>
    </w:p>
    <w:p w14:paraId="4099726F" w14:textId="77777777" w:rsidR="00EC444F" w:rsidRPr="00A07BE9" w:rsidRDefault="00EC444F" w:rsidP="00671CE2">
      <w:pPr>
        <w:spacing w:after="0" w:line="276" w:lineRule="auto"/>
        <w:jc w:val="both"/>
        <w:rPr>
          <w:sz w:val="20"/>
          <w:szCs w:val="20"/>
        </w:rPr>
      </w:pPr>
    </w:p>
    <w:p w14:paraId="606BA50F" w14:textId="77777777" w:rsidR="00671CE2" w:rsidRPr="00A07BE9" w:rsidRDefault="00671CE2" w:rsidP="00671CE2">
      <w:pPr>
        <w:spacing w:after="0" w:line="276" w:lineRule="auto"/>
        <w:jc w:val="both"/>
        <w:rPr>
          <w:sz w:val="20"/>
          <w:szCs w:val="20"/>
        </w:rPr>
      </w:pPr>
      <w:r w:rsidRPr="00A07BE9">
        <w:rPr>
          <w:rFonts w:ascii="Open Sans" w:hAnsi="Open Sans"/>
          <w:color w:val="000000"/>
          <w:sz w:val="20"/>
          <w:szCs w:val="20"/>
        </w:rPr>
        <w:t>De dicho seguimiento se puede derivar, bien una serie de requerimientos a dicha administración o entidad, bien la apertura de un procedimiento sancionador, con actuaciones previas al mismo o no; todo ello s</w:t>
      </w:r>
      <w:r w:rsidRPr="00A07BE9">
        <w:rPr>
          <w:rFonts w:ascii="Open Sans" w:eastAsia="Times New Roman" w:hAnsi="Open Sans" w:cs="Open Sans"/>
          <w:color w:val="000000"/>
          <w:sz w:val="20"/>
          <w:szCs w:val="20"/>
          <w:lang w:eastAsia="es-ES"/>
        </w:rPr>
        <w:t>i</w:t>
      </w:r>
      <w:r w:rsidRPr="00A07BE9">
        <w:rPr>
          <w:rFonts w:ascii="Open Sans" w:eastAsia="Times New Roman" w:hAnsi="Open Sans" w:cs="Open Sans"/>
          <w:color w:val="1B1B1B"/>
          <w:sz w:val="20"/>
          <w:szCs w:val="20"/>
          <w:lang w:eastAsia="es-ES"/>
        </w:rPr>
        <w:t>n perjuicio de que el propio denunciante pueda considerar oportuno emprender acciones legales en el ámbito jurisdiccional que corresponda.</w:t>
      </w:r>
    </w:p>
    <w:p w14:paraId="1CA81B13" w14:textId="77777777" w:rsidR="00671CE2" w:rsidRPr="00A07BE9" w:rsidRDefault="00671CE2" w:rsidP="00671CE2">
      <w:pPr>
        <w:spacing w:after="0" w:line="276" w:lineRule="auto"/>
        <w:jc w:val="both"/>
        <w:rPr>
          <w:rFonts w:ascii="Open Sans" w:hAnsi="Open Sans"/>
          <w:sz w:val="20"/>
          <w:szCs w:val="20"/>
        </w:rPr>
      </w:pPr>
    </w:p>
    <w:p w14:paraId="78236D95" w14:textId="473C2B43" w:rsidR="00671CE2" w:rsidRPr="00A07BE9" w:rsidRDefault="00671CE2" w:rsidP="00671CE2">
      <w:pPr>
        <w:spacing w:after="0" w:line="276" w:lineRule="auto"/>
        <w:jc w:val="both"/>
        <w:rPr>
          <w:rFonts w:ascii="Open Sans" w:hAnsi="Open Sans"/>
          <w:color w:val="000000"/>
          <w:sz w:val="20"/>
          <w:szCs w:val="20"/>
        </w:rPr>
      </w:pPr>
      <w:r w:rsidRPr="00A07BE9">
        <w:rPr>
          <w:rFonts w:ascii="Open Sans" w:hAnsi="Open Sans"/>
          <w:color w:val="000000"/>
          <w:sz w:val="20"/>
          <w:szCs w:val="20"/>
        </w:rPr>
        <w:t>Durante 2019, las situaciones más frecuentes en las que</w:t>
      </w:r>
      <w:r w:rsidR="004B442C" w:rsidRPr="00A07BE9">
        <w:rPr>
          <w:rFonts w:ascii="Open Sans" w:hAnsi="Open Sans"/>
          <w:color w:val="000000"/>
          <w:sz w:val="20"/>
          <w:szCs w:val="20"/>
        </w:rPr>
        <w:t xml:space="preserve"> se</w:t>
      </w:r>
      <w:r w:rsidRPr="00A07BE9">
        <w:rPr>
          <w:rFonts w:ascii="Open Sans" w:hAnsi="Open Sans"/>
          <w:color w:val="000000"/>
          <w:sz w:val="20"/>
          <w:szCs w:val="20"/>
        </w:rPr>
        <w:t xml:space="preserve"> han encontrado las personas con estatuto de protección se agrupan de la forma que se expone a continuación: actos de hostigamiento encuadrados dentro del acoso laboral, comparecencias en juzgados y tribunales, cambios de puesto de trabajo, repercusiones económicas por ejercicio del derecho de defensa y consecuencias psicológicas.</w:t>
      </w:r>
    </w:p>
    <w:p w14:paraId="022FEA7D" w14:textId="77777777" w:rsidR="00671CE2" w:rsidRPr="00A07BE9" w:rsidRDefault="00671CE2" w:rsidP="00671CE2">
      <w:pPr>
        <w:spacing w:after="0" w:line="276" w:lineRule="auto"/>
        <w:jc w:val="both"/>
        <w:rPr>
          <w:rFonts w:ascii="Open Sans" w:hAnsi="Open Sans"/>
          <w:color w:val="000000"/>
          <w:sz w:val="20"/>
          <w:szCs w:val="20"/>
        </w:rPr>
      </w:pPr>
    </w:p>
    <w:p w14:paraId="03436C8B" w14:textId="77777777" w:rsidR="00671CE2" w:rsidRPr="00A07BE9" w:rsidRDefault="00671CE2" w:rsidP="00671CE2">
      <w:pPr>
        <w:tabs>
          <w:tab w:val="right" w:leader="dot" w:pos="9355"/>
        </w:tabs>
        <w:spacing w:after="0" w:line="276" w:lineRule="auto"/>
        <w:jc w:val="both"/>
        <w:rPr>
          <w:sz w:val="20"/>
          <w:szCs w:val="20"/>
        </w:rPr>
      </w:pPr>
      <w:r w:rsidRPr="00A07BE9">
        <w:rPr>
          <w:rFonts w:ascii="Open Sans" w:hAnsi="Open Sans"/>
          <w:color w:val="000000"/>
          <w:sz w:val="20"/>
          <w:szCs w:val="20"/>
        </w:rPr>
        <w:lastRenderedPageBreak/>
        <w:t>Todo ello revela que es urgente y necesario que, mediante el establecimiento de planes y medidas jurídicas en las distintas administraciones públicas y entidades del sector público dependientes, se produzca un</w:t>
      </w:r>
      <w:r w:rsidRPr="00A07BE9">
        <w:rPr>
          <w:rFonts w:ascii="Open Sans" w:hAnsi="Open Sans"/>
          <w:b/>
          <w:bCs/>
          <w:color w:val="000000"/>
          <w:sz w:val="20"/>
          <w:szCs w:val="20"/>
        </w:rPr>
        <w:t xml:space="preserve"> cambio de cultura administrativa,</w:t>
      </w:r>
      <w:r w:rsidRPr="00A07BE9">
        <w:rPr>
          <w:rFonts w:ascii="Open Sans" w:hAnsi="Open Sans"/>
          <w:color w:val="000000"/>
          <w:sz w:val="20"/>
          <w:szCs w:val="20"/>
        </w:rPr>
        <w:t xml:space="preserve"> a fin de evitar la criminalización de estas personas que, en beneficio del interés general, denuncian actos o conductas corruptas de las que tienen conocimiento o sufren en sus respectivos ámbitos laborales. Una verdadera cultura de la integridad debe poner en valor</w:t>
      </w:r>
      <w:r w:rsidRPr="00A07BE9">
        <w:rPr>
          <w:rFonts w:ascii="Open Sans" w:hAnsi="Open Sans" w:cs="Arial"/>
          <w:color w:val="000000"/>
          <w:sz w:val="20"/>
          <w:szCs w:val="20"/>
        </w:rPr>
        <w:t xml:space="preserve"> la loable actuación de las personas que denuncian actos contrarios al bien común, pues sacrifican su bienestar personal en beneficio de aquél.</w:t>
      </w:r>
    </w:p>
    <w:p w14:paraId="5C88DF71" w14:textId="77777777" w:rsidR="00671CE2" w:rsidRPr="00A07BE9" w:rsidRDefault="00671CE2" w:rsidP="00671CE2">
      <w:pPr>
        <w:spacing w:after="0" w:line="240" w:lineRule="auto"/>
        <w:jc w:val="both"/>
        <w:rPr>
          <w:rFonts w:ascii="Open Sans" w:eastAsia="Times New Roman" w:hAnsi="Open Sans" w:cs="Open Sans"/>
          <w:i/>
          <w:iCs/>
          <w:smallCaps/>
          <w:color w:val="1B1B1B"/>
          <w:sz w:val="20"/>
          <w:szCs w:val="20"/>
          <w:lang w:eastAsia="es-ES"/>
        </w:rPr>
      </w:pPr>
    </w:p>
    <w:p w14:paraId="09F0E691" w14:textId="77777777" w:rsidR="00671CE2" w:rsidRPr="00A07BE9" w:rsidRDefault="00671CE2" w:rsidP="00671CE2">
      <w:pPr>
        <w:spacing w:after="0" w:line="240" w:lineRule="auto"/>
        <w:jc w:val="both"/>
        <w:rPr>
          <w:rFonts w:ascii="Open Sans" w:eastAsia="Times New Roman" w:hAnsi="Open Sans" w:cs="Open Sans"/>
          <w:b/>
          <w:bCs/>
          <w:smallCaps/>
          <w:color w:val="9D2235"/>
          <w:sz w:val="24"/>
          <w:szCs w:val="24"/>
          <w:lang w:eastAsia="es-ES"/>
        </w:rPr>
      </w:pPr>
      <w:r w:rsidRPr="00A07BE9">
        <w:rPr>
          <w:rFonts w:ascii="Open Sans" w:eastAsia="Times New Roman" w:hAnsi="Open Sans" w:cs="Open Sans"/>
          <w:b/>
          <w:bCs/>
          <w:smallCaps/>
          <w:color w:val="9D2235"/>
          <w:sz w:val="24"/>
          <w:szCs w:val="24"/>
          <w:lang w:eastAsia="es-ES"/>
        </w:rPr>
        <w:t>4.3.5.1. Actos de hostigamiento encuadrados dentro del acoso laboral</w:t>
      </w:r>
    </w:p>
    <w:p w14:paraId="79CA0D75" w14:textId="77777777" w:rsidR="00671CE2" w:rsidRPr="00A07BE9" w:rsidRDefault="00671CE2" w:rsidP="00671CE2">
      <w:pPr>
        <w:spacing w:after="0" w:line="240" w:lineRule="auto"/>
        <w:jc w:val="both"/>
        <w:rPr>
          <w:rFonts w:ascii="Open Sans" w:eastAsia="Times New Roman" w:hAnsi="Open Sans" w:cs="Open Sans"/>
          <w:b/>
          <w:bCs/>
          <w:smallCaps/>
          <w:color w:val="9D2235"/>
          <w:sz w:val="20"/>
          <w:szCs w:val="20"/>
          <w:lang w:eastAsia="es-ES"/>
        </w:rPr>
      </w:pPr>
    </w:p>
    <w:p w14:paraId="577337F7" w14:textId="77777777" w:rsidR="00671CE2" w:rsidRPr="00A07BE9" w:rsidRDefault="00671CE2" w:rsidP="00671CE2">
      <w:pPr>
        <w:spacing w:after="0" w:line="276" w:lineRule="auto"/>
        <w:jc w:val="both"/>
        <w:rPr>
          <w:sz w:val="20"/>
          <w:szCs w:val="20"/>
        </w:rPr>
      </w:pPr>
      <w:r w:rsidRPr="00A07BE9">
        <w:rPr>
          <w:rFonts w:ascii="Open Sans" w:eastAsia="Times New Roman" w:hAnsi="Open Sans" w:cs="Open Sans"/>
          <w:color w:val="1B1B1B"/>
          <w:sz w:val="20"/>
          <w:szCs w:val="20"/>
          <w:lang w:eastAsia="es-ES"/>
        </w:rPr>
        <w:t xml:space="preserve">Las situaciones de hostigamiento </w:t>
      </w:r>
      <w:r w:rsidRPr="00A07BE9">
        <w:rPr>
          <w:rFonts w:ascii="Open Sans" w:eastAsia="Times New Roman" w:hAnsi="Open Sans" w:cs="Open Sans"/>
          <w:color w:val="000000"/>
          <w:sz w:val="20"/>
          <w:szCs w:val="20"/>
          <w:lang w:eastAsia="es-ES"/>
        </w:rPr>
        <w:t xml:space="preserve">laboral </w:t>
      </w:r>
      <w:r w:rsidRPr="00A07BE9">
        <w:rPr>
          <w:rFonts w:ascii="Open Sans" w:eastAsia="Times New Roman" w:hAnsi="Open Sans" w:cs="Open Sans"/>
          <w:color w:val="1B1B1B"/>
          <w:sz w:val="20"/>
          <w:szCs w:val="20"/>
          <w:lang w:eastAsia="es-ES"/>
        </w:rPr>
        <w:t xml:space="preserve">se manifiestan de muy diversas formas y a través de distintas actitudes y comportamientos por parte de la entidad o personas represaliadoras. </w:t>
      </w:r>
    </w:p>
    <w:p w14:paraId="7A36DF4F" w14:textId="77777777" w:rsidR="00671CE2" w:rsidRPr="00A07BE9" w:rsidRDefault="00671CE2" w:rsidP="00671CE2">
      <w:pPr>
        <w:spacing w:after="0" w:line="276" w:lineRule="auto"/>
        <w:jc w:val="both"/>
        <w:rPr>
          <w:rFonts w:ascii="Open Sans" w:eastAsia="Times New Roman" w:hAnsi="Open Sans" w:cs="Open Sans"/>
          <w:color w:val="1B1B1B"/>
          <w:sz w:val="20"/>
          <w:szCs w:val="20"/>
          <w:lang w:eastAsia="es-ES"/>
        </w:rPr>
      </w:pPr>
    </w:p>
    <w:p w14:paraId="2621DF13" w14:textId="77777777" w:rsidR="00671CE2" w:rsidRPr="00A07BE9" w:rsidRDefault="00671CE2" w:rsidP="00671CE2">
      <w:pPr>
        <w:spacing w:after="0" w:line="276" w:lineRule="auto"/>
        <w:jc w:val="both"/>
        <w:rPr>
          <w:sz w:val="20"/>
          <w:szCs w:val="20"/>
        </w:rPr>
      </w:pPr>
      <w:r w:rsidRPr="00A07BE9">
        <w:rPr>
          <w:rFonts w:ascii="Open Sans" w:hAnsi="Open Sans"/>
          <w:color w:val="000000"/>
          <w:sz w:val="20"/>
          <w:szCs w:val="20"/>
        </w:rPr>
        <w:t>La</w:t>
      </w:r>
      <w:r w:rsidRPr="00A07BE9">
        <w:rPr>
          <w:rFonts w:ascii="Open Sans" w:hAnsi="Open Sans"/>
          <w:i/>
          <w:iCs/>
          <w:color w:val="000000"/>
          <w:sz w:val="20"/>
          <w:szCs w:val="20"/>
        </w:rPr>
        <w:t xml:space="preserve"> </w:t>
      </w:r>
      <w:r w:rsidRPr="00A07BE9">
        <w:rPr>
          <w:rFonts w:ascii="Open Sans" w:hAnsi="Open Sans"/>
          <w:color w:val="000000"/>
          <w:sz w:val="20"/>
          <w:szCs w:val="20"/>
        </w:rPr>
        <w:t>Memoria de Actividad de la Agencia de 2018 destacaba ya, como una de las herramientas más utilizadas para ejercer acoso laboral sobre los denunciantes protegidos</w:t>
      </w:r>
      <w:r w:rsidRPr="00A07BE9">
        <w:rPr>
          <w:rFonts w:ascii="Open Sans" w:hAnsi="Open Sans"/>
          <w:sz w:val="20"/>
          <w:szCs w:val="20"/>
        </w:rPr>
        <w:t xml:space="preserve">, el </w:t>
      </w:r>
      <w:r w:rsidRPr="00A07BE9">
        <w:rPr>
          <w:rFonts w:ascii="Open Sans" w:hAnsi="Open Sans"/>
          <w:b/>
          <w:bCs/>
          <w:sz w:val="20"/>
          <w:szCs w:val="20"/>
        </w:rPr>
        <w:t>uso de expedientes disciplinarios</w:t>
      </w:r>
      <w:r w:rsidRPr="00A07BE9">
        <w:rPr>
          <w:rFonts w:ascii="Open Sans" w:hAnsi="Open Sans"/>
          <w:sz w:val="20"/>
          <w:szCs w:val="20"/>
        </w:rPr>
        <w:t xml:space="preserve"> como el instrumento más eficaz contra los empleados públicos que no se pliegan a la voluntad ilegítima del superior jerárquico (Auto núm. 1186/2018, de la Audiencia Provincial de Elche, sección séptima, de fecha 26 de septiembre de 2018, Fundamento de Derecho segundo).</w:t>
      </w:r>
    </w:p>
    <w:p w14:paraId="7C779BAA" w14:textId="77777777" w:rsidR="00671CE2" w:rsidRPr="00A07BE9" w:rsidRDefault="00671CE2" w:rsidP="00671CE2">
      <w:pPr>
        <w:spacing w:after="0" w:line="276" w:lineRule="auto"/>
        <w:jc w:val="both"/>
        <w:rPr>
          <w:rFonts w:ascii="Open Sans" w:hAnsi="Open Sans"/>
          <w:sz w:val="20"/>
          <w:szCs w:val="20"/>
        </w:rPr>
      </w:pPr>
    </w:p>
    <w:p w14:paraId="139BB8B4" w14:textId="77777777" w:rsidR="00671CE2" w:rsidRPr="00A07BE9" w:rsidRDefault="00671CE2" w:rsidP="00671CE2">
      <w:pPr>
        <w:spacing w:after="0" w:line="276" w:lineRule="auto"/>
        <w:jc w:val="both"/>
        <w:rPr>
          <w:sz w:val="20"/>
          <w:szCs w:val="20"/>
        </w:rPr>
      </w:pPr>
      <w:r w:rsidRPr="00A07BE9">
        <w:rPr>
          <w:rFonts w:ascii="Open Sans" w:hAnsi="Open Sans"/>
          <w:color w:val="000000"/>
          <w:sz w:val="20"/>
          <w:szCs w:val="20"/>
        </w:rPr>
        <w:t xml:space="preserve">El </w:t>
      </w:r>
      <w:r w:rsidRPr="00A07BE9">
        <w:rPr>
          <w:rFonts w:ascii="Open Sans" w:hAnsi="Open Sans"/>
          <w:b/>
          <w:bCs/>
          <w:color w:val="000000"/>
          <w:sz w:val="20"/>
          <w:szCs w:val="20"/>
        </w:rPr>
        <w:t>acoso laboral</w:t>
      </w:r>
      <w:r w:rsidRPr="00A07BE9">
        <w:rPr>
          <w:rFonts w:ascii="Open Sans" w:hAnsi="Open Sans"/>
          <w:color w:val="000000"/>
          <w:sz w:val="20"/>
          <w:szCs w:val="20"/>
        </w:rPr>
        <w:t xml:space="preserve"> comprende c</w:t>
      </w:r>
      <w:r w:rsidRPr="00A07BE9">
        <w:rPr>
          <w:rFonts w:ascii="Open Sans" w:hAnsi="Open Sans"/>
          <w:sz w:val="20"/>
          <w:szCs w:val="20"/>
        </w:rPr>
        <w:t>ualquier manifestación de una conducta abusiva y, especialmente, los comportamientos, palabras, actos, gestos y escritos que puedan atentar contra la personalidad, la dignidad o la integridad física o psíquica de una persona, o que puedan poner en peligro su empleo, o degradar el clima de trabajo.</w:t>
      </w:r>
    </w:p>
    <w:p w14:paraId="58099340" w14:textId="77777777" w:rsidR="00671CE2" w:rsidRPr="00A07BE9" w:rsidRDefault="00671CE2" w:rsidP="00671CE2">
      <w:pPr>
        <w:spacing w:after="0" w:line="276" w:lineRule="auto"/>
        <w:jc w:val="both"/>
        <w:rPr>
          <w:rFonts w:ascii="Open Sans" w:hAnsi="Open Sans"/>
          <w:sz w:val="20"/>
          <w:szCs w:val="20"/>
        </w:rPr>
      </w:pPr>
    </w:p>
    <w:p w14:paraId="0262F17E" w14:textId="77777777" w:rsidR="00671CE2" w:rsidRPr="00A07BE9" w:rsidRDefault="00671CE2" w:rsidP="00671CE2">
      <w:pPr>
        <w:spacing w:after="0" w:line="276" w:lineRule="auto"/>
        <w:jc w:val="both"/>
        <w:rPr>
          <w:sz w:val="20"/>
          <w:szCs w:val="20"/>
        </w:rPr>
      </w:pPr>
      <w:r w:rsidRPr="00A07BE9">
        <w:rPr>
          <w:rFonts w:ascii="Open Sans" w:hAnsi="Open Sans"/>
          <w:sz w:val="20"/>
          <w:szCs w:val="20"/>
        </w:rPr>
        <w:t>Así, los denunciantes protegidos por la Agencia han sufrido y sufren, en la mayoría de los casos, situaciones que pueden ser encuadradas dentro del acoso laboral o mobbing:</w:t>
      </w:r>
    </w:p>
    <w:p w14:paraId="28D73030" w14:textId="77777777" w:rsidR="00671CE2" w:rsidRPr="00A07BE9" w:rsidRDefault="00671CE2" w:rsidP="00671CE2">
      <w:pPr>
        <w:spacing w:after="0" w:line="276" w:lineRule="auto"/>
        <w:jc w:val="both"/>
        <w:rPr>
          <w:rFonts w:ascii="Open Sans" w:hAnsi="Open Sans"/>
          <w:sz w:val="20"/>
          <w:szCs w:val="20"/>
        </w:rPr>
      </w:pPr>
    </w:p>
    <w:p w14:paraId="62606ADE" w14:textId="77777777" w:rsidR="00E62917" w:rsidRPr="00A07BE9" w:rsidRDefault="00671CE2" w:rsidP="00E62917">
      <w:pPr>
        <w:pStyle w:val="Prrafodelista"/>
        <w:numPr>
          <w:ilvl w:val="0"/>
          <w:numId w:val="2"/>
        </w:numPr>
        <w:spacing w:after="0" w:line="276" w:lineRule="auto"/>
        <w:ind w:left="924" w:hanging="357"/>
        <w:jc w:val="both"/>
        <w:rPr>
          <w:sz w:val="20"/>
          <w:szCs w:val="20"/>
        </w:rPr>
      </w:pPr>
      <w:r w:rsidRPr="00A07BE9">
        <w:rPr>
          <w:rFonts w:ascii="Open Sans" w:hAnsi="Open Sans"/>
          <w:color w:val="000000"/>
          <w:sz w:val="20"/>
          <w:szCs w:val="20"/>
        </w:rPr>
        <w:t xml:space="preserve">Acciones contra su reputación y dignidad personal, con comentarios injuriosos contra su persona, ridiculizaciones y </w:t>
      </w:r>
      <w:r w:rsidRPr="00A07BE9">
        <w:rPr>
          <w:rFonts w:ascii="Open Sans" w:eastAsia="Times New Roman" w:hAnsi="Open Sans" w:cs="Open Sans"/>
          <w:color w:val="000000"/>
          <w:sz w:val="20"/>
          <w:szCs w:val="20"/>
          <w:lang w:eastAsia="es-ES"/>
        </w:rPr>
        <w:t>risas públicas.</w:t>
      </w:r>
    </w:p>
    <w:p w14:paraId="27F0B7CB" w14:textId="77777777" w:rsidR="00E62917" w:rsidRPr="00A07BE9" w:rsidRDefault="00671CE2" w:rsidP="00E62917">
      <w:pPr>
        <w:pStyle w:val="Prrafodelista"/>
        <w:numPr>
          <w:ilvl w:val="0"/>
          <w:numId w:val="2"/>
        </w:numPr>
        <w:spacing w:after="0" w:line="276" w:lineRule="auto"/>
        <w:ind w:left="924" w:hanging="357"/>
        <w:jc w:val="both"/>
        <w:rPr>
          <w:sz w:val="20"/>
          <w:szCs w:val="20"/>
        </w:rPr>
      </w:pPr>
      <w:r w:rsidRPr="00A07BE9">
        <w:rPr>
          <w:rFonts w:ascii="Open Sans" w:eastAsia="Times New Roman" w:hAnsi="Open Sans" w:cs="Open Sans"/>
          <w:color w:val="000000"/>
          <w:sz w:val="20"/>
          <w:szCs w:val="20"/>
          <w:lang w:eastAsia="es-ES"/>
        </w:rPr>
        <w:t>Diversas acciones que persiguen el descrédito profesional.</w:t>
      </w:r>
    </w:p>
    <w:p w14:paraId="58C7A4DC" w14:textId="77777777" w:rsidR="00E62917" w:rsidRPr="00A07BE9" w:rsidRDefault="00671CE2" w:rsidP="00E62917">
      <w:pPr>
        <w:pStyle w:val="Prrafodelista"/>
        <w:numPr>
          <w:ilvl w:val="0"/>
          <w:numId w:val="2"/>
        </w:numPr>
        <w:spacing w:after="0" w:line="276" w:lineRule="auto"/>
        <w:ind w:left="924" w:hanging="357"/>
        <w:jc w:val="both"/>
        <w:rPr>
          <w:sz w:val="20"/>
          <w:szCs w:val="20"/>
        </w:rPr>
      </w:pPr>
      <w:r w:rsidRPr="00A07BE9">
        <w:rPr>
          <w:rFonts w:ascii="Open Sans" w:eastAsia="Times New Roman" w:hAnsi="Open Sans" w:cs="Open Sans"/>
          <w:color w:val="000000"/>
          <w:sz w:val="20"/>
          <w:szCs w:val="20"/>
          <w:lang w:eastAsia="es-ES"/>
        </w:rPr>
        <w:t>Medidas organizativas con objeto de su aislamiento, tanto en el lugar de trabajo como respecto de los compañeros.</w:t>
      </w:r>
    </w:p>
    <w:p w14:paraId="7E0C7C03" w14:textId="77777777" w:rsidR="00E62917" w:rsidRPr="00A07BE9" w:rsidRDefault="00671CE2" w:rsidP="00E62917">
      <w:pPr>
        <w:pStyle w:val="Prrafodelista"/>
        <w:numPr>
          <w:ilvl w:val="0"/>
          <w:numId w:val="2"/>
        </w:numPr>
        <w:spacing w:after="0" w:line="276" w:lineRule="auto"/>
        <w:ind w:left="924" w:hanging="357"/>
        <w:jc w:val="both"/>
        <w:rPr>
          <w:sz w:val="20"/>
          <w:szCs w:val="20"/>
        </w:rPr>
      </w:pPr>
      <w:r w:rsidRPr="00A07BE9">
        <w:rPr>
          <w:rFonts w:ascii="Open Sans" w:eastAsia="Times New Roman" w:hAnsi="Open Sans" w:cs="Open Sans"/>
          <w:color w:val="000000"/>
          <w:sz w:val="20"/>
          <w:szCs w:val="20"/>
          <w:lang w:eastAsia="es-ES"/>
        </w:rPr>
        <w:t>Rehusar la comunicación con la persona denunciante a través de miradas y gestos, hacer el vacío, y obligar a los compañeros a no dirigirles la palabra.</w:t>
      </w:r>
    </w:p>
    <w:p w14:paraId="3FFE751A" w14:textId="77777777" w:rsidR="00E62917" w:rsidRPr="00A07BE9" w:rsidRDefault="00671CE2" w:rsidP="00E62917">
      <w:pPr>
        <w:pStyle w:val="Prrafodelista"/>
        <w:numPr>
          <w:ilvl w:val="0"/>
          <w:numId w:val="2"/>
        </w:numPr>
        <w:spacing w:after="0" w:line="276" w:lineRule="auto"/>
        <w:ind w:left="924" w:hanging="357"/>
        <w:jc w:val="both"/>
        <w:rPr>
          <w:sz w:val="20"/>
          <w:szCs w:val="20"/>
        </w:rPr>
      </w:pPr>
      <w:r w:rsidRPr="00A07BE9">
        <w:rPr>
          <w:rFonts w:ascii="Open Sans" w:eastAsia="Times New Roman" w:hAnsi="Open Sans" w:cs="Open Sans"/>
          <w:color w:val="000000"/>
          <w:sz w:val="20"/>
          <w:szCs w:val="20"/>
          <w:lang w:eastAsia="es-ES"/>
        </w:rPr>
        <w:t>Ofensas en su vida privada, agresiones verbales y rumores.</w:t>
      </w:r>
    </w:p>
    <w:p w14:paraId="53307C80" w14:textId="2736C722" w:rsidR="00671CE2" w:rsidRPr="00A7781C" w:rsidRDefault="00671CE2" w:rsidP="00671CE2">
      <w:pPr>
        <w:pStyle w:val="Prrafodelista"/>
        <w:numPr>
          <w:ilvl w:val="0"/>
          <w:numId w:val="2"/>
        </w:numPr>
        <w:spacing w:after="0" w:line="276" w:lineRule="auto"/>
        <w:ind w:left="924" w:hanging="357"/>
        <w:jc w:val="both"/>
        <w:rPr>
          <w:sz w:val="20"/>
          <w:szCs w:val="20"/>
        </w:rPr>
      </w:pPr>
      <w:r w:rsidRPr="00A07BE9">
        <w:rPr>
          <w:rFonts w:ascii="Open Sans" w:eastAsia="Times New Roman" w:hAnsi="Open Sans" w:cs="Open Sans"/>
          <w:color w:val="000000"/>
          <w:sz w:val="20"/>
          <w:szCs w:val="20"/>
          <w:lang w:eastAsia="es-ES"/>
        </w:rPr>
        <w:t>Amenazas y coacciones, e incluso acusaciones por denuncias falsas contra la persona denunciante a fin de ejercer presión.</w:t>
      </w:r>
    </w:p>
    <w:p w14:paraId="7B823625" w14:textId="77777777" w:rsidR="00A7781C" w:rsidRPr="00417A14" w:rsidRDefault="00A7781C" w:rsidP="00A7781C">
      <w:pPr>
        <w:pStyle w:val="Prrafodelista"/>
        <w:spacing w:after="0" w:line="276" w:lineRule="auto"/>
        <w:ind w:left="924"/>
        <w:jc w:val="both"/>
        <w:rPr>
          <w:sz w:val="20"/>
          <w:szCs w:val="20"/>
        </w:rPr>
      </w:pPr>
    </w:p>
    <w:p w14:paraId="06251E62" w14:textId="77777777" w:rsidR="00671CE2" w:rsidRPr="00A07BE9" w:rsidRDefault="00671CE2" w:rsidP="00671CE2">
      <w:pPr>
        <w:spacing w:after="0" w:line="276" w:lineRule="auto"/>
        <w:jc w:val="both"/>
        <w:rPr>
          <w:rFonts w:ascii="Open Sans" w:hAnsi="Open Sans"/>
          <w:color w:val="000000"/>
          <w:sz w:val="20"/>
          <w:szCs w:val="20"/>
        </w:rPr>
      </w:pPr>
      <w:r w:rsidRPr="00A07BE9">
        <w:rPr>
          <w:rFonts w:ascii="Open Sans" w:eastAsia="Times New Roman" w:hAnsi="Open Sans" w:cs="Open Sans"/>
          <w:color w:val="000000"/>
          <w:sz w:val="20"/>
          <w:szCs w:val="20"/>
          <w:lang w:eastAsia="es-ES"/>
        </w:rPr>
        <w:t xml:space="preserve">Estos gestos y conductas pueden provenir, tanto de los superiores como de los compañeros dentro del contexto laboral, resultando muy complicado poder sobrellevar diariamente estas situaciones, pues generan un importante desgaste profesional y personal, y dificultan </w:t>
      </w:r>
      <w:r w:rsidRPr="00A07BE9">
        <w:rPr>
          <w:rFonts w:ascii="Open Sans" w:eastAsia="Times New Roman" w:hAnsi="Open Sans" w:cs="Open Sans"/>
          <w:color w:val="000000"/>
          <w:sz w:val="20"/>
          <w:szCs w:val="20"/>
          <w:lang w:eastAsia="es-ES"/>
        </w:rPr>
        <w:lastRenderedPageBreak/>
        <w:t>sobremanera el correcto ejercicio de las funciones que la persona denunciante debe desarrollar dentro de la organización.</w:t>
      </w:r>
    </w:p>
    <w:p w14:paraId="590B4DF2" w14:textId="77777777"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p>
    <w:p w14:paraId="21BA2D89" w14:textId="77777777"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Igualmente, la Agencia ha constatado durante 2019 que algunas de las personas denunciantes protegidas han visto menoscabados sus salarios, con diferencias retributivas no justificadas, y ha sido obstaculizada la concesión de autorizaciones de días de permiso y vacaciones.</w:t>
      </w:r>
    </w:p>
    <w:p w14:paraId="7E719477" w14:textId="77777777" w:rsidR="00671CE2" w:rsidRPr="00A07BE9" w:rsidRDefault="00671CE2" w:rsidP="00671CE2">
      <w:pPr>
        <w:spacing w:after="0" w:line="276" w:lineRule="auto"/>
        <w:jc w:val="both"/>
        <w:rPr>
          <w:rFonts w:ascii="Open Sans" w:hAnsi="Open Sans"/>
          <w:color w:val="000000"/>
          <w:sz w:val="20"/>
          <w:szCs w:val="20"/>
        </w:rPr>
      </w:pPr>
    </w:p>
    <w:p w14:paraId="6659A62B" w14:textId="77777777" w:rsidR="00671CE2" w:rsidRPr="00A07BE9" w:rsidRDefault="00671CE2" w:rsidP="00671CE2">
      <w:pPr>
        <w:spacing w:after="0" w:line="276" w:lineRule="auto"/>
        <w:jc w:val="both"/>
        <w:rPr>
          <w:color w:val="000000"/>
          <w:sz w:val="20"/>
          <w:szCs w:val="20"/>
        </w:rPr>
      </w:pPr>
      <w:r w:rsidRPr="00A07BE9">
        <w:rPr>
          <w:rFonts w:ascii="Open Sans" w:hAnsi="Open Sans"/>
          <w:color w:val="000000"/>
          <w:sz w:val="20"/>
          <w:szCs w:val="20"/>
        </w:rPr>
        <w:t xml:space="preserve">En definitiva, las personas denunciantes sufren, por regla general, una situación, casi de forma permanente, de estrés laboral, ya que existe un conflicto asimétrico entre dos partes: el hostigador tiene una posición superior, más apoyos y recursos públicos (con cargo al erario y por tanto a la ciudadanía), y la persona denunciante, trabajador hostigado en una posición de inferioridad y vulnerabilidad clara. </w:t>
      </w:r>
    </w:p>
    <w:p w14:paraId="4D9A5EE0" w14:textId="77777777" w:rsidR="00035A91" w:rsidRPr="00A07BE9" w:rsidRDefault="00035A91" w:rsidP="00671CE2">
      <w:pPr>
        <w:spacing w:after="0" w:line="240" w:lineRule="auto"/>
        <w:jc w:val="both"/>
        <w:rPr>
          <w:rFonts w:ascii="Open Sans" w:eastAsia="Times New Roman" w:hAnsi="Open Sans" w:cs="Open Sans"/>
          <w:b/>
          <w:bCs/>
          <w:smallCaps/>
          <w:color w:val="C9211E"/>
          <w:sz w:val="20"/>
          <w:szCs w:val="20"/>
          <w:lang w:eastAsia="es-ES"/>
        </w:rPr>
      </w:pPr>
    </w:p>
    <w:p w14:paraId="380B294F" w14:textId="77777777" w:rsidR="00671CE2" w:rsidRPr="00A07BE9" w:rsidRDefault="00671CE2" w:rsidP="00671CE2">
      <w:pPr>
        <w:spacing w:after="0" w:line="240" w:lineRule="auto"/>
        <w:jc w:val="both"/>
        <w:rPr>
          <w:rFonts w:ascii="Open Sans" w:eastAsia="Times New Roman" w:hAnsi="Open Sans" w:cs="Open Sans"/>
          <w:b/>
          <w:bCs/>
          <w:smallCaps/>
          <w:color w:val="9D2235"/>
          <w:sz w:val="24"/>
          <w:szCs w:val="24"/>
          <w:lang w:eastAsia="es-ES"/>
        </w:rPr>
      </w:pPr>
      <w:r w:rsidRPr="00A07BE9">
        <w:rPr>
          <w:rFonts w:ascii="Open Sans" w:eastAsia="Times New Roman" w:hAnsi="Open Sans" w:cs="Open Sans"/>
          <w:b/>
          <w:bCs/>
          <w:smallCaps/>
          <w:color w:val="9D2235"/>
          <w:sz w:val="24"/>
          <w:szCs w:val="24"/>
          <w:lang w:eastAsia="es-ES"/>
        </w:rPr>
        <w:t>4.3.5.2. Comparecencias en los juzgados y tribunales</w:t>
      </w:r>
    </w:p>
    <w:p w14:paraId="1F3C9F22" w14:textId="77777777" w:rsidR="00671CE2" w:rsidRPr="00A07BE9" w:rsidRDefault="00671CE2" w:rsidP="00671CE2">
      <w:pPr>
        <w:spacing w:after="0" w:line="240" w:lineRule="auto"/>
        <w:jc w:val="both"/>
        <w:rPr>
          <w:rFonts w:ascii="Open Sans" w:hAnsi="Open Sans"/>
          <w:sz w:val="20"/>
          <w:szCs w:val="20"/>
        </w:rPr>
      </w:pPr>
    </w:p>
    <w:p w14:paraId="73B19040" w14:textId="77777777" w:rsidR="00671CE2" w:rsidRPr="00A07BE9" w:rsidRDefault="00671CE2" w:rsidP="00671CE2">
      <w:pPr>
        <w:spacing w:after="0" w:line="276" w:lineRule="auto"/>
        <w:jc w:val="both"/>
        <w:rPr>
          <w:rFonts w:ascii="Open Sans" w:hAnsi="Open Sans"/>
          <w:sz w:val="20"/>
          <w:szCs w:val="20"/>
        </w:rPr>
      </w:pPr>
      <w:r w:rsidRPr="00A07BE9">
        <w:rPr>
          <w:rFonts w:ascii="Open Sans" w:hAnsi="Open Sans"/>
          <w:sz w:val="20"/>
          <w:szCs w:val="20"/>
        </w:rPr>
        <w:t>A lo largo del 2019, la Agencia ha asistido a denunciantes protegidos, acompañándolos a prestar declaración judicial, ante juzgados y tribunales, en calidad de denunciante, testigo o testigo protegido en causas abiertas en la jurisdicción penal.</w:t>
      </w:r>
    </w:p>
    <w:p w14:paraId="7DF7CA3A" w14:textId="77777777" w:rsidR="00671CE2" w:rsidRPr="00A07BE9" w:rsidRDefault="00671CE2" w:rsidP="00671CE2">
      <w:pPr>
        <w:spacing w:after="0" w:line="276" w:lineRule="auto"/>
        <w:jc w:val="both"/>
        <w:rPr>
          <w:rFonts w:ascii="Open Sans" w:hAnsi="Open Sans"/>
          <w:sz w:val="20"/>
          <w:szCs w:val="20"/>
        </w:rPr>
      </w:pPr>
    </w:p>
    <w:p w14:paraId="26161154" w14:textId="77777777" w:rsidR="00671CE2" w:rsidRPr="00A07BE9" w:rsidRDefault="00671CE2" w:rsidP="00671CE2">
      <w:pPr>
        <w:spacing w:after="0" w:line="276" w:lineRule="auto"/>
        <w:jc w:val="both"/>
        <w:rPr>
          <w:sz w:val="20"/>
          <w:szCs w:val="20"/>
        </w:rPr>
      </w:pPr>
      <w:r w:rsidRPr="00A07BE9">
        <w:rPr>
          <w:rFonts w:ascii="Open Sans" w:hAnsi="Open Sans"/>
          <w:color w:val="000000"/>
          <w:sz w:val="20"/>
          <w:szCs w:val="20"/>
        </w:rPr>
        <w:t>Asimismo, la Agencia ha intervenido en varias ocasiones ante juzgados y tribunales a fin de facilitar sus comparecencias y evitar largos desplazamientos, posibilitando declaraciones cerca del domicilio del denunciante o testigo, lo que ahorra costes económicos que corren a cargo de estos y tiempo dedicado a tal fin evitando tiempos de ausencia en los respectivos puestos de trabajo.</w:t>
      </w:r>
    </w:p>
    <w:p w14:paraId="37A3798A" w14:textId="77777777" w:rsidR="00671CE2" w:rsidRPr="00A07BE9" w:rsidRDefault="00671CE2" w:rsidP="00671CE2">
      <w:pPr>
        <w:spacing w:after="0" w:line="276" w:lineRule="auto"/>
        <w:jc w:val="both"/>
        <w:rPr>
          <w:rFonts w:ascii="Open Sans" w:hAnsi="Open Sans"/>
          <w:color w:val="CE181E"/>
          <w:sz w:val="20"/>
          <w:szCs w:val="20"/>
        </w:rPr>
      </w:pPr>
    </w:p>
    <w:p w14:paraId="157A7B8D" w14:textId="3F177921" w:rsidR="00671CE2" w:rsidRPr="00A07BE9" w:rsidRDefault="00671CE2" w:rsidP="00671CE2">
      <w:pPr>
        <w:spacing w:after="0" w:line="276" w:lineRule="auto"/>
        <w:jc w:val="both"/>
        <w:rPr>
          <w:sz w:val="20"/>
          <w:szCs w:val="20"/>
        </w:rPr>
      </w:pPr>
      <w:r w:rsidRPr="00A07BE9">
        <w:rPr>
          <w:rFonts w:ascii="Open Sans" w:hAnsi="Open Sans"/>
          <w:color w:val="000000"/>
          <w:sz w:val="20"/>
          <w:szCs w:val="20"/>
        </w:rPr>
        <w:t xml:space="preserve">También la Agencia ha mediado a fin de que sus denunciantes protegidos continúen tal protección en sede judicial, al amparo de la </w:t>
      </w:r>
      <w:hyperlink r:id="rId227" w:history="1">
        <w:r w:rsidRPr="00A07BE9">
          <w:rPr>
            <w:rStyle w:val="Hipervnculo"/>
            <w:rFonts w:ascii="Open Sans" w:hAnsi="Open Sans"/>
            <w:sz w:val="20"/>
            <w:szCs w:val="20"/>
          </w:rPr>
          <w:t>Ley Orgánica 19/1994, de 23 de diciembre, de protección a testigos y peritos en causas criminales</w:t>
        </w:r>
      </w:hyperlink>
      <w:r w:rsidRPr="00A07BE9">
        <w:rPr>
          <w:rFonts w:ascii="Open Sans" w:hAnsi="Open Sans"/>
          <w:color w:val="000000"/>
          <w:sz w:val="20"/>
          <w:szCs w:val="20"/>
        </w:rPr>
        <w:t>, de tal modo que siendo reconocido este derecho en el Juzgado que instruye las correspondientes diligencias previas, las testificales se han realizado en un juzgado fuera del término municipal en el que se han producido los hechos y con garantía de anonimato frente a las personas investigadas en la causa.</w:t>
      </w:r>
    </w:p>
    <w:p w14:paraId="16E29097" w14:textId="77777777" w:rsidR="00671CE2" w:rsidRPr="00A07BE9" w:rsidRDefault="00671CE2" w:rsidP="00671CE2">
      <w:pPr>
        <w:spacing w:after="0" w:line="276" w:lineRule="auto"/>
        <w:jc w:val="both"/>
        <w:rPr>
          <w:rFonts w:ascii="Open Sans" w:hAnsi="Open Sans"/>
          <w:color w:val="CE181E"/>
          <w:sz w:val="20"/>
          <w:szCs w:val="20"/>
        </w:rPr>
      </w:pPr>
    </w:p>
    <w:p w14:paraId="0CD1A575" w14:textId="1F38A657" w:rsidR="00671CE2" w:rsidRDefault="00671CE2" w:rsidP="00671CE2">
      <w:pPr>
        <w:spacing w:after="0" w:line="276" w:lineRule="auto"/>
        <w:jc w:val="both"/>
        <w:rPr>
          <w:rFonts w:ascii="Open Sans" w:hAnsi="Open Sans"/>
          <w:color w:val="000000"/>
          <w:sz w:val="20"/>
          <w:szCs w:val="20"/>
        </w:rPr>
      </w:pPr>
      <w:r w:rsidRPr="00A07BE9">
        <w:rPr>
          <w:rFonts w:ascii="Open Sans" w:hAnsi="Open Sans"/>
          <w:color w:val="000000"/>
          <w:sz w:val="20"/>
          <w:szCs w:val="20"/>
        </w:rPr>
        <w:t xml:space="preserve">Mención especial merece en este apartado la situación de presión vivida en 2019 por un denunciante protegido en los pasillos de un Juzgado de lo Social mientras se esperaba por las partes la celebración del juicio sobre nulidad del despido del trabajador (denunciante protegido), decretado por una empresa contratista de una entidad de derecho público de la Generalitat. Dicho procedimiento finalizó mediante acta de conciliación que reconocía la improcedencia del despido junto con la correspondiente indemnización a favor del trabajador. Si bien, durante la espera de dicho juicio, la persona denunciante, que se encontraba acompañada por personal de la Agencia, vio como de forma repetida, tanto ella como personal funcionario de esta Agencia, eran fotografiados por un empleado de la entidad pública investigada, en un claro de gesto de intimidación o amenaza. No era la primera vez que este trabajador recibía amenazas, incluso en su propio domicilio personal, </w:t>
      </w:r>
      <w:r w:rsidRPr="00A07BE9">
        <w:rPr>
          <w:rFonts w:ascii="Open Sans" w:hAnsi="Open Sans"/>
          <w:color w:val="000000"/>
          <w:sz w:val="20"/>
          <w:szCs w:val="20"/>
        </w:rPr>
        <w:lastRenderedPageBreak/>
        <w:t>por haber resultado incómodo en el ámbito laboral, debido a tensiones dentro de este contexto como consecuencia de sus denuncias de irregularidades y su declaración testifical ante un Juzgado de Instrucción que investiga un presunto caso de corrupción pública.</w:t>
      </w:r>
    </w:p>
    <w:p w14:paraId="5B521D96" w14:textId="77777777" w:rsidR="00417A14" w:rsidRPr="00A07BE9" w:rsidRDefault="00417A14" w:rsidP="00671CE2">
      <w:pPr>
        <w:spacing w:after="0" w:line="276" w:lineRule="auto"/>
        <w:jc w:val="both"/>
        <w:rPr>
          <w:rFonts w:ascii="Open Sans" w:hAnsi="Open Sans"/>
          <w:color w:val="000000"/>
          <w:sz w:val="20"/>
          <w:szCs w:val="20"/>
        </w:rPr>
      </w:pPr>
    </w:p>
    <w:p w14:paraId="674C88F8" w14:textId="77777777" w:rsidR="00671CE2" w:rsidRPr="00A07BE9" w:rsidRDefault="00671CE2" w:rsidP="00671CE2">
      <w:pPr>
        <w:spacing w:after="0" w:line="240" w:lineRule="auto"/>
        <w:jc w:val="both"/>
        <w:rPr>
          <w:color w:val="9D2235"/>
          <w:sz w:val="24"/>
          <w:szCs w:val="24"/>
        </w:rPr>
      </w:pPr>
      <w:r w:rsidRPr="00A07BE9">
        <w:rPr>
          <w:rFonts w:ascii="Open Sans" w:eastAsia="Times New Roman" w:hAnsi="Open Sans" w:cs="Open Sans"/>
          <w:b/>
          <w:bCs/>
          <w:smallCaps/>
          <w:color w:val="9D2235"/>
          <w:sz w:val="24"/>
          <w:szCs w:val="24"/>
          <w:lang w:eastAsia="es-ES"/>
        </w:rPr>
        <w:t>4.3.5.3. Repercusiones económicas por ejercicio del derecho de defensa</w:t>
      </w:r>
    </w:p>
    <w:p w14:paraId="7E2F8C4C" w14:textId="77777777" w:rsidR="00671CE2" w:rsidRPr="00A07BE9" w:rsidRDefault="00671CE2" w:rsidP="00671CE2">
      <w:pPr>
        <w:spacing w:after="0" w:line="240" w:lineRule="auto"/>
        <w:jc w:val="both"/>
        <w:rPr>
          <w:rFonts w:ascii="Open Sans" w:eastAsia="Times New Roman" w:hAnsi="Open Sans" w:cs="Open Sans"/>
          <w:b/>
          <w:bCs/>
          <w:smallCaps/>
          <w:color w:val="993333"/>
          <w:sz w:val="20"/>
          <w:szCs w:val="20"/>
          <w:lang w:eastAsia="es-ES"/>
        </w:rPr>
      </w:pPr>
    </w:p>
    <w:p w14:paraId="012649A2" w14:textId="77777777" w:rsidR="00671CE2" w:rsidRPr="00A07BE9" w:rsidRDefault="00671CE2" w:rsidP="00671CE2">
      <w:pPr>
        <w:spacing w:after="0" w:line="276" w:lineRule="auto"/>
        <w:jc w:val="both"/>
        <w:rPr>
          <w:sz w:val="20"/>
          <w:szCs w:val="20"/>
        </w:rPr>
      </w:pPr>
      <w:r w:rsidRPr="00A07BE9">
        <w:rPr>
          <w:rFonts w:ascii="Open Sans" w:hAnsi="Open Sans"/>
          <w:color w:val="000000"/>
          <w:sz w:val="20"/>
          <w:szCs w:val="20"/>
        </w:rPr>
        <w:t>Afirman María José Blanco Barea y Javier López, en el estudio, “</w:t>
      </w:r>
      <w:r w:rsidRPr="00A07BE9">
        <w:rPr>
          <w:rFonts w:ascii="Open Sans" w:hAnsi="Open Sans"/>
          <w:iCs/>
          <w:color w:val="000000"/>
          <w:sz w:val="20"/>
          <w:szCs w:val="20"/>
        </w:rPr>
        <w:t>La vía penal y civil integrada en el tratamiento de urgencia del acoso moral en el trabajo. Apuntes para una futura regulación legal del mobbing”</w:t>
      </w:r>
      <w:r w:rsidRPr="00A07BE9">
        <w:rPr>
          <w:rFonts w:ascii="Open Sans" w:hAnsi="Open Sans"/>
          <w:color w:val="000000"/>
          <w:sz w:val="20"/>
          <w:szCs w:val="20"/>
        </w:rPr>
        <w:t xml:space="preserve"> lo siguiente: </w:t>
      </w:r>
    </w:p>
    <w:p w14:paraId="34E36F72" w14:textId="77777777" w:rsidR="00671CE2" w:rsidRPr="00A07BE9" w:rsidRDefault="00671CE2" w:rsidP="00671CE2">
      <w:pPr>
        <w:spacing w:after="0" w:line="276" w:lineRule="auto"/>
        <w:jc w:val="both"/>
        <w:rPr>
          <w:rFonts w:ascii="Open Sans" w:hAnsi="Open Sans"/>
          <w:color w:val="1B1B1B"/>
          <w:sz w:val="20"/>
          <w:szCs w:val="20"/>
        </w:rPr>
      </w:pPr>
    </w:p>
    <w:p w14:paraId="1437269C" w14:textId="77777777" w:rsidR="00671CE2" w:rsidRPr="00A07BE9" w:rsidRDefault="00671CE2" w:rsidP="00671CE2">
      <w:pPr>
        <w:spacing w:after="0" w:line="276" w:lineRule="auto"/>
        <w:ind w:left="567"/>
        <w:jc w:val="both"/>
        <w:rPr>
          <w:sz w:val="20"/>
          <w:szCs w:val="20"/>
        </w:rPr>
      </w:pPr>
      <w:r w:rsidRPr="00A07BE9">
        <w:rPr>
          <w:rFonts w:ascii="Open Sans" w:hAnsi="Open Sans"/>
          <w:iCs/>
          <w:color w:val="000000"/>
          <w:sz w:val="20"/>
          <w:szCs w:val="20"/>
        </w:rPr>
        <w:t>“El acoso empresarial, muy frecuente en las administraciones locales, no plantea problema, ya que los representantes políticos no serán objeto de sanción administrativa alguna por estos actos contra los funcionarios. Este es un elemento que facilita el acoso institucional contra el funcionario, normalmente enfocado a conseguir un funcionariado dócil que dimita de sus responsabilidades de gestión profesional y se pliegue a las necesidades o voluntades de los grupos políticos gobernantes en cada momento.”</w:t>
      </w:r>
    </w:p>
    <w:p w14:paraId="22D0E483" w14:textId="77777777" w:rsidR="00671CE2" w:rsidRPr="00A07BE9" w:rsidRDefault="00671CE2" w:rsidP="00671CE2">
      <w:pPr>
        <w:spacing w:after="0" w:line="276" w:lineRule="auto"/>
        <w:jc w:val="both"/>
        <w:rPr>
          <w:rFonts w:ascii="Open Sans" w:hAnsi="Open Sans"/>
          <w:b/>
          <w:bCs/>
          <w:i/>
          <w:iCs/>
          <w:sz w:val="20"/>
          <w:szCs w:val="20"/>
        </w:rPr>
      </w:pPr>
    </w:p>
    <w:p w14:paraId="42DB2967" w14:textId="77777777" w:rsidR="00671CE2" w:rsidRPr="00A07BE9" w:rsidRDefault="00671CE2" w:rsidP="00671CE2">
      <w:pPr>
        <w:spacing w:after="0" w:line="276" w:lineRule="auto"/>
        <w:jc w:val="both"/>
        <w:rPr>
          <w:sz w:val="20"/>
          <w:szCs w:val="20"/>
        </w:rPr>
      </w:pPr>
      <w:r w:rsidRPr="00A07BE9">
        <w:rPr>
          <w:rFonts w:ascii="Open Sans" w:hAnsi="Open Sans"/>
          <w:color w:val="000000"/>
          <w:sz w:val="20"/>
          <w:szCs w:val="20"/>
        </w:rPr>
        <w:t xml:space="preserve">Un </w:t>
      </w:r>
      <w:r w:rsidRPr="00A07BE9">
        <w:rPr>
          <w:rFonts w:ascii="Open Sans" w:hAnsi="Open Sans"/>
          <w:i/>
          <w:iCs/>
          <w:color w:val="000000"/>
          <w:sz w:val="20"/>
          <w:szCs w:val="20"/>
        </w:rPr>
        <w:t>“vacío sancionador”</w:t>
      </w:r>
      <w:r w:rsidRPr="00A07BE9">
        <w:rPr>
          <w:rFonts w:ascii="Open Sans" w:hAnsi="Open Sans"/>
          <w:b/>
          <w:bCs/>
          <w:color w:val="000000"/>
          <w:sz w:val="20"/>
          <w:szCs w:val="20"/>
        </w:rPr>
        <w:t xml:space="preserve"> </w:t>
      </w:r>
      <w:r w:rsidRPr="00A07BE9">
        <w:rPr>
          <w:rFonts w:ascii="Open Sans" w:hAnsi="Open Sans"/>
          <w:color w:val="000000"/>
          <w:sz w:val="20"/>
          <w:szCs w:val="20"/>
        </w:rPr>
        <w:t>que, como señala, Diana Scialpi, autora ya mencionada en esta Memoria, que:</w:t>
      </w:r>
    </w:p>
    <w:p w14:paraId="6CD03243" w14:textId="77777777" w:rsidR="00671CE2" w:rsidRPr="00A07BE9" w:rsidRDefault="00671CE2" w:rsidP="00671CE2">
      <w:pPr>
        <w:spacing w:after="0" w:line="276" w:lineRule="auto"/>
        <w:jc w:val="both"/>
        <w:rPr>
          <w:rFonts w:ascii="Open Sans" w:hAnsi="Open Sans"/>
          <w:color w:val="000000"/>
          <w:sz w:val="20"/>
          <w:szCs w:val="20"/>
        </w:rPr>
      </w:pPr>
    </w:p>
    <w:p w14:paraId="0A2534C5" w14:textId="77777777" w:rsidR="00671CE2" w:rsidRPr="00A07BE9" w:rsidRDefault="00671CE2" w:rsidP="00671CE2">
      <w:pPr>
        <w:spacing w:after="0" w:line="276" w:lineRule="auto"/>
        <w:ind w:left="567"/>
        <w:jc w:val="both"/>
        <w:rPr>
          <w:sz w:val="20"/>
          <w:szCs w:val="20"/>
        </w:rPr>
      </w:pPr>
      <w:r w:rsidRPr="00A07BE9">
        <w:rPr>
          <w:rFonts w:ascii="Open Sans" w:hAnsi="Open Sans"/>
          <w:iCs/>
          <w:color w:val="000000"/>
          <w:sz w:val="20"/>
          <w:szCs w:val="20"/>
        </w:rPr>
        <w:t>“</w:t>
      </w:r>
      <w:r w:rsidRPr="00A07BE9">
        <w:rPr>
          <w:rFonts w:ascii="Open Sans" w:hAnsi="Open Sans"/>
          <w:iCs/>
          <w:sz w:val="20"/>
          <w:szCs w:val="20"/>
        </w:rPr>
        <w:t>favorece la corrupción al facilitar el dominio del funcionariado, en teoría dedicado a defender con objetividad los intereses generales, y en la práctica forzado a tolerar que intereses políticos o intereses personales de los políticos suplanten el interés colectivo general. Frente a este acoso solo cabría la acción penal, que en el caso de representantes políticos suele encontrar todo tipo de obstáculos para su éxito, y la vía de la responsabilidad patrimonial de la Administración, que, al final, paga el conjunto de los ciudadanos, sin que al representante político le suponga coste personal alguno el mantenimiento de un clima de violencia moral en el trabajo y la perversión misma del concepto de función pública.”</w:t>
      </w:r>
    </w:p>
    <w:p w14:paraId="506629EE" w14:textId="77777777" w:rsidR="00671CE2" w:rsidRPr="00A07BE9" w:rsidRDefault="00671CE2" w:rsidP="00671CE2">
      <w:pPr>
        <w:spacing w:after="0" w:line="276" w:lineRule="auto"/>
        <w:ind w:left="567"/>
        <w:jc w:val="both"/>
        <w:rPr>
          <w:rFonts w:ascii="Open Sans" w:hAnsi="Open Sans"/>
          <w:i/>
          <w:iCs/>
          <w:color w:val="000000"/>
          <w:sz w:val="18"/>
          <w:szCs w:val="18"/>
        </w:rPr>
      </w:pPr>
    </w:p>
    <w:p w14:paraId="7A636A6C" w14:textId="77777777" w:rsidR="00671CE2" w:rsidRPr="00A07BE9" w:rsidRDefault="00671CE2" w:rsidP="00671CE2">
      <w:pPr>
        <w:spacing w:after="0" w:line="276" w:lineRule="auto"/>
        <w:jc w:val="both"/>
        <w:rPr>
          <w:rFonts w:ascii="Open Sans" w:hAnsi="Open Sans"/>
          <w:color w:val="000000"/>
          <w:sz w:val="20"/>
          <w:szCs w:val="20"/>
        </w:rPr>
      </w:pPr>
      <w:r w:rsidRPr="00A07BE9">
        <w:rPr>
          <w:rFonts w:ascii="Open Sans" w:hAnsi="Open Sans"/>
          <w:color w:val="000000"/>
          <w:sz w:val="20"/>
          <w:szCs w:val="20"/>
        </w:rPr>
        <w:t xml:space="preserve">Esta actuación descrita en los párrafos anteriores supone una de las medidas de presión más utilizadas por las administraciones y entidades públicas denunciadas o investigadas, cuya finalidad es la de disuadir a los denunciantes mediante la interposición contra ellos de innumerables demandas, querellas, apertura de expedientes disciplinarios y un sinfín de recursos. </w:t>
      </w:r>
    </w:p>
    <w:p w14:paraId="52F69EB4" w14:textId="77777777" w:rsidR="00671CE2" w:rsidRPr="00A07BE9" w:rsidRDefault="00671CE2" w:rsidP="00671CE2">
      <w:pPr>
        <w:spacing w:after="0" w:line="276" w:lineRule="auto"/>
        <w:jc w:val="both"/>
        <w:rPr>
          <w:rFonts w:ascii="Open Sans" w:hAnsi="Open Sans"/>
          <w:color w:val="000000"/>
          <w:sz w:val="20"/>
          <w:szCs w:val="20"/>
        </w:rPr>
      </w:pPr>
    </w:p>
    <w:p w14:paraId="7C550503" w14:textId="7845F65B" w:rsidR="00671CE2" w:rsidRDefault="00671CE2" w:rsidP="00671CE2">
      <w:pPr>
        <w:spacing w:after="0" w:line="276" w:lineRule="auto"/>
        <w:jc w:val="both"/>
        <w:rPr>
          <w:rFonts w:ascii="Open Sans" w:hAnsi="Open Sans"/>
          <w:color w:val="000000"/>
          <w:sz w:val="20"/>
          <w:szCs w:val="20"/>
        </w:rPr>
      </w:pPr>
      <w:r w:rsidRPr="00A07BE9">
        <w:rPr>
          <w:rFonts w:ascii="Open Sans" w:hAnsi="Open Sans"/>
          <w:color w:val="000000"/>
          <w:sz w:val="20"/>
          <w:szCs w:val="20"/>
        </w:rPr>
        <w:t>Así, en el seguimiento de los denunciantes protegidos se observa de forma generalizada que los mismos se ven abocados a acudir a los tribunales no solo en la vía contencioso-administrativa, para el caso de empleados públicos, o en la jurisdicción social, en el supuesto de despidos disciplinarios u otras cuestiones de personal laboral, sino que tal intimidación se extiende asimismo a la vía penal.</w:t>
      </w:r>
    </w:p>
    <w:p w14:paraId="2F08EC5B" w14:textId="77777777" w:rsidR="00417A14" w:rsidRPr="00417A14" w:rsidRDefault="00417A14" w:rsidP="00671CE2">
      <w:pPr>
        <w:spacing w:after="0" w:line="276" w:lineRule="auto"/>
        <w:jc w:val="both"/>
        <w:rPr>
          <w:rFonts w:ascii="Open Sans" w:hAnsi="Open Sans"/>
          <w:color w:val="000000"/>
          <w:sz w:val="20"/>
          <w:szCs w:val="20"/>
        </w:rPr>
      </w:pPr>
    </w:p>
    <w:p w14:paraId="0D59392B" w14:textId="04603D19" w:rsidR="00671CE2" w:rsidRDefault="00671CE2" w:rsidP="00671CE2">
      <w:pPr>
        <w:spacing w:after="0" w:line="276" w:lineRule="auto"/>
        <w:jc w:val="both"/>
        <w:rPr>
          <w:rFonts w:ascii="Open Sans" w:hAnsi="Open Sans"/>
          <w:sz w:val="20"/>
          <w:szCs w:val="20"/>
        </w:rPr>
      </w:pPr>
      <w:r w:rsidRPr="00A07BE9">
        <w:rPr>
          <w:rFonts w:ascii="Open Sans" w:hAnsi="Open Sans"/>
          <w:sz w:val="20"/>
          <w:szCs w:val="20"/>
        </w:rPr>
        <w:lastRenderedPageBreak/>
        <w:t xml:space="preserve">Prueba de esta litigiosidad, en muchas ocasiones compulsiva de los represaliadores, es la </w:t>
      </w:r>
      <w:hyperlink r:id="rId228" w:history="1">
        <w:r w:rsidRPr="00A07BE9">
          <w:rPr>
            <w:rStyle w:val="Hipervnculo"/>
            <w:rFonts w:ascii="Open Sans" w:hAnsi="Open Sans"/>
            <w:sz w:val="20"/>
            <w:szCs w:val="20"/>
          </w:rPr>
          <w:t>Sentencia núm. 1054/2019, de 2 de abril de 2019</w:t>
        </w:r>
      </w:hyperlink>
      <w:r w:rsidRPr="00A07BE9">
        <w:rPr>
          <w:rFonts w:ascii="Open Sans" w:hAnsi="Open Sans"/>
          <w:sz w:val="20"/>
          <w:szCs w:val="20"/>
        </w:rPr>
        <w:t>, en la que la Sala de lo Social del Tribunal Superior de Justicia de la Comunitat Valenciana resolvió el recurso de suplicación interpuesto contra la Sentencia del juzgado que declaraba nulo el despido de un denunciante protegido por la Agencia a solicitud de la Fiscalía Provincial de Valencia.</w:t>
      </w:r>
    </w:p>
    <w:p w14:paraId="7B1499FB" w14:textId="77777777" w:rsidR="00417A14" w:rsidRPr="00A07BE9" w:rsidRDefault="00417A14" w:rsidP="00671CE2">
      <w:pPr>
        <w:spacing w:after="0" w:line="276" w:lineRule="auto"/>
        <w:jc w:val="both"/>
        <w:rPr>
          <w:sz w:val="20"/>
          <w:szCs w:val="20"/>
        </w:rPr>
      </w:pPr>
    </w:p>
    <w:p w14:paraId="32F2DA53" w14:textId="77777777" w:rsidR="00671CE2" w:rsidRPr="00A07BE9" w:rsidRDefault="00671CE2" w:rsidP="00671CE2">
      <w:pPr>
        <w:spacing w:after="0" w:line="276" w:lineRule="auto"/>
        <w:jc w:val="both"/>
        <w:rPr>
          <w:sz w:val="20"/>
          <w:szCs w:val="20"/>
        </w:rPr>
      </w:pPr>
      <w:r w:rsidRPr="00A07BE9">
        <w:rPr>
          <w:rFonts w:ascii="Open Sans" w:hAnsi="Open Sans"/>
          <w:sz w:val="20"/>
          <w:szCs w:val="20"/>
        </w:rPr>
        <w:t>En dicha Sentencia se ratifica la nulidad del despido del trabajador de una fundación del sector público instrumental de la Generalitat, esgrimiendo su Fundamento de Derecho Segundo, según su tenor literal lo siguiente:</w:t>
      </w:r>
    </w:p>
    <w:p w14:paraId="29AE625E" w14:textId="77777777" w:rsidR="00671CE2" w:rsidRPr="00A07BE9" w:rsidRDefault="00671CE2" w:rsidP="00671CE2">
      <w:pPr>
        <w:spacing w:after="0" w:line="276" w:lineRule="auto"/>
        <w:rPr>
          <w:rFonts w:ascii="Open Sans" w:hAnsi="Open Sans"/>
          <w:sz w:val="20"/>
          <w:szCs w:val="20"/>
        </w:rPr>
      </w:pPr>
    </w:p>
    <w:p w14:paraId="22007D2D" w14:textId="77777777" w:rsidR="00671CE2" w:rsidRPr="00A07BE9" w:rsidRDefault="00671CE2" w:rsidP="00671CE2">
      <w:pPr>
        <w:spacing w:after="0" w:line="276" w:lineRule="auto"/>
        <w:ind w:left="567"/>
        <w:jc w:val="both"/>
        <w:rPr>
          <w:sz w:val="18"/>
          <w:szCs w:val="18"/>
        </w:rPr>
      </w:pPr>
      <w:r w:rsidRPr="00A07BE9">
        <w:rPr>
          <w:rFonts w:ascii="Open Sans" w:hAnsi="Open Sans"/>
          <w:iCs/>
          <w:sz w:val="18"/>
          <w:szCs w:val="18"/>
        </w:rPr>
        <w:t>“No podemos sino compartir estos razonamientos que se amoldan a la doctrina constitucional y ordinaria sobre la prueba de indicios de vulneración de derechos fundamentales que corresponde al actor y el traslado de la carga de la prueba a la empresa, cuando no resulta acreditada la falta muy grave imputada sancionada con el despido, de que la sanción hay sido impuesta sin relación con el trato discriminatorio o vulnerador del derecho fundamental</w:t>
      </w:r>
      <w:r w:rsidRPr="00A07BE9">
        <w:rPr>
          <w:rFonts w:ascii="Open Sans" w:hAnsi="Open Sans"/>
          <w:b/>
          <w:bCs/>
          <w:iCs/>
          <w:sz w:val="18"/>
          <w:szCs w:val="18"/>
        </w:rPr>
        <w:t xml:space="preserve"> </w:t>
      </w:r>
      <w:r w:rsidRPr="00A07BE9">
        <w:rPr>
          <w:rFonts w:ascii="Open Sans" w:hAnsi="Open Sans"/>
          <w:iCs/>
          <w:sz w:val="18"/>
          <w:szCs w:val="18"/>
        </w:rPr>
        <w:t xml:space="preserve">(por ejemplo STS de 22 de enero de 2019 3701/2016). En el caso, tal y </w:t>
      </w:r>
      <w:r w:rsidRPr="00A07BE9">
        <w:rPr>
          <w:rFonts w:ascii="Open Sans" w:hAnsi="Open Sans"/>
          <w:b/>
          <w:bCs/>
          <w:iCs/>
          <w:sz w:val="18"/>
          <w:szCs w:val="18"/>
        </w:rPr>
        <w:t>como razona el Ministerio Fiscal, el trabajador es represaliado por la empresa con el despido por formular denuncias y/o ejercitar acciones sobre irregularidades cometidas en el seno de la Fundación, afectantes al interés público y realizadas en cumplimiento de un deber cívico y/o legal, por lo que el despido es discriminatorio y por consiguiente nulo</w:t>
      </w:r>
      <w:r w:rsidRPr="00A07BE9">
        <w:rPr>
          <w:rFonts w:ascii="Open Sans" w:hAnsi="Open Sans"/>
          <w:iCs/>
          <w:sz w:val="18"/>
          <w:szCs w:val="18"/>
        </w:rPr>
        <w:t>.</w:t>
      </w:r>
    </w:p>
    <w:p w14:paraId="29DAF237" w14:textId="484639F1" w:rsidR="00671CE2" w:rsidRPr="00A07BE9" w:rsidRDefault="00671CE2" w:rsidP="009953A7">
      <w:pPr>
        <w:spacing w:after="0" w:line="276" w:lineRule="auto"/>
        <w:ind w:left="567"/>
        <w:jc w:val="both"/>
        <w:rPr>
          <w:rFonts w:ascii="Open Sans" w:hAnsi="Open Sans"/>
          <w:iCs/>
          <w:sz w:val="18"/>
          <w:szCs w:val="18"/>
        </w:rPr>
      </w:pPr>
      <w:r w:rsidRPr="00A07BE9">
        <w:rPr>
          <w:rFonts w:ascii="Open Sans" w:hAnsi="Open Sans"/>
          <w:iCs/>
          <w:sz w:val="18"/>
          <w:szCs w:val="18"/>
        </w:rPr>
        <w:t xml:space="preserve">En definitiva, </w:t>
      </w:r>
      <w:r w:rsidRPr="00A07BE9">
        <w:rPr>
          <w:rFonts w:ascii="Open Sans" w:hAnsi="Open Sans"/>
          <w:b/>
          <w:bCs/>
          <w:iCs/>
          <w:sz w:val="18"/>
          <w:szCs w:val="18"/>
        </w:rPr>
        <w:t xml:space="preserve">no concurre gravedad en la falta de desobediencia imputada, y el despido se ha impuesto al trabajador como consecuencia </w:t>
      </w:r>
      <w:r w:rsidRPr="00A07BE9">
        <w:rPr>
          <w:rFonts w:ascii="Open Sans" w:hAnsi="Open Sans"/>
          <w:iCs/>
          <w:sz w:val="18"/>
          <w:szCs w:val="18"/>
        </w:rPr>
        <w:t xml:space="preserve">de los correos enviados a la Fundación que </w:t>
      </w:r>
      <w:r w:rsidRPr="00A07BE9">
        <w:rPr>
          <w:rFonts w:ascii="Open Sans" w:hAnsi="Open Sans"/>
          <w:b/>
          <w:bCs/>
          <w:iCs/>
          <w:sz w:val="18"/>
          <w:szCs w:val="18"/>
        </w:rPr>
        <w:t>denuncian las graves irregularidades</w:t>
      </w:r>
      <w:r w:rsidRPr="00A07BE9">
        <w:rPr>
          <w:rFonts w:ascii="Open Sans" w:hAnsi="Open Sans"/>
          <w:iCs/>
          <w:sz w:val="18"/>
          <w:szCs w:val="18"/>
        </w:rPr>
        <w:t xml:space="preserve"> descritas, de modo que procede desestimar el recurso, tanto en su pretensión principal que solicita la procedencia del despido, como en la subsidiaria de ser este improcedente, y confirmar la sentencia que declaró nulo el despido y señalo una indemnización proporcionada al daño sufrido por el trabajador.”</w:t>
      </w:r>
    </w:p>
    <w:p w14:paraId="4929B275" w14:textId="77777777" w:rsidR="00222B79" w:rsidRPr="00A07BE9" w:rsidRDefault="00222B79" w:rsidP="009953A7">
      <w:pPr>
        <w:spacing w:after="0" w:line="276" w:lineRule="auto"/>
        <w:ind w:left="567"/>
        <w:jc w:val="both"/>
        <w:rPr>
          <w:rFonts w:ascii="Open Sans" w:hAnsi="Open Sans"/>
          <w:iCs/>
          <w:sz w:val="20"/>
          <w:szCs w:val="20"/>
        </w:rPr>
      </w:pPr>
    </w:p>
    <w:p w14:paraId="4F8B02DE" w14:textId="77777777" w:rsidR="00671CE2" w:rsidRPr="00A07BE9" w:rsidRDefault="00671CE2" w:rsidP="00671CE2">
      <w:pPr>
        <w:spacing w:after="0" w:line="276" w:lineRule="auto"/>
        <w:jc w:val="both"/>
        <w:rPr>
          <w:rFonts w:ascii="Open Sans" w:hAnsi="Open Sans"/>
          <w:color w:val="1B1B1B"/>
          <w:sz w:val="20"/>
          <w:szCs w:val="20"/>
        </w:rPr>
      </w:pPr>
      <w:r w:rsidRPr="00A07BE9">
        <w:rPr>
          <w:rFonts w:ascii="Open Sans" w:hAnsi="Open Sans"/>
          <w:color w:val="000000"/>
          <w:sz w:val="20"/>
          <w:szCs w:val="20"/>
        </w:rPr>
        <w:t>Desde el inicio de su actividad, la Agencia ha constatado el calvario judicial a que se enfrentan muchos denunciantes, que se ven involucrados en un sinfín de recursos, tanto en vía administrativa como judicial; muchos ellos meramente dilatorios del procedimiento principal penal en el que están siendo investigadas las personas o autoridades denunciadas.</w:t>
      </w:r>
    </w:p>
    <w:p w14:paraId="22F9E527" w14:textId="77777777" w:rsidR="00671CE2" w:rsidRPr="00A07BE9" w:rsidRDefault="00671CE2" w:rsidP="00671CE2">
      <w:pPr>
        <w:spacing w:after="0" w:line="276" w:lineRule="auto"/>
        <w:jc w:val="both"/>
        <w:rPr>
          <w:rFonts w:ascii="Open Sans" w:hAnsi="Open Sans"/>
          <w:color w:val="000000"/>
          <w:sz w:val="20"/>
          <w:szCs w:val="20"/>
        </w:rPr>
      </w:pPr>
    </w:p>
    <w:p w14:paraId="0392B78B" w14:textId="19FE7A1A" w:rsidR="00671CE2" w:rsidRPr="00A07BE9" w:rsidRDefault="00671CE2" w:rsidP="009A3D76">
      <w:pPr>
        <w:spacing w:after="0" w:line="276" w:lineRule="auto"/>
        <w:jc w:val="both"/>
        <w:rPr>
          <w:rFonts w:ascii="Open Sans" w:hAnsi="Open Sans"/>
          <w:color w:val="000000"/>
          <w:sz w:val="20"/>
          <w:szCs w:val="20"/>
        </w:rPr>
      </w:pPr>
      <w:r w:rsidRPr="00A07BE9">
        <w:rPr>
          <w:rFonts w:ascii="Open Sans" w:hAnsi="Open Sans"/>
          <w:color w:val="000000"/>
          <w:sz w:val="20"/>
          <w:szCs w:val="20"/>
        </w:rPr>
        <w:t xml:space="preserve">En la actualidad, algunas de las personas protegidas por la Agencia ya han visto reconocidas en instancias judiciales las situaciones de acoso laboral vividas junto con la cuantificación de daños y perjuicios, así como estimadas sus demandas relativas a la necesidad de ser indemnizados por los gastos de representación y defensa en juicio que han tenido que asumir para restablecer sus derechos fundamentales, si bien este reconocimiento no ha estado exento de avatares y de un elevado coste económico y también personal difícil de calcular. </w:t>
      </w:r>
    </w:p>
    <w:p w14:paraId="529EE7C6" w14:textId="5A407482" w:rsidR="00D45FAB" w:rsidRDefault="00D45FAB" w:rsidP="009A3D76">
      <w:pPr>
        <w:spacing w:after="0" w:line="276" w:lineRule="auto"/>
        <w:jc w:val="both"/>
        <w:rPr>
          <w:rFonts w:ascii="Open Sans" w:hAnsi="Open Sans" w:cs="Open Sans"/>
          <w:color w:val="000000"/>
          <w:sz w:val="20"/>
          <w:szCs w:val="20"/>
        </w:rPr>
      </w:pPr>
    </w:p>
    <w:p w14:paraId="10F97F83" w14:textId="77777777" w:rsidR="008A0A32" w:rsidRPr="00A07BE9" w:rsidRDefault="008A0A32" w:rsidP="009A3D76">
      <w:pPr>
        <w:spacing w:after="0" w:line="276" w:lineRule="auto"/>
        <w:jc w:val="both"/>
        <w:rPr>
          <w:rFonts w:ascii="Open Sans" w:hAnsi="Open Sans" w:cs="Open Sans"/>
          <w:color w:val="000000"/>
          <w:sz w:val="20"/>
          <w:szCs w:val="20"/>
        </w:rPr>
      </w:pPr>
    </w:p>
    <w:p w14:paraId="2E98104F" w14:textId="77777777" w:rsidR="00671CE2" w:rsidRPr="00A07BE9" w:rsidRDefault="00671CE2" w:rsidP="00671CE2">
      <w:pPr>
        <w:spacing w:after="0" w:line="240" w:lineRule="auto"/>
        <w:jc w:val="both"/>
        <w:rPr>
          <w:rFonts w:ascii="Open Sans" w:eastAsia="Times New Roman" w:hAnsi="Open Sans" w:cs="Open Sans"/>
          <w:b/>
          <w:bCs/>
          <w:smallCaps/>
          <w:color w:val="9D2235"/>
          <w:sz w:val="24"/>
          <w:szCs w:val="24"/>
          <w:lang w:eastAsia="es-ES"/>
        </w:rPr>
      </w:pPr>
      <w:r w:rsidRPr="00A07BE9">
        <w:rPr>
          <w:rFonts w:ascii="Open Sans" w:eastAsia="Times New Roman" w:hAnsi="Open Sans" w:cs="Open Sans"/>
          <w:b/>
          <w:bCs/>
          <w:smallCaps/>
          <w:color w:val="9D2235"/>
          <w:sz w:val="24"/>
          <w:szCs w:val="24"/>
          <w:lang w:eastAsia="es-ES"/>
        </w:rPr>
        <w:t>4.3.5.4. Cambios de puesto de trabajo</w:t>
      </w:r>
    </w:p>
    <w:p w14:paraId="1AB6851D" w14:textId="77777777" w:rsidR="00671CE2" w:rsidRPr="00A07BE9" w:rsidRDefault="00671CE2" w:rsidP="00671CE2">
      <w:pPr>
        <w:spacing w:after="0" w:line="240" w:lineRule="auto"/>
        <w:jc w:val="both"/>
        <w:rPr>
          <w:rFonts w:ascii="Open Sans" w:eastAsia="Times New Roman" w:hAnsi="Open Sans" w:cs="Open Sans"/>
          <w:b/>
          <w:bCs/>
          <w:smallCaps/>
          <w:color w:val="993333"/>
          <w:sz w:val="20"/>
          <w:szCs w:val="20"/>
          <w:lang w:eastAsia="es-ES"/>
        </w:rPr>
      </w:pPr>
    </w:p>
    <w:p w14:paraId="671D57EA" w14:textId="77777777" w:rsidR="00671CE2" w:rsidRPr="00A07BE9" w:rsidRDefault="00671CE2" w:rsidP="00671CE2">
      <w:pPr>
        <w:spacing w:after="0" w:line="276" w:lineRule="auto"/>
        <w:jc w:val="both"/>
        <w:rPr>
          <w:rFonts w:ascii="Open Sans" w:hAnsi="Open Sans"/>
          <w:color w:val="000000"/>
          <w:sz w:val="20"/>
          <w:szCs w:val="20"/>
        </w:rPr>
      </w:pPr>
      <w:r w:rsidRPr="00A07BE9">
        <w:rPr>
          <w:rFonts w:ascii="Open Sans" w:hAnsi="Open Sans"/>
          <w:color w:val="000000"/>
          <w:sz w:val="20"/>
          <w:szCs w:val="20"/>
        </w:rPr>
        <w:t xml:space="preserve">La dificultad de soportar el ambiente laboral tras la realización de la denuncia de hechos contrarios al interés general comporta, en ocasiones, que el personal empleado público que </w:t>
      </w:r>
      <w:r w:rsidRPr="00A07BE9">
        <w:rPr>
          <w:rFonts w:ascii="Open Sans" w:hAnsi="Open Sans"/>
          <w:color w:val="000000"/>
          <w:sz w:val="20"/>
          <w:szCs w:val="20"/>
        </w:rPr>
        <w:lastRenderedPageBreak/>
        <w:t xml:space="preserve">ha denunciado solicite un cambio de destino, lo que apareja cambios sustanciales en su vida profesional y personal. En el seguimiento que la Agencia realiza a las personas protegidas, estas transmiten regularmente los inconvenientes de ejercer sus funciones en un entorno profesional hostil, considerando el traslado laboral como una medida que evita mayores perjuicios psicológicos. </w:t>
      </w:r>
    </w:p>
    <w:p w14:paraId="6BC2968E" w14:textId="77777777" w:rsidR="00671CE2" w:rsidRPr="00A07BE9" w:rsidRDefault="00671CE2" w:rsidP="00671CE2">
      <w:pPr>
        <w:spacing w:after="0" w:line="276" w:lineRule="auto"/>
        <w:jc w:val="both"/>
        <w:rPr>
          <w:rFonts w:ascii="Open Sans" w:hAnsi="Open Sans"/>
          <w:color w:val="000000"/>
          <w:sz w:val="20"/>
          <w:szCs w:val="20"/>
        </w:rPr>
      </w:pPr>
    </w:p>
    <w:p w14:paraId="379E16F2" w14:textId="20DD8F2B" w:rsidR="00671CE2" w:rsidRDefault="00671CE2" w:rsidP="00671CE2">
      <w:pPr>
        <w:spacing w:after="0" w:line="276" w:lineRule="auto"/>
        <w:jc w:val="both"/>
        <w:rPr>
          <w:rFonts w:ascii="Open Sans" w:hAnsi="Open Sans"/>
          <w:color w:val="000000"/>
          <w:sz w:val="20"/>
          <w:szCs w:val="20"/>
        </w:rPr>
      </w:pPr>
      <w:r w:rsidRPr="00A07BE9">
        <w:rPr>
          <w:rFonts w:ascii="Open Sans" w:hAnsi="Open Sans"/>
          <w:color w:val="000000"/>
          <w:sz w:val="20"/>
          <w:szCs w:val="20"/>
        </w:rPr>
        <w:t>Debido a ello, dos de los denunciantes protegidos por la Agencia solicitaron el traslado de su puesto de trabajo, con carácter temporal en uno de los casos, y definitivo en otro.</w:t>
      </w:r>
    </w:p>
    <w:p w14:paraId="6ECA311F" w14:textId="77777777" w:rsidR="00436B6D" w:rsidRPr="00A07BE9" w:rsidRDefault="00436B6D" w:rsidP="00671CE2">
      <w:pPr>
        <w:spacing w:after="0" w:line="276" w:lineRule="auto"/>
        <w:jc w:val="both"/>
        <w:rPr>
          <w:rFonts w:ascii="Open Sans" w:hAnsi="Open Sans"/>
          <w:color w:val="000000"/>
          <w:sz w:val="20"/>
          <w:szCs w:val="20"/>
        </w:rPr>
      </w:pPr>
    </w:p>
    <w:p w14:paraId="46E31DED" w14:textId="7F64D540" w:rsidR="00671CE2" w:rsidRPr="00A07BE9" w:rsidRDefault="00671CE2" w:rsidP="00671CE2">
      <w:pPr>
        <w:spacing w:after="0" w:line="276" w:lineRule="auto"/>
        <w:jc w:val="both"/>
        <w:rPr>
          <w:sz w:val="20"/>
          <w:szCs w:val="20"/>
        </w:rPr>
      </w:pPr>
      <w:r w:rsidRPr="00A07BE9">
        <w:rPr>
          <w:rFonts w:ascii="Open Sans" w:hAnsi="Open Sans"/>
          <w:color w:val="000000"/>
          <w:sz w:val="20"/>
          <w:szCs w:val="20"/>
        </w:rPr>
        <w:t xml:space="preserve">En el caso del cambio de destino con carácter temporal en 2019, la Agencia solicitó a la administración pública donde el funcionario prestaba servicios, conforme al deber de colaboración prescrito en el artículo 7 de la </w:t>
      </w:r>
      <w:hyperlink r:id="rId229" w:history="1">
        <w:r w:rsidR="0050097D" w:rsidRPr="00A07BE9">
          <w:rPr>
            <w:rStyle w:val="Hipervnculo"/>
            <w:rFonts w:ascii="Open Sans" w:hAnsi="Open Sans" w:cs="Open Sans"/>
            <w:sz w:val="20"/>
            <w:szCs w:val="20"/>
          </w:rPr>
          <w:t>Ley 11/2016</w:t>
        </w:r>
        <w:r w:rsidR="0050097D" w:rsidRPr="00A07BE9">
          <w:rPr>
            <w:rStyle w:val="Hipervnculo"/>
            <w:rFonts w:ascii="Open Sans" w:hAnsi="Open Sans"/>
            <w:color w:val="auto"/>
            <w:sz w:val="20"/>
            <w:szCs w:val="20"/>
            <w:u w:val="none"/>
          </w:rPr>
          <w:t>, de 28 de noviembre, de la Generalitat</w:t>
        </w:r>
      </w:hyperlink>
      <w:r w:rsidRPr="00A07BE9">
        <w:rPr>
          <w:rFonts w:ascii="Open Sans" w:hAnsi="Open Sans"/>
          <w:color w:val="000000"/>
          <w:sz w:val="20"/>
          <w:szCs w:val="20"/>
        </w:rPr>
        <w:t>, que la comisión de servicios se llevara a cabo a la mayor brevedad.</w:t>
      </w:r>
    </w:p>
    <w:p w14:paraId="524DD721" w14:textId="77777777" w:rsidR="00F20B33" w:rsidRPr="00A07BE9" w:rsidRDefault="00F20B33" w:rsidP="00671CE2">
      <w:pPr>
        <w:spacing w:after="0" w:line="276" w:lineRule="auto"/>
        <w:jc w:val="both"/>
        <w:rPr>
          <w:rFonts w:ascii="Open Sans" w:eastAsia="Times New Roman" w:hAnsi="Open Sans" w:cs="Open Sans"/>
          <w:b/>
          <w:bCs/>
          <w:smallCaps/>
          <w:color w:val="BF0041"/>
          <w:sz w:val="20"/>
          <w:szCs w:val="20"/>
          <w:lang w:eastAsia="es-ES"/>
        </w:rPr>
      </w:pPr>
    </w:p>
    <w:p w14:paraId="219BD33E" w14:textId="77777777" w:rsidR="00671CE2" w:rsidRPr="00A07BE9" w:rsidRDefault="00671CE2" w:rsidP="00671CE2">
      <w:pPr>
        <w:spacing w:after="0" w:line="276" w:lineRule="auto"/>
        <w:jc w:val="both"/>
        <w:rPr>
          <w:rFonts w:ascii="Open Sans" w:eastAsia="Times New Roman" w:hAnsi="Open Sans" w:cs="Open Sans"/>
          <w:b/>
          <w:bCs/>
          <w:smallCaps/>
          <w:color w:val="9D2235"/>
          <w:sz w:val="24"/>
          <w:szCs w:val="24"/>
          <w:lang w:eastAsia="es-ES"/>
        </w:rPr>
      </w:pPr>
      <w:r w:rsidRPr="00A07BE9">
        <w:rPr>
          <w:rFonts w:ascii="Open Sans" w:eastAsia="Times New Roman" w:hAnsi="Open Sans" w:cs="Open Sans"/>
          <w:b/>
          <w:bCs/>
          <w:smallCaps/>
          <w:color w:val="9D2235"/>
          <w:sz w:val="24"/>
          <w:szCs w:val="24"/>
          <w:lang w:eastAsia="es-ES"/>
        </w:rPr>
        <w:t>4.3.5.5. Consecuencias psicológicas</w:t>
      </w:r>
    </w:p>
    <w:p w14:paraId="7203A43F" w14:textId="77777777" w:rsidR="00671CE2" w:rsidRPr="00A07BE9" w:rsidRDefault="00671CE2" w:rsidP="00671CE2">
      <w:pPr>
        <w:spacing w:after="0" w:line="276" w:lineRule="auto"/>
        <w:jc w:val="both"/>
        <w:rPr>
          <w:rFonts w:ascii="Open Sans" w:eastAsia="Times New Roman" w:hAnsi="Open Sans" w:cs="Open Sans"/>
          <w:b/>
          <w:bCs/>
          <w:smallCaps/>
          <w:color w:val="9D2235"/>
          <w:sz w:val="20"/>
          <w:szCs w:val="20"/>
          <w:lang w:eastAsia="es-ES"/>
        </w:rPr>
      </w:pPr>
    </w:p>
    <w:p w14:paraId="10C103F8" w14:textId="77777777" w:rsidR="00671CE2" w:rsidRPr="00A07BE9" w:rsidRDefault="00671CE2" w:rsidP="00671CE2">
      <w:pPr>
        <w:spacing w:after="0" w:line="276" w:lineRule="auto"/>
        <w:jc w:val="both"/>
        <w:rPr>
          <w:sz w:val="20"/>
          <w:szCs w:val="20"/>
        </w:rPr>
      </w:pPr>
      <w:r w:rsidRPr="00A07BE9">
        <w:rPr>
          <w:rFonts w:ascii="Open Sans" w:hAnsi="Open Sans"/>
          <w:sz w:val="20"/>
          <w:szCs w:val="20"/>
        </w:rPr>
        <w:t>Numerosos denunciantes protegidos se han visto obligados a requerir tratamiento psicológico, derivado</w:t>
      </w:r>
      <w:r w:rsidRPr="00A07BE9">
        <w:rPr>
          <w:rFonts w:ascii="Open Sans" w:hAnsi="Open Sans"/>
          <w:color w:val="CE181E"/>
          <w:sz w:val="20"/>
          <w:szCs w:val="20"/>
        </w:rPr>
        <w:t xml:space="preserve"> </w:t>
      </w:r>
      <w:r w:rsidRPr="00A07BE9">
        <w:rPr>
          <w:rFonts w:ascii="Open Sans" w:hAnsi="Open Sans"/>
          <w:color w:val="000000"/>
          <w:sz w:val="20"/>
          <w:szCs w:val="20"/>
        </w:rPr>
        <w:t>de las difíciles situaciones vividas como consecuencia de la interposición de la denuncia.</w:t>
      </w:r>
    </w:p>
    <w:p w14:paraId="57C1F6F7" w14:textId="77777777" w:rsidR="00671CE2" w:rsidRPr="00A07BE9" w:rsidRDefault="00671CE2" w:rsidP="00671CE2">
      <w:pPr>
        <w:spacing w:after="0" w:line="276" w:lineRule="auto"/>
        <w:jc w:val="both"/>
        <w:rPr>
          <w:rFonts w:ascii="Open Sans" w:hAnsi="Open Sans"/>
          <w:sz w:val="20"/>
          <w:szCs w:val="20"/>
        </w:rPr>
      </w:pPr>
    </w:p>
    <w:p w14:paraId="472C5293" w14:textId="77777777" w:rsidR="00671CE2" w:rsidRPr="00A07BE9" w:rsidRDefault="00671CE2" w:rsidP="00671CE2">
      <w:pPr>
        <w:spacing w:after="0" w:line="276" w:lineRule="auto"/>
        <w:jc w:val="both"/>
        <w:rPr>
          <w:sz w:val="20"/>
          <w:szCs w:val="20"/>
        </w:rPr>
      </w:pPr>
      <w:r w:rsidRPr="00A07BE9">
        <w:rPr>
          <w:rFonts w:ascii="Open Sans" w:hAnsi="Open Sans"/>
          <w:color w:val="000000"/>
          <w:sz w:val="20"/>
          <w:szCs w:val="20"/>
        </w:rPr>
        <w:t>Esta presión en el ámbito profesional que viven los denunciantes protegidos trasciende, en la mayoría de los casos, al ámbito personal y familiar,</w:t>
      </w:r>
      <w:r w:rsidRPr="00A07BE9">
        <w:rPr>
          <w:rFonts w:ascii="Open Sans" w:hAnsi="Open Sans"/>
          <w:color w:val="CE181E"/>
          <w:sz w:val="20"/>
          <w:szCs w:val="20"/>
        </w:rPr>
        <w:t xml:space="preserve"> </w:t>
      </w:r>
      <w:r w:rsidRPr="00A07BE9">
        <w:rPr>
          <w:rFonts w:ascii="Open Sans" w:hAnsi="Open Sans"/>
          <w:sz w:val="20"/>
          <w:szCs w:val="20"/>
        </w:rPr>
        <w:t>afectando a las distintas áreas de su vida privada (núcleos familiares, amistades, etc.).</w:t>
      </w:r>
    </w:p>
    <w:p w14:paraId="0A689A03" w14:textId="77777777" w:rsidR="00671CE2" w:rsidRPr="00A07BE9" w:rsidRDefault="00671CE2" w:rsidP="00671CE2">
      <w:pPr>
        <w:spacing w:after="0" w:line="276" w:lineRule="auto"/>
        <w:jc w:val="both"/>
        <w:rPr>
          <w:rFonts w:ascii="Open Sans" w:hAnsi="Open Sans"/>
          <w:sz w:val="20"/>
          <w:szCs w:val="20"/>
        </w:rPr>
      </w:pPr>
    </w:p>
    <w:p w14:paraId="69E918F0" w14:textId="77777777" w:rsidR="00671CE2" w:rsidRPr="00A07BE9" w:rsidRDefault="00671CE2" w:rsidP="00671CE2">
      <w:pPr>
        <w:spacing w:after="0" w:line="276" w:lineRule="auto"/>
        <w:jc w:val="both"/>
        <w:rPr>
          <w:sz w:val="20"/>
          <w:szCs w:val="20"/>
        </w:rPr>
      </w:pPr>
      <w:r w:rsidRPr="00A07BE9">
        <w:rPr>
          <w:rFonts w:ascii="Open Sans" w:hAnsi="Open Sans"/>
          <w:sz w:val="20"/>
          <w:szCs w:val="20"/>
        </w:rPr>
        <w:t>Según los expertos en la materia, las consecuencias psicológicas más comunes son las siguientes:</w:t>
      </w:r>
    </w:p>
    <w:p w14:paraId="2E6EA3B4" w14:textId="77777777" w:rsidR="00671CE2" w:rsidRPr="00A07BE9" w:rsidRDefault="00671CE2" w:rsidP="00671CE2">
      <w:pPr>
        <w:spacing w:after="0" w:line="276" w:lineRule="auto"/>
        <w:jc w:val="both"/>
        <w:rPr>
          <w:rFonts w:ascii="Open Sans" w:hAnsi="Open Sans"/>
          <w:sz w:val="20"/>
          <w:szCs w:val="20"/>
        </w:rPr>
      </w:pPr>
    </w:p>
    <w:p w14:paraId="658AF52C" w14:textId="77777777" w:rsidR="00E62917" w:rsidRPr="00A07BE9" w:rsidRDefault="00671CE2" w:rsidP="00E62917">
      <w:pPr>
        <w:pStyle w:val="Prrafodelista"/>
        <w:numPr>
          <w:ilvl w:val="0"/>
          <w:numId w:val="2"/>
        </w:numPr>
        <w:spacing w:after="0" w:line="276" w:lineRule="auto"/>
        <w:ind w:left="924" w:hanging="357"/>
        <w:jc w:val="both"/>
        <w:rPr>
          <w:rFonts w:ascii="Open Sans" w:hAnsi="Open Sans"/>
          <w:color w:val="1B1B1B"/>
          <w:sz w:val="20"/>
          <w:szCs w:val="20"/>
        </w:rPr>
      </w:pPr>
      <w:r w:rsidRPr="00A07BE9">
        <w:rPr>
          <w:rFonts w:ascii="Open Sans" w:hAnsi="Open Sans"/>
          <w:color w:val="1B1B1B"/>
          <w:sz w:val="20"/>
          <w:szCs w:val="20"/>
        </w:rPr>
        <w:t>Para el trabajador afectado: consecuencias psíquicas, físicas y sociales.</w:t>
      </w:r>
    </w:p>
    <w:p w14:paraId="1EEC8F73" w14:textId="77777777" w:rsidR="00E62917" w:rsidRPr="00A07BE9" w:rsidRDefault="00671CE2" w:rsidP="00E62917">
      <w:pPr>
        <w:pStyle w:val="Prrafodelista"/>
        <w:numPr>
          <w:ilvl w:val="0"/>
          <w:numId w:val="2"/>
        </w:numPr>
        <w:spacing w:after="0" w:line="276" w:lineRule="auto"/>
        <w:ind w:left="924" w:hanging="357"/>
        <w:jc w:val="both"/>
        <w:rPr>
          <w:rFonts w:ascii="Open Sans" w:hAnsi="Open Sans"/>
          <w:color w:val="1B1B1B"/>
          <w:sz w:val="20"/>
          <w:szCs w:val="20"/>
        </w:rPr>
      </w:pPr>
      <w:r w:rsidRPr="00A07BE9">
        <w:rPr>
          <w:rFonts w:ascii="Open Sans" w:hAnsi="Open Sans"/>
          <w:color w:val="1B1B1B"/>
          <w:sz w:val="20"/>
          <w:szCs w:val="20"/>
        </w:rPr>
        <w:t>Para la organización del trabajo: disminución del rendimiento, problemas de comunicación, absentismo, peor clima social, posibilidad de aumento de la accidentalidad.</w:t>
      </w:r>
    </w:p>
    <w:p w14:paraId="7447E8EB" w14:textId="77777777" w:rsidR="00E62917" w:rsidRPr="00A07BE9" w:rsidRDefault="00671CE2" w:rsidP="00E62917">
      <w:pPr>
        <w:pStyle w:val="Prrafodelista"/>
        <w:numPr>
          <w:ilvl w:val="0"/>
          <w:numId w:val="2"/>
        </w:numPr>
        <w:spacing w:after="0" w:line="276" w:lineRule="auto"/>
        <w:ind w:left="924" w:hanging="357"/>
        <w:jc w:val="both"/>
        <w:rPr>
          <w:rFonts w:ascii="Open Sans" w:hAnsi="Open Sans"/>
          <w:color w:val="1B1B1B"/>
          <w:sz w:val="20"/>
          <w:szCs w:val="20"/>
        </w:rPr>
      </w:pPr>
      <w:r w:rsidRPr="00A07BE9">
        <w:rPr>
          <w:rFonts w:ascii="Open Sans" w:hAnsi="Open Sans"/>
          <w:color w:val="1B1B1B"/>
          <w:sz w:val="20"/>
          <w:szCs w:val="20"/>
        </w:rPr>
        <w:t>Para el núcleo familiar y social: presencia de persona desmotivada y, posiblemente, con algún trastorno psiquiátrico.</w:t>
      </w:r>
    </w:p>
    <w:p w14:paraId="05BF7DC7" w14:textId="77777777" w:rsidR="00671CE2" w:rsidRPr="00A07BE9" w:rsidRDefault="00671CE2" w:rsidP="00E62917">
      <w:pPr>
        <w:pStyle w:val="Prrafodelista"/>
        <w:numPr>
          <w:ilvl w:val="0"/>
          <w:numId w:val="2"/>
        </w:numPr>
        <w:spacing w:after="0" w:line="276" w:lineRule="auto"/>
        <w:ind w:left="924" w:hanging="357"/>
        <w:jc w:val="both"/>
        <w:rPr>
          <w:rFonts w:ascii="Open Sans" w:hAnsi="Open Sans"/>
          <w:color w:val="1B1B1B"/>
          <w:sz w:val="20"/>
          <w:szCs w:val="20"/>
        </w:rPr>
      </w:pPr>
      <w:r w:rsidRPr="00A07BE9">
        <w:rPr>
          <w:rFonts w:ascii="Open Sans" w:hAnsi="Open Sans"/>
          <w:color w:val="1B1B1B"/>
          <w:sz w:val="20"/>
          <w:szCs w:val="20"/>
        </w:rPr>
        <w:t>Para la comunidad: pérdida de fuerza de trabajo, asistencia a enfermedades, pensiones de invalidez.</w:t>
      </w:r>
    </w:p>
    <w:p w14:paraId="1E48FF41" w14:textId="77777777" w:rsidR="00671CE2" w:rsidRPr="00A07BE9" w:rsidRDefault="00671CE2" w:rsidP="00671CE2">
      <w:pPr>
        <w:spacing w:after="0" w:line="276" w:lineRule="auto"/>
        <w:jc w:val="both"/>
        <w:rPr>
          <w:rFonts w:ascii="Open Sans" w:hAnsi="Open Sans"/>
          <w:sz w:val="20"/>
          <w:szCs w:val="20"/>
        </w:rPr>
      </w:pPr>
    </w:p>
    <w:p w14:paraId="717530C9" w14:textId="77777777" w:rsidR="00671CE2" w:rsidRPr="00A07BE9" w:rsidRDefault="00671CE2" w:rsidP="00671CE2">
      <w:pPr>
        <w:spacing w:after="0" w:line="276" w:lineRule="auto"/>
        <w:jc w:val="both"/>
        <w:rPr>
          <w:rFonts w:ascii="Open Sans" w:hAnsi="Open Sans"/>
          <w:color w:val="000000"/>
          <w:sz w:val="20"/>
          <w:szCs w:val="20"/>
        </w:rPr>
      </w:pPr>
      <w:r w:rsidRPr="00A07BE9">
        <w:rPr>
          <w:rFonts w:ascii="Open Sans" w:hAnsi="Open Sans"/>
          <w:color w:val="000000"/>
          <w:sz w:val="20"/>
          <w:szCs w:val="20"/>
        </w:rPr>
        <w:t xml:space="preserve">Conforme a lo expuesto, se observa que un grupo importante de las personas protegidas por la Agencia, se encuentran o han estado de baja laboral. Ello no solo supone adversidad y padecimiento de las personas denunciantes, sino además el consecuente coste público derivado de la pérdida de recursos humanos que ejercen con diligencia el servicio público hasta el punto de poner su salud individual en juego. </w:t>
      </w:r>
    </w:p>
    <w:p w14:paraId="37DD767F" w14:textId="77777777" w:rsidR="00671CE2" w:rsidRPr="00A07BE9" w:rsidRDefault="00671CE2" w:rsidP="00671CE2">
      <w:pPr>
        <w:pStyle w:val="ndicedeusuario3"/>
        <w:tabs>
          <w:tab w:val="left" w:pos="675"/>
        </w:tabs>
        <w:spacing w:after="0" w:line="240" w:lineRule="auto"/>
        <w:ind w:left="0"/>
        <w:jc w:val="both"/>
        <w:rPr>
          <w:rFonts w:ascii="Open Sans" w:hAnsi="Open Sans" w:cs="Calibri"/>
          <w:color w:val="CE181E"/>
          <w:sz w:val="20"/>
          <w:szCs w:val="20"/>
        </w:rPr>
      </w:pPr>
    </w:p>
    <w:p w14:paraId="5DCD1CFA" w14:textId="77777777" w:rsidR="00436B6D" w:rsidRPr="00A07BE9" w:rsidRDefault="00436B6D" w:rsidP="00671CE2">
      <w:pPr>
        <w:spacing w:after="0" w:line="276" w:lineRule="auto"/>
        <w:jc w:val="both"/>
        <w:rPr>
          <w:rFonts w:ascii="Open Sans" w:eastAsia="Times New Roman" w:hAnsi="Open Sans" w:cs="Open Sans"/>
          <w:b/>
          <w:bCs/>
          <w:smallCaps/>
          <w:color w:val="9D2235"/>
          <w:sz w:val="20"/>
          <w:szCs w:val="20"/>
          <w:lang w:eastAsia="es-ES"/>
        </w:rPr>
      </w:pPr>
    </w:p>
    <w:p w14:paraId="174C7595" w14:textId="2BA9C304" w:rsidR="00671CE2" w:rsidRPr="00A07BE9" w:rsidRDefault="00671CE2" w:rsidP="00671CE2">
      <w:pPr>
        <w:spacing w:after="0" w:line="276" w:lineRule="auto"/>
        <w:jc w:val="both"/>
        <w:rPr>
          <w:rFonts w:ascii="Open Sans" w:eastAsia="Times New Roman" w:hAnsi="Open Sans" w:cs="Open Sans"/>
          <w:b/>
          <w:bCs/>
          <w:smallCaps/>
          <w:color w:val="9D2235"/>
          <w:sz w:val="28"/>
          <w:szCs w:val="28"/>
          <w:lang w:eastAsia="es-ES"/>
        </w:rPr>
      </w:pPr>
      <w:r w:rsidRPr="00A07BE9">
        <w:rPr>
          <w:rFonts w:ascii="Open Sans" w:eastAsia="Times New Roman" w:hAnsi="Open Sans" w:cs="Open Sans"/>
          <w:b/>
          <w:bCs/>
          <w:smallCaps/>
          <w:color w:val="9D2235"/>
          <w:sz w:val="28"/>
          <w:szCs w:val="28"/>
          <w:lang w:eastAsia="es-ES"/>
        </w:rPr>
        <w:lastRenderedPageBreak/>
        <w:t>4.3.6. Resultados Estadísticos de la Protección a Denunciantes</w:t>
      </w:r>
    </w:p>
    <w:p w14:paraId="6B4796B0" w14:textId="77777777" w:rsidR="00671CE2" w:rsidRPr="00A07BE9" w:rsidRDefault="00671CE2" w:rsidP="00671CE2">
      <w:pPr>
        <w:spacing w:after="0" w:line="276" w:lineRule="auto"/>
        <w:jc w:val="both"/>
        <w:rPr>
          <w:rFonts w:ascii="Open Sans" w:eastAsia="Times New Roman" w:hAnsi="Open Sans" w:cs="Open Sans"/>
          <w:color w:val="9D2235"/>
          <w:sz w:val="20"/>
          <w:szCs w:val="20"/>
          <w:lang w:eastAsia="es-ES"/>
        </w:rPr>
      </w:pPr>
    </w:p>
    <w:p w14:paraId="346CDBAB" w14:textId="2FAD85F1" w:rsidR="00671CE2" w:rsidRPr="00A07BE9" w:rsidRDefault="00671CE2" w:rsidP="00671CE2">
      <w:pPr>
        <w:spacing w:after="0" w:line="276" w:lineRule="auto"/>
        <w:jc w:val="both"/>
        <w:rPr>
          <w:rFonts w:ascii="Times New Roman" w:eastAsia="Times New Roman" w:hAnsi="Times New Roman" w:cs="Times New Roman"/>
          <w:sz w:val="20"/>
          <w:szCs w:val="20"/>
          <w:lang w:eastAsia="es-ES"/>
        </w:rPr>
      </w:pPr>
      <w:r w:rsidRPr="00A07BE9">
        <w:rPr>
          <w:rFonts w:ascii="Open Sans" w:eastAsia="Times New Roman" w:hAnsi="Open Sans" w:cs="Open Sans"/>
          <w:color w:val="000000"/>
          <w:sz w:val="20"/>
          <w:szCs w:val="20"/>
          <w:lang w:eastAsia="es-ES"/>
        </w:rPr>
        <w:t xml:space="preserve">Declara el artículo 14 de la </w:t>
      </w:r>
      <w:hyperlink r:id="rId230" w:history="1">
        <w:r w:rsidR="0050097D" w:rsidRPr="00A07BE9">
          <w:rPr>
            <w:rStyle w:val="Hipervnculo"/>
            <w:rFonts w:ascii="Open Sans" w:hAnsi="Open Sans" w:cs="Open Sans"/>
            <w:sz w:val="20"/>
            <w:szCs w:val="20"/>
          </w:rPr>
          <w:t>Ley 11/2016</w:t>
        </w:r>
        <w:r w:rsidR="0050097D" w:rsidRPr="00A07BE9">
          <w:rPr>
            <w:rStyle w:val="Hipervnculo"/>
            <w:rFonts w:ascii="Open Sans" w:hAnsi="Open Sans"/>
            <w:color w:val="auto"/>
            <w:sz w:val="20"/>
            <w:szCs w:val="20"/>
            <w:u w:val="none"/>
          </w:rPr>
          <w:t>, de 28 de noviembre, de la Generalitat</w:t>
        </w:r>
      </w:hyperlink>
      <w:r w:rsidRPr="00A07BE9">
        <w:rPr>
          <w:rFonts w:ascii="Open Sans" w:eastAsia="Times New Roman" w:hAnsi="Open Sans" w:cs="Open Sans"/>
          <w:color w:val="000000"/>
          <w:sz w:val="20"/>
          <w:szCs w:val="20"/>
          <w:lang w:eastAsia="es-ES"/>
        </w:rPr>
        <w:t xml:space="preserve">, bajo el título </w:t>
      </w:r>
      <w:r w:rsidRPr="00A07BE9">
        <w:rPr>
          <w:rFonts w:ascii="Open Sans" w:eastAsia="Times New Roman" w:hAnsi="Open Sans" w:cs="Open Sans"/>
          <w:i/>
          <w:iCs/>
          <w:color w:val="000000"/>
          <w:sz w:val="20"/>
          <w:szCs w:val="20"/>
          <w:lang w:eastAsia="es-ES"/>
        </w:rPr>
        <w:t>Estatuto de la persona denunciante,</w:t>
      </w:r>
      <w:r w:rsidRPr="00A07BE9">
        <w:rPr>
          <w:rFonts w:ascii="Open Sans" w:eastAsia="Times New Roman" w:hAnsi="Open Sans" w:cs="Open Sans"/>
          <w:color w:val="000000"/>
          <w:sz w:val="20"/>
          <w:szCs w:val="20"/>
          <w:lang w:eastAsia="es-ES"/>
        </w:rPr>
        <w:t xml:space="preserve"> que la Agencia presta especial atención a las personas denunciantes, y sin necesidad de previa declaración o reconocimiento, las personas denunciantes de buena fe reciben inmediatamente asesoría legal por los hechos relacionados con la denuncia, teniendo garantizada la confidencialidad sobre su identidad. </w:t>
      </w:r>
    </w:p>
    <w:p w14:paraId="4F34012B" w14:textId="77777777" w:rsidR="00671CE2" w:rsidRPr="00A07BE9" w:rsidRDefault="00671CE2" w:rsidP="00671CE2">
      <w:pPr>
        <w:spacing w:after="0" w:line="276" w:lineRule="auto"/>
        <w:jc w:val="both"/>
        <w:rPr>
          <w:rFonts w:ascii="Times New Roman" w:eastAsia="Times New Roman" w:hAnsi="Times New Roman" w:cs="Times New Roman"/>
          <w:sz w:val="20"/>
          <w:szCs w:val="20"/>
          <w:lang w:eastAsia="es-ES"/>
        </w:rPr>
      </w:pPr>
    </w:p>
    <w:p w14:paraId="191DA47E" w14:textId="77777777"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La Agencia ha atendido durante el año 2019 a numerosas personas, fundamentalmente funcionarios públicos.</w:t>
      </w:r>
      <w:r w:rsidRPr="00A07BE9">
        <w:rPr>
          <w:rFonts w:ascii="Times New Roman" w:eastAsia="Times New Roman" w:hAnsi="Times New Roman" w:cs="Times New Roman"/>
          <w:sz w:val="20"/>
          <w:szCs w:val="20"/>
          <w:lang w:eastAsia="es-ES"/>
        </w:rPr>
        <w:t xml:space="preserve"> </w:t>
      </w:r>
      <w:r w:rsidRPr="00A07BE9">
        <w:rPr>
          <w:rFonts w:ascii="Open Sans" w:eastAsia="Times New Roman" w:hAnsi="Open Sans" w:cs="Open Sans"/>
          <w:color w:val="000000"/>
          <w:sz w:val="20"/>
          <w:szCs w:val="20"/>
          <w:lang w:eastAsia="es-ES"/>
        </w:rPr>
        <w:t>También, de acuerdo con lo establecido en el artículo 14, la Agencia otorga, en su caso, el estatuto de protección de la persona denunciante.</w:t>
      </w:r>
    </w:p>
    <w:p w14:paraId="213C2F65" w14:textId="77777777" w:rsidR="00671CE2" w:rsidRPr="00A07BE9" w:rsidRDefault="00671CE2" w:rsidP="00671CE2">
      <w:pPr>
        <w:spacing w:after="0" w:line="276" w:lineRule="auto"/>
        <w:jc w:val="both"/>
        <w:rPr>
          <w:rFonts w:ascii="Times New Roman" w:eastAsia="Times New Roman" w:hAnsi="Times New Roman" w:cs="Times New Roman"/>
          <w:sz w:val="20"/>
          <w:szCs w:val="20"/>
          <w:lang w:eastAsia="es-ES"/>
        </w:rPr>
      </w:pPr>
      <w:r w:rsidRPr="00A07BE9">
        <w:rPr>
          <w:rFonts w:ascii="Times New Roman" w:eastAsia="Times New Roman" w:hAnsi="Times New Roman" w:cs="Times New Roman"/>
          <w:sz w:val="20"/>
          <w:szCs w:val="20"/>
          <w:lang w:eastAsia="es-ES"/>
        </w:rPr>
        <w:t xml:space="preserve"> </w:t>
      </w:r>
    </w:p>
    <w:p w14:paraId="1CF30352" w14:textId="77777777" w:rsidR="00671CE2" w:rsidRPr="00A07BE9" w:rsidRDefault="00671CE2" w:rsidP="00671CE2">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 xml:space="preserve">Durante los años 2017 y 2018 se abrieron veintidós expedientes sobre protección de personas denunciantes: uno de 2017 y veintiuno de 2018. Respecto de dichos expedientes, se concedió el estatuto de protección en quince ocasiones, manteniéndose vigentes durante 2019 y cuyo seguimiento es necesario realizar, pues estas personas padecen represalias con motivo de las denuncias realizadas de forma habitual. </w:t>
      </w:r>
    </w:p>
    <w:p w14:paraId="31D31B29" w14:textId="77777777" w:rsidR="00671CE2" w:rsidRPr="00A07BE9" w:rsidRDefault="00671CE2" w:rsidP="00671CE2">
      <w:pPr>
        <w:spacing w:after="0" w:line="276" w:lineRule="auto"/>
        <w:jc w:val="both"/>
        <w:rPr>
          <w:rFonts w:ascii="Open Sans" w:eastAsia="Times New Roman" w:hAnsi="Open Sans" w:cs="Open Sans"/>
          <w:sz w:val="20"/>
          <w:szCs w:val="20"/>
          <w:lang w:eastAsia="es-ES"/>
        </w:rPr>
      </w:pPr>
    </w:p>
    <w:p w14:paraId="0AC5BA7B" w14:textId="27861312" w:rsidR="00671CE2" w:rsidRPr="00A07BE9" w:rsidRDefault="00671CE2" w:rsidP="00671CE2">
      <w:pPr>
        <w:spacing w:after="0" w:line="276" w:lineRule="auto"/>
        <w:jc w:val="both"/>
        <w:rPr>
          <w:rFonts w:ascii="Times New Roman" w:eastAsia="Times New Roman" w:hAnsi="Times New Roman" w:cs="Times New Roman"/>
          <w:sz w:val="20"/>
          <w:szCs w:val="20"/>
          <w:lang w:eastAsia="es-ES"/>
        </w:rPr>
      </w:pPr>
      <w:r w:rsidRPr="00A07BE9">
        <w:rPr>
          <w:rFonts w:ascii="Open Sans" w:eastAsia="Times New Roman" w:hAnsi="Open Sans" w:cs="Open Sans"/>
          <w:sz w:val="20"/>
          <w:szCs w:val="20"/>
          <w:lang w:eastAsia="es-ES"/>
        </w:rPr>
        <w:t xml:space="preserve">A los anteriores datos se deben sumar los diez expedientes abiertos durante el año 2019, habiéndose otorgado el estatuto de protección </w:t>
      </w:r>
      <w:r w:rsidRPr="00A07BE9">
        <w:rPr>
          <w:rFonts w:ascii="Open Sans" w:eastAsia="Times New Roman" w:hAnsi="Open Sans" w:cs="Open Sans"/>
          <w:color w:val="000000"/>
          <w:sz w:val="20"/>
          <w:szCs w:val="20"/>
          <w:lang w:eastAsia="es-ES"/>
        </w:rPr>
        <w:t xml:space="preserve">a cinco personas, quedando por resolver de manera expresa el resto de las solicitudes, que se encuentran en este momento desestimadas por silencio administrativo (artículo 14.3 </w:t>
      </w:r>
      <w:hyperlink r:id="rId231" w:history="1">
        <w:r w:rsidR="0050097D" w:rsidRPr="00A07BE9">
          <w:rPr>
            <w:rStyle w:val="Hipervnculo"/>
            <w:rFonts w:ascii="Open Sans" w:hAnsi="Open Sans" w:cs="Open Sans"/>
            <w:sz w:val="20"/>
            <w:szCs w:val="20"/>
          </w:rPr>
          <w:t>Ley 11/2016</w:t>
        </w:r>
      </w:hyperlink>
      <w:r w:rsidRPr="00A07BE9">
        <w:rPr>
          <w:rFonts w:ascii="Open Sans" w:eastAsia="Times New Roman" w:hAnsi="Open Sans" w:cs="Open Sans"/>
          <w:color w:val="000000"/>
          <w:sz w:val="20"/>
          <w:szCs w:val="20"/>
          <w:lang w:eastAsia="es-ES"/>
        </w:rPr>
        <w:t>).</w:t>
      </w:r>
    </w:p>
    <w:p w14:paraId="5E8FB834" w14:textId="77777777" w:rsidR="00671CE2" w:rsidRPr="00A07BE9" w:rsidRDefault="00671CE2" w:rsidP="00671CE2">
      <w:pPr>
        <w:spacing w:after="0" w:line="276" w:lineRule="auto"/>
        <w:jc w:val="both"/>
        <w:rPr>
          <w:rFonts w:ascii="Times New Roman" w:eastAsia="Times New Roman" w:hAnsi="Times New Roman" w:cs="Times New Roman"/>
          <w:sz w:val="20"/>
          <w:szCs w:val="20"/>
          <w:lang w:eastAsia="es-ES"/>
        </w:rPr>
      </w:pPr>
    </w:p>
    <w:p w14:paraId="4A9A9395" w14:textId="77777777" w:rsidR="00671CE2" w:rsidRPr="00A07BE9" w:rsidRDefault="00671CE2" w:rsidP="00671CE2">
      <w:pPr>
        <w:spacing w:after="0" w:line="276" w:lineRule="auto"/>
        <w:jc w:val="both"/>
        <w:rPr>
          <w:rFonts w:ascii="Times New Roman" w:eastAsia="Times New Roman" w:hAnsi="Times New Roman" w:cs="Times New Roman"/>
          <w:sz w:val="20"/>
          <w:szCs w:val="20"/>
          <w:lang w:eastAsia="es-ES"/>
        </w:rPr>
      </w:pPr>
      <w:r w:rsidRPr="00A07BE9">
        <w:rPr>
          <w:rFonts w:ascii="Open Sans" w:eastAsia="Times New Roman" w:hAnsi="Open Sans" w:cs="Open Sans"/>
          <w:color w:val="000000"/>
          <w:sz w:val="20"/>
          <w:szCs w:val="20"/>
          <w:lang w:eastAsia="es-ES"/>
        </w:rPr>
        <w:t xml:space="preserve">En la mayoría de casos, se trata de solicitudes de personal funcionario de carrera. También de personal del sector público y trabajadores de corporaciones de derecho público y representantes sindicales. </w:t>
      </w:r>
    </w:p>
    <w:p w14:paraId="271C9C2A" w14:textId="77777777" w:rsidR="00671CE2" w:rsidRPr="00A07BE9" w:rsidRDefault="00671CE2" w:rsidP="00671CE2">
      <w:pPr>
        <w:spacing w:after="0" w:line="276" w:lineRule="auto"/>
        <w:jc w:val="both"/>
        <w:rPr>
          <w:rFonts w:ascii="Times New Roman" w:eastAsia="Times New Roman" w:hAnsi="Times New Roman" w:cs="Times New Roman"/>
          <w:sz w:val="20"/>
          <w:szCs w:val="20"/>
          <w:lang w:eastAsia="es-ES"/>
        </w:rPr>
      </w:pPr>
    </w:p>
    <w:p w14:paraId="0F9FB35B" w14:textId="77777777" w:rsidR="00671CE2" w:rsidRPr="00A07BE9" w:rsidRDefault="00671CE2" w:rsidP="00671CE2">
      <w:pPr>
        <w:spacing w:after="0" w:line="276" w:lineRule="auto"/>
        <w:jc w:val="both"/>
        <w:rPr>
          <w:rFonts w:ascii="Times New Roman" w:eastAsia="Times New Roman" w:hAnsi="Times New Roman" w:cs="Times New Roman"/>
          <w:sz w:val="20"/>
          <w:szCs w:val="20"/>
          <w:lang w:eastAsia="es-ES"/>
        </w:rPr>
      </w:pPr>
      <w:r w:rsidRPr="00A07BE9">
        <w:rPr>
          <w:rFonts w:ascii="Open Sans" w:eastAsia="Times New Roman" w:hAnsi="Open Sans" w:cs="Open Sans"/>
          <w:color w:val="000000"/>
          <w:sz w:val="20"/>
          <w:szCs w:val="20"/>
          <w:lang w:eastAsia="es-ES"/>
        </w:rPr>
        <w:t>Se destaca que todas las personas a las que se ha concedido el estatuto, bien están sufriendo represalias como consecuencia de haber denunciado, bien temen sufrirlas en un período breve de tiempo.</w:t>
      </w:r>
    </w:p>
    <w:p w14:paraId="7CB05118" w14:textId="77777777" w:rsidR="00671CE2" w:rsidRPr="00A07BE9" w:rsidRDefault="00671CE2" w:rsidP="00671CE2">
      <w:pPr>
        <w:spacing w:after="0" w:line="276" w:lineRule="auto"/>
        <w:jc w:val="both"/>
        <w:rPr>
          <w:rFonts w:ascii="Times New Roman" w:eastAsia="Times New Roman" w:hAnsi="Times New Roman" w:cs="Times New Roman"/>
          <w:sz w:val="20"/>
          <w:szCs w:val="20"/>
          <w:lang w:eastAsia="es-ES"/>
        </w:rPr>
      </w:pPr>
    </w:p>
    <w:p w14:paraId="1323F7EA" w14:textId="3B50CAB4" w:rsidR="00671CE2" w:rsidRPr="00A07BE9" w:rsidRDefault="00671CE2" w:rsidP="00671CE2">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color w:val="000000"/>
          <w:sz w:val="20"/>
          <w:szCs w:val="20"/>
          <w:lang w:eastAsia="es-ES"/>
        </w:rPr>
        <w:t xml:space="preserve">A continuación, se exponen los resultados estadísticos sobre la protección de personas denunciantes, informadores y alteradores de la Agencia, distinguiendo </w:t>
      </w:r>
      <w:r w:rsidRPr="00A07BE9">
        <w:rPr>
          <w:rFonts w:ascii="Open Sans" w:eastAsia="Times New Roman" w:hAnsi="Open Sans" w:cs="Open Sans"/>
          <w:sz w:val="20"/>
          <w:szCs w:val="20"/>
          <w:lang w:eastAsia="es-ES"/>
        </w:rPr>
        <w:t>tres</w:t>
      </w:r>
      <w:r w:rsidRPr="00A07BE9">
        <w:rPr>
          <w:rFonts w:ascii="Open Sans" w:eastAsia="Times New Roman" w:hAnsi="Open Sans" w:cs="Open Sans"/>
          <w:color w:val="000000"/>
          <w:sz w:val="20"/>
          <w:szCs w:val="20"/>
          <w:lang w:eastAsia="es-ES"/>
        </w:rPr>
        <w:t xml:space="preserve"> apartados: El primero relativo a datos estadísticos de 2019; el segundo corresponde a datos acumulados desde el inicio de la actividad de la Agencia en noviembre de 2017 hasta 31 de diciembre de 2019; y el tercero recoge los </w:t>
      </w:r>
      <w:r w:rsidRPr="00A07BE9">
        <w:rPr>
          <w:rFonts w:ascii="Open Sans" w:eastAsia="Times New Roman" w:hAnsi="Open Sans" w:cs="Open Sans"/>
          <w:sz w:val="20"/>
          <w:szCs w:val="20"/>
          <w:lang w:eastAsia="es-ES"/>
        </w:rPr>
        <w:t>datos estadísticos referidos a denunciantes protegidos</w:t>
      </w:r>
      <w:r w:rsidR="004668A5" w:rsidRPr="00A07BE9">
        <w:rPr>
          <w:rFonts w:ascii="Open Sans" w:eastAsia="Times New Roman" w:hAnsi="Open Sans" w:cs="Open Sans"/>
          <w:sz w:val="20"/>
          <w:szCs w:val="20"/>
          <w:lang w:eastAsia="es-ES"/>
        </w:rPr>
        <w:t xml:space="preserve"> desde el inicio de la actividad de la Agencia en noviembre de 2017 hasta 31 de diciembre de 2019.</w:t>
      </w:r>
    </w:p>
    <w:p w14:paraId="50DA6247" w14:textId="4E9D827B" w:rsidR="00035A91" w:rsidRDefault="00035A91" w:rsidP="00671CE2">
      <w:pPr>
        <w:spacing w:after="0" w:line="276" w:lineRule="auto"/>
        <w:jc w:val="both"/>
        <w:rPr>
          <w:rFonts w:ascii="Open Sans" w:eastAsia="Times New Roman" w:hAnsi="Open Sans" w:cs="Open Sans"/>
          <w:sz w:val="20"/>
          <w:szCs w:val="20"/>
          <w:lang w:eastAsia="es-ES"/>
        </w:rPr>
      </w:pPr>
    </w:p>
    <w:p w14:paraId="0BA383E0" w14:textId="5DCB5D8F" w:rsidR="008A0A32" w:rsidRDefault="008A0A32" w:rsidP="00671CE2">
      <w:pPr>
        <w:spacing w:after="0" w:line="276" w:lineRule="auto"/>
        <w:jc w:val="both"/>
        <w:rPr>
          <w:rFonts w:ascii="Open Sans" w:eastAsia="Times New Roman" w:hAnsi="Open Sans" w:cs="Open Sans"/>
          <w:sz w:val="20"/>
          <w:szCs w:val="20"/>
          <w:lang w:eastAsia="es-ES"/>
        </w:rPr>
      </w:pPr>
    </w:p>
    <w:p w14:paraId="5DD114FC" w14:textId="391EDFD0" w:rsidR="00436B6D" w:rsidRDefault="00436B6D" w:rsidP="00671CE2">
      <w:pPr>
        <w:spacing w:after="0" w:line="276" w:lineRule="auto"/>
        <w:jc w:val="both"/>
        <w:rPr>
          <w:rFonts w:ascii="Open Sans" w:eastAsia="Times New Roman" w:hAnsi="Open Sans" w:cs="Open Sans"/>
          <w:sz w:val="20"/>
          <w:szCs w:val="20"/>
          <w:lang w:eastAsia="es-ES"/>
        </w:rPr>
      </w:pPr>
    </w:p>
    <w:p w14:paraId="707D075A" w14:textId="078FEAE7" w:rsidR="00436B6D" w:rsidRDefault="00436B6D" w:rsidP="00671CE2">
      <w:pPr>
        <w:spacing w:after="0" w:line="276" w:lineRule="auto"/>
        <w:jc w:val="both"/>
        <w:rPr>
          <w:rFonts w:ascii="Open Sans" w:eastAsia="Times New Roman" w:hAnsi="Open Sans" w:cs="Open Sans"/>
          <w:sz w:val="20"/>
          <w:szCs w:val="20"/>
          <w:lang w:eastAsia="es-ES"/>
        </w:rPr>
      </w:pPr>
    </w:p>
    <w:p w14:paraId="37336647" w14:textId="49E77AC6" w:rsidR="00436B6D" w:rsidRDefault="00436B6D" w:rsidP="00671CE2">
      <w:pPr>
        <w:spacing w:after="0" w:line="276" w:lineRule="auto"/>
        <w:jc w:val="both"/>
        <w:rPr>
          <w:rFonts w:ascii="Open Sans" w:eastAsia="Times New Roman" w:hAnsi="Open Sans" w:cs="Open Sans"/>
          <w:sz w:val="20"/>
          <w:szCs w:val="20"/>
          <w:lang w:eastAsia="es-ES"/>
        </w:rPr>
      </w:pPr>
    </w:p>
    <w:p w14:paraId="505DD49F" w14:textId="77777777" w:rsidR="00436B6D" w:rsidRPr="00A07BE9" w:rsidRDefault="00436B6D" w:rsidP="00671CE2">
      <w:pPr>
        <w:spacing w:after="0" w:line="276" w:lineRule="auto"/>
        <w:jc w:val="both"/>
        <w:rPr>
          <w:rFonts w:ascii="Open Sans" w:eastAsia="Times New Roman" w:hAnsi="Open Sans" w:cs="Open Sans"/>
          <w:sz w:val="20"/>
          <w:szCs w:val="20"/>
          <w:lang w:eastAsia="es-ES"/>
        </w:rPr>
      </w:pPr>
    </w:p>
    <w:p w14:paraId="6347234A" w14:textId="77777777" w:rsidR="00671CE2" w:rsidRPr="00A07BE9" w:rsidRDefault="00671CE2" w:rsidP="00671CE2">
      <w:pPr>
        <w:spacing w:after="0" w:line="276" w:lineRule="auto"/>
        <w:jc w:val="both"/>
        <w:rPr>
          <w:rFonts w:ascii="Open Sans" w:eastAsia="Times New Roman" w:hAnsi="Open Sans" w:cs="Open Sans"/>
          <w:b/>
          <w:bCs/>
          <w:smallCaps/>
          <w:color w:val="9D2235"/>
          <w:sz w:val="24"/>
          <w:szCs w:val="24"/>
          <w:lang w:eastAsia="es-ES"/>
        </w:rPr>
      </w:pPr>
      <w:r w:rsidRPr="00A07BE9">
        <w:rPr>
          <w:rFonts w:ascii="Open Sans" w:eastAsia="Times New Roman" w:hAnsi="Open Sans" w:cs="Open Sans"/>
          <w:b/>
          <w:bCs/>
          <w:smallCaps/>
          <w:color w:val="9D2235"/>
          <w:sz w:val="24"/>
          <w:szCs w:val="24"/>
          <w:lang w:eastAsia="es-ES"/>
        </w:rPr>
        <w:lastRenderedPageBreak/>
        <w:t>4.3.6.1 Datos sobre protección de personas denunciantes correspondientes al año 2019</w:t>
      </w:r>
    </w:p>
    <w:p w14:paraId="3B21C671" w14:textId="77777777" w:rsidR="00671CE2" w:rsidRPr="00A07BE9" w:rsidRDefault="00671CE2" w:rsidP="00671CE2">
      <w:pPr>
        <w:spacing w:after="0" w:line="276" w:lineRule="auto"/>
        <w:jc w:val="both"/>
        <w:rPr>
          <w:rFonts w:ascii="Open Sans" w:eastAsia="Times New Roman" w:hAnsi="Open Sans" w:cs="Open Sans"/>
          <w:b/>
          <w:bCs/>
          <w:color w:val="9D2235"/>
          <w:sz w:val="20"/>
          <w:szCs w:val="20"/>
          <w:lang w:eastAsia="es-ES"/>
        </w:rPr>
      </w:pPr>
    </w:p>
    <w:p w14:paraId="78E1694C" w14:textId="0C40F149" w:rsidR="00671CE2" w:rsidRPr="00A07BE9" w:rsidRDefault="00671CE2" w:rsidP="00671CE2">
      <w:pPr>
        <w:spacing w:after="0" w:line="240" w:lineRule="auto"/>
        <w:jc w:val="both"/>
        <w:rPr>
          <w:rFonts w:ascii="Open Sans" w:eastAsia="Times New Roman" w:hAnsi="Open Sans" w:cs="Open Sans"/>
          <w:b/>
          <w:sz w:val="20"/>
          <w:szCs w:val="20"/>
          <w:lang w:eastAsia="es-ES"/>
        </w:rPr>
      </w:pPr>
      <w:r w:rsidRPr="00A07BE9">
        <w:rPr>
          <w:rFonts w:ascii="Times New Roman" w:eastAsia="Times New Roman" w:hAnsi="Times New Roman" w:cs="Times New Roman"/>
          <w:noProof/>
          <w:color w:val="9D2235"/>
          <w:sz w:val="20"/>
          <w:szCs w:val="20"/>
          <w:lang w:eastAsia="es-ES"/>
        </w:rPr>
        <w:drawing>
          <wp:anchor distT="0" distB="0" distL="114300" distR="114300" simplePos="0" relativeHeight="251754496" behindDoc="1" locked="0" layoutInCell="1" allowOverlap="1" wp14:anchorId="1EAF0420" wp14:editId="6BCFAB92">
            <wp:simplePos x="0" y="0"/>
            <wp:positionH relativeFrom="column">
              <wp:posOffset>50165</wp:posOffset>
            </wp:positionH>
            <wp:positionV relativeFrom="paragraph">
              <wp:posOffset>448945</wp:posOffset>
            </wp:positionV>
            <wp:extent cx="5340350" cy="1784350"/>
            <wp:effectExtent l="0" t="0" r="0" b="6350"/>
            <wp:wrapTight wrapText="bothSides">
              <wp:wrapPolygon edited="0">
                <wp:start x="0" y="0"/>
                <wp:lineTo x="0" y="21446"/>
                <wp:lineTo x="21497" y="21446"/>
                <wp:lineTo x="21497" y="0"/>
                <wp:lineTo x="0" y="0"/>
              </wp:wrapPolygon>
            </wp:wrapTight>
            <wp:docPr id="122" name="Gráfico 122">
              <a:extLst xmlns:a="http://schemas.openxmlformats.org/drawingml/2006/main">
                <a:ext uri="{FF2B5EF4-FFF2-40B4-BE49-F238E27FC236}">
                  <a16:creationId xmlns:a16="http://schemas.microsoft.com/office/drawing/2014/main" id="{672D510F-ECB2-48B2-BC3A-CA1F9EAA17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2"/>
              </a:graphicData>
            </a:graphic>
            <wp14:sizeRelH relativeFrom="margin">
              <wp14:pctWidth>0</wp14:pctWidth>
            </wp14:sizeRelH>
            <wp14:sizeRelV relativeFrom="margin">
              <wp14:pctHeight>0</wp14:pctHeight>
            </wp14:sizeRelV>
          </wp:anchor>
        </w:drawing>
      </w:r>
      <w:r w:rsidRPr="00A07BE9">
        <w:rPr>
          <w:rFonts w:ascii="Open Sans" w:eastAsia="Times New Roman" w:hAnsi="Open Sans" w:cs="Open Sans"/>
          <w:b/>
          <w:color w:val="9D2235"/>
          <w:sz w:val="20"/>
          <w:szCs w:val="20"/>
          <w:lang w:eastAsia="es-ES"/>
        </w:rPr>
        <w:t xml:space="preserve">Gráfico </w:t>
      </w:r>
      <w:r w:rsidR="00E671DC" w:rsidRPr="00A07BE9">
        <w:rPr>
          <w:rFonts w:ascii="Open Sans" w:eastAsia="Times New Roman" w:hAnsi="Open Sans" w:cs="Open Sans"/>
          <w:b/>
          <w:color w:val="9D2235"/>
          <w:sz w:val="20"/>
          <w:szCs w:val="20"/>
          <w:lang w:eastAsia="es-ES"/>
        </w:rPr>
        <w:t>9</w:t>
      </w:r>
      <w:r w:rsidRPr="00A07BE9">
        <w:rPr>
          <w:rFonts w:ascii="Open Sans" w:eastAsia="Times New Roman" w:hAnsi="Open Sans" w:cs="Open Sans"/>
          <w:b/>
          <w:sz w:val="20"/>
          <w:szCs w:val="20"/>
          <w:lang w:eastAsia="es-ES"/>
        </w:rPr>
        <w:t>:</w:t>
      </w:r>
      <w:r w:rsidRPr="00A07BE9">
        <w:rPr>
          <w:rFonts w:ascii="Open Sans" w:eastAsia="Times New Roman" w:hAnsi="Open Sans" w:cs="Open Sans"/>
          <w:sz w:val="20"/>
          <w:szCs w:val="20"/>
          <w:lang w:eastAsia="es-ES"/>
        </w:rPr>
        <w:t xml:space="preserve"> </w:t>
      </w:r>
      <w:r w:rsidRPr="00A07BE9">
        <w:rPr>
          <w:rFonts w:ascii="Open Sans" w:eastAsia="Times New Roman" w:hAnsi="Open Sans" w:cs="Open Sans"/>
          <w:b/>
          <w:sz w:val="20"/>
          <w:szCs w:val="20"/>
          <w:lang w:eastAsia="es-ES"/>
        </w:rPr>
        <w:t>Distribución mensual del número de solicitudes de protección presentadas en 2019 (total número de solicitudes: 10)</w:t>
      </w:r>
    </w:p>
    <w:p w14:paraId="0564ECE4" w14:textId="77777777" w:rsidR="008A0A32" w:rsidRDefault="008A0A32" w:rsidP="00671CE2">
      <w:pPr>
        <w:spacing w:after="0" w:line="240" w:lineRule="auto"/>
        <w:jc w:val="both"/>
        <w:rPr>
          <w:rFonts w:ascii="Open Sans" w:eastAsiaTheme="minorHAnsi" w:hAnsi="Open Sans" w:cs="Open Sans"/>
          <w:b/>
          <w:color w:val="9D2235"/>
          <w:sz w:val="20"/>
          <w:szCs w:val="20"/>
        </w:rPr>
      </w:pPr>
    </w:p>
    <w:p w14:paraId="7A917D58" w14:textId="66271BDD" w:rsidR="00671CE2" w:rsidRPr="00A07BE9" w:rsidRDefault="00671CE2" w:rsidP="00671CE2">
      <w:pPr>
        <w:spacing w:after="0" w:line="240" w:lineRule="auto"/>
        <w:jc w:val="both"/>
        <w:rPr>
          <w:rFonts w:ascii="Open Sans" w:eastAsiaTheme="minorHAnsi" w:hAnsi="Open Sans" w:cs="Open Sans"/>
          <w:b/>
          <w:sz w:val="20"/>
          <w:szCs w:val="20"/>
        </w:rPr>
      </w:pPr>
      <w:r w:rsidRPr="00A07BE9">
        <w:rPr>
          <w:rFonts w:ascii="Open Sans" w:eastAsiaTheme="minorHAnsi" w:hAnsi="Open Sans" w:cs="Open Sans"/>
          <w:b/>
          <w:color w:val="9D2235"/>
          <w:sz w:val="20"/>
          <w:szCs w:val="20"/>
        </w:rPr>
        <w:t xml:space="preserve">Gráfico </w:t>
      </w:r>
      <w:r w:rsidR="00E671DC" w:rsidRPr="00A07BE9">
        <w:rPr>
          <w:rFonts w:ascii="Open Sans" w:eastAsiaTheme="minorHAnsi" w:hAnsi="Open Sans" w:cs="Open Sans"/>
          <w:b/>
          <w:color w:val="9D2235"/>
          <w:sz w:val="20"/>
          <w:szCs w:val="20"/>
        </w:rPr>
        <w:t>10</w:t>
      </w:r>
      <w:r w:rsidRPr="00A07BE9">
        <w:rPr>
          <w:rFonts w:ascii="Open Sans" w:eastAsiaTheme="minorHAnsi" w:hAnsi="Open Sans" w:cs="Open Sans"/>
          <w:b/>
          <w:sz w:val="20"/>
          <w:szCs w:val="20"/>
        </w:rPr>
        <w:t xml:space="preserve">: Canal o medio de presentación de solicitudes de protección </w:t>
      </w:r>
      <w:r w:rsidR="0087054B" w:rsidRPr="00A07BE9">
        <w:rPr>
          <w:rFonts w:ascii="Open Sans" w:eastAsiaTheme="minorHAnsi" w:hAnsi="Open Sans" w:cs="Open Sans"/>
          <w:b/>
          <w:sz w:val="20"/>
          <w:szCs w:val="20"/>
        </w:rPr>
        <w:t>de</w:t>
      </w:r>
      <w:r w:rsidRPr="00A07BE9">
        <w:rPr>
          <w:rFonts w:ascii="Open Sans" w:eastAsiaTheme="minorHAnsi" w:hAnsi="Open Sans" w:cs="Open Sans"/>
          <w:b/>
          <w:sz w:val="20"/>
          <w:szCs w:val="20"/>
        </w:rPr>
        <w:t xml:space="preserve"> 2019</w:t>
      </w:r>
    </w:p>
    <w:p w14:paraId="3F3AFEBB" w14:textId="77777777" w:rsidR="00671CE2" w:rsidRPr="00A07BE9" w:rsidRDefault="00671CE2" w:rsidP="00671CE2">
      <w:pPr>
        <w:spacing w:after="0" w:line="240" w:lineRule="auto"/>
        <w:jc w:val="both"/>
        <w:rPr>
          <w:rFonts w:ascii="Open Sans" w:eastAsiaTheme="minorHAnsi" w:hAnsi="Open Sans" w:cs="Open Sans"/>
          <w:sz w:val="20"/>
          <w:szCs w:val="20"/>
        </w:rPr>
      </w:pPr>
      <w:r w:rsidRPr="00A07BE9">
        <w:rPr>
          <w:rFonts w:eastAsiaTheme="minorHAnsi"/>
          <w:noProof/>
          <w:sz w:val="20"/>
          <w:szCs w:val="20"/>
        </w:rPr>
        <w:drawing>
          <wp:anchor distT="0" distB="0" distL="114300" distR="114300" simplePos="0" relativeHeight="251753472" behindDoc="1" locked="0" layoutInCell="1" allowOverlap="1" wp14:anchorId="532DF7E9" wp14:editId="6C20D452">
            <wp:simplePos x="0" y="0"/>
            <wp:positionH relativeFrom="column">
              <wp:posOffset>720090</wp:posOffset>
            </wp:positionH>
            <wp:positionV relativeFrom="paragraph">
              <wp:posOffset>23495</wp:posOffset>
            </wp:positionV>
            <wp:extent cx="3448050" cy="2152650"/>
            <wp:effectExtent l="0" t="0" r="0" b="0"/>
            <wp:wrapTight wrapText="bothSides">
              <wp:wrapPolygon edited="0">
                <wp:start x="0" y="0"/>
                <wp:lineTo x="0" y="21409"/>
                <wp:lineTo x="21481" y="21409"/>
                <wp:lineTo x="21481" y="0"/>
                <wp:lineTo x="0" y="0"/>
              </wp:wrapPolygon>
            </wp:wrapTight>
            <wp:docPr id="271" name="Gráfico 271">
              <a:extLst xmlns:a="http://schemas.openxmlformats.org/drawingml/2006/main">
                <a:ext uri="{FF2B5EF4-FFF2-40B4-BE49-F238E27FC236}">
                  <a16:creationId xmlns:a16="http://schemas.microsoft.com/office/drawing/2014/main" id="{5706080E-68D6-4AA7-87DA-990EB26D7F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3"/>
              </a:graphicData>
            </a:graphic>
            <wp14:sizeRelH relativeFrom="margin">
              <wp14:pctWidth>0</wp14:pctWidth>
            </wp14:sizeRelH>
            <wp14:sizeRelV relativeFrom="margin">
              <wp14:pctHeight>0</wp14:pctHeight>
            </wp14:sizeRelV>
          </wp:anchor>
        </w:drawing>
      </w:r>
    </w:p>
    <w:p w14:paraId="554B2C4A" w14:textId="77777777" w:rsidR="00671CE2" w:rsidRPr="00A07BE9" w:rsidRDefault="00671CE2" w:rsidP="00671CE2">
      <w:pPr>
        <w:spacing w:after="0" w:line="240" w:lineRule="auto"/>
        <w:jc w:val="both"/>
        <w:rPr>
          <w:rFonts w:ascii="Open Sans" w:eastAsiaTheme="minorHAnsi" w:hAnsi="Open Sans" w:cs="Open Sans"/>
          <w:sz w:val="20"/>
          <w:szCs w:val="20"/>
        </w:rPr>
      </w:pPr>
    </w:p>
    <w:p w14:paraId="3FEF035A" w14:textId="77777777" w:rsidR="00671CE2" w:rsidRPr="00A07BE9" w:rsidRDefault="00671CE2" w:rsidP="00671CE2">
      <w:pPr>
        <w:spacing w:after="0" w:line="240" w:lineRule="auto"/>
        <w:jc w:val="both"/>
        <w:rPr>
          <w:rFonts w:ascii="Open Sans" w:eastAsiaTheme="minorHAnsi" w:hAnsi="Open Sans" w:cs="Open Sans"/>
          <w:sz w:val="20"/>
          <w:szCs w:val="20"/>
        </w:rPr>
      </w:pPr>
    </w:p>
    <w:p w14:paraId="4F605FD2" w14:textId="77777777" w:rsidR="00671CE2" w:rsidRPr="00A07BE9" w:rsidRDefault="00671CE2" w:rsidP="00671CE2">
      <w:pPr>
        <w:spacing w:after="0" w:line="240" w:lineRule="auto"/>
        <w:jc w:val="both"/>
        <w:rPr>
          <w:rFonts w:ascii="Open Sans" w:eastAsiaTheme="minorHAnsi" w:hAnsi="Open Sans" w:cs="Open Sans"/>
          <w:sz w:val="20"/>
          <w:szCs w:val="20"/>
        </w:rPr>
      </w:pPr>
    </w:p>
    <w:p w14:paraId="3F48EA1C" w14:textId="77777777" w:rsidR="00671CE2" w:rsidRPr="00A07BE9" w:rsidRDefault="00671CE2" w:rsidP="00671CE2">
      <w:pPr>
        <w:spacing w:after="0" w:line="240" w:lineRule="auto"/>
        <w:jc w:val="both"/>
        <w:rPr>
          <w:rFonts w:ascii="Open Sans" w:eastAsia="Times New Roman" w:hAnsi="Open Sans" w:cs="Open Sans"/>
          <w:color w:val="000000"/>
          <w:sz w:val="20"/>
          <w:szCs w:val="20"/>
          <w:lang w:eastAsia="es-ES"/>
        </w:rPr>
      </w:pPr>
    </w:p>
    <w:p w14:paraId="6B4A0072" w14:textId="77777777" w:rsidR="00671CE2" w:rsidRPr="00A07BE9" w:rsidRDefault="00671CE2" w:rsidP="00671CE2">
      <w:pPr>
        <w:spacing w:after="0" w:line="240" w:lineRule="auto"/>
        <w:jc w:val="both"/>
        <w:rPr>
          <w:rFonts w:ascii="Open Sans" w:eastAsia="Times New Roman" w:hAnsi="Open Sans" w:cs="Open Sans"/>
          <w:color w:val="000000"/>
          <w:sz w:val="20"/>
          <w:szCs w:val="20"/>
          <w:lang w:eastAsia="es-ES"/>
        </w:rPr>
      </w:pPr>
    </w:p>
    <w:p w14:paraId="1100122C" w14:textId="77777777" w:rsidR="00671CE2" w:rsidRPr="00A07BE9" w:rsidRDefault="00671CE2" w:rsidP="00671CE2">
      <w:pPr>
        <w:spacing w:after="0" w:line="240" w:lineRule="auto"/>
        <w:jc w:val="both"/>
        <w:rPr>
          <w:rFonts w:ascii="Open Sans" w:eastAsia="Times New Roman" w:hAnsi="Open Sans" w:cs="Open Sans"/>
          <w:color w:val="000000"/>
          <w:sz w:val="20"/>
          <w:szCs w:val="20"/>
          <w:lang w:eastAsia="es-ES"/>
        </w:rPr>
      </w:pPr>
    </w:p>
    <w:p w14:paraId="4AC5E618" w14:textId="77777777" w:rsidR="00671CE2" w:rsidRPr="00A07BE9" w:rsidRDefault="00671CE2" w:rsidP="00671CE2">
      <w:pPr>
        <w:spacing w:after="0" w:line="240" w:lineRule="auto"/>
        <w:jc w:val="both"/>
        <w:rPr>
          <w:rFonts w:ascii="Open Sans" w:eastAsia="Times New Roman" w:hAnsi="Open Sans" w:cs="Open Sans"/>
          <w:color w:val="000000"/>
          <w:sz w:val="20"/>
          <w:szCs w:val="20"/>
          <w:lang w:eastAsia="es-ES"/>
        </w:rPr>
      </w:pPr>
    </w:p>
    <w:p w14:paraId="251904D5" w14:textId="77777777" w:rsidR="00671CE2" w:rsidRPr="00A07BE9" w:rsidRDefault="00671CE2" w:rsidP="00671CE2">
      <w:pPr>
        <w:spacing w:after="0" w:line="240" w:lineRule="auto"/>
        <w:jc w:val="both"/>
        <w:rPr>
          <w:rFonts w:ascii="Open Sans" w:eastAsia="Times New Roman" w:hAnsi="Open Sans" w:cs="Open Sans"/>
          <w:color w:val="000000"/>
          <w:sz w:val="20"/>
          <w:szCs w:val="20"/>
          <w:lang w:eastAsia="es-ES"/>
        </w:rPr>
      </w:pPr>
    </w:p>
    <w:p w14:paraId="4BDB1840" w14:textId="77777777" w:rsidR="00671CE2" w:rsidRPr="00A07BE9" w:rsidRDefault="00671CE2" w:rsidP="00671CE2">
      <w:pPr>
        <w:spacing w:after="0" w:line="240" w:lineRule="auto"/>
        <w:jc w:val="both"/>
        <w:rPr>
          <w:rFonts w:ascii="Open Sans" w:eastAsiaTheme="minorHAnsi" w:hAnsi="Open Sans" w:cs="Open Sans"/>
          <w:b/>
          <w:color w:val="9D2235"/>
          <w:sz w:val="20"/>
          <w:szCs w:val="20"/>
        </w:rPr>
      </w:pPr>
    </w:p>
    <w:p w14:paraId="2F3E23EC" w14:textId="4CAB7123" w:rsidR="00671CE2" w:rsidRPr="00A07BE9" w:rsidRDefault="00671CE2" w:rsidP="00671CE2">
      <w:pPr>
        <w:spacing w:after="0" w:line="240" w:lineRule="auto"/>
        <w:jc w:val="both"/>
        <w:rPr>
          <w:rFonts w:ascii="Open Sans" w:eastAsiaTheme="minorHAnsi" w:hAnsi="Open Sans" w:cs="Open Sans"/>
          <w:b/>
          <w:color w:val="9D2235"/>
          <w:sz w:val="20"/>
          <w:szCs w:val="20"/>
        </w:rPr>
      </w:pPr>
    </w:p>
    <w:p w14:paraId="68202301" w14:textId="33EBCEA8" w:rsidR="00DB5078" w:rsidRPr="00A07BE9" w:rsidRDefault="00DB5078" w:rsidP="00671CE2">
      <w:pPr>
        <w:spacing w:after="0" w:line="240" w:lineRule="auto"/>
        <w:jc w:val="both"/>
        <w:rPr>
          <w:rFonts w:ascii="Open Sans" w:eastAsiaTheme="minorHAnsi" w:hAnsi="Open Sans" w:cs="Open Sans"/>
          <w:b/>
          <w:color w:val="9D2235"/>
          <w:sz w:val="20"/>
          <w:szCs w:val="20"/>
        </w:rPr>
      </w:pPr>
    </w:p>
    <w:p w14:paraId="178965FB" w14:textId="77777777" w:rsidR="00F20B33" w:rsidRPr="00A07BE9" w:rsidRDefault="00F20B33" w:rsidP="00671CE2">
      <w:pPr>
        <w:spacing w:after="0" w:line="240" w:lineRule="auto"/>
        <w:jc w:val="both"/>
        <w:rPr>
          <w:rFonts w:ascii="Open Sans" w:eastAsiaTheme="minorHAnsi" w:hAnsi="Open Sans" w:cs="Open Sans"/>
          <w:b/>
          <w:color w:val="9D2235"/>
          <w:sz w:val="20"/>
          <w:szCs w:val="20"/>
        </w:rPr>
      </w:pPr>
    </w:p>
    <w:p w14:paraId="7F62E2E3" w14:textId="2841E364" w:rsidR="00464ED7" w:rsidRPr="00A07BE9" w:rsidRDefault="00464ED7" w:rsidP="00671CE2">
      <w:pPr>
        <w:spacing w:after="0" w:line="240" w:lineRule="auto"/>
        <w:jc w:val="both"/>
        <w:rPr>
          <w:rFonts w:ascii="Open Sans" w:eastAsiaTheme="minorHAnsi" w:hAnsi="Open Sans" w:cs="Open Sans"/>
          <w:b/>
          <w:color w:val="9D2235"/>
          <w:sz w:val="20"/>
          <w:szCs w:val="20"/>
        </w:rPr>
      </w:pPr>
    </w:p>
    <w:p w14:paraId="02BD471A" w14:textId="1B06DE07" w:rsidR="00112709" w:rsidRDefault="00112709" w:rsidP="00671CE2">
      <w:pPr>
        <w:spacing w:after="0" w:line="240" w:lineRule="auto"/>
        <w:jc w:val="both"/>
        <w:rPr>
          <w:rFonts w:ascii="Open Sans" w:eastAsiaTheme="minorHAnsi" w:hAnsi="Open Sans" w:cs="Open Sans"/>
          <w:b/>
          <w:color w:val="9D2235"/>
          <w:sz w:val="20"/>
          <w:szCs w:val="20"/>
        </w:rPr>
      </w:pPr>
    </w:p>
    <w:p w14:paraId="7180681D" w14:textId="77777777" w:rsidR="008A0A32" w:rsidRPr="00A07BE9" w:rsidRDefault="008A0A32" w:rsidP="00671CE2">
      <w:pPr>
        <w:spacing w:after="0" w:line="240" w:lineRule="auto"/>
        <w:jc w:val="both"/>
        <w:rPr>
          <w:rFonts w:ascii="Open Sans" w:eastAsiaTheme="minorHAnsi" w:hAnsi="Open Sans" w:cs="Open Sans"/>
          <w:b/>
          <w:color w:val="9D2235"/>
          <w:sz w:val="20"/>
          <w:szCs w:val="20"/>
        </w:rPr>
      </w:pPr>
    </w:p>
    <w:p w14:paraId="443C617F" w14:textId="0BE0A71F" w:rsidR="00112709" w:rsidRPr="008A0A32" w:rsidRDefault="00671CE2" w:rsidP="00671CE2">
      <w:pPr>
        <w:spacing w:after="0" w:line="240" w:lineRule="auto"/>
        <w:jc w:val="both"/>
        <w:rPr>
          <w:rFonts w:ascii="Open Sans" w:eastAsiaTheme="minorHAnsi" w:hAnsi="Open Sans" w:cs="Open Sans"/>
          <w:b/>
          <w:sz w:val="20"/>
          <w:szCs w:val="20"/>
        </w:rPr>
      </w:pPr>
      <w:r w:rsidRPr="00A07BE9">
        <w:rPr>
          <w:rFonts w:eastAsiaTheme="minorHAnsi"/>
          <w:noProof/>
          <w:color w:val="9D2235"/>
          <w:sz w:val="20"/>
          <w:szCs w:val="20"/>
        </w:rPr>
        <w:drawing>
          <wp:anchor distT="0" distB="0" distL="114300" distR="114300" simplePos="0" relativeHeight="251755520" behindDoc="1" locked="0" layoutInCell="1" allowOverlap="1" wp14:anchorId="190C54D8" wp14:editId="0AE59B91">
            <wp:simplePos x="0" y="0"/>
            <wp:positionH relativeFrom="margin">
              <wp:posOffset>-137160</wp:posOffset>
            </wp:positionH>
            <wp:positionV relativeFrom="paragraph">
              <wp:posOffset>431800</wp:posOffset>
            </wp:positionV>
            <wp:extent cx="5777230" cy="2286000"/>
            <wp:effectExtent l="0" t="0" r="0" b="0"/>
            <wp:wrapTight wrapText="bothSides">
              <wp:wrapPolygon edited="0">
                <wp:start x="0" y="0"/>
                <wp:lineTo x="0" y="21420"/>
                <wp:lineTo x="21510" y="21420"/>
                <wp:lineTo x="21510" y="0"/>
                <wp:lineTo x="0" y="0"/>
              </wp:wrapPolygon>
            </wp:wrapTight>
            <wp:docPr id="337" name="Gráfico 337">
              <a:extLst xmlns:a="http://schemas.openxmlformats.org/drawingml/2006/main">
                <a:ext uri="{FF2B5EF4-FFF2-40B4-BE49-F238E27FC236}">
                  <a16:creationId xmlns:a16="http://schemas.microsoft.com/office/drawing/2014/main" id="{E743B233-47C8-45EC-9987-C1A7E9CA47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4"/>
              </a:graphicData>
            </a:graphic>
            <wp14:sizeRelH relativeFrom="margin">
              <wp14:pctWidth>0</wp14:pctWidth>
            </wp14:sizeRelH>
            <wp14:sizeRelV relativeFrom="margin">
              <wp14:pctHeight>0</wp14:pctHeight>
            </wp14:sizeRelV>
          </wp:anchor>
        </w:drawing>
      </w:r>
      <w:r w:rsidRPr="00A07BE9">
        <w:rPr>
          <w:rFonts w:ascii="Open Sans" w:eastAsiaTheme="minorHAnsi" w:hAnsi="Open Sans" w:cs="Open Sans"/>
          <w:b/>
          <w:color w:val="9D2235"/>
          <w:sz w:val="20"/>
          <w:szCs w:val="20"/>
        </w:rPr>
        <w:t xml:space="preserve">Gráfico </w:t>
      </w:r>
      <w:r w:rsidR="00E671DC" w:rsidRPr="00A07BE9">
        <w:rPr>
          <w:rFonts w:ascii="Open Sans" w:eastAsiaTheme="minorHAnsi" w:hAnsi="Open Sans" w:cs="Open Sans"/>
          <w:b/>
          <w:color w:val="9D2235"/>
          <w:sz w:val="20"/>
          <w:szCs w:val="20"/>
        </w:rPr>
        <w:t>11</w:t>
      </w:r>
      <w:r w:rsidRPr="00A07BE9">
        <w:rPr>
          <w:rFonts w:ascii="Open Sans" w:eastAsiaTheme="minorHAnsi" w:hAnsi="Open Sans" w:cs="Open Sans"/>
          <w:b/>
          <w:sz w:val="20"/>
          <w:szCs w:val="20"/>
        </w:rPr>
        <w:t>: Número de solicitudes de protección presentadas según el tipo de administración, institución o entidad afectada por la denuncia durante 201</w:t>
      </w:r>
      <w:r w:rsidR="00DD3EAB" w:rsidRPr="00A07BE9">
        <w:rPr>
          <w:rFonts w:ascii="Open Sans" w:eastAsiaTheme="minorHAnsi" w:hAnsi="Open Sans" w:cs="Open Sans"/>
          <w:b/>
          <w:sz w:val="20"/>
          <w:szCs w:val="20"/>
        </w:rPr>
        <w:t>9</w:t>
      </w:r>
    </w:p>
    <w:p w14:paraId="60E1630F" w14:textId="1AD41488" w:rsidR="00671CE2" w:rsidRPr="00A07BE9" w:rsidRDefault="00671CE2" w:rsidP="00671CE2">
      <w:pPr>
        <w:spacing w:after="0" w:line="240" w:lineRule="auto"/>
        <w:jc w:val="both"/>
        <w:rPr>
          <w:rFonts w:ascii="Open Sans" w:eastAsiaTheme="minorHAnsi" w:hAnsi="Open Sans" w:cs="Open Sans"/>
          <w:b/>
          <w:sz w:val="20"/>
          <w:szCs w:val="20"/>
        </w:rPr>
      </w:pPr>
      <w:r w:rsidRPr="00A07BE9">
        <w:rPr>
          <w:rFonts w:ascii="Open Sans" w:eastAsiaTheme="minorHAnsi" w:hAnsi="Open Sans" w:cs="Open Sans"/>
          <w:b/>
          <w:color w:val="9D2235"/>
          <w:sz w:val="20"/>
          <w:szCs w:val="20"/>
        </w:rPr>
        <w:lastRenderedPageBreak/>
        <w:t xml:space="preserve">Gráfico </w:t>
      </w:r>
      <w:r w:rsidR="00E671DC" w:rsidRPr="00A07BE9">
        <w:rPr>
          <w:rFonts w:ascii="Open Sans" w:eastAsiaTheme="minorHAnsi" w:hAnsi="Open Sans" w:cs="Open Sans"/>
          <w:b/>
          <w:color w:val="9D2235"/>
          <w:sz w:val="20"/>
          <w:szCs w:val="20"/>
        </w:rPr>
        <w:t>12</w:t>
      </w:r>
      <w:r w:rsidRPr="00A07BE9">
        <w:rPr>
          <w:rFonts w:ascii="Open Sans" w:eastAsiaTheme="minorHAnsi" w:hAnsi="Open Sans" w:cs="Open Sans"/>
          <w:b/>
          <w:sz w:val="20"/>
          <w:szCs w:val="20"/>
        </w:rPr>
        <w:t>: Número de solicitudes presentadas en 2019 según la provincia en la que se ubica la administración o entidad denunciada o investigada.</w:t>
      </w:r>
    </w:p>
    <w:p w14:paraId="53213451" w14:textId="77777777" w:rsidR="00035A91" w:rsidRPr="00A07BE9" w:rsidRDefault="00035A91" w:rsidP="00671CE2">
      <w:pPr>
        <w:spacing w:after="0" w:line="240" w:lineRule="auto"/>
        <w:jc w:val="both"/>
        <w:rPr>
          <w:rFonts w:ascii="Open Sans" w:eastAsiaTheme="minorHAnsi" w:hAnsi="Open Sans" w:cs="Open Sans"/>
          <w:b/>
          <w:sz w:val="20"/>
          <w:szCs w:val="20"/>
        </w:rPr>
      </w:pPr>
    </w:p>
    <w:p w14:paraId="41A20F04" w14:textId="081CE490" w:rsidR="00671CE2" w:rsidRPr="00A07BE9" w:rsidRDefault="009A3D76" w:rsidP="00671CE2">
      <w:pPr>
        <w:spacing w:after="0" w:line="240" w:lineRule="auto"/>
        <w:jc w:val="both"/>
        <w:rPr>
          <w:rFonts w:ascii="Open Sans" w:eastAsiaTheme="minorHAnsi" w:hAnsi="Open Sans" w:cs="Open Sans"/>
          <w:b/>
          <w:sz w:val="20"/>
          <w:szCs w:val="20"/>
        </w:rPr>
      </w:pPr>
      <w:r w:rsidRPr="00A07BE9">
        <w:rPr>
          <w:rFonts w:eastAsiaTheme="minorHAnsi"/>
          <w:noProof/>
          <w:sz w:val="20"/>
          <w:szCs w:val="20"/>
        </w:rPr>
        <w:drawing>
          <wp:anchor distT="0" distB="0" distL="114300" distR="114300" simplePos="0" relativeHeight="251757568" behindDoc="1" locked="0" layoutInCell="1" allowOverlap="1" wp14:anchorId="1D15A796" wp14:editId="12A81256">
            <wp:simplePos x="0" y="0"/>
            <wp:positionH relativeFrom="column">
              <wp:posOffset>532765</wp:posOffset>
            </wp:positionH>
            <wp:positionV relativeFrom="paragraph">
              <wp:posOffset>106680</wp:posOffset>
            </wp:positionV>
            <wp:extent cx="3892550" cy="1822450"/>
            <wp:effectExtent l="0" t="0" r="0" b="6350"/>
            <wp:wrapTight wrapText="bothSides">
              <wp:wrapPolygon edited="0">
                <wp:start x="0" y="0"/>
                <wp:lineTo x="0" y="21449"/>
                <wp:lineTo x="21459" y="21449"/>
                <wp:lineTo x="21459" y="0"/>
                <wp:lineTo x="0" y="0"/>
              </wp:wrapPolygon>
            </wp:wrapTight>
            <wp:docPr id="338" name="Gráfico 338">
              <a:extLst xmlns:a="http://schemas.openxmlformats.org/drawingml/2006/main">
                <a:ext uri="{FF2B5EF4-FFF2-40B4-BE49-F238E27FC236}">
                  <a16:creationId xmlns:a16="http://schemas.microsoft.com/office/drawing/2014/main" id="{CEFD16CC-DAC4-4DB2-8416-C0279DD908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14:sizeRelH relativeFrom="margin">
              <wp14:pctWidth>0</wp14:pctWidth>
            </wp14:sizeRelH>
            <wp14:sizeRelV relativeFrom="margin">
              <wp14:pctHeight>0</wp14:pctHeight>
            </wp14:sizeRelV>
          </wp:anchor>
        </w:drawing>
      </w:r>
    </w:p>
    <w:p w14:paraId="0126DAC2" w14:textId="7BA8EB53" w:rsidR="00671CE2" w:rsidRPr="00A07BE9" w:rsidRDefault="00671CE2" w:rsidP="00671CE2">
      <w:pPr>
        <w:spacing w:after="0" w:line="240" w:lineRule="auto"/>
        <w:rPr>
          <w:rFonts w:ascii="Open Sans" w:eastAsia="Times New Roman" w:hAnsi="Open Sans" w:cs="Open Sans"/>
          <w:sz w:val="20"/>
          <w:szCs w:val="20"/>
          <w:lang w:eastAsia="es-ES"/>
        </w:rPr>
      </w:pPr>
    </w:p>
    <w:p w14:paraId="4AA2F0D5" w14:textId="29DDD46C" w:rsidR="00671CE2" w:rsidRPr="00A07BE9" w:rsidRDefault="00671CE2" w:rsidP="00671CE2">
      <w:pPr>
        <w:spacing w:after="0" w:line="240" w:lineRule="auto"/>
        <w:rPr>
          <w:rFonts w:ascii="Open Sans" w:eastAsia="Times New Roman" w:hAnsi="Open Sans" w:cs="Open Sans"/>
          <w:sz w:val="20"/>
          <w:szCs w:val="20"/>
          <w:lang w:eastAsia="es-ES"/>
        </w:rPr>
      </w:pPr>
    </w:p>
    <w:p w14:paraId="67FE0999" w14:textId="43362C89" w:rsidR="00671CE2" w:rsidRPr="00A07BE9" w:rsidRDefault="00671CE2" w:rsidP="00671CE2">
      <w:pPr>
        <w:spacing w:after="0" w:line="240" w:lineRule="auto"/>
        <w:rPr>
          <w:rFonts w:ascii="Open Sans" w:eastAsia="Times New Roman" w:hAnsi="Open Sans" w:cs="Open Sans"/>
          <w:sz w:val="20"/>
          <w:szCs w:val="20"/>
          <w:lang w:eastAsia="es-ES"/>
        </w:rPr>
      </w:pPr>
    </w:p>
    <w:p w14:paraId="17C31F4E" w14:textId="27350F2E" w:rsidR="00671CE2" w:rsidRPr="00A07BE9" w:rsidRDefault="00671CE2" w:rsidP="00671CE2">
      <w:pPr>
        <w:spacing w:after="0" w:line="240" w:lineRule="auto"/>
        <w:rPr>
          <w:rFonts w:ascii="Open Sans" w:eastAsia="Times New Roman" w:hAnsi="Open Sans" w:cs="Open Sans"/>
          <w:sz w:val="20"/>
          <w:szCs w:val="20"/>
          <w:lang w:eastAsia="es-ES"/>
        </w:rPr>
      </w:pPr>
    </w:p>
    <w:p w14:paraId="3394BC51" w14:textId="2E178435" w:rsidR="00671CE2" w:rsidRPr="00A07BE9" w:rsidRDefault="00671CE2" w:rsidP="00671CE2">
      <w:pPr>
        <w:spacing w:after="0" w:line="240" w:lineRule="auto"/>
        <w:rPr>
          <w:rFonts w:ascii="Open Sans" w:eastAsia="Times New Roman" w:hAnsi="Open Sans" w:cs="Open Sans"/>
          <w:sz w:val="20"/>
          <w:szCs w:val="20"/>
          <w:lang w:eastAsia="es-ES"/>
        </w:rPr>
      </w:pPr>
    </w:p>
    <w:p w14:paraId="6C09461E" w14:textId="44C7C7C2" w:rsidR="00671CE2" w:rsidRPr="00A07BE9" w:rsidRDefault="00671CE2" w:rsidP="00671CE2">
      <w:pPr>
        <w:spacing w:after="0" w:line="240" w:lineRule="auto"/>
        <w:rPr>
          <w:rFonts w:ascii="Open Sans" w:eastAsia="Times New Roman" w:hAnsi="Open Sans" w:cs="Open Sans"/>
          <w:sz w:val="20"/>
          <w:szCs w:val="20"/>
          <w:lang w:eastAsia="es-ES"/>
        </w:rPr>
      </w:pPr>
    </w:p>
    <w:p w14:paraId="3AD3CCCF" w14:textId="0C7C980E" w:rsidR="00671CE2" w:rsidRPr="00A07BE9" w:rsidRDefault="00671CE2" w:rsidP="00671CE2">
      <w:pPr>
        <w:spacing w:after="0" w:line="240" w:lineRule="auto"/>
        <w:jc w:val="both"/>
        <w:rPr>
          <w:rFonts w:ascii="Open Sans" w:eastAsiaTheme="minorHAnsi" w:hAnsi="Open Sans" w:cs="Open Sans"/>
          <w:b/>
          <w:color w:val="9D2235"/>
          <w:sz w:val="20"/>
          <w:szCs w:val="20"/>
        </w:rPr>
      </w:pPr>
    </w:p>
    <w:p w14:paraId="6A64E7DB" w14:textId="0F763763" w:rsidR="00671CE2" w:rsidRPr="00A07BE9" w:rsidRDefault="00671CE2" w:rsidP="00671CE2">
      <w:pPr>
        <w:spacing w:after="0" w:line="240" w:lineRule="auto"/>
        <w:jc w:val="both"/>
        <w:rPr>
          <w:rFonts w:ascii="Open Sans" w:eastAsiaTheme="minorHAnsi" w:hAnsi="Open Sans" w:cs="Open Sans"/>
          <w:b/>
          <w:color w:val="9D2235"/>
          <w:sz w:val="20"/>
          <w:szCs w:val="20"/>
        </w:rPr>
      </w:pPr>
    </w:p>
    <w:p w14:paraId="56873ABE" w14:textId="77777777" w:rsidR="00F20B33" w:rsidRPr="00A07BE9" w:rsidRDefault="00F20B33" w:rsidP="00035A91">
      <w:pPr>
        <w:spacing w:after="0" w:line="240" w:lineRule="auto"/>
        <w:jc w:val="both"/>
        <w:rPr>
          <w:rFonts w:ascii="Open Sans" w:eastAsiaTheme="minorHAnsi" w:hAnsi="Open Sans" w:cs="Open Sans"/>
          <w:b/>
          <w:color w:val="9D2235"/>
          <w:sz w:val="20"/>
          <w:szCs w:val="20"/>
        </w:rPr>
      </w:pPr>
    </w:p>
    <w:p w14:paraId="296C2C2A" w14:textId="77777777" w:rsidR="00F20B33" w:rsidRPr="00A07BE9" w:rsidRDefault="00F20B33" w:rsidP="00035A91">
      <w:pPr>
        <w:spacing w:after="0" w:line="240" w:lineRule="auto"/>
        <w:jc w:val="both"/>
        <w:rPr>
          <w:rFonts w:ascii="Open Sans" w:eastAsiaTheme="minorHAnsi" w:hAnsi="Open Sans" w:cs="Open Sans"/>
          <w:b/>
          <w:color w:val="9D2235"/>
          <w:sz w:val="20"/>
          <w:szCs w:val="20"/>
        </w:rPr>
      </w:pPr>
    </w:p>
    <w:p w14:paraId="2DBBDB2D" w14:textId="77777777" w:rsidR="009953A7" w:rsidRPr="00A07BE9" w:rsidRDefault="009953A7" w:rsidP="00035A91">
      <w:pPr>
        <w:spacing w:after="0" w:line="240" w:lineRule="auto"/>
        <w:jc w:val="both"/>
        <w:rPr>
          <w:rFonts w:ascii="Open Sans" w:eastAsiaTheme="minorHAnsi" w:hAnsi="Open Sans" w:cs="Open Sans"/>
          <w:b/>
          <w:color w:val="9D2235"/>
          <w:sz w:val="20"/>
          <w:szCs w:val="20"/>
        </w:rPr>
      </w:pPr>
    </w:p>
    <w:p w14:paraId="21CFA1D2" w14:textId="2FB05E30" w:rsidR="00464ED7" w:rsidRPr="00A07BE9" w:rsidRDefault="00464ED7" w:rsidP="00035A91">
      <w:pPr>
        <w:spacing w:after="0" w:line="240" w:lineRule="auto"/>
        <w:jc w:val="both"/>
        <w:rPr>
          <w:rFonts w:ascii="Open Sans" w:eastAsiaTheme="minorHAnsi" w:hAnsi="Open Sans" w:cs="Open Sans"/>
          <w:b/>
          <w:color w:val="9D2235"/>
          <w:sz w:val="20"/>
          <w:szCs w:val="20"/>
        </w:rPr>
      </w:pPr>
    </w:p>
    <w:p w14:paraId="61843714" w14:textId="77777777" w:rsidR="00112709" w:rsidRPr="00A07BE9" w:rsidRDefault="00112709" w:rsidP="00035A91">
      <w:pPr>
        <w:spacing w:after="0" w:line="240" w:lineRule="auto"/>
        <w:jc w:val="both"/>
        <w:rPr>
          <w:rFonts w:ascii="Open Sans" w:eastAsiaTheme="minorHAnsi" w:hAnsi="Open Sans" w:cs="Open Sans"/>
          <w:b/>
          <w:color w:val="9D2235"/>
          <w:sz w:val="20"/>
          <w:szCs w:val="20"/>
        </w:rPr>
      </w:pPr>
    </w:p>
    <w:p w14:paraId="11F9894F" w14:textId="427BC8B5" w:rsidR="00E51203" w:rsidRPr="00A07BE9" w:rsidRDefault="00671CE2" w:rsidP="00035A91">
      <w:pPr>
        <w:spacing w:after="0" w:line="240" w:lineRule="auto"/>
        <w:jc w:val="both"/>
        <w:rPr>
          <w:rFonts w:ascii="Open Sans" w:eastAsiaTheme="minorHAnsi" w:hAnsi="Open Sans" w:cs="Open Sans"/>
          <w:b/>
          <w:sz w:val="20"/>
          <w:szCs w:val="20"/>
        </w:rPr>
      </w:pPr>
      <w:r w:rsidRPr="00A07BE9">
        <w:rPr>
          <w:rFonts w:ascii="Open Sans" w:eastAsiaTheme="minorHAnsi" w:hAnsi="Open Sans" w:cs="Open Sans"/>
          <w:b/>
          <w:color w:val="9D2235"/>
          <w:sz w:val="20"/>
          <w:szCs w:val="20"/>
        </w:rPr>
        <w:t xml:space="preserve">Gráfico </w:t>
      </w:r>
      <w:r w:rsidR="00E671DC" w:rsidRPr="00A07BE9">
        <w:rPr>
          <w:rFonts w:ascii="Open Sans" w:eastAsiaTheme="minorHAnsi" w:hAnsi="Open Sans" w:cs="Open Sans"/>
          <w:b/>
          <w:color w:val="9D2235"/>
          <w:sz w:val="20"/>
          <w:szCs w:val="20"/>
        </w:rPr>
        <w:t>13</w:t>
      </w:r>
      <w:r w:rsidRPr="00A07BE9">
        <w:rPr>
          <w:rFonts w:ascii="Open Sans" w:eastAsiaTheme="minorHAnsi" w:hAnsi="Open Sans" w:cs="Open Sans"/>
          <w:b/>
          <w:color w:val="9D2235"/>
          <w:sz w:val="20"/>
          <w:szCs w:val="20"/>
        </w:rPr>
        <w:t xml:space="preserve">: </w:t>
      </w:r>
      <w:r w:rsidRPr="00A07BE9">
        <w:rPr>
          <w:rFonts w:ascii="Open Sans" w:eastAsiaTheme="minorHAnsi" w:hAnsi="Open Sans" w:cs="Open Sans"/>
          <w:b/>
          <w:sz w:val="20"/>
          <w:szCs w:val="20"/>
        </w:rPr>
        <w:t>Distribución solicitudes de protección presentadas en 2019 según la materia objeto de la denuncia</w:t>
      </w:r>
    </w:p>
    <w:p w14:paraId="7A758139" w14:textId="7B9B5ADB" w:rsidR="00F20B33" w:rsidRPr="00A07BE9" w:rsidRDefault="009A3D76" w:rsidP="00035A91">
      <w:pPr>
        <w:spacing w:after="0" w:line="240" w:lineRule="auto"/>
        <w:jc w:val="both"/>
        <w:rPr>
          <w:rFonts w:ascii="Open Sans" w:eastAsiaTheme="minorHAnsi" w:hAnsi="Open Sans" w:cs="Open Sans"/>
          <w:b/>
          <w:sz w:val="20"/>
          <w:szCs w:val="20"/>
        </w:rPr>
      </w:pPr>
      <w:r w:rsidRPr="00A07BE9">
        <w:rPr>
          <w:rFonts w:eastAsiaTheme="minorHAnsi"/>
          <w:noProof/>
          <w:sz w:val="20"/>
          <w:szCs w:val="20"/>
        </w:rPr>
        <w:drawing>
          <wp:anchor distT="0" distB="0" distL="114300" distR="114300" simplePos="0" relativeHeight="251770880" behindDoc="1" locked="0" layoutInCell="1" allowOverlap="1" wp14:anchorId="1DFA90DA" wp14:editId="5EBC700C">
            <wp:simplePos x="0" y="0"/>
            <wp:positionH relativeFrom="margin">
              <wp:align>left</wp:align>
            </wp:positionH>
            <wp:positionV relativeFrom="paragraph">
              <wp:posOffset>257175</wp:posOffset>
            </wp:positionV>
            <wp:extent cx="5562600" cy="1691640"/>
            <wp:effectExtent l="0" t="0" r="0" b="3810"/>
            <wp:wrapTight wrapText="bothSides">
              <wp:wrapPolygon edited="0">
                <wp:start x="0" y="0"/>
                <wp:lineTo x="0" y="21405"/>
                <wp:lineTo x="21526" y="21405"/>
                <wp:lineTo x="21526" y="0"/>
                <wp:lineTo x="0" y="0"/>
              </wp:wrapPolygon>
            </wp:wrapTight>
            <wp:docPr id="339" name="Gráfico 339">
              <a:extLst xmlns:a="http://schemas.openxmlformats.org/drawingml/2006/main">
                <a:ext uri="{FF2B5EF4-FFF2-40B4-BE49-F238E27FC236}">
                  <a16:creationId xmlns:a16="http://schemas.microsoft.com/office/drawing/2014/main" id="{A8B2E927-CFE1-40B9-B9CC-4B895280E8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14:sizeRelH relativeFrom="margin">
              <wp14:pctWidth>0</wp14:pctWidth>
            </wp14:sizeRelH>
            <wp14:sizeRelV relativeFrom="margin">
              <wp14:pctHeight>0</wp14:pctHeight>
            </wp14:sizeRelV>
          </wp:anchor>
        </w:drawing>
      </w:r>
    </w:p>
    <w:p w14:paraId="22C70CFB" w14:textId="77777777" w:rsidR="009953A7" w:rsidRPr="00A07BE9" w:rsidRDefault="009953A7" w:rsidP="00035A91">
      <w:pPr>
        <w:spacing w:after="0" w:line="240" w:lineRule="auto"/>
        <w:jc w:val="both"/>
        <w:rPr>
          <w:rFonts w:ascii="Open Sans" w:eastAsiaTheme="minorHAnsi" w:hAnsi="Open Sans" w:cs="Open Sans"/>
          <w:b/>
          <w:color w:val="9D2235"/>
          <w:sz w:val="20"/>
          <w:szCs w:val="20"/>
        </w:rPr>
      </w:pPr>
    </w:p>
    <w:p w14:paraId="2C74A0F6" w14:textId="3DDE3F78" w:rsidR="00035A91" w:rsidRPr="00A07BE9" w:rsidRDefault="00671CE2" w:rsidP="00035A91">
      <w:pPr>
        <w:spacing w:after="0" w:line="240" w:lineRule="auto"/>
        <w:jc w:val="both"/>
        <w:rPr>
          <w:rFonts w:ascii="Open Sans" w:eastAsiaTheme="minorHAnsi" w:hAnsi="Open Sans" w:cs="Open Sans"/>
          <w:b/>
          <w:sz w:val="20"/>
          <w:szCs w:val="20"/>
        </w:rPr>
      </w:pPr>
      <w:r w:rsidRPr="00A07BE9">
        <w:rPr>
          <w:rFonts w:ascii="Open Sans" w:eastAsiaTheme="minorHAnsi" w:hAnsi="Open Sans" w:cs="Open Sans"/>
          <w:b/>
          <w:color w:val="9D2235"/>
          <w:sz w:val="20"/>
          <w:szCs w:val="20"/>
        </w:rPr>
        <w:t xml:space="preserve">Gráfico </w:t>
      </w:r>
      <w:r w:rsidR="00E671DC" w:rsidRPr="00A07BE9">
        <w:rPr>
          <w:rFonts w:ascii="Open Sans" w:eastAsiaTheme="minorHAnsi" w:hAnsi="Open Sans" w:cs="Open Sans"/>
          <w:b/>
          <w:color w:val="9D2235"/>
          <w:sz w:val="20"/>
          <w:szCs w:val="20"/>
        </w:rPr>
        <w:t>14</w:t>
      </w:r>
      <w:r w:rsidRPr="00A07BE9">
        <w:rPr>
          <w:rFonts w:ascii="Open Sans" w:eastAsiaTheme="minorHAnsi" w:hAnsi="Open Sans" w:cs="Open Sans"/>
          <w:b/>
          <w:color w:val="9D2235"/>
          <w:sz w:val="20"/>
          <w:szCs w:val="20"/>
        </w:rPr>
        <w:t xml:space="preserve">: </w:t>
      </w:r>
      <w:r w:rsidRPr="00A07BE9">
        <w:rPr>
          <w:rFonts w:ascii="Open Sans" w:eastAsiaTheme="minorHAnsi" w:hAnsi="Open Sans" w:cs="Open Sans"/>
          <w:b/>
          <w:sz w:val="20"/>
          <w:szCs w:val="20"/>
        </w:rPr>
        <w:t>Distribución de solicitantes de protección según su condición laboral correspondientes al año 2019</w:t>
      </w:r>
    </w:p>
    <w:p w14:paraId="18F533BC" w14:textId="40739053" w:rsidR="00671CE2" w:rsidRPr="00A07BE9" w:rsidRDefault="00035A91" w:rsidP="00035A91">
      <w:pPr>
        <w:spacing w:after="0" w:line="240" w:lineRule="auto"/>
        <w:jc w:val="both"/>
        <w:rPr>
          <w:rFonts w:ascii="Open Sans" w:eastAsiaTheme="minorHAnsi" w:hAnsi="Open Sans" w:cs="Open Sans"/>
          <w:b/>
          <w:sz w:val="20"/>
          <w:szCs w:val="20"/>
        </w:rPr>
      </w:pPr>
      <w:r w:rsidRPr="00A07BE9">
        <w:rPr>
          <w:rFonts w:eastAsiaTheme="minorHAnsi"/>
          <w:noProof/>
          <w:color w:val="9D2235"/>
          <w:sz w:val="20"/>
          <w:szCs w:val="20"/>
        </w:rPr>
        <w:drawing>
          <wp:anchor distT="0" distB="0" distL="114300" distR="114300" simplePos="0" relativeHeight="251758592" behindDoc="1" locked="0" layoutInCell="1" allowOverlap="1" wp14:anchorId="2C89CF31" wp14:editId="27BBA8FE">
            <wp:simplePos x="0" y="0"/>
            <wp:positionH relativeFrom="margin">
              <wp:posOffset>-635</wp:posOffset>
            </wp:positionH>
            <wp:positionV relativeFrom="paragraph">
              <wp:posOffset>206375</wp:posOffset>
            </wp:positionV>
            <wp:extent cx="5392420" cy="2178050"/>
            <wp:effectExtent l="0" t="0" r="17780" b="12700"/>
            <wp:wrapTight wrapText="bothSides">
              <wp:wrapPolygon edited="0">
                <wp:start x="0" y="0"/>
                <wp:lineTo x="0" y="21537"/>
                <wp:lineTo x="21595" y="21537"/>
                <wp:lineTo x="21595" y="0"/>
                <wp:lineTo x="0" y="0"/>
              </wp:wrapPolygon>
            </wp:wrapTight>
            <wp:docPr id="340" name="Gráfico 340">
              <a:extLst xmlns:a="http://schemas.openxmlformats.org/drawingml/2006/main">
                <a:ext uri="{FF2B5EF4-FFF2-40B4-BE49-F238E27FC236}">
                  <a16:creationId xmlns:a16="http://schemas.microsoft.com/office/drawing/2014/main" id="{55299A2D-A789-4B13-8E03-B8FF7EBE79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14:sizeRelH relativeFrom="margin">
              <wp14:pctWidth>0</wp14:pctWidth>
            </wp14:sizeRelH>
            <wp14:sizeRelV relativeFrom="margin">
              <wp14:pctHeight>0</wp14:pctHeight>
            </wp14:sizeRelV>
          </wp:anchor>
        </w:drawing>
      </w:r>
    </w:p>
    <w:p w14:paraId="4AB5264B" w14:textId="4477FDE5" w:rsidR="00112709" w:rsidRPr="008A0A32" w:rsidRDefault="00671CE2" w:rsidP="00671CE2">
      <w:pPr>
        <w:spacing w:after="0" w:line="240"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 xml:space="preserve">En el apartado </w:t>
      </w:r>
      <w:r w:rsidRPr="00A07BE9">
        <w:rPr>
          <w:rFonts w:ascii="Open Sans" w:eastAsia="Times New Roman" w:hAnsi="Open Sans" w:cs="Open Sans"/>
          <w:i/>
          <w:sz w:val="20"/>
          <w:szCs w:val="20"/>
          <w:lang w:eastAsia="es-ES"/>
        </w:rPr>
        <w:t>“Ninguno de los anteriores”</w:t>
      </w:r>
      <w:r w:rsidRPr="00A07BE9">
        <w:rPr>
          <w:rFonts w:ascii="Open Sans" w:eastAsia="Times New Roman" w:hAnsi="Open Sans" w:cs="Open Sans"/>
          <w:sz w:val="20"/>
          <w:szCs w:val="20"/>
          <w:lang w:eastAsia="es-ES"/>
        </w:rPr>
        <w:t xml:space="preserve"> se contemplan personas ajenas a la función pública y al personal empleado de entidades vinculadas.</w:t>
      </w:r>
    </w:p>
    <w:p w14:paraId="275942BA" w14:textId="703485E5" w:rsidR="00671CE2" w:rsidRPr="00A07BE9" w:rsidRDefault="00671CE2" w:rsidP="00671CE2">
      <w:pPr>
        <w:spacing w:after="0" w:line="240" w:lineRule="auto"/>
        <w:jc w:val="both"/>
        <w:rPr>
          <w:rFonts w:ascii="Open Sans" w:eastAsiaTheme="minorHAnsi" w:hAnsi="Open Sans" w:cs="Open Sans"/>
          <w:b/>
          <w:sz w:val="20"/>
          <w:szCs w:val="20"/>
        </w:rPr>
      </w:pPr>
      <w:r w:rsidRPr="00A07BE9">
        <w:rPr>
          <w:rFonts w:ascii="Open Sans" w:eastAsiaTheme="minorHAnsi" w:hAnsi="Open Sans" w:cs="Open Sans"/>
          <w:b/>
          <w:color w:val="9D2235"/>
          <w:sz w:val="20"/>
          <w:szCs w:val="20"/>
        </w:rPr>
        <w:lastRenderedPageBreak/>
        <w:t xml:space="preserve">Gráfico </w:t>
      </w:r>
      <w:r w:rsidR="00E671DC" w:rsidRPr="00A07BE9">
        <w:rPr>
          <w:rFonts w:ascii="Open Sans" w:eastAsiaTheme="minorHAnsi" w:hAnsi="Open Sans" w:cs="Open Sans"/>
          <w:b/>
          <w:color w:val="9D2235"/>
          <w:sz w:val="20"/>
          <w:szCs w:val="20"/>
        </w:rPr>
        <w:t>15.</w:t>
      </w:r>
      <w:r w:rsidRPr="00A07BE9">
        <w:rPr>
          <w:rFonts w:ascii="Open Sans" w:eastAsiaTheme="minorHAnsi" w:hAnsi="Open Sans" w:cs="Open Sans"/>
          <w:sz w:val="20"/>
          <w:szCs w:val="20"/>
        </w:rPr>
        <w:t xml:space="preserve"> </w:t>
      </w:r>
      <w:r w:rsidRPr="00A07BE9">
        <w:rPr>
          <w:rFonts w:ascii="Open Sans" w:eastAsiaTheme="minorHAnsi" w:hAnsi="Open Sans" w:cs="Open Sans"/>
          <w:b/>
          <w:sz w:val="20"/>
          <w:szCs w:val="20"/>
        </w:rPr>
        <w:t>Distribución de las solicitudes de protección de</w:t>
      </w:r>
      <w:r w:rsidR="00E51203" w:rsidRPr="00A07BE9">
        <w:rPr>
          <w:rFonts w:ascii="Open Sans" w:eastAsiaTheme="minorHAnsi" w:hAnsi="Open Sans" w:cs="Open Sans"/>
          <w:b/>
          <w:sz w:val="20"/>
          <w:szCs w:val="20"/>
        </w:rPr>
        <w:t xml:space="preserve"> </w:t>
      </w:r>
      <w:r w:rsidRPr="00A07BE9">
        <w:rPr>
          <w:rFonts w:ascii="Open Sans" w:eastAsiaTheme="minorHAnsi" w:hAnsi="Open Sans" w:cs="Open Sans"/>
          <w:b/>
          <w:sz w:val="20"/>
          <w:szCs w:val="20"/>
        </w:rPr>
        <w:t>2019 según el estado de tramitación de expedientes administrativos a fecha 31 de diciembre de 2019</w:t>
      </w:r>
    </w:p>
    <w:p w14:paraId="75684EF6" w14:textId="41D455EC" w:rsidR="00F20B33" w:rsidRPr="00A07BE9" w:rsidRDefault="00F20B33" w:rsidP="00671CE2">
      <w:pPr>
        <w:spacing w:after="0" w:line="240" w:lineRule="auto"/>
        <w:jc w:val="both"/>
        <w:rPr>
          <w:rFonts w:ascii="Open Sans" w:eastAsiaTheme="minorHAnsi" w:hAnsi="Open Sans" w:cs="Open Sans"/>
          <w:b/>
          <w:sz w:val="20"/>
          <w:szCs w:val="20"/>
        </w:rPr>
      </w:pPr>
    </w:p>
    <w:p w14:paraId="0CAE1A83" w14:textId="09F10F49" w:rsidR="00671CE2" w:rsidRPr="00A07BE9" w:rsidRDefault="00EE64F7" w:rsidP="00671CE2">
      <w:pPr>
        <w:spacing w:after="0" w:line="240" w:lineRule="auto"/>
        <w:rPr>
          <w:rFonts w:ascii="Open Sans" w:eastAsia="Times New Roman" w:hAnsi="Open Sans" w:cs="Open Sans"/>
          <w:sz w:val="20"/>
          <w:szCs w:val="20"/>
          <w:lang w:eastAsia="es-ES"/>
        </w:rPr>
      </w:pPr>
      <w:r w:rsidRPr="00A07BE9">
        <w:rPr>
          <w:rFonts w:eastAsiaTheme="minorHAnsi"/>
          <w:noProof/>
          <w:sz w:val="20"/>
          <w:szCs w:val="20"/>
        </w:rPr>
        <w:drawing>
          <wp:anchor distT="0" distB="0" distL="114300" distR="114300" simplePos="0" relativeHeight="251746304" behindDoc="1" locked="0" layoutInCell="1" allowOverlap="1" wp14:anchorId="16E78357" wp14:editId="4A30531B">
            <wp:simplePos x="0" y="0"/>
            <wp:positionH relativeFrom="margin">
              <wp:posOffset>412750</wp:posOffset>
            </wp:positionH>
            <wp:positionV relativeFrom="paragraph">
              <wp:posOffset>31750</wp:posOffset>
            </wp:positionV>
            <wp:extent cx="4612005" cy="2044700"/>
            <wp:effectExtent l="0" t="19050" r="17145" b="12700"/>
            <wp:wrapTight wrapText="bothSides">
              <wp:wrapPolygon edited="0">
                <wp:start x="0" y="-201"/>
                <wp:lineTo x="0" y="21533"/>
                <wp:lineTo x="21591" y="21533"/>
                <wp:lineTo x="21591" y="-201"/>
                <wp:lineTo x="0" y="-201"/>
              </wp:wrapPolygon>
            </wp:wrapTight>
            <wp:docPr id="341" name="Gráfico 341">
              <a:extLst xmlns:a="http://schemas.openxmlformats.org/drawingml/2006/main">
                <a:ext uri="{FF2B5EF4-FFF2-40B4-BE49-F238E27FC236}">
                  <a16:creationId xmlns:a16="http://schemas.microsoft.com/office/drawing/2014/main" id="{0FEC8FE4-8984-4EF1-BD73-64954F0A84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8"/>
              </a:graphicData>
            </a:graphic>
            <wp14:sizeRelH relativeFrom="margin">
              <wp14:pctWidth>0</wp14:pctWidth>
            </wp14:sizeRelH>
            <wp14:sizeRelV relativeFrom="margin">
              <wp14:pctHeight>0</wp14:pctHeight>
            </wp14:sizeRelV>
          </wp:anchor>
        </w:drawing>
      </w:r>
    </w:p>
    <w:p w14:paraId="16AEA10E" w14:textId="77777777" w:rsidR="00EE64F7" w:rsidRDefault="00EE64F7" w:rsidP="00671CE2">
      <w:pPr>
        <w:spacing w:after="0" w:line="240" w:lineRule="auto"/>
        <w:jc w:val="both"/>
        <w:rPr>
          <w:rFonts w:ascii="Open Sans" w:eastAsiaTheme="minorHAnsi" w:hAnsi="Open Sans" w:cs="Open Sans"/>
          <w:b/>
          <w:color w:val="9D2235"/>
          <w:sz w:val="20"/>
          <w:szCs w:val="20"/>
        </w:rPr>
      </w:pPr>
    </w:p>
    <w:p w14:paraId="7EEEB205" w14:textId="77777777" w:rsidR="00EE64F7" w:rsidRDefault="00EE64F7" w:rsidP="00671CE2">
      <w:pPr>
        <w:spacing w:after="0" w:line="240" w:lineRule="auto"/>
        <w:jc w:val="both"/>
        <w:rPr>
          <w:rFonts w:ascii="Open Sans" w:eastAsiaTheme="minorHAnsi" w:hAnsi="Open Sans" w:cs="Open Sans"/>
          <w:b/>
          <w:color w:val="9D2235"/>
          <w:sz w:val="20"/>
          <w:szCs w:val="20"/>
        </w:rPr>
      </w:pPr>
    </w:p>
    <w:p w14:paraId="2BD8A2B3" w14:textId="77777777" w:rsidR="00EE64F7" w:rsidRDefault="00EE64F7" w:rsidP="00671CE2">
      <w:pPr>
        <w:spacing w:after="0" w:line="240" w:lineRule="auto"/>
        <w:jc w:val="both"/>
        <w:rPr>
          <w:rFonts w:ascii="Open Sans" w:eastAsiaTheme="minorHAnsi" w:hAnsi="Open Sans" w:cs="Open Sans"/>
          <w:b/>
          <w:color w:val="9D2235"/>
          <w:sz w:val="20"/>
          <w:szCs w:val="20"/>
        </w:rPr>
      </w:pPr>
    </w:p>
    <w:p w14:paraId="12AC140B" w14:textId="77777777" w:rsidR="00EE64F7" w:rsidRDefault="00EE64F7" w:rsidP="00671CE2">
      <w:pPr>
        <w:spacing w:after="0" w:line="240" w:lineRule="auto"/>
        <w:jc w:val="both"/>
        <w:rPr>
          <w:rFonts w:ascii="Open Sans" w:eastAsiaTheme="minorHAnsi" w:hAnsi="Open Sans" w:cs="Open Sans"/>
          <w:b/>
          <w:color w:val="9D2235"/>
          <w:sz w:val="20"/>
          <w:szCs w:val="20"/>
        </w:rPr>
      </w:pPr>
    </w:p>
    <w:p w14:paraId="3405B31E" w14:textId="77777777" w:rsidR="00EE64F7" w:rsidRDefault="00EE64F7" w:rsidP="00671CE2">
      <w:pPr>
        <w:spacing w:after="0" w:line="240" w:lineRule="auto"/>
        <w:jc w:val="both"/>
        <w:rPr>
          <w:rFonts w:ascii="Open Sans" w:eastAsiaTheme="minorHAnsi" w:hAnsi="Open Sans" w:cs="Open Sans"/>
          <w:b/>
          <w:color w:val="9D2235"/>
          <w:sz w:val="20"/>
          <w:szCs w:val="20"/>
        </w:rPr>
      </w:pPr>
    </w:p>
    <w:p w14:paraId="1B5247ED" w14:textId="77777777" w:rsidR="00EE64F7" w:rsidRDefault="00EE64F7" w:rsidP="00671CE2">
      <w:pPr>
        <w:spacing w:after="0" w:line="240" w:lineRule="auto"/>
        <w:jc w:val="both"/>
        <w:rPr>
          <w:rFonts w:ascii="Open Sans" w:eastAsiaTheme="minorHAnsi" w:hAnsi="Open Sans" w:cs="Open Sans"/>
          <w:b/>
          <w:color w:val="9D2235"/>
          <w:sz w:val="20"/>
          <w:szCs w:val="20"/>
        </w:rPr>
      </w:pPr>
    </w:p>
    <w:p w14:paraId="4F2BCF32" w14:textId="77777777" w:rsidR="00EE64F7" w:rsidRDefault="00EE64F7" w:rsidP="00671CE2">
      <w:pPr>
        <w:spacing w:after="0" w:line="240" w:lineRule="auto"/>
        <w:jc w:val="both"/>
        <w:rPr>
          <w:rFonts w:ascii="Open Sans" w:eastAsiaTheme="minorHAnsi" w:hAnsi="Open Sans" w:cs="Open Sans"/>
          <w:b/>
          <w:color w:val="9D2235"/>
          <w:sz w:val="20"/>
          <w:szCs w:val="20"/>
        </w:rPr>
      </w:pPr>
    </w:p>
    <w:p w14:paraId="6760868D" w14:textId="77777777" w:rsidR="00EE64F7" w:rsidRDefault="00EE64F7" w:rsidP="00671CE2">
      <w:pPr>
        <w:spacing w:after="0" w:line="240" w:lineRule="auto"/>
        <w:jc w:val="both"/>
        <w:rPr>
          <w:rFonts w:ascii="Open Sans" w:eastAsiaTheme="minorHAnsi" w:hAnsi="Open Sans" w:cs="Open Sans"/>
          <w:b/>
          <w:color w:val="9D2235"/>
          <w:sz w:val="20"/>
          <w:szCs w:val="20"/>
        </w:rPr>
      </w:pPr>
    </w:p>
    <w:p w14:paraId="6E6E2249" w14:textId="77777777" w:rsidR="00EE64F7" w:rsidRDefault="00EE64F7" w:rsidP="00671CE2">
      <w:pPr>
        <w:spacing w:after="0" w:line="240" w:lineRule="auto"/>
        <w:jc w:val="both"/>
        <w:rPr>
          <w:rFonts w:ascii="Open Sans" w:eastAsiaTheme="minorHAnsi" w:hAnsi="Open Sans" w:cs="Open Sans"/>
          <w:b/>
          <w:color w:val="9D2235"/>
          <w:sz w:val="20"/>
          <w:szCs w:val="20"/>
        </w:rPr>
      </w:pPr>
    </w:p>
    <w:p w14:paraId="6008043B" w14:textId="77777777" w:rsidR="00EE64F7" w:rsidRDefault="00EE64F7" w:rsidP="00671CE2">
      <w:pPr>
        <w:spacing w:after="0" w:line="240" w:lineRule="auto"/>
        <w:jc w:val="both"/>
        <w:rPr>
          <w:rFonts w:ascii="Open Sans" w:eastAsiaTheme="minorHAnsi" w:hAnsi="Open Sans" w:cs="Open Sans"/>
          <w:b/>
          <w:color w:val="9D2235"/>
          <w:sz w:val="20"/>
          <w:szCs w:val="20"/>
        </w:rPr>
      </w:pPr>
    </w:p>
    <w:p w14:paraId="7A663E9A" w14:textId="77777777" w:rsidR="00EE64F7" w:rsidRDefault="00EE64F7" w:rsidP="00671CE2">
      <w:pPr>
        <w:spacing w:after="0" w:line="240" w:lineRule="auto"/>
        <w:jc w:val="both"/>
        <w:rPr>
          <w:rFonts w:ascii="Open Sans" w:eastAsiaTheme="minorHAnsi" w:hAnsi="Open Sans" w:cs="Open Sans"/>
          <w:b/>
          <w:color w:val="9D2235"/>
          <w:sz w:val="20"/>
          <w:szCs w:val="20"/>
        </w:rPr>
      </w:pPr>
    </w:p>
    <w:p w14:paraId="2B26CA7C" w14:textId="77777777" w:rsidR="00EE64F7" w:rsidRDefault="00EE64F7" w:rsidP="00671CE2">
      <w:pPr>
        <w:spacing w:after="0" w:line="240" w:lineRule="auto"/>
        <w:jc w:val="both"/>
        <w:rPr>
          <w:rFonts w:ascii="Open Sans" w:eastAsiaTheme="minorHAnsi" w:hAnsi="Open Sans" w:cs="Open Sans"/>
          <w:b/>
          <w:color w:val="9D2235"/>
          <w:sz w:val="20"/>
          <w:szCs w:val="20"/>
        </w:rPr>
      </w:pPr>
    </w:p>
    <w:p w14:paraId="660223EC" w14:textId="3F7CA084" w:rsidR="00671CE2" w:rsidRPr="00A07BE9" w:rsidRDefault="00671CE2" w:rsidP="00671CE2">
      <w:pPr>
        <w:spacing w:after="0" w:line="240" w:lineRule="auto"/>
        <w:jc w:val="both"/>
        <w:rPr>
          <w:rFonts w:ascii="Open Sans" w:eastAsiaTheme="minorHAnsi" w:hAnsi="Open Sans" w:cs="Open Sans"/>
          <w:sz w:val="20"/>
          <w:szCs w:val="20"/>
        </w:rPr>
      </w:pPr>
      <w:r w:rsidRPr="00A07BE9">
        <w:rPr>
          <w:rFonts w:ascii="Open Sans" w:eastAsiaTheme="minorHAnsi" w:hAnsi="Open Sans" w:cs="Open Sans"/>
          <w:b/>
          <w:color w:val="9D2235"/>
          <w:sz w:val="20"/>
          <w:szCs w:val="20"/>
        </w:rPr>
        <w:t xml:space="preserve">Gráfico </w:t>
      </w:r>
      <w:r w:rsidR="00E671DC" w:rsidRPr="00A07BE9">
        <w:rPr>
          <w:rFonts w:ascii="Open Sans" w:eastAsiaTheme="minorHAnsi" w:hAnsi="Open Sans" w:cs="Open Sans"/>
          <w:b/>
          <w:color w:val="9D2235"/>
          <w:sz w:val="20"/>
          <w:szCs w:val="20"/>
        </w:rPr>
        <w:t>16</w:t>
      </w:r>
      <w:r w:rsidRPr="00A07BE9">
        <w:rPr>
          <w:rFonts w:ascii="Open Sans" w:eastAsiaTheme="minorHAnsi" w:hAnsi="Open Sans" w:cs="Open Sans"/>
          <w:b/>
          <w:color w:val="9D2235"/>
          <w:sz w:val="20"/>
          <w:szCs w:val="20"/>
        </w:rPr>
        <w:t>:</w:t>
      </w:r>
      <w:r w:rsidRPr="00A07BE9">
        <w:rPr>
          <w:rFonts w:ascii="Open Sans" w:eastAsiaTheme="minorHAnsi" w:hAnsi="Open Sans" w:cs="Open Sans"/>
          <w:color w:val="9D2235"/>
          <w:sz w:val="20"/>
          <w:szCs w:val="20"/>
        </w:rPr>
        <w:t xml:space="preserve"> </w:t>
      </w:r>
      <w:r w:rsidRPr="00A07BE9">
        <w:rPr>
          <w:rFonts w:ascii="Open Sans" w:eastAsiaTheme="minorHAnsi" w:hAnsi="Open Sans" w:cs="Open Sans"/>
          <w:b/>
          <w:sz w:val="20"/>
          <w:szCs w:val="20"/>
        </w:rPr>
        <w:t>Solicitudes de protección clasificadas por género año 2019</w:t>
      </w:r>
    </w:p>
    <w:p w14:paraId="7B28FCA8" w14:textId="5C4B4A74" w:rsidR="00671CE2" w:rsidRPr="00A07BE9" w:rsidRDefault="00671CE2" w:rsidP="00671CE2">
      <w:pPr>
        <w:tabs>
          <w:tab w:val="left" w:pos="4980"/>
        </w:tabs>
        <w:spacing w:after="0" w:line="240" w:lineRule="auto"/>
        <w:rPr>
          <w:rFonts w:ascii="Open Sans" w:eastAsia="Times New Roman" w:hAnsi="Open Sans" w:cs="Open Sans"/>
          <w:sz w:val="20"/>
          <w:szCs w:val="20"/>
          <w:lang w:eastAsia="es-ES"/>
        </w:rPr>
      </w:pPr>
    </w:p>
    <w:p w14:paraId="48C7C908" w14:textId="4F7437E7" w:rsidR="00112709" w:rsidRPr="00A07BE9" w:rsidRDefault="00112709" w:rsidP="00671CE2">
      <w:pPr>
        <w:spacing w:after="0" w:line="276" w:lineRule="auto"/>
        <w:jc w:val="both"/>
        <w:rPr>
          <w:rFonts w:ascii="Open Sans" w:eastAsia="Times New Roman" w:hAnsi="Open Sans" w:cs="Open Sans"/>
          <w:b/>
          <w:bCs/>
          <w:smallCaps/>
          <w:color w:val="9D2235"/>
          <w:sz w:val="20"/>
          <w:szCs w:val="20"/>
          <w:lang w:eastAsia="es-ES"/>
        </w:rPr>
      </w:pPr>
      <w:r w:rsidRPr="00A07BE9">
        <w:rPr>
          <w:rFonts w:eastAsiaTheme="minorHAnsi"/>
          <w:b/>
          <w:noProof/>
          <w:color w:val="9D2235"/>
          <w:sz w:val="20"/>
          <w:szCs w:val="20"/>
        </w:rPr>
        <w:drawing>
          <wp:anchor distT="0" distB="0" distL="114300" distR="114300" simplePos="0" relativeHeight="251905024" behindDoc="1" locked="0" layoutInCell="1" allowOverlap="1" wp14:anchorId="62103A0F" wp14:editId="42D4C7FC">
            <wp:simplePos x="0" y="0"/>
            <wp:positionH relativeFrom="margin">
              <wp:posOffset>456404</wp:posOffset>
            </wp:positionH>
            <wp:positionV relativeFrom="paragraph">
              <wp:posOffset>8817</wp:posOffset>
            </wp:positionV>
            <wp:extent cx="3924300" cy="1552575"/>
            <wp:effectExtent l="0" t="0" r="0" b="9525"/>
            <wp:wrapTight wrapText="bothSides">
              <wp:wrapPolygon edited="0">
                <wp:start x="0" y="0"/>
                <wp:lineTo x="0" y="21467"/>
                <wp:lineTo x="21495" y="21467"/>
                <wp:lineTo x="21495" y="0"/>
                <wp:lineTo x="0" y="0"/>
              </wp:wrapPolygon>
            </wp:wrapTight>
            <wp:docPr id="342" name="Gráfico 342">
              <a:extLst xmlns:a="http://schemas.openxmlformats.org/drawingml/2006/main">
                <a:ext uri="{FF2B5EF4-FFF2-40B4-BE49-F238E27FC236}">
                  <a16:creationId xmlns:a16="http://schemas.microsoft.com/office/drawing/2014/main" id="{920AB4AF-95FE-4161-B93A-E40C598947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9"/>
              </a:graphicData>
            </a:graphic>
            <wp14:sizeRelH relativeFrom="margin">
              <wp14:pctWidth>0</wp14:pctWidth>
            </wp14:sizeRelH>
            <wp14:sizeRelV relativeFrom="margin">
              <wp14:pctHeight>0</wp14:pctHeight>
            </wp14:sizeRelV>
          </wp:anchor>
        </w:drawing>
      </w:r>
    </w:p>
    <w:p w14:paraId="1EBE100A" w14:textId="38918B1C" w:rsidR="00112709" w:rsidRPr="00A07BE9" w:rsidRDefault="00112709" w:rsidP="00671CE2">
      <w:pPr>
        <w:spacing w:after="0" w:line="276" w:lineRule="auto"/>
        <w:jc w:val="both"/>
        <w:rPr>
          <w:rFonts w:ascii="Open Sans" w:eastAsia="Times New Roman" w:hAnsi="Open Sans" w:cs="Open Sans"/>
          <w:b/>
          <w:bCs/>
          <w:smallCaps/>
          <w:color w:val="9D2235"/>
          <w:sz w:val="20"/>
          <w:szCs w:val="20"/>
          <w:lang w:eastAsia="es-ES"/>
        </w:rPr>
      </w:pPr>
    </w:p>
    <w:p w14:paraId="4292841E" w14:textId="09E34FAA" w:rsidR="00112709" w:rsidRPr="00A07BE9" w:rsidRDefault="00112709" w:rsidP="00671CE2">
      <w:pPr>
        <w:spacing w:after="0" w:line="276" w:lineRule="auto"/>
        <w:jc w:val="both"/>
        <w:rPr>
          <w:rFonts w:ascii="Open Sans" w:eastAsia="Times New Roman" w:hAnsi="Open Sans" w:cs="Open Sans"/>
          <w:b/>
          <w:bCs/>
          <w:smallCaps/>
          <w:color w:val="9D2235"/>
          <w:sz w:val="20"/>
          <w:szCs w:val="20"/>
          <w:lang w:eastAsia="es-ES"/>
        </w:rPr>
      </w:pPr>
    </w:p>
    <w:p w14:paraId="7073DB49" w14:textId="27B07802" w:rsidR="00112709" w:rsidRPr="00A07BE9" w:rsidRDefault="00112709" w:rsidP="00671CE2">
      <w:pPr>
        <w:spacing w:after="0" w:line="276" w:lineRule="auto"/>
        <w:jc w:val="both"/>
        <w:rPr>
          <w:rFonts w:ascii="Open Sans" w:eastAsia="Times New Roman" w:hAnsi="Open Sans" w:cs="Open Sans"/>
          <w:b/>
          <w:bCs/>
          <w:smallCaps/>
          <w:color w:val="9D2235"/>
          <w:sz w:val="20"/>
          <w:szCs w:val="20"/>
          <w:lang w:eastAsia="es-ES"/>
        </w:rPr>
      </w:pPr>
    </w:p>
    <w:p w14:paraId="37F89B33" w14:textId="5766CF63" w:rsidR="00112709" w:rsidRPr="00A07BE9" w:rsidRDefault="00112709" w:rsidP="00671CE2">
      <w:pPr>
        <w:spacing w:after="0" w:line="276" w:lineRule="auto"/>
        <w:jc w:val="both"/>
        <w:rPr>
          <w:rFonts w:ascii="Open Sans" w:eastAsia="Times New Roman" w:hAnsi="Open Sans" w:cs="Open Sans"/>
          <w:b/>
          <w:bCs/>
          <w:smallCaps/>
          <w:color w:val="9D2235"/>
          <w:sz w:val="20"/>
          <w:szCs w:val="20"/>
          <w:lang w:eastAsia="es-ES"/>
        </w:rPr>
      </w:pPr>
    </w:p>
    <w:p w14:paraId="1E2EFD55" w14:textId="0BB95CBB" w:rsidR="00112709" w:rsidRPr="00A07BE9" w:rsidRDefault="00112709" w:rsidP="00671CE2">
      <w:pPr>
        <w:spacing w:after="0" w:line="276" w:lineRule="auto"/>
        <w:jc w:val="both"/>
        <w:rPr>
          <w:rFonts w:ascii="Open Sans" w:eastAsia="Times New Roman" w:hAnsi="Open Sans" w:cs="Open Sans"/>
          <w:b/>
          <w:bCs/>
          <w:smallCaps/>
          <w:color w:val="9D2235"/>
          <w:sz w:val="20"/>
          <w:szCs w:val="20"/>
          <w:lang w:eastAsia="es-ES"/>
        </w:rPr>
      </w:pPr>
    </w:p>
    <w:p w14:paraId="612723E9" w14:textId="35998167" w:rsidR="00112709" w:rsidRPr="00A07BE9" w:rsidRDefault="00112709" w:rsidP="00671CE2">
      <w:pPr>
        <w:spacing w:after="0" w:line="276" w:lineRule="auto"/>
        <w:jc w:val="both"/>
        <w:rPr>
          <w:rFonts w:ascii="Open Sans" w:eastAsia="Times New Roman" w:hAnsi="Open Sans" w:cs="Open Sans"/>
          <w:b/>
          <w:bCs/>
          <w:smallCaps/>
          <w:color w:val="9D2235"/>
          <w:sz w:val="20"/>
          <w:szCs w:val="20"/>
          <w:lang w:eastAsia="es-ES"/>
        </w:rPr>
      </w:pPr>
    </w:p>
    <w:p w14:paraId="5D062B80" w14:textId="50BFBA98" w:rsidR="00112709" w:rsidRPr="00A07BE9" w:rsidRDefault="00112709" w:rsidP="00671CE2">
      <w:pPr>
        <w:spacing w:after="0" w:line="276" w:lineRule="auto"/>
        <w:jc w:val="both"/>
        <w:rPr>
          <w:rFonts w:ascii="Open Sans" w:eastAsia="Times New Roman" w:hAnsi="Open Sans" w:cs="Open Sans"/>
          <w:b/>
          <w:bCs/>
          <w:smallCaps/>
          <w:color w:val="9D2235"/>
          <w:sz w:val="20"/>
          <w:szCs w:val="20"/>
          <w:lang w:eastAsia="es-ES"/>
        </w:rPr>
      </w:pPr>
    </w:p>
    <w:p w14:paraId="6666450A" w14:textId="7C737914" w:rsidR="00112709" w:rsidRPr="00A07BE9" w:rsidRDefault="00112709" w:rsidP="00671CE2">
      <w:pPr>
        <w:spacing w:after="0" w:line="276" w:lineRule="auto"/>
        <w:jc w:val="both"/>
        <w:rPr>
          <w:rFonts w:ascii="Open Sans" w:eastAsia="Times New Roman" w:hAnsi="Open Sans" w:cs="Open Sans"/>
          <w:b/>
          <w:bCs/>
          <w:smallCaps/>
          <w:color w:val="9D2235"/>
          <w:sz w:val="20"/>
          <w:szCs w:val="20"/>
          <w:lang w:eastAsia="es-ES"/>
        </w:rPr>
      </w:pPr>
    </w:p>
    <w:p w14:paraId="74F8FC68" w14:textId="77777777" w:rsidR="00112709" w:rsidRPr="00A07BE9" w:rsidRDefault="00112709" w:rsidP="00671CE2">
      <w:pPr>
        <w:spacing w:after="0" w:line="276" w:lineRule="auto"/>
        <w:jc w:val="both"/>
        <w:rPr>
          <w:rFonts w:ascii="Open Sans" w:eastAsia="Times New Roman" w:hAnsi="Open Sans" w:cs="Open Sans"/>
          <w:b/>
          <w:bCs/>
          <w:smallCaps/>
          <w:color w:val="9D2235"/>
          <w:sz w:val="20"/>
          <w:szCs w:val="20"/>
          <w:lang w:eastAsia="es-ES"/>
        </w:rPr>
      </w:pPr>
    </w:p>
    <w:p w14:paraId="40FDE34F" w14:textId="33780755" w:rsidR="00671CE2" w:rsidRPr="00A07BE9" w:rsidRDefault="00671CE2" w:rsidP="00671CE2">
      <w:pPr>
        <w:spacing w:after="0" w:line="276" w:lineRule="auto"/>
        <w:jc w:val="both"/>
        <w:rPr>
          <w:rFonts w:ascii="Open Sans" w:eastAsia="Times New Roman" w:hAnsi="Open Sans" w:cs="Open Sans"/>
          <w:b/>
          <w:bCs/>
          <w:smallCaps/>
          <w:color w:val="9D2235"/>
          <w:sz w:val="24"/>
          <w:szCs w:val="24"/>
          <w:lang w:eastAsia="es-ES"/>
        </w:rPr>
      </w:pPr>
      <w:r w:rsidRPr="00A07BE9">
        <w:rPr>
          <w:rFonts w:ascii="Open Sans" w:eastAsia="Times New Roman" w:hAnsi="Open Sans" w:cs="Open Sans"/>
          <w:b/>
          <w:bCs/>
          <w:smallCaps/>
          <w:color w:val="9D2235"/>
          <w:sz w:val="24"/>
          <w:szCs w:val="24"/>
          <w:lang w:eastAsia="es-ES"/>
        </w:rPr>
        <w:t>4.3.6.2. Datos sobre protección de personas denunciantes acumulados desde 2017 a 2019</w:t>
      </w:r>
    </w:p>
    <w:p w14:paraId="6706128E" w14:textId="77777777" w:rsidR="00671CE2" w:rsidRPr="00A07BE9" w:rsidRDefault="00671CE2" w:rsidP="00671CE2">
      <w:pPr>
        <w:tabs>
          <w:tab w:val="left" w:pos="4980"/>
        </w:tabs>
        <w:spacing w:after="0" w:line="240" w:lineRule="auto"/>
        <w:jc w:val="both"/>
        <w:rPr>
          <w:rFonts w:ascii="Open Sans" w:eastAsia="Times New Roman" w:hAnsi="Open Sans" w:cs="Open Sans"/>
          <w:color w:val="9D2235"/>
          <w:sz w:val="20"/>
          <w:szCs w:val="20"/>
          <w:lang w:eastAsia="es-ES"/>
        </w:rPr>
      </w:pPr>
    </w:p>
    <w:p w14:paraId="6F02CF03" w14:textId="58DFBD3E" w:rsidR="00671CE2" w:rsidRPr="00A07BE9" w:rsidRDefault="00671CE2" w:rsidP="00671CE2">
      <w:pPr>
        <w:tabs>
          <w:tab w:val="left" w:pos="4980"/>
        </w:tabs>
        <w:spacing w:after="0" w:line="240" w:lineRule="auto"/>
        <w:jc w:val="both"/>
        <w:rPr>
          <w:rFonts w:ascii="Open Sans" w:eastAsia="Times New Roman" w:hAnsi="Open Sans" w:cs="Open Sans"/>
          <w:b/>
          <w:sz w:val="20"/>
          <w:szCs w:val="20"/>
          <w:lang w:eastAsia="es-ES"/>
        </w:rPr>
      </w:pPr>
      <w:r w:rsidRPr="00A07BE9">
        <w:rPr>
          <w:rFonts w:ascii="Open Sans" w:eastAsia="Times New Roman" w:hAnsi="Open Sans" w:cs="Open Sans"/>
          <w:b/>
          <w:color w:val="9D2235"/>
          <w:sz w:val="20"/>
          <w:szCs w:val="20"/>
          <w:lang w:eastAsia="es-ES"/>
        </w:rPr>
        <w:t xml:space="preserve">Gráfico </w:t>
      </w:r>
      <w:r w:rsidR="00E671DC" w:rsidRPr="00A07BE9">
        <w:rPr>
          <w:rFonts w:ascii="Open Sans" w:eastAsia="Times New Roman" w:hAnsi="Open Sans" w:cs="Open Sans"/>
          <w:b/>
          <w:color w:val="9D2235"/>
          <w:sz w:val="20"/>
          <w:szCs w:val="20"/>
          <w:lang w:eastAsia="es-ES"/>
        </w:rPr>
        <w:t>17</w:t>
      </w:r>
      <w:r w:rsidRPr="00A07BE9">
        <w:rPr>
          <w:rFonts w:ascii="Open Sans" w:eastAsia="Times New Roman" w:hAnsi="Open Sans" w:cs="Open Sans"/>
          <w:b/>
          <w:sz w:val="20"/>
          <w:szCs w:val="20"/>
          <w:lang w:eastAsia="es-ES"/>
        </w:rPr>
        <w:t>: Número de solicitudes de protección presentadas desde la puesta en marcha de la Agencia en noviembre de 2017 hasta 31 de diciembre de 2019 (total: 32)</w:t>
      </w:r>
    </w:p>
    <w:p w14:paraId="5C6D4D74" w14:textId="1C893EC6" w:rsidR="009A3D76" w:rsidRPr="00A07BE9" w:rsidRDefault="00BE0A56" w:rsidP="009A3D76">
      <w:pPr>
        <w:tabs>
          <w:tab w:val="left" w:pos="4980"/>
        </w:tabs>
        <w:jc w:val="both"/>
        <w:rPr>
          <w:rFonts w:ascii="Open Sans" w:eastAsia="Times New Roman" w:hAnsi="Open Sans" w:cs="Open Sans"/>
          <w:sz w:val="20"/>
          <w:szCs w:val="20"/>
          <w:lang w:eastAsia="es-ES"/>
        </w:rPr>
      </w:pPr>
      <w:r w:rsidRPr="00A07BE9">
        <w:rPr>
          <w:rFonts w:eastAsiaTheme="minorHAnsi"/>
          <w:noProof/>
          <w:sz w:val="20"/>
          <w:szCs w:val="20"/>
        </w:rPr>
        <w:drawing>
          <wp:anchor distT="0" distB="0" distL="114300" distR="114300" simplePos="0" relativeHeight="251771904" behindDoc="1" locked="0" layoutInCell="1" allowOverlap="1" wp14:anchorId="72772E34" wp14:editId="1D6E6D3E">
            <wp:simplePos x="0" y="0"/>
            <wp:positionH relativeFrom="margin">
              <wp:posOffset>148590</wp:posOffset>
            </wp:positionH>
            <wp:positionV relativeFrom="paragraph">
              <wp:posOffset>114935</wp:posOffset>
            </wp:positionV>
            <wp:extent cx="4562475" cy="2095500"/>
            <wp:effectExtent l="0" t="0" r="0" b="0"/>
            <wp:wrapTight wrapText="bothSides">
              <wp:wrapPolygon edited="0">
                <wp:start x="0" y="0"/>
                <wp:lineTo x="0" y="21404"/>
                <wp:lineTo x="21465" y="21404"/>
                <wp:lineTo x="21465" y="0"/>
                <wp:lineTo x="0" y="0"/>
              </wp:wrapPolygon>
            </wp:wrapTight>
            <wp:docPr id="343" name="Gráfico 343">
              <a:extLst xmlns:a="http://schemas.openxmlformats.org/drawingml/2006/main">
                <a:ext uri="{FF2B5EF4-FFF2-40B4-BE49-F238E27FC236}">
                  <a16:creationId xmlns:a16="http://schemas.microsoft.com/office/drawing/2014/main" id="{69831365-EF68-42C1-BCCD-6AB90E8BAB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0"/>
              </a:graphicData>
            </a:graphic>
            <wp14:sizeRelH relativeFrom="margin">
              <wp14:pctWidth>0</wp14:pctWidth>
            </wp14:sizeRelH>
            <wp14:sizeRelV relativeFrom="margin">
              <wp14:pctHeight>0</wp14:pctHeight>
            </wp14:sizeRelV>
          </wp:anchor>
        </w:drawing>
      </w:r>
    </w:p>
    <w:p w14:paraId="40FE3C56" w14:textId="77777777" w:rsidR="00BE0A56" w:rsidRPr="00A07BE9" w:rsidRDefault="00BE0A56" w:rsidP="00671CE2">
      <w:pPr>
        <w:spacing w:after="0" w:line="276" w:lineRule="auto"/>
        <w:jc w:val="both"/>
        <w:rPr>
          <w:rFonts w:ascii="Open Sans" w:eastAsiaTheme="minorHAnsi" w:hAnsi="Open Sans" w:cs="Open Sans"/>
          <w:b/>
          <w:color w:val="9D2235"/>
          <w:sz w:val="20"/>
          <w:szCs w:val="20"/>
        </w:rPr>
      </w:pPr>
    </w:p>
    <w:p w14:paraId="45D0803D" w14:textId="77777777" w:rsidR="00BE0A56" w:rsidRPr="00A07BE9" w:rsidRDefault="00BE0A56" w:rsidP="00671CE2">
      <w:pPr>
        <w:spacing w:after="0" w:line="276" w:lineRule="auto"/>
        <w:jc w:val="both"/>
        <w:rPr>
          <w:rFonts w:ascii="Open Sans" w:eastAsiaTheme="minorHAnsi" w:hAnsi="Open Sans" w:cs="Open Sans"/>
          <w:b/>
          <w:color w:val="9D2235"/>
          <w:sz w:val="20"/>
          <w:szCs w:val="20"/>
        </w:rPr>
      </w:pPr>
    </w:p>
    <w:p w14:paraId="731B2CE1" w14:textId="77777777" w:rsidR="00BE0A56" w:rsidRPr="00A07BE9" w:rsidRDefault="00BE0A56" w:rsidP="00671CE2">
      <w:pPr>
        <w:spacing w:after="0" w:line="276" w:lineRule="auto"/>
        <w:jc w:val="both"/>
        <w:rPr>
          <w:rFonts w:ascii="Open Sans" w:eastAsiaTheme="minorHAnsi" w:hAnsi="Open Sans" w:cs="Open Sans"/>
          <w:b/>
          <w:color w:val="9D2235"/>
          <w:sz w:val="20"/>
          <w:szCs w:val="20"/>
        </w:rPr>
      </w:pPr>
    </w:p>
    <w:p w14:paraId="2BE6102A" w14:textId="77777777" w:rsidR="00BE0A56" w:rsidRPr="00A07BE9" w:rsidRDefault="00BE0A56" w:rsidP="00671CE2">
      <w:pPr>
        <w:spacing w:after="0" w:line="276" w:lineRule="auto"/>
        <w:jc w:val="both"/>
        <w:rPr>
          <w:rFonts w:ascii="Open Sans" w:eastAsiaTheme="minorHAnsi" w:hAnsi="Open Sans" w:cs="Open Sans"/>
          <w:b/>
          <w:color w:val="9D2235"/>
          <w:sz w:val="20"/>
          <w:szCs w:val="20"/>
        </w:rPr>
      </w:pPr>
    </w:p>
    <w:p w14:paraId="07FBA885" w14:textId="77777777" w:rsidR="00BE0A56" w:rsidRPr="00A07BE9" w:rsidRDefault="00BE0A56" w:rsidP="00671CE2">
      <w:pPr>
        <w:spacing w:after="0" w:line="276" w:lineRule="auto"/>
        <w:jc w:val="both"/>
        <w:rPr>
          <w:rFonts w:ascii="Open Sans" w:eastAsiaTheme="minorHAnsi" w:hAnsi="Open Sans" w:cs="Open Sans"/>
          <w:b/>
          <w:color w:val="9D2235"/>
          <w:sz w:val="20"/>
          <w:szCs w:val="20"/>
        </w:rPr>
      </w:pPr>
    </w:p>
    <w:p w14:paraId="34EF6967" w14:textId="77777777" w:rsidR="00BE0A56" w:rsidRPr="00A07BE9" w:rsidRDefault="00BE0A56" w:rsidP="00671CE2">
      <w:pPr>
        <w:spacing w:after="0" w:line="276" w:lineRule="auto"/>
        <w:jc w:val="both"/>
        <w:rPr>
          <w:rFonts w:ascii="Open Sans" w:eastAsiaTheme="minorHAnsi" w:hAnsi="Open Sans" w:cs="Open Sans"/>
          <w:b/>
          <w:color w:val="9D2235"/>
          <w:sz w:val="20"/>
          <w:szCs w:val="20"/>
        </w:rPr>
      </w:pPr>
    </w:p>
    <w:p w14:paraId="4D7B399D" w14:textId="77777777" w:rsidR="00BE0A56" w:rsidRPr="00A07BE9" w:rsidRDefault="00BE0A56" w:rsidP="00671CE2">
      <w:pPr>
        <w:spacing w:after="0" w:line="276" w:lineRule="auto"/>
        <w:jc w:val="both"/>
        <w:rPr>
          <w:rFonts w:ascii="Open Sans" w:eastAsiaTheme="minorHAnsi" w:hAnsi="Open Sans" w:cs="Open Sans"/>
          <w:b/>
          <w:color w:val="9D2235"/>
          <w:sz w:val="20"/>
          <w:szCs w:val="20"/>
        </w:rPr>
      </w:pPr>
    </w:p>
    <w:p w14:paraId="48E69D30" w14:textId="77777777" w:rsidR="00BE0A56" w:rsidRPr="00A07BE9" w:rsidRDefault="00BE0A56" w:rsidP="00671CE2">
      <w:pPr>
        <w:spacing w:after="0" w:line="276" w:lineRule="auto"/>
        <w:jc w:val="both"/>
        <w:rPr>
          <w:rFonts w:ascii="Open Sans" w:eastAsiaTheme="minorHAnsi" w:hAnsi="Open Sans" w:cs="Open Sans"/>
          <w:b/>
          <w:color w:val="9D2235"/>
          <w:sz w:val="20"/>
          <w:szCs w:val="20"/>
        </w:rPr>
      </w:pPr>
    </w:p>
    <w:p w14:paraId="0E37F9A1" w14:textId="77777777" w:rsidR="00BE0A56" w:rsidRPr="00A07BE9" w:rsidRDefault="00BE0A56" w:rsidP="00671CE2">
      <w:pPr>
        <w:spacing w:after="0" w:line="276" w:lineRule="auto"/>
        <w:jc w:val="both"/>
        <w:rPr>
          <w:rFonts w:ascii="Open Sans" w:eastAsiaTheme="minorHAnsi" w:hAnsi="Open Sans" w:cs="Open Sans"/>
          <w:b/>
          <w:color w:val="9D2235"/>
          <w:sz w:val="20"/>
          <w:szCs w:val="20"/>
        </w:rPr>
      </w:pPr>
    </w:p>
    <w:p w14:paraId="32F0FA4D" w14:textId="77777777" w:rsidR="00BE0A56" w:rsidRPr="00A07BE9" w:rsidRDefault="00BE0A56" w:rsidP="00671CE2">
      <w:pPr>
        <w:spacing w:after="0" w:line="276" w:lineRule="auto"/>
        <w:jc w:val="both"/>
        <w:rPr>
          <w:rFonts w:ascii="Open Sans" w:eastAsiaTheme="minorHAnsi" w:hAnsi="Open Sans" w:cs="Open Sans"/>
          <w:b/>
          <w:color w:val="9D2235"/>
          <w:sz w:val="20"/>
          <w:szCs w:val="20"/>
        </w:rPr>
      </w:pPr>
    </w:p>
    <w:p w14:paraId="607BCF72" w14:textId="77777777" w:rsidR="00112709" w:rsidRPr="00A07BE9" w:rsidRDefault="00112709" w:rsidP="00F20B33">
      <w:pPr>
        <w:spacing w:after="0" w:line="276" w:lineRule="auto"/>
        <w:jc w:val="both"/>
        <w:rPr>
          <w:rFonts w:ascii="Open Sans" w:eastAsiaTheme="minorHAnsi" w:hAnsi="Open Sans" w:cs="Open Sans"/>
          <w:b/>
          <w:color w:val="9D2235"/>
          <w:sz w:val="20"/>
          <w:szCs w:val="20"/>
        </w:rPr>
      </w:pPr>
    </w:p>
    <w:p w14:paraId="69F8B3D2" w14:textId="0EF823A3" w:rsidR="00F20B33" w:rsidRPr="00A07BE9" w:rsidRDefault="00671CE2" w:rsidP="00F20B33">
      <w:pPr>
        <w:spacing w:after="0" w:line="276" w:lineRule="auto"/>
        <w:jc w:val="both"/>
        <w:rPr>
          <w:rFonts w:ascii="Open Sans" w:eastAsiaTheme="minorHAnsi" w:hAnsi="Open Sans" w:cs="Open Sans"/>
          <w:b/>
          <w:sz w:val="20"/>
          <w:szCs w:val="20"/>
        </w:rPr>
      </w:pPr>
      <w:r w:rsidRPr="00A07BE9">
        <w:rPr>
          <w:rFonts w:eastAsiaTheme="minorHAnsi"/>
          <w:b/>
          <w:noProof/>
          <w:color w:val="9D2235"/>
          <w:sz w:val="20"/>
          <w:szCs w:val="20"/>
        </w:rPr>
        <w:lastRenderedPageBreak/>
        <w:drawing>
          <wp:anchor distT="0" distB="0" distL="114300" distR="114300" simplePos="0" relativeHeight="251744256" behindDoc="1" locked="0" layoutInCell="1" allowOverlap="1" wp14:anchorId="33BCC4C0" wp14:editId="6C722BCE">
            <wp:simplePos x="0" y="0"/>
            <wp:positionH relativeFrom="margin">
              <wp:posOffset>62865</wp:posOffset>
            </wp:positionH>
            <wp:positionV relativeFrom="paragraph">
              <wp:posOffset>551180</wp:posOffset>
            </wp:positionV>
            <wp:extent cx="5143500" cy="1800225"/>
            <wp:effectExtent l="0" t="0" r="0" b="0"/>
            <wp:wrapTight wrapText="bothSides">
              <wp:wrapPolygon edited="0">
                <wp:start x="0" y="0"/>
                <wp:lineTo x="0" y="21257"/>
                <wp:lineTo x="21520" y="21257"/>
                <wp:lineTo x="21520" y="0"/>
                <wp:lineTo x="0" y="0"/>
              </wp:wrapPolygon>
            </wp:wrapTight>
            <wp:docPr id="10" name="Gráfico 10">
              <a:extLst xmlns:a="http://schemas.openxmlformats.org/drawingml/2006/main">
                <a:ext uri="{FF2B5EF4-FFF2-40B4-BE49-F238E27FC236}">
                  <a16:creationId xmlns:a16="http://schemas.microsoft.com/office/drawing/2014/main" id="{4AB43A8C-E55C-4ECC-8944-CF2466065F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1"/>
              </a:graphicData>
            </a:graphic>
            <wp14:sizeRelH relativeFrom="margin">
              <wp14:pctWidth>0</wp14:pctWidth>
            </wp14:sizeRelH>
            <wp14:sizeRelV relativeFrom="margin">
              <wp14:pctHeight>0</wp14:pctHeight>
            </wp14:sizeRelV>
          </wp:anchor>
        </w:drawing>
      </w:r>
      <w:r w:rsidRPr="00A07BE9">
        <w:rPr>
          <w:rFonts w:ascii="Open Sans" w:eastAsiaTheme="minorHAnsi" w:hAnsi="Open Sans" w:cs="Open Sans"/>
          <w:b/>
          <w:color w:val="9D2235"/>
          <w:sz w:val="20"/>
          <w:szCs w:val="20"/>
        </w:rPr>
        <w:t xml:space="preserve">Gráfico </w:t>
      </w:r>
      <w:r w:rsidR="00E671DC" w:rsidRPr="00A07BE9">
        <w:rPr>
          <w:rFonts w:ascii="Open Sans" w:eastAsiaTheme="minorHAnsi" w:hAnsi="Open Sans" w:cs="Open Sans"/>
          <w:b/>
          <w:color w:val="9D2235"/>
          <w:sz w:val="20"/>
          <w:szCs w:val="20"/>
        </w:rPr>
        <w:t>18</w:t>
      </w:r>
      <w:r w:rsidRPr="00A07BE9">
        <w:rPr>
          <w:rFonts w:ascii="Open Sans" w:eastAsiaTheme="minorHAnsi" w:hAnsi="Open Sans" w:cs="Open Sans"/>
          <w:b/>
          <w:sz w:val="20"/>
          <w:szCs w:val="20"/>
        </w:rPr>
        <w:t>: Distribución mensual del número de solicitudes de protección presentadas durante los años 2017, 2018 y 2019</w:t>
      </w:r>
    </w:p>
    <w:p w14:paraId="051C13E1" w14:textId="77777777" w:rsidR="00112709" w:rsidRPr="00A07BE9" w:rsidRDefault="00112709" w:rsidP="00671CE2">
      <w:pPr>
        <w:spacing w:after="0" w:line="240" w:lineRule="auto"/>
        <w:jc w:val="both"/>
        <w:rPr>
          <w:rFonts w:ascii="Open Sans" w:eastAsiaTheme="minorHAnsi" w:hAnsi="Open Sans" w:cs="Open Sans"/>
          <w:b/>
          <w:color w:val="9D2235"/>
          <w:sz w:val="20"/>
          <w:szCs w:val="20"/>
        </w:rPr>
      </w:pPr>
    </w:p>
    <w:p w14:paraId="0020B6C8" w14:textId="08D24134" w:rsidR="00671CE2" w:rsidRPr="00A07BE9" w:rsidRDefault="00671CE2" w:rsidP="00671CE2">
      <w:pPr>
        <w:spacing w:after="0" w:line="240" w:lineRule="auto"/>
        <w:jc w:val="both"/>
        <w:rPr>
          <w:rFonts w:ascii="Open Sans" w:eastAsiaTheme="minorHAnsi" w:hAnsi="Open Sans" w:cs="Open Sans"/>
          <w:b/>
          <w:sz w:val="20"/>
          <w:szCs w:val="20"/>
        </w:rPr>
      </w:pPr>
      <w:r w:rsidRPr="00A07BE9">
        <w:rPr>
          <w:rFonts w:ascii="Open Sans" w:eastAsiaTheme="minorHAnsi" w:hAnsi="Open Sans" w:cs="Open Sans"/>
          <w:b/>
          <w:color w:val="9D2235"/>
          <w:sz w:val="20"/>
          <w:szCs w:val="20"/>
        </w:rPr>
        <w:t xml:space="preserve">Gráfico </w:t>
      </w:r>
      <w:r w:rsidR="00E671DC" w:rsidRPr="00A07BE9">
        <w:rPr>
          <w:rFonts w:ascii="Open Sans" w:eastAsiaTheme="minorHAnsi" w:hAnsi="Open Sans" w:cs="Open Sans"/>
          <w:b/>
          <w:color w:val="9D2235"/>
          <w:sz w:val="20"/>
          <w:szCs w:val="20"/>
        </w:rPr>
        <w:t>19</w:t>
      </w:r>
      <w:r w:rsidRPr="00A07BE9">
        <w:rPr>
          <w:rFonts w:ascii="Open Sans" w:eastAsiaTheme="minorHAnsi" w:hAnsi="Open Sans" w:cs="Open Sans"/>
          <w:b/>
          <w:sz w:val="20"/>
          <w:szCs w:val="20"/>
        </w:rPr>
        <w:t>: Canal o medio de presentación de las solicitudes de protección presentadas durante los años 2017, 2018 y 2019</w:t>
      </w:r>
    </w:p>
    <w:p w14:paraId="574181E1" w14:textId="502C3F43" w:rsidR="00671CE2" w:rsidRPr="00A07BE9" w:rsidRDefault="00861276" w:rsidP="00671CE2">
      <w:pPr>
        <w:spacing w:after="0" w:line="276" w:lineRule="auto"/>
        <w:jc w:val="both"/>
        <w:rPr>
          <w:rFonts w:ascii="Open Sans" w:eastAsiaTheme="minorHAnsi" w:hAnsi="Open Sans" w:cs="Open Sans"/>
          <w:color w:val="9D2235"/>
          <w:sz w:val="20"/>
          <w:szCs w:val="20"/>
        </w:rPr>
      </w:pPr>
      <w:r w:rsidRPr="00A07BE9">
        <w:rPr>
          <w:rFonts w:eastAsiaTheme="minorHAnsi"/>
          <w:noProof/>
          <w:sz w:val="20"/>
          <w:szCs w:val="20"/>
        </w:rPr>
        <w:drawing>
          <wp:anchor distT="0" distB="0" distL="114300" distR="114300" simplePos="0" relativeHeight="251748352" behindDoc="1" locked="0" layoutInCell="1" allowOverlap="1" wp14:anchorId="5B2B630A" wp14:editId="262F5C60">
            <wp:simplePos x="0" y="0"/>
            <wp:positionH relativeFrom="margin">
              <wp:align>center</wp:align>
            </wp:positionH>
            <wp:positionV relativeFrom="paragraph">
              <wp:posOffset>157311</wp:posOffset>
            </wp:positionV>
            <wp:extent cx="4287520" cy="1649095"/>
            <wp:effectExtent l="0" t="0" r="0" b="8255"/>
            <wp:wrapTight wrapText="bothSides">
              <wp:wrapPolygon edited="0">
                <wp:start x="0" y="0"/>
                <wp:lineTo x="0" y="21459"/>
                <wp:lineTo x="21498" y="21459"/>
                <wp:lineTo x="21498" y="0"/>
                <wp:lineTo x="0" y="0"/>
              </wp:wrapPolygon>
            </wp:wrapTight>
            <wp:docPr id="344" name="Gráfico 344">
              <a:extLst xmlns:a="http://schemas.openxmlformats.org/drawingml/2006/main">
                <a:ext uri="{FF2B5EF4-FFF2-40B4-BE49-F238E27FC236}">
                  <a16:creationId xmlns:a16="http://schemas.microsoft.com/office/drawing/2014/main" id="{3B747B36-2053-450F-B6B6-2CC24C5E32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14:sizeRelH relativeFrom="margin">
              <wp14:pctWidth>0</wp14:pctWidth>
            </wp14:sizeRelH>
            <wp14:sizeRelV relativeFrom="margin">
              <wp14:pctHeight>0</wp14:pctHeight>
            </wp14:sizeRelV>
          </wp:anchor>
        </w:drawing>
      </w:r>
    </w:p>
    <w:p w14:paraId="0720826D" w14:textId="52657F08" w:rsidR="00671CE2" w:rsidRPr="00A07BE9" w:rsidRDefault="00671CE2" w:rsidP="00671CE2">
      <w:pPr>
        <w:spacing w:after="0" w:line="276" w:lineRule="auto"/>
        <w:jc w:val="both"/>
        <w:rPr>
          <w:rFonts w:ascii="Open Sans" w:eastAsiaTheme="minorHAnsi" w:hAnsi="Open Sans" w:cs="Open Sans"/>
          <w:color w:val="9D2235"/>
          <w:sz w:val="20"/>
          <w:szCs w:val="20"/>
        </w:rPr>
      </w:pPr>
    </w:p>
    <w:p w14:paraId="05384028" w14:textId="77777777" w:rsidR="00671CE2" w:rsidRPr="00A07BE9" w:rsidRDefault="00671CE2" w:rsidP="00671CE2">
      <w:pPr>
        <w:spacing w:after="0" w:line="276" w:lineRule="auto"/>
        <w:jc w:val="both"/>
        <w:rPr>
          <w:rFonts w:ascii="Open Sans" w:eastAsiaTheme="minorHAnsi" w:hAnsi="Open Sans" w:cs="Open Sans"/>
          <w:color w:val="9D2235"/>
          <w:sz w:val="20"/>
          <w:szCs w:val="20"/>
        </w:rPr>
      </w:pPr>
    </w:p>
    <w:p w14:paraId="5A01E69E" w14:textId="77777777" w:rsidR="00671CE2" w:rsidRPr="00A07BE9" w:rsidRDefault="00671CE2" w:rsidP="00671CE2">
      <w:pPr>
        <w:spacing w:after="0" w:line="276" w:lineRule="auto"/>
        <w:jc w:val="both"/>
        <w:rPr>
          <w:rFonts w:ascii="Open Sans" w:eastAsiaTheme="minorHAnsi" w:hAnsi="Open Sans" w:cs="Open Sans"/>
          <w:color w:val="9D2235"/>
          <w:sz w:val="20"/>
          <w:szCs w:val="20"/>
        </w:rPr>
      </w:pPr>
    </w:p>
    <w:p w14:paraId="15F91C0F" w14:textId="77777777" w:rsidR="00671CE2" w:rsidRPr="00A07BE9" w:rsidRDefault="00671CE2" w:rsidP="00671CE2">
      <w:pPr>
        <w:spacing w:after="0" w:line="276" w:lineRule="auto"/>
        <w:jc w:val="both"/>
        <w:rPr>
          <w:rFonts w:ascii="Open Sans" w:eastAsiaTheme="minorHAnsi" w:hAnsi="Open Sans" w:cs="Open Sans"/>
          <w:color w:val="9D2235"/>
          <w:sz w:val="20"/>
          <w:szCs w:val="20"/>
        </w:rPr>
      </w:pPr>
    </w:p>
    <w:p w14:paraId="10B62B11" w14:textId="77777777" w:rsidR="00671CE2" w:rsidRPr="00A07BE9" w:rsidRDefault="00671CE2" w:rsidP="00671CE2">
      <w:pPr>
        <w:spacing w:after="0" w:line="276" w:lineRule="auto"/>
        <w:jc w:val="both"/>
        <w:rPr>
          <w:rFonts w:ascii="Open Sans" w:eastAsiaTheme="minorHAnsi" w:hAnsi="Open Sans" w:cs="Open Sans"/>
          <w:color w:val="9D2235"/>
          <w:sz w:val="20"/>
          <w:szCs w:val="20"/>
        </w:rPr>
      </w:pPr>
    </w:p>
    <w:p w14:paraId="379EE6D2" w14:textId="77777777" w:rsidR="00671CE2" w:rsidRPr="00A07BE9" w:rsidRDefault="00671CE2" w:rsidP="00671CE2">
      <w:pPr>
        <w:spacing w:after="0" w:line="276" w:lineRule="auto"/>
        <w:jc w:val="both"/>
        <w:rPr>
          <w:rFonts w:ascii="Open Sans" w:eastAsiaTheme="minorHAnsi" w:hAnsi="Open Sans" w:cs="Open Sans"/>
          <w:color w:val="9D2235"/>
          <w:sz w:val="20"/>
          <w:szCs w:val="20"/>
        </w:rPr>
      </w:pPr>
    </w:p>
    <w:p w14:paraId="6609D03E" w14:textId="2598F366" w:rsidR="00671CE2" w:rsidRPr="00A07BE9" w:rsidRDefault="00671CE2" w:rsidP="00671CE2">
      <w:pPr>
        <w:spacing w:after="0" w:line="276" w:lineRule="auto"/>
        <w:jc w:val="both"/>
        <w:rPr>
          <w:rFonts w:ascii="Open Sans" w:eastAsiaTheme="minorHAnsi" w:hAnsi="Open Sans" w:cs="Open Sans"/>
          <w:color w:val="9D2235"/>
          <w:sz w:val="20"/>
          <w:szCs w:val="20"/>
        </w:rPr>
      </w:pPr>
    </w:p>
    <w:p w14:paraId="483C04E2" w14:textId="77777777" w:rsidR="00F20B33" w:rsidRPr="00A07BE9" w:rsidRDefault="00F20B33" w:rsidP="00671CE2">
      <w:pPr>
        <w:spacing w:after="0" w:line="240" w:lineRule="auto"/>
        <w:jc w:val="both"/>
        <w:rPr>
          <w:rFonts w:ascii="Open Sans" w:eastAsiaTheme="minorHAnsi" w:hAnsi="Open Sans" w:cs="Open Sans"/>
          <w:b/>
          <w:color w:val="9D2235"/>
          <w:sz w:val="20"/>
          <w:szCs w:val="20"/>
        </w:rPr>
      </w:pPr>
    </w:p>
    <w:p w14:paraId="36FDA31D" w14:textId="77777777" w:rsidR="00464ED7" w:rsidRPr="00A07BE9" w:rsidRDefault="00464ED7" w:rsidP="00671CE2">
      <w:pPr>
        <w:spacing w:after="0" w:line="240" w:lineRule="auto"/>
        <w:jc w:val="both"/>
        <w:rPr>
          <w:rFonts w:ascii="Open Sans" w:eastAsiaTheme="minorHAnsi" w:hAnsi="Open Sans" w:cs="Open Sans"/>
          <w:b/>
          <w:color w:val="9D2235"/>
          <w:sz w:val="20"/>
          <w:szCs w:val="20"/>
        </w:rPr>
      </w:pPr>
    </w:p>
    <w:p w14:paraId="16FF366A" w14:textId="58B47A46" w:rsidR="00671CE2" w:rsidRPr="00A07BE9" w:rsidRDefault="00671CE2" w:rsidP="00671CE2">
      <w:pPr>
        <w:spacing w:after="0" w:line="240" w:lineRule="auto"/>
        <w:jc w:val="both"/>
        <w:rPr>
          <w:rFonts w:ascii="Open Sans" w:eastAsiaTheme="minorHAnsi" w:hAnsi="Open Sans" w:cs="Open Sans"/>
          <w:b/>
          <w:sz w:val="20"/>
          <w:szCs w:val="20"/>
        </w:rPr>
      </w:pPr>
      <w:r w:rsidRPr="00A07BE9">
        <w:rPr>
          <w:rFonts w:ascii="Open Sans" w:eastAsiaTheme="minorHAnsi" w:hAnsi="Open Sans" w:cs="Open Sans"/>
          <w:b/>
          <w:color w:val="9D2235"/>
          <w:sz w:val="20"/>
          <w:szCs w:val="20"/>
        </w:rPr>
        <w:t xml:space="preserve">Gráfico </w:t>
      </w:r>
      <w:r w:rsidR="00E671DC" w:rsidRPr="00A07BE9">
        <w:rPr>
          <w:rFonts w:ascii="Open Sans" w:eastAsiaTheme="minorHAnsi" w:hAnsi="Open Sans" w:cs="Open Sans"/>
          <w:b/>
          <w:color w:val="9D2235"/>
          <w:sz w:val="20"/>
          <w:szCs w:val="20"/>
        </w:rPr>
        <w:t>20</w:t>
      </w:r>
      <w:r w:rsidRPr="00A07BE9">
        <w:rPr>
          <w:rFonts w:ascii="Open Sans" w:eastAsiaTheme="minorHAnsi" w:hAnsi="Open Sans" w:cs="Open Sans"/>
          <w:b/>
          <w:sz w:val="20"/>
          <w:szCs w:val="20"/>
        </w:rPr>
        <w:t>: Número de solicitudes de protección presentadas según el tipo de administración, institución o entidad afectada por la denuncia durante los años 2017, 2018 y 2019</w:t>
      </w:r>
    </w:p>
    <w:p w14:paraId="059F0374" w14:textId="54A70C55" w:rsidR="00464ED7" w:rsidRPr="00A07BE9" w:rsidRDefault="00464ED7" w:rsidP="00671CE2">
      <w:pPr>
        <w:spacing w:after="0" w:line="240" w:lineRule="auto"/>
        <w:jc w:val="both"/>
        <w:rPr>
          <w:rFonts w:ascii="Open Sans" w:eastAsiaTheme="minorHAnsi" w:hAnsi="Open Sans" w:cs="Open Sans"/>
          <w:b/>
          <w:sz w:val="20"/>
          <w:szCs w:val="20"/>
        </w:rPr>
      </w:pPr>
    </w:p>
    <w:p w14:paraId="2B4E5545" w14:textId="0E878B72" w:rsidR="00464ED7" w:rsidRPr="00A07BE9" w:rsidRDefault="00671CE2" w:rsidP="00671CE2">
      <w:pPr>
        <w:spacing w:after="0" w:line="240" w:lineRule="auto"/>
        <w:jc w:val="both"/>
        <w:rPr>
          <w:rFonts w:ascii="Open Sans" w:eastAsia="Times New Roman" w:hAnsi="Open Sans" w:cs="Open Sans"/>
          <w:sz w:val="20"/>
          <w:szCs w:val="20"/>
          <w:lang w:eastAsia="es-ES"/>
        </w:rPr>
      </w:pPr>
      <w:r w:rsidRPr="00A07BE9">
        <w:rPr>
          <w:rFonts w:eastAsiaTheme="minorHAnsi"/>
          <w:noProof/>
          <w:sz w:val="20"/>
          <w:szCs w:val="20"/>
        </w:rPr>
        <w:drawing>
          <wp:inline distT="0" distB="0" distL="0" distR="0" wp14:anchorId="0D6AA456" wp14:editId="10B01C83">
            <wp:extent cx="5558790" cy="2971800"/>
            <wp:effectExtent l="0" t="0" r="3810" b="0"/>
            <wp:docPr id="345" name="Gráfico 345">
              <a:extLst xmlns:a="http://schemas.openxmlformats.org/drawingml/2006/main">
                <a:ext uri="{FF2B5EF4-FFF2-40B4-BE49-F238E27FC236}">
                  <a16:creationId xmlns:a16="http://schemas.microsoft.com/office/drawing/2014/main" id="{904FF1D3-8B4E-4ACF-9C6C-71FA4DAAAF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3"/>
              </a:graphicData>
            </a:graphic>
          </wp:inline>
        </w:drawing>
      </w:r>
      <w:bookmarkStart w:id="16" w:name="_Hlk33010679"/>
    </w:p>
    <w:p w14:paraId="2CE7440A" w14:textId="2A903C56" w:rsidR="00671CE2" w:rsidRPr="00A07BE9" w:rsidRDefault="00671CE2" w:rsidP="00671CE2">
      <w:pPr>
        <w:spacing w:after="0" w:line="240" w:lineRule="auto"/>
        <w:jc w:val="both"/>
        <w:rPr>
          <w:rFonts w:ascii="Open Sans" w:eastAsiaTheme="minorHAnsi" w:hAnsi="Open Sans" w:cs="Open Sans"/>
          <w:b/>
          <w:sz w:val="20"/>
          <w:szCs w:val="20"/>
        </w:rPr>
      </w:pPr>
      <w:r w:rsidRPr="00A07BE9">
        <w:rPr>
          <w:rFonts w:ascii="Open Sans" w:eastAsiaTheme="minorHAnsi" w:hAnsi="Open Sans" w:cs="Open Sans"/>
          <w:b/>
          <w:color w:val="9D2235"/>
          <w:sz w:val="20"/>
          <w:szCs w:val="20"/>
        </w:rPr>
        <w:lastRenderedPageBreak/>
        <w:t xml:space="preserve">Gráfico </w:t>
      </w:r>
      <w:r w:rsidR="00E671DC" w:rsidRPr="00A07BE9">
        <w:rPr>
          <w:rFonts w:ascii="Open Sans" w:eastAsiaTheme="minorHAnsi" w:hAnsi="Open Sans" w:cs="Open Sans"/>
          <w:b/>
          <w:color w:val="9D2235"/>
          <w:sz w:val="20"/>
          <w:szCs w:val="20"/>
        </w:rPr>
        <w:t>21</w:t>
      </w:r>
      <w:r w:rsidRPr="00A07BE9">
        <w:rPr>
          <w:rFonts w:ascii="Open Sans" w:eastAsiaTheme="minorHAnsi" w:hAnsi="Open Sans" w:cs="Open Sans"/>
          <w:b/>
          <w:sz w:val="20"/>
          <w:szCs w:val="20"/>
        </w:rPr>
        <w:t>: Número de solicitudes presentadas durante los años 2017, 2018 y 2019 según la provincia en la que se ubica la administración o entidad denunciada o investigada</w:t>
      </w:r>
    </w:p>
    <w:p w14:paraId="642E8AF0" w14:textId="42D57DFB" w:rsidR="00464ED7" w:rsidRPr="00A07BE9" w:rsidRDefault="00464ED7" w:rsidP="00671CE2">
      <w:pPr>
        <w:spacing w:after="0" w:line="240" w:lineRule="auto"/>
        <w:jc w:val="both"/>
        <w:rPr>
          <w:rFonts w:ascii="Open Sans" w:eastAsiaTheme="minorHAnsi" w:hAnsi="Open Sans" w:cs="Open Sans"/>
          <w:b/>
          <w:sz w:val="20"/>
          <w:szCs w:val="20"/>
        </w:rPr>
      </w:pPr>
    </w:p>
    <w:p w14:paraId="4FE79DF1" w14:textId="134EE066" w:rsidR="00671CE2" w:rsidRPr="00A07BE9" w:rsidRDefault="00EE64F7" w:rsidP="00671CE2">
      <w:pPr>
        <w:tabs>
          <w:tab w:val="left" w:pos="4980"/>
        </w:tabs>
        <w:spacing w:after="0" w:line="240" w:lineRule="auto"/>
        <w:jc w:val="both"/>
        <w:rPr>
          <w:rFonts w:ascii="Open Sans" w:eastAsiaTheme="minorHAnsi" w:hAnsi="Open Sans" w:cs="Open Sans"/>
          <w:b/>
          <w:color w:val="9D2235"/>
          <w:sz w:val="20"/>
          <w:szCs w:val="20"/>
        </w:rPr>
      </w:pPr>
      <w:bookmarkStart w:id="17" w:name="_Hlk33010740"/>
      <w:bookmarkEnd w:id="16"/>
      <w:r w:rsidRPr="00A07BE9">
        <w:rPr>
          <w:rFonts w:eastAsiaTheme="minorHAnsi"/>
          <w:noProof/>
          <w:sz w:val="20"/>
          <w:szCs w:val="20"/>
        </w:rPr>
        <w:drawing>
          <wp:anchor distT="0" distB="0" distL="114300" distR="114300" simplePos="0" relativeHeight="251759616" behindDoc="1" locked="0" layoutInCell="1" allowOverlap="1" wp14:anchorId="5F7B2708" wp14:editId="668F8134">
            <wp:simplePos x="0" y="0"/>
            <wp:positionH relativeFrom="margin">
              <wp:posOffset>748665</wp:posOffset>
            </wp:positionH>
            <wp:positionV relativeFrom="paragraph">
              <wp:posOffset>3368</wp:posOffset>
            </wp:positionV>
            <wp:extent cx="3761740" cy="1845945"/>
            <wp:effectExtent l="0" t="0" r="10160" b="1905"/>
            <wp:wrapTight wrapText="bothSides">
              <wp:wrapPolygon edited="0">
                <wp:start x="0" y="0"/>
                <wp:lineTo x="0" y="21399"/>
                <wp:lineTo x="21549" y="21399"/>
                <wp:lineTo x="21549" y="0"/>
                <wp:lineTo x="0" y="0"/>
              </wp:wrapPolygon>
            </wp:wrapTight>
            <wp:docPr id="346" name="Gráfico 346">
              <a:extLst xmlns:a="http://schemas.openxmlformats.org/drawingml/2006/main">
                <a:ext uri="{FF2B5EF4-FFF2-40B4-BE49-F238E27FC236}">
                  <a16:creationId xmlns:a16="http://schemas.microsoft.com/office/drawing/2014/main" id="{2981A59A-35BF-4198-B816-D398ECEB87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4"/>
              </a:graphicData>
            </a:graphic>
            <wp14:sizeRelH relativeFrom="margin">
              <wp14:pctWidth>0</wp14:pctWidth>
            </wp14:sizeRelH>
            <wp14:sizeRelV relativeFrom="margin">
              <wp14:pctHeight>0</wp14:pctHeight>
            </wp14:sizeRelV>
          </wp:anchor>
        </w:drawing>
      </w:r>
    </w:p>
    <w:p w14:paraId="19E9BA07" w14:textId="3692582A" w:rsidR="00112709" w:rsidRPr="00A07BE9" w:rsidRDefault="00112709" w:rsidP="00671CE2">
      <w:pPr>
        <w:tabs>
          <w:tab w:val="left" w:pos="4980"/>
        </w:tabs>
        <w:spacing w:after="0" w:line="240" w:lineRule="auto"/>
        <w:jc w:val="both"/>
        <w:rPr>
          <w:rFonts w:ascii="Open Sans" w:eastAsiaTheme="minorHAnsi" w:hAnsi="Open Sans" w:cs="Open Sans"/>
          <w:b/>
          <w:color w:val="9D2235"/>
          <w:sz w:val="20"/>
          <w:szCs w:val="20"/>
        </w:rPr>
      </w:pPr>
    </w:p>
    <w:p w14:paraId="274D10E3" w14:textId="0C34FDF7" w:rsidR="00112709" w:rsidRPr="00A07BE9" w:rsidRDefault="00112709" w:rsidP="00671CE2">
      <w:pPr>
        <w:tabs>
          <w:tab w:val="left" w:pos="4980"/>
        </w:tabs>
        <w:spacing w:after="0" w:line="240" w:lineRule="auto"/>
        <w:jc w:val="both"/>
        <w:rPr>
          <w:rFonts w:ascii="Open Sans" w:eastAsiaTheme="minorHAnsi" w:hAnsi="Open Sans" w:cs="Open Sans"/>
          <w:b/>
          <w:color w:val="9D2235"/>
          <w:sz w:val="20"/>
          <w:szCs w:val="20"/>
        </w:rPr>
      </w:pPr>
    </w:p>
    <w:p w14:paraId="67FFA766" w14:textId="55C5D682" w:rsidR="00112709" w:rsidRPr="00A07BE9" w:rsidRDefault="00112709" w:rsidP="00671CE2">
      <w:pPr>
        <w:tabs>
          <w:tab w:val="left" w:pos="4980"/>
        </w:tabs>
        <w:spacing w:after="0" w:line="240" w:lineRule="auto"/>
        <w:jc w:val="both"/>
        <w:rPr>
          <w:rFonts w:ascii="Open Sans" w:eastAsiaTheme="minorHAnsi" w:hAnsi="Open Sans" w:cs="Open Sans"/>
          <w:b/>
          <w:color w:val="9D2235"/>
          <w:sz w:val="20"/>
          <w:szCs w:val="20"/>
        </w:rPr>
      </w:pPr>
    </w:p>
    <w:p w14:paraId="21C32CFE" w14:textId="57A1D81A" w:rsidR="00112709" w:rsidRPr="00A07BE9" w:rsidRDefault="00112709" w:rsidP="00671CE2">
      <w:pPr>
        <w:tabs>
          <w:tab w:val="left" w:pos="4980"/>
        </w:tabs>
        <w:spacing w:after="0" w:line="240" w:lineRule="auto"/>
        <w:jc w:val="both"/>
        <w:rPr>
          <w:rFonts w:ascii="Open Sans" w:eastAsiaTheme="minorHAnsi" w:hAnsi="Open Sans" w:cs="Open Sans"/>
          <w:b/>
          <w:color w:val="9D2235"/>
          <w:sz w:val="20"/>
          <w:szCs w:val="20"/>
        </w:rPr>
      </w:pPr>
    </w:p>
    <w:p w14:paraId="76EC3063" w14:textId="5E094916" w:rsidR="00112709" w:rsidRPr="00A07BE9" w:rsidRDefault="00112709" w:rsidP="00671CE2">
      <w:pPr>
        <w:tabs>
          <w:tab w:val="left" w:pos="4980"/>
        </w:tabs>
        <w:spacing w:after="0" w:line="240" w:lineRule="auto"/>
        <w:jc w:val="both"/>
        <w:rPr>
          <w:rFonts w:ascii="Open Sans" w:eastAsiaTheme="minorHAnsi" w:hAnsi="Open Sans" w:cs="Open Sans"/>
          <w:b/>
          <w:color w:val="9D2235"/>
          <w:sz w:val="20"/>
          <w:szCs w:val="20"/>
        </w:rPr>
      </w:pPr>
    </w:p>
    <w:p w14:paraId="2545CC67" w14:textId="77777777" w:rsidR="00112709" w:rsidRPr="00A07BE9" w:rsidRDefault="00112709" w:rsidP="00671CE2">
      <w:pPr>
        <w:tabs>
          <w:tab w:val="left" w:pos="4980"/>
        </w:tabs>
        <w:spacing w:after="0" w:line="240" w:lineRule="auto"/>
        <w:jc w:val="both"/>
        <w:rPr>
          <w:rFonts w:ascii="Open Sans" w:eastAsiaTheme="minorHAnsi" w:hAnsi="Open Sans" w:cs="Open Sans"/>
          <w:b/>
          <w:color w:val="9D2235"/>
          <w:sz w:val="20"/>
          <w:szCs w:val="20"/>
        </w:rPr>
      </w:pPr>
    </w:p>
    <w:p w14:paraId="1460C1CD" w14:textId="77777777" w:rsidR="008A0A32" w:rsidRDefault="008A0A32" w:rsidP="00671CE2">
      <w:pPr>
        <w:tabs>
          <w:tab w:val="left" w:pos="4980"/>
        </w:tabs>
        <w:spacing w:after="0" w:line="240" w:lineRule="auto"/>
        <w:jc w:val="both"/>
        <w:rPr>
          <w:rFonts w:ascii="Open Sans" w:eastAsiaTheme="minorHAnsi" w:hAnsi="Open Sans" w:cs="Open Sans"/>
          <w:b/>
          <w:color w:val="9D2235"/>
          <w:sz w:val="20"/>
          <w:szCs w:val="20"/>
        </w:rPr>
      </w:pPr>
    </w:p>
    <w:p w14:paraId="58EEC837" w14:textId="77777777" w:rsidR="008A0A32" w:rsidRDefault="008A0A32" w:rsidP="00671CE2">
      <w:pPr>
        <w:tabs>
          <w:tab w:val="left" w:pos="4980"/>
        </w:tabs>
        <w:spacing w:after="0" w:line="240" w:lineRule="auto"/>
        <w:jc w:val="both"/>
        <w:rPr>
          <w:rFonts w:ascii="Open Sans" w:eastAsiaTheme="minorHAnsi" w:hAnsi="Open Sans" w:cs="Open Sans"/>
          <w:b/>
          <w:color w:val="9D2235"/>
          <w:sz w:val="20"/>
          <w:szCs w:val="20"/>
        </w:rPr>
      </w:pPr>
    </w:p>
    <w:p w14:paraId="6B7369A7" w14:textId="77777777" w:rsidR="008A0A32" w:rsidRDefault="008A0A32" w:rsidP="00671CE2">
      <w:pPr>
        <w:tabs>
          <w:tab w:val="left" w:pos="4980"/>
        </w:tabs>
        <w:spacing w:after="0" w:line="240" w:lineRule="auto"/>
        <w:jc w:val="both"/>
        <w:rPr>
          <w:rFonts w:ascii="Open Sans" w:eastAsiaTheme="minorHAnsi" w:hAnsi="Open Sans" w:cs="Open Sans"/>
          <w:b/>
          <w:color w:val="9D2235"/>
          <w:sz w:val="20"/>
          <w:szCs w:val="20"/>
        </w:rPr>
      </w:pPr>
    </w:p>
    <w:p w14:paraId="04139236" w14:textId="77777777" w:rsidR="008A0A32" w:rsidRDefault="008A0A32" w:rsidP="00671CE2">
      <w:pPr>
        <w:tabs>
          <w:tab w:val="left" w:pos="4980"/>
        </w:tabs>
        <w:spacing w:after="0" w:line="240" w:lineRule="auto"/>
        <w:jc w:val="both"/>
        <w:rPr>
          <w:rFonts w:ascii="Open Sans" w:eastAsiaTheme="minorHAnsi" w:hAnsi="Open Sans" w:cs="Open Sans"/>
          <w:b/>
          <w:color w:val="9D2235"/>
          <w:sz w:val="20"/>
          <w:szCs w:val="20"/>
        </w:rPr>
      </w:pPr>
    </w:p>
    <w:p w14:paraId="1B88EFA9" w14:textId="77777777" w:rsidR="008A0A32" w:rsidRDefault="008A0A32" w:rsidP="00671CE2">
      <w:pPr>
        <w:tabs>
          <w:tab w:val="left" w:pos="4980"/>
        </w:tabs>
        <w:spacing w:after="0" w:line="240" w:lineRule="auto"/>
        <w:jc w:val="both"/>
        <w:rPr>
          <w:rFonts w:ascii="Open Sans" w:eastAsiaTheme="minorHAnsi" w:hAnsi="Open Sans" w:cs="Open Sans"/>
          <w:b/>
          <w:color w:val="9D2235"/>
          <w:sz w:val="20"/>
          <w:szCs w:val="20"/>
        </w:rPr>
      </w:pPr>
    </w:p>
    <w:p w14:paraId="07C83E88" w14:textId="7DDCD29E" w:rsidR="00671CE2" w:rsidRPr="00A07BE9" w:rsidRDefault="00671CE2" w:rsidP="00671CE2">
      <w:pPr>
        <w:tabs>
          <w:tab w:val="left" w:pos="4980"/>
        </w:tabs>
        <w:spacing w:after="0" w:line="240" w:lineRule="auto"/>
        <w:jc w:val="both"/>
        <w:rPr>
          <w:rFonts w:ascii="Open Sans" w:eastAsiaTheme="minorHAnsi" w:hAnsi="Open Sans" w:cs="Open Sans"/>
          <w:b/>
          <w:sz w:val="20"/>
          <w:szCs w:val="20"/>
        </w:rPr>
      </w:pPr>
      <w:r w:rsidRPr="00A07BE9">
        <w:rPr>
          <w:rFonts w:ascii="Open Sans" w:eastAsiaTheme="minorHAnsi" w:hAnsi="Open Sans" w:cs="Open Sans"/>
          <w:b/>
          <w:color w:val="9D2235"/>
          <w:sz w:val="20"/>
          <w:szCs w:val="20"/>
        </w:rPr>
        <w:t xml:space="preserve">Gráfico </w:t>
      </w:r>
      <w:r w:rsidR="00E671DC" w:rsidRPr="00A07BE9">
        <w:rPr>
          <w:rFonts w:ascii="Open Sans" w:eastAsiaTheme="minorHAnsi" w:hAnsi="Open Sans" w:cs="Open Sans"/>
          <w:b/>
          <w:color w:val="9D2235"/>
          <w:sz w:val="20"/>
          <w:szCs w:val="20"/>
        </w:rPr>
        <w:t>22</w:t>
      </w:r>
      <w:r w:rsidRPr="00A07BE9">
        <w:rPr>
          <w:rFonts w:ascii="Open Sans" w:eastAsiaTheme="minorHAnsi" w:hAnsi="Open Sans" w:cs="Open Sans"/>
          <w:b/>
          <w:sz w:val="20"/>
          <w:szCs w:val="20"/>
        </w:rPr>
        <w:t>: Distribución solicitudes de protección presentadas desde 2017 hasta 31 de diciembre de 2019 según la materia objeto de la denunci</w:t>
      </w:r>
      <w:bookmarkEnd w:id="17"/>
      <w:r w:rsidRPr="00A07BE9">
        <w:rPr>
          <w:rFonts w:ascii="Open Sans" w:eastAsiaTheme="minorHAnsi" w:hAnsi="Open Sans" w:cs="Open Sans"/>
          <w:b/>
          <w:sz w:val="20"/>
          <w:szCs w:val="20"/>
        </w:rPr>
        <w:t>a</w:t>
      </w:r>
    </w:p>
    <w:p w14:paraId="2813A406" w14:textId="01753FE3" w:rsidR="00671CE2" w:rsidRPr="00A07BE9" w:rsidRDefault="00464ED7" w:rsidP="00671CE2">
      <w:pPr>
        <w:tabs>
          <w:tab w:val="left" w:pos="4980"/>
        </w:tabs>
        <w:spacing w:after="0" w:line="240" w:lineRule="auto"/>
        <w:jc w:val="both"/>
        <w:rPr>
          <w:rFonts w:ascii="Open Sans" w:eastAsiaTheme="minorHAnsi" w:hAnsi="Open Sans" w:cs="Open Sans"/>
          <w:b/>
          <w:sz w:val="20"/>
          <w:szCs w:val="20"/>
        </w:rPr>
      </w:pPr>
      <w:r w:rsidRPr="00A07BE9">
        <w:rPr>
          <w:rFonts w:eastAsiaTheme="minorHAnsi"/>
          <w:b/>
          <w:noProof/>
          <w:color w:val="9D2235"/>
          <w:sz w:val="20"/>
          <w:szCs w:val="20"/>
        </w:rPr>
        <w:drawing>
          <wp:anchor distT="0" distB="0" distL="114300" distR="114300" simplePos="0" relativeHeight="251745280" behindDoc="1" locked="0" layoutInCell="1" allowOverlap="1" wp14:anchorId="03EF9063" wp14:editId="079A0742">
            <wp:simplePos x="0" y="0"/>
            <wp:positionH relativeFrom="margin">
              <wp:align>left</wp:align>
            </wp:positionH>
            <wp:positionV relativeFrom="paragraph">
              <wp:posOffset>224155</wp:posOffset>
            </wp:positionV>
            <wp:extent cx="5727700" cy="3086100"/>
            <wp:effectExtent l="0" t="0" r="6350" b="0"/>
            <wp:wrapTight wrapText="bothSides">
              <wp:wrapPolygon edited="0">
                <wp:start x="0" y="0"/>
                <wp:lineTo x="0" y="21467"/>
                <wp:lineTo x="21552" y="21467"/>
                <wp:lineTo x="21552" y="0"/>
                <wp:lineTo x="0" y="0"/>
              </wp:wrapPolygon>
            </wp:wrapTight>
            <wp:docPr id="347" name="Gráfico 347">
              <a:extLst xmlns:a="http://schemas.openxmlformats.org/drawingml/2006/main">
                <a:ext uri="{FF2B5EF4-FFF2-40B4-BE49-F238E27FC236}">
                  <a16:creationId xmlns:a16="http://schemas.microsoft.com/office/drawing/2014/main" id="{0E836CA4-5277-4159-AD02-336DE15A71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5"/>
              </a:graphicData>
            </a:graphic>
            <wp14:sizeRelH relativeFrom="margin">
              <wp14:pctWidth>0</wp14:pctWidth>
            </wp14:sizeRelH>
            <wp14:sizeRelV relativeFrom="margin">
              <wp14:pctHeight>0</wp14:pctHeight>
            </wp14:sizeRelV>
          </wp:anchor>
        </w:drawing>
      </w:r>
    </w:p>
    <w:p w14:paraId="0BCF30AB" w14:textId="44193FC1" w:rsidR="0089514C" w:rsidRPr="00A07BE9" w:rsidRDefault="0089514C" w:rsidP="00671CE2">
      <w:pPr>
        <w:spacing w:after="0" w:line="276" w:lineRule="auto"/>
        <w:jc w:val="both"/>
        <w:rPr>
          <w:rFonts w:ascii="Open Sans" w:eastAsia="Times New Roman" w:hAnsi="Open Sans" w:cs="Open Sans"/>
          <w:color w:val="000000"/>
          <w:sz w:val="20"/>
          <w:szCs w:val="20"/>
          <w:lang w:eastAsia="es-ES"/>
        </w:rPr>
      </w:pPr>
    </w:p>
    <w:p w14:paraId="4CBE78FB" w14:textId="6375F1AF"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Trasladando los datos del gráfico a porcentajes, destacan, con mayor peso, las denuncias</w:t>
      </w:r>
      <w:r w:rsidR="00134151" w:rsidRPr="00A07BE9">
        <w:rPr>
          <w:rFonts w:ascii="Open Sans" w:eastAsia="Times New Roman" w:hAnsi="Open Sans" w:cs="Open Sans"/>
          <w:color w:val="000000"/>
          <w:sz w:val="20"/>
          <w:szCs w:val="20"/>
          <w:lang w:eastAsia="es-ES"/>
        </w:rPr>
        <w:t xml:space="preserve"> </w:t>
      </w:r>
      <w:r w:rsidRPr="00A07BE9">
        <w:rPr>
          <w:rFonts w:ascii="Open Sans" w:eastAsia="Times New Roman" w:hAnsi="Open Sans" w:cs="Open Sans"/>
          <w:color w:val="000000"/>
          <w:sz w:val="20"/>
          <w:szCs w:val="20"/>
          <w:lang w:eastAsia="es-ES"/>
        </w:rPr>
        <w:t xml:space="preserve">referentes a la materia de personal, que representan el 34,38%, las cuales se han subdividido, a su vez, en acceso a la función pública y selección de personal con un 15,63%, y gestión de personal (provisión de puestos, ordenación, clasificación, retribuciones, etc.) con otro porcentaje similar del 18,75%. </w:t>
      </w:r>
    </w:p>
    <w:p w14:paraId="42340AC0" w14:textId="77777777" w:rsidR="00671CE2" w:rsidRPr="00A07BE9" w:rsidRDefault="00671CE2" w:rsidP="00671CE2">
      <w:pPr>
        <w:spacing w:after="0" w:line="276" w:lineRule="auto"/>
        <w:jc w:val="both"/>
        <w:rPr>
          <w:rFonts w:ascii="Times New Roman" w:eastAsia="Times New Roman" w:hAnsi="Times New Roman" w:cs="Times New Roman"/>
          <w:sz w:val="20"/>
          <w:szCs w:val="20"/>
          <w:lang w:eastAsia="es-ES"/>
        </w:rPr>
      </w:pPr>
    </w:p>
    <w:p w14:paraId="618D5239" w14:textId="77777777" w:rsidR="00671CE2" w:rsidRPr="00A07BE9" w:rsidRDefault="00671CE2" w:rsidP="00671CE2">
      <w:pPr>
        <w:spacing w:after="0" w:line="276" w:lineRule="auto"/>
        <w:jc w:val="both"/>
        <w:rPr>
          <w:rFonts w:ascii="Times New Roman" w:eastAsia="Times New Roman" w:hAnsi="Times New Roman" w:cs="Times New Roman"/>
          <w:sz w:val="20"/>
          <w:szCs w:val="20"/>
          <w:lang w:eastAsia="es-ES"/>
        </w:rPr>
      </w:pPr>
      <w:r w:rsidRPr="00A07BE9">
        <w:rPr>
          <w:rFonts w:ascii="Open Sans" w:eastAsia="Times New Roman" w:hAnsi="Open Sans" w:cs="Open Sans"/>
          <w:sz w:val="20"/>
          <w:szCs w:val="20"/>
          <w:lang w:eastAsia="es-ES"/>
        </w:rPr>
        <w:t>A los temas de personal les siguen las denuncias relacionadas con la contratación administrativa, que representan un 25% del total de las denuncias.</w:t>
      </w:r>
    </w:p>
    <w:p w14:paraId="059832D2" w14:textId="77777777" w:rsidR="00671CE2" w:rsidRPr="00A07BE9" w:rsidRDefault="00671CE2" w:rsidP="00671CE2">
      <w:pPr>
        <w:spacing w:after="0" w:line="276" w:lineRule="auto"/>
        <w:jc w:val="both"/>
        <w:rPr>
          <w:rFonts w:ascii="Times New Roman" w:eastAsia="Times New Roman" w:hAnsi="Times New Roman" w:cs="Times New Roman"/>
          <w:sz w:val="20"/>
          <w:szCs w:val="20"/>
          <w:lang w:eastAsia="es-ES"/>
        </w:rPr>
      </w:pPr>
    </w:p>
    <w:p w14:paraId="3AE25B29" w14:textId="77777777" w:rsidR="00671CE2" w:rsidRPr="00A07BE9" w:rsidRDefault="00671CE2" w:rsidP="00671CE2">
      <w:pPr>
        <w:spacing w:after="0" w:line="276" w:lineRule="auto"/>
        <w:jc w:val="both"/>
        <w:rPr>
          <w:rFonts w:ascii="Times New Roman" w:eastAsia="Times New Roman" w:hAnsi="Times New Roman" w:cs="Times New Roman"/>
          <w:sz w:val="20"/>
          <w:szCs w:val="20"/>
          <w:lang w:eastAsia="es-ES"/>
        </w:rPr>
      </w:pPr>
      <w:r w:rsidRPr="00A07BE9">
        <w:rPr>
          <w:rFonts w:ascii="Open Sans" w:eastAsia="Times New Roman" w:hAnsi="Open Sans" w:cs="Open Sans"/>
          <w:sz w:val="20"/>
          <w:szCs w:val="20"/>
          <w:lang w:eastAsia="es-ES"/>
        </w:rPr>
        <w:lastRenderedPageBreak/>
        <w:t>A continuación, el funcionamiento de los servicios públicos de la policía local con un 12,50%, seguida de las denuncias relacionadas con la ordenación urbanística con un 6,25% y subvenciones con un 9,38%.</w:t>
      </w:r>
    </w:p>
    <w:p w14:paraId="18D00891" w14:textId="77777777" w:rsidR="00671CE2" w:rsidRPr="00A07BE9" w:rsidRDefault="00671CE2" w:rsidP="00671CE2">
      <w:pPr>
        <w:spacing w:after="0" w:line="276" w:lineRule="auto"/>
        <w:jc w:val="both"/>
        <w:rPr>
          <w:rFonts w:ascii="Times New Roman" w:eastAsia="Times New Roman" w:hAnsi="Times New Roman" w:cs="Times New Roman"/>
          <w:sz w:val="20"/>
          <w:szCs w:val="20"/>
          <w:lang w:eastAsia="es-ES"/>
        </w:rPr>
      </w:pPr>
    </w:p>
    <w:p w14:paraId="7FE55FE3" w14:textId="77777777" w:rsidR="00671CE2" w:rsidRPr="00A07BE9" w:rsidRDefault="00671CE2" w:rsidP="00671CE2">
      <w:pPr>
        <w:spacing w:after="0" w:line="276" w:lineRule="auto"/>
        <w:jc w:val="both"/>
        <w:rPr>
          <w:rFonts w:ascii="Times New Roman" w:eastAsia="Times New Roman" w:hAnsi="Times New Roman" w:cs="Times New Roman"/>
          <w:sz w:val="20"/>
          <w:szCs w:val="20"/>
          <w:lang w:eastAsia="es-ES"/>
        </w:rPr>
      </w:pPr>
      <w:r w:rsidRPr="00A07BE9">
        <w:rPr>
          <w:rFonts w:ascii="Open Sans" w:eastAsia="Times New Roman" w:hAnsi="Open Sans" w:cs="Open Sans"/>
          <w:sz w:val="20"/>
          <w:szCs w:val="20"/>
          <w:lang w:eastAsia="es-ES"/>
        </w:rPr>
        <w:t>Por último, han sido denunciados hechos relacionados con el funcionamiento de los servicios públicos en materia de servicios sociales (6,25%), el funcionamiento de servicios públicos de salud (3,13%), y otras materias fuera del ámbito competencial de la Agencia (3,13%).</w:t>
      </w:r>
    </w:p>
    <w:p w14:paraId="4DBFC5EB" w14:textId="6F5EEE66" w:rsidR="00112709" w:rsidRDefault="00112709" w:rsidP="00671CE2">
      <w:pPr>
        <w:spacing w:after="0" w:line="240" w:lineRule="auto"/>
        <w:jc w:val="both"/>
        <w:rPr>
          <w:rFonts w:ascii="Open Sans" w:eastAsiaTheme="minorHAnsi" w:hAnsi="Open Sans" w:cs="Open Sans"/>
          <w:b/>
          <w:color w:val="9D2235"/>
          <w:sz w:val="20"/>
          <w:szCs w:val="20"/>
        </w:rPr>
      </w:pPr>
      <w:bookmarkStart w:id="18" w:name="_Hlk33013682"/>
    </w:p>
    <w:p w14:paraId="27ECAE40" w14:textId="77777777" w:rsidR="008A0A32" w:rsidRPr="00A07BE9" w:rsidRDefault="008A0A32" w:rsidP="00671CE2">
      <w:pPr>
        <w:spacing w:after="0" w:line="240" w:lineRule="auto"/>
        <w:jc w:val="both"/>
        <w:rPr>
          <w:rFonts w:ascii="Open Sans" w:eastAsiaTheme="minorHAnsi" w:hAnsi="Open Sans" w:cs="Open Sans"/>
          <w:b/>
          <w:color w:val="9D2235"/>
          <w:sz w:val="20"/>
          <w:szCs w:val="20"/>
        </w:rPr>
      </w:pPr>
    </w:p>
    <w:p w14:paraId="03DC1CBA" w14:textId="45476FB4" w:rsidR="00671CE2" w:rsidRDefault="00671CE2" w:rsidP="00671CE2">
      <w:pPr>
        <w:spacing w:after="0" w:line="240" w:lineRule="auto"/>
        <w:jc w:val="both"/>
        <w:rPr>
          <w:rFonts w:ascii="Open Sans" w:eastAsiaTheme="minorHAnsi" w:hAnsi="Open Sans" w:cs="Open Sans"/>
          <w:b/>
          <w:sz w:val="20"/>
          <w:szCs w:val="20"/>
        </w:rPr>
      </w:pPr>
      <w:r w:rsidRPr="00F84839">
        <w:rPr>
          <w:rFonts w:ascii="Open Sans" w:eastAsiaTheme="minorHAnsi" w:hAnsi="Open Sans" w:cs="Open Sans"/>
          <w:b/>
          <w:color w:val="9D2235"/>
          <w:sz w:val="20"/>
          <w:szCs w:val="20"/>
        </w:rPr>
        <w:t xml:space="preserve">Gráfico </w:t>
      </w:r>
      <w:r w:rsidR="00E671DC" w:rsidRPr="00F84839">
        <w:rPr>
          <w:rFonts w:ascii="Open Sans" w:eastAsiaTheme="minorHAnsi" w:hAnsi="Open Sans" w:cs="Open Sans"/>
          <w:b/>
          <w:color w:val="9D2235"/>
          <w:sz w:val="20"/>
          <w:szCs w:val="20"/>
        </w:rPr>
        <w:t>23</w:t>
      </w:r>
      <w:r w:rsidRPr="00F84839">
        <w:rPr>
          <w:rFonts w:ascii="Open Sans" w:eastAsiaTheme="minorHAnsi" w:hAnsi="Open Sans" w:cs="Open Sans"/>
          <w:b/>
          <w:sz w:val="20"/>
          <w:szCs w:val="20"/>
        </w:rPr>
        <w:t xml:space="preserve">: Distribución de solicitantes de protección según su condición laboral correspondientes </w:t>
      </w:r>
      <w:bookmarkEnd w:id="18"/>
      <w:r w:rsidRPr="00F84839">
        <w:rPr>
          <w:rFonts w:ascii="Open Sans" w:eastAsiaTheme="minorHAnsi" w:hAnsi="Open Sans" w:cs="Open Sans"/>
          <w:b/>
          <w:sz w:val="20"/>
          <w:szCs w:val="20"/>
        </w:rPr>
        <w:t>a los años 2017, 2018 y 2019</w:t>
      </w:r>
    </w:p>
    <w:p w14:paraId="1214817D" w14:textId="08934BC3" w:rsidR="00103139" w:rsidRDefault="00103139" w:rsidP="00671CE2">
      <w:pPr>
        <w:spacing w:after="0" w:line="240" w:lineRule="auto"/>
        <w:jc w:val="both"/>
        <w:rPr>
          <w:rFonts w:ascii="Open Sans" w:eastAsiaTheme="minorHAnsi" w:hAnsi="Open Sans" w:cs="Open Sans"/>
          <w:b/>
          <w:sz w:val="20"/>
          <w:szCs w:val="20"/>
        </w:rPr>
      </w:pPr>
    </w:p>
    <w:p w14:paraId="36C7F82B" w14:textId="2A26B476" w:rsidR="00103139" w:rsidRDefault="001A5ABB" w:rsidP="00671CE2">
      <w:pPr>
        <w:spacing w:after="0" w:line="240" w:lineRule="auto"/>
        <w:jc w:val="both"/>
        <w:rPr>
          <w:rFonts w:ascii="Open Sans" w:eastAsiaTheme="minorHAnsi" w:hAnsi="Open Sans" w:cs="Open Sans"/>
          <w:b/>
          <w:sz w:val="20"/>
          <w:szCs w:val="20"/>
        </w:rPr>
      </w:pPr>
      <w:r>
        <w:rPr>
          <w:rFonts w:ascii="Open Sans" w:eastAsiaTheme="minorHAnsi" w:hAnsi="Open Sans" w:cs="Open Sans"/>
          <w:b/>
          <w:noProof/>
          <w:sz w:val="20"/>
          <w:szCs w:val="20"/>
        </w:rPr>
        <w:drawing>
          <wp:inline distT="0" distB="0" distL="0" distR="0" wp14:anchorId="333FC9CC" wp14:editId="5109FFFE">
            <wp:extent cx="5429885" cy="2586942"/>
            <wp:effectExtent l="0" t="0" r="0" b="444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6">
                      <a:extLst>
                        <a:ext uri="{28A0092B-C50C-407E-A947-70E740481C1C}">
                          <a14:useLocalDpi xmlns:a14="http://schemas.microsoft.com/office/drawing/2010/main"/>
                        </a:ext>
                      </a:extLst>
                    </a:blip>
                    <a:srcRect/>
                    <a:stretch>
                      <a:fillRect/>
                    </a:stretch>
                  </pic:blipFill>
                  <pic:spPr bwMode="auto">
                    <a:xfrm>
                      <a:off x="0" y="0"/>
                      <a:ext cx="5448736" cy="2595923"/>
                    </a:xfrm>
                    <a:prstGeom prst="rect">
                      <a:avLst/>
                    </a:prstGeom>
                    <a:noFill/>
                  </pic:spPr>
                </pic:pic>
              </a:graphicData>
            </a:graphic>
          </wp:inline>
        </w:drawing>
      </w:r>
    </w:p>
    <w:p w14:paraId="37C4157A" w14:textId="200C9417" w:rsidR="007F3362" w:rsidRDefault="007F3362" w:rsidP="00671CE2">
      <w:pPr>
        <w:jc w:val="both"/>
        <w:rPr>
          <w:rFonts w:ascii="Open Sans" w:eastAsiaTheme="minorHAnsi" w:hAnsi="Open Sans" w:cs="Open Sans"/>
          <w:b/>
          <w:sz w:val="20"/>
          <w:szCs w:val="20"/>
        </w:rPr>
      </w:pPr>
    </w:p>
    <w:p w14:paraId="5604B622" w14:textId="3133BD07" w:rsidR="00671CE2" w:rsidRDefault="00671CE2" w:rsidP="00BB0FA5">
      <w:pPr>
        <w:spacing w:after="0"/>
        <w:jc w:val="both"/>
        <w:rPr>
          <w:rFonts w:ascii="Open Sans" w:eastAsiaTheme="minorHAnsi" w:hAnsi="Open Sans" w:cs="Open Sans"/>
          <w:b/>
          <w:sz w:val="20"/>
          <w:szCs w:val="20"/>
        </w:rPr>
      </w:pPr>
      <w:bookmarkStart w:id="19" w:name="_Hlk33013739"/>
      <w:r w:rsidRPr="00A07BE9">
        <w:rPr>
          <w:rFonts w:ascii="Open Sans" w:eastAsiaTheme="minorHAnsi" w:hAnsi="Open Sans" w:cs="Open Sans"/>
          <w:b/>
          <w:color w:val="9D2235"/>
          <w:sz w:val="20"/>
          <w:szCs w:val="20"/>
        </w:rPr>
        <w:t xml:space="preserve">Gráfico </w:t>
      </w:r>
      <w:r w:rsidR="00E671DC" w:rsidRPr="00A07BE9">
        <w:rPr>
          <w:rFonts w:ascii="Open Sans" w:eastAsiaTheme="minorHAnsi" w:hAnsi="Open Sans" w:cs="Open Sans"/>
          <w:b/>
          <w:color w:val="9D2235"/>
          <w:sz w:val="20"/>
          <w:szCs w:val="20"/>
        </w:rPr>
        <w:t>24</w:t>
      </w:r>
      <w:r w:rsidRPr="00A07BE9">
        <w:rPr>
          <w:rFonts w:ascii="Open Sans" w:eastAsiaTheme="minorHAnsi" w:hAnsi="Open Sans" w:cs="Open Sans"/>
          <w:b/>
          <w:sz w:val="20"/>
          <w:szCs w:val="20"/>
        </w:rPr>
        <w:t xml:space="preserve">: Distribución de las solicitudes de protección de </w:t>
      </w:r>
      <w:r w:rsidR="00C54EA9" w:rsidRPr="00A07BE9">
        <w:rPr>
          <w:rFonts w:ascii="Open Sans" w:eastAsiaTheme="minorHAnsi" w:hAnsi="Open Sans" w:cs="Open Sans"/>
          <w:b/>
          <w:sz w:val="20"/>
          <w:szCs w:val="20"/>
        </w:rPr>
        <w:t xml:space="preserve">2017, 2018 y </w:t>
      </w:r>
      <w:r w:rsidRPr="00A07BE9">
        <w:rPr>
          <w:rFonts w:ascii="Open Sans" w:eastAsiaTheme="minorHAnsi" w:hAnsi="Open Sans" w:cs="Open Sans"/>
          <w:b/>
          <w:sz w:val="20"/>
          <w:szCs w:val="20"/>
        </w:rPr>
        <w:t>2019 según el estado de tramitación del expediente administrativo a fecha 31 de diciembre de 2019</w:t>
      </w:r>
      <w:bookmarkEnd w:id="19"/>
    </w:p>
    <w:p w14:paraId="2B1B2C7D" w14:textId="77777777" w:rsidR="00BB0FA5" w:rsidRPr="00A07BE9" w:rsidRDefault="00BB0FA5" w:rsidP="00BB0FA5">
      <w:pPr>
        <w:spacing w:after="0"/>
        <w:jc w:val="both"/>
        <w:rPr>
          <w:rFonts w:ascii="Open Sans" w:eastAsiaTheme="minorHAnsi" w:hAnsi="Open Sans" w:cs="Open Sans"/>
          <w:b/>
          <w:sz w:val="20"/>
          <w:szCs w:val="20"/>
        </w:rPr>
      </w:pPr>
    </w:p>
    <w:p w14:paraId="5386B6B3" w14:textId="45F07589" w:rsidR="00BF432C" w:rsidRPr="00A07BE9" w:rsidRDefault="00BB0FA5" w:rsidP="00BF432C">
      <w:pPr>
        <w:spacing w:after="0" w:line="240" w:lineRule="auto"/>
        <w:jc w:val="both"/>
        <w:rPr>
          <w:rFonts w:ascii="Open Sans" w:eastAsiaTheme="minorHAnsi" w:hAnsi="Open Sans" w:cs="Open Sans"/>
          <w:b/>
          <w:color w:val="9D2235"/>
          <w:sz w:val="20"/>
          <w:szCs w:val="20"/>
        </w:rPr>
      </w:pPr>
      <w:bookmarkStart w:id="20" w:name="_Hlk33015715"/>
      <w:r w:rsidRPr="00A07BE9">
        <w:rPr>
          <w:rFonts w:eastAsiaTheme="minorHAnsi"/>
          <w:noProof/>
          <w:sz w:val="20"/>
          <w:szCs w:val="20"/>
        </w:rPr>
        <w:drawing>
          <wp:anchor distT="0" distB="0" distL="114300" distR="114300" simplePos="0" relativeHeight="251915264" behindDoc="1" locked="0" layoutInCell="1" allowOverlap="1" wp14:anchorId="34D9EBFA" wp14:editId="273E9C2E">
            <wp:simplePos x="0" y="0"/>
            <wp:positionH relativeFrom="margin">
              <wp:posOffset>0</wp:posOffset>
            </wp:positionH>
            <wp:positionV relativeFrom="paragraph">
              <wp:posOffset>191770</wp:posOffset>
            </wp:positionV>
            <wp:extent cx="5393690" cy="2083435"/>
            <wp:effectExtent l="0" t="19050" r="16510" b="12065"/>
            <wp:wrapTight wrapText="bothSides">
              <wp:wrapPolygon edited="0">
                <wp:start x="0" y="-198"/>
                <wp:lineTo x="0" y="21528"/>
                <wp:lineTo x="21590" y="21528"/>
                <wp:lineTo x="21590" y="-198"/>
                <wp:lineTo x="0" y="-198"/>
              </wp:wrapPolygon>
            </wp:wrapTight>
            <wp:docPr id="349" name="Gráfico 349">
              <a:extLst xmlns:a="http://schemas.openxmlformats.org/drawingml/2006/main">
                <a:ext uri="{FF2B5EF4-FFF2-40B4-BE49-F238E27FC236}">
                  <a16:creationId xmlns:a16="http://schemas.microsoft.com/office/drawing/2014/main" id="{0FEC8FE4-8984-4EF1-BD73-64954F0A84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7"/>
              </a:graphicData>
            </a:graphic>
            <wp14:sizeRelH relativeFrom="margin">
              <wp14:pctWidth>0</wp14:pctWidth>
            </wp14:sizeRelH>
            <wp14:sizeRelV relativeFrom="margin">
              <wp14:pctHeight>0</wp14:pctHeight>
            </wp14:sizeRelV>
          </wp:anchor>
        </w:drawing>
      </w:r>
    </w:p>
    <w:p w14:paraId="6E708C16" w14:textId="00094554" w:rsidR="00B81BCD" w:rsidRPr="001A5ABB" w:rsidRDefault="001A5ABB" w:rsidP="001A5ABB">
      <w:pPr>
        <w:spacing w:after="0" w:line="240" w:lineRule="auto"/>
        <w:jc w:val="both"/>
        <w:rPr>
          <w:rFonts w:ascii="Open Sans" w:eastAsiaTheme="minorHAnsi" w:hAnsi="Open Sans" w:cs="Open Sans"/>
          <w:b/>
          <w:sz w:val="20"/>
          <w:szCs w:val="20"/>
        </w:rPr>
      </w:pPr>
      <w:r w:rsidRPr="00A07BE9">
        <w:rPr>
          <w:rFonts w:eastAsiaTheme="minorHAnsi"/>
          <w:noProof/>
          <w:color w:val="9D2235"/>
          <w:sz w:val="20"/>
          <w:szCs w:val="20"/>
        </w:rPr>
        <w:lastRenderedPageBreak/>
        <w:drawing>
          <wp:anchor distT="0" distB="0" distL="114300" distR="114300" simplePos="0" relativeHeight="251907072" behindDoc="1" locked="0" layoutInCell="1" allowOverlap="1" wp14:anchorId="189FC1BC" wp14:editId="7DE180F8">
            <wp:simplePos x="0" y="0"/>
            <wp:positionH relativeFrom="margin">
              <wp:align>left</wp:align>
            </wp:positionH>
            <wp:positionV relativeFrom="paragraph">
              <wp:posOffset>511175</wp:posOffset>
            </wp:positionV>
            <wp:extent cx="5403850" cy="2951480"/>
            <wp:effectExtent l="0" t="0" r="6350" b="1270"/>
            <wp:wrapTight wrapText="bothSides">
              <wp:wrapPolygon edited="0">
                <wp:start x="0" y="0"/>
                <wp:lineTo x="0" y="21470"/>
                <wp:lineTo x="21549" y="21470"/>
                <wp:lineTo x="21549" y="0"/>
                <wp:lineTo x="0" y="0"/>
              </wp:wrapPolygon>
            </wp:wrapTight>
            <wp:docPr id="350" name="Gráfico 350">
              <a:extLst xmlns:a="http://schemas.openxmlformats.org/drawingml/2006/main">
                <a:ext uri="{FF2B5EF4-FFF2-40B4-BE49-F238E27FC236}">
                  <a16:creationId xmlns:a16="http://schemas.microsoft.com/office/drawing/2014/main" id="{FA469174-4E0B-4E5A-B291-14F00D2BFC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8"/>
              </a:graphicData>
            </a:graphic>
            <wp14:sizeRelH relativeFrom="margin">
              <wp14:pctWidth>0</wp14:pctWidth>
            </wp14:sizeRelH>
            <wp14:sizeRelV relativeFrom="margin">
              <wp14:pctHeight>0</wp14:pctHeight>
            </wp14:sizeRelV>
          </wp:anchor>
        </w:drawing>
      </w:r>
      <w:r w:rsidR="00671CE2" w:rsidRPr="00A07BE9">
        <w:rPr>
          <w:rFonts w:ascii="Open Sans" w:eastAsiaTheme="minorHAnsi" w:hAnsi="Open Sans" w:cs="Open Sans"/>
          <w:b/>
          <w:color w:val="9D2235"/>
          <w:sz w:val="20"/>
          <w:szCs w:val="20"/>
        </w:rPr>
        <w:t xml:space="preserve">Gráfico </w:t>
      </w:r>
      <w:r w:rsidR="00E671DC" w:rsidRPr="00A07BE9">
        <w:rPr>
          <w:rFonts w:ascii="Open Sans" w:eastAsiaTheme="minorHAnsi" w:hAnsi="Open Sans" w:cs="Open Sans"/>
          <w:b/>
          <w:color w:val="9D2235"/>
          <w:sz w:val="20"/>
          <w:szCs w:val="20"/>
        </w:rPr>
        <w:t>25</w:t>
      </w:r>
      <w:r w:rsidR="00671CE2" w:rsidRPr="00A07BE9">
        <w:rPr>
          <w:rFonts w:ascii="Open Sans" w:eastAsiaTheme="minorHAnsi" w:hAnsi="Open Sans" w:cs="Open Sans"/>
          <w:b/>
          <w:color w:val="9D2235"/>
          <w:sz w:val="20"/>
          <w:szCs w:val="20"/>
        </w:rPr>
        <w:t>:</w:t>
      </w:r>
      <w:r w:rsidR="00671CE2" w:rsidRPr="00A07BE9">
        <w:rPr>
          <w:rFonts w:ascii="Open Sans" w:eastAsiaTheme="minorHAnsi" w:hAnsi="Open Sans" w:cs="Open Sans"/>
          <w:b/>
          <w:sz w:val="20"/>
          <w:szCs w:val="20"/>
        </w:rPr>
        <w:t xml:space="preserve"> Denunciantes protegidos por la Agencia </w:t>
      </w:r>
      <w:bookmarkEnd w:id="20"/>
      <w:r w:rsidR="00671CE2" w:rsidRPr="00A07BE9">
        <w:rPr>
          <w:rFonts w:ascii="Open Sans" w:eastAsiaTheme="minorHAnsi" w:hAnsi="Open Sans" w:cs="Open Sans"/>
          <w:b/>
          <w:sz w:val="20"/>
          <w:szCs w:val="20"/>
        </w:rPr>
        <w:t>a 31 de diciembre de 2019 (total: 20)</w:t>
      </w:r>
    </w:p>
    <w:p w14:paraId="65585A0F" w14:textId="695D7E94" w:rsidR="00671CE2" w:rsidRPr="00A07BE9" w:rsidRDefault="00671CE2" w:rsidP="00671CE2">
      <w:pPr>
        <w:spacing w:after="0" w:line="276" w:lineRule="auto"/>
        <w:jc w:val="both"/>
        <w:rPr>
          <w:rFonts w:ascii="Open Sans" w:eastAsiaTheme="minorHAnsi" w:hAnsi="Open Sans" w:cs="Open Sans"/>
          <w:b/>
          <w:sz w:val="20"/>
          <w:szCs w:val="20"/>
        </w:rPr>
      </w:pPr>
      <w:r w:rsidRPr="00A07BE9">
        <w:rPr>
          <w:rFonts w:ascii="Open Sans" w:eastAsiaTheme="minorHAnsi" w:hAnsi="Open Sans" w:cs="Open Sans"/>
          <w:sz w:val="20"/>
          <w:szCs w:val="20"/>
        </w:rPr>
        <w:t xml:space="preserve">El número de denunciantes a los que se ha otorgado el estatuto de protección coincide con el número de denunciantes que como consecuencia de su denuncia han sufrido, sufren o temen sufrir represalias. Por ello, </w:t>
      </w:r>
      <w:r w:rsidRPr="00A07BE9">
        <w:rPr>
          <w:rFonts w:ascii="Open Sans" w:eastAsiaTheme="minorHAnsi" w:hAnsi="Open Sans" w:cs="Open Sans"/>
          <w:color w:val="000000"/>
          <w:sz w:val="20"/>
          <w:szCs w:val="20"/>
        </w:rPr>
        <w:t>en el gráfico se representa un total de 20 personas (1 en 2017, 14 en 2018 y 5 en 2019). Los expedientes que derivan de la protección otorgada por la Agencia se mantienen abiertos, siendo necesario realizar su seguimiento a fin de restablecer los derechos de estas personas y adoptar las medidas que procedan.</w:t>
      </w:r>
    </w:p>
    <w:p w14:paraId="255ECAE7" w14:textId="1C1838D1" w:rsidR="00671CE2" w:rsidRDefault="00671CE2" w:rsidP="00671CE2">
      <w:pPr>
        <w:spacing w:after="0" w:line="240" w:lineRule="auto"/>
        <w:jc w:val="both"/>
        <w:rPr>
          <w:rFonts w:ascii="Open Sans" w:eastAsiaTheme="minorHAnsi" w:hAnsi="Open Sans" w:cs="Open Sans"/>
          <w:b/>
          <w:sz w:val="20"/>
          <w:szCs w:val="20"/>
        </w:rPr>
      </w:pPr>
    </w:p>
    <w:p w14:paraId="68486BDD" w14:textId="3D5EDF84" w:rsidR="008A0A32" w:rsidRDefault="008A0A32" w:rsidP="00671CE2">
      <w:pPr>
        <w:spacing w:after="0" w:line="240" w:lineRule="auto"/>
        <w:jc w:val="both"/>
        <w:rPr>
          <w:rFonts w:ascii="Open Sans" w:eastAsiaTheme="minorHAnsi" w:hAnsi="Open Sans" w:cs="Open Sans"/>
          <w:b/>
          <w:sz w:val="20"/>
          <w:szCs w:val="20"/>
        </w:rPr>
      </w:pPr>
    </w:p>
    <w:p w14:paraId="7BB1A9CF" w14:textId="77777777" w:rsidR="008A0A32" w:rsidRPr="00A07BE9" w:rsidRDefault="008A0A32" w:rsidP="00671CE2">
      <w:pPr>
        <w:spacing w:after="0" w:line="240" w:lineRule="auto"/>
        <w:jc w:val="both"/>
        <w:rPr>
          <w:rFonts w:ascii="Open Sans" w:eastAsiaTheme="minorHAnsi" w:hAnsi="Open Sans" w:cs="Open Sans"/>
          <w:b/>
          <w:sz w:val="20"/>
          <w:szCs w:val="20"/>
        </w:rPr>
      </w:pPr>
    </w:p>
    <w:p w14:paraId="409ACAB2" w14:textId="35BE71C7" w:rsidR="00671CE2" w:rsidRDefault="00671CE2" w:rsidP="00671CE2">
      <w:pPr>
        <w:spacing w:after="0" w:line="240" w:lineRule="auto"/>
        <w:jc w:val="both"/>
        <w:rPr>
          <w:rFonts w:ascii="Open Sans" w:eastAsiaTheme="minorHAnsi" w:hAnsi="Open Sans" w:cs="Open Sans"/>
          <w:b/>
          <w:sz w:val="20"/>
          <w:szCs w:val="20"/>
        </w:rPr>
      </w:pPr>
      <w:r w:rsidRPr="00A07BE9">
        <w:rPr>
          <w:rFonts w:ascii="Open Sans" w:eastAsiaTheme="minorHAnsi" w:hAnsi="Open Sans" w:cs="Open Sans"/>
          <w:b/>
          <w:color w:val="9D2235"/>
          <w:sz w:val="20"/>
          <w:szCs w:val="20"/>
        </w:rPr>
        <w:t xml:space="preserve">Gráfico </w:t>
      </w:r>
      <w:r w:rsidR="00E671DC" w:rsidRPr="00A07BE9">
        <w:rPr>
          <w:rFonts w:ascii="Open Sans" w:eastAsiaTheme="minorHAnsi" w:hAnsi="Open Sans" w:cs="Open Sans"/>
          <w:b/>
          <w:color w:val="9D2235"/>
          <w:sz w:val="20"/>
          <w:szCs w:val="20"/>
        </w:rPr>
        <w:t>26</w:t>
      </w:r>
      <w:r w:rsidRPr="00A07BE9">
        <w:rPr>
          <w:rFonts w:ascii="Open Sans" w:eastAsiaTheme="minorHAnsi" w:hAnsi="Open Sans" w:cs="Open Sans"/>
          <w:b/>
          <w:sz w:val="20"/>
          <w:szCs w:val="20"/>
        </w:rPr>
        <w:t>: Solicitudes de protección clasificadas por género de los años 2017, 2018 y 2019</w:t>
      </w:r>
    </w:p>
    <w:p w14:paraId="661FC2B9" w14:textId="77777777" w:rsidR="00442A94" w:rsidRPr="00A07BE9" w:rsidRDefault="00442A94" w:rsidP="00671CE2">
      <w:pPr>
        <w:spacing w:after="0" w:line="240" w:lineRule="auto"/>
        <w:jc w:val="both"/>
        <w:rPr>
          <w:rFonts w:ascii="Open Sans" w:eastAsiaTheme="minorHAnsi" w:hAnsi="Open Sans" w:cs="Open Sans"/>
          <w:b/>
          <w:sz w:val="20"/>
          <w:szCs w:val="20"/>
        </w:rPr>
      </w:pPr>
    </w:p>
    <w:p w14:paraId="0D5EF325" w14:textId="77777777" w:rsidR="00671CE2" w:rsidRPr="00A07BE9" w:rsidRDefault="00671CE2" w:rsidP="00671CE2">
      <w:pPr>
        <w:tabs>
          <w:tab w:val="left" w:pos="4980"/>
        </w:tabs>
        <w:jc w:val="both"/>
        <w:rPr>
          <w:rFonts w:ascii="Open Sans" w:eastAsia="Times New Roman" w:hAnsi="Open Sans" w:cs="Open Sans"/>
          <w:sz w:val="20"/>
          <w:szCs w:val="20"/>
          <w:lang w:eastAsia="es-ES"/>
        </w:rPr>
      </w:pPr>
      <w:r w:rsidRPr="00A07BE9">
        <w:rPr>
          <w:rFonts w:eastAsiaTheme="minorHAnsi"/>
          <w:noProof/>
          <w:sz w:val="20"/>
          <w:szCs w:val="20"/>
        </w:rPr>
        <w:drawing>
          <wp:anchor distT="0" distB="0" distL="114300" distR="114300" simplePos="0" relativeHeight="251750400" behindDoc="1" locked="0" layoutInCell="1" allowOverlap="1" wp14:anchorId="15E6BA0C" wp14:editId="43E4A5EE">
            <wp:simplePos x="0" y="0"/>
            <wp:positionH relativeFrom="column">
              <wp:posOffset>748665</wp:posOffset>
            </wp:positionH>
            <wp:positionV relativeFrom="paragraph">
              <wp:posOffset>91440</wp:posOffset>
            </wp:positionV>
            <wp:extent cx="4010025" cy="2013585"/>
            <wp:effectExtent l="0" t="0" r="9525" b="5715"/>
            <wp:wrapTight wrapText="bothSides">
              <wp:wrapPolygon edited="0">
                <wp:start x="0" y="0"/>
                <wp:lineTo x="0" y="21457"/>
                <wp:lineTo x="21549" y="21457"/>
                <wp:lineTo x="21549" y="0"/>
                <wp:lineTo x="0" y="0"/>
              </wp:wrapPolygon>
            </wp:wrapTight>
            <wp:docPr id="351" name="Gráfico 351">
              <a:extLst xmlns:a="http://schemas.openxmlformats.org/drawingml/2006/main">
                <a:ext uri="{FF2B5EF4-FFF2-40B4-BE49-F238E27FC236}">
                  <a16:creationId xmlns:a16="http://schemas.microsoft.com/office/drawing/2014/main" id="{6C4135B0-4A1E-48A1-8177-7977CDF001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9"/>
              </a:graphicData>
            </a:graphic>
            <wp14:sizeRelH relativeFrom="margin">
              <wp14:pctWidth>0</wp14:pctWidth>
            </wp14:sizeRelH>
            <wp14:sizeRelV relativeFrom="margin">
              <wp14:pctHeight>0</wp14:pctHeight>
            </wp14:sizeRelV>
          </wp:anchor>
        </w:drawing>
      </w:r>
    </w:p>
    <w:p w14:paraId="0EA29C2D" w14:textId="77777777" w:rsidR="00671CE2" w:rsidRPr="00A07BE9" w:rsidRDefault="00671CE2" w:rsidP="00671CE2">
      <w:pPr>
        <w:rPr>
          <w:rFonts w:ascii="Open Sans" w:eastAsia="Times New Roman" w:hAnsi="Open Sans" w:cs="Open Sans"/>
          <w:sz w:val="20"/>
          <w:szCs w:val="20"/>
          <w:lang w:eastAsia="es-ES"/>
        </w:rPr>
      </w:pPr>
    </w:p>
    <w:p w14:paraId="0F4E13A3" w14:textId="77777777" w:rsidR="00671CE2" w:rsidRPr="00A07BE9" w:rsidRDefault="00671CE2" w:rsidP="00671CE2">
      <w:pPr>
        <w:rPr>
          <w:rFonts w:ascii="Open Sans" w:eastAsia="Times New Roman" w:hAnsi="Open Sans" w:cs="Open Sans"/>
          <w:sz w:val="20"/>
          <w:szCs w:val="20"/>
          <w:lang w:eastAsia="es-ES"/>
        </w:rPr>
      </w:pPr>
    </w:p>
    <w:p w14:paraId="41540AEA" w14:textId="77777777" w:rsidR="00671CE2" w:rsidRPr="00A07BE9" w:rsidRDefault="00671CE2" w:rsidP="00671CE2">
      <w:pPr>
        <w:rPr>
          <w:rFonts w:ascii="Open Sans" w:eastAsia="Times New Roman" w:hAnsi="Open Sans" w:cs="Open Sans"/>
          <w:sz w:val="20"/>
          <w:szCs w:val="20"/>
          <w:lang w:eastAsia="es-ES"/>
        </w:rPr>
      </w:pPr>
    </w:p>
    <w:p w14:paraId="50337D69" w14:textId="77777777" w:rsidR="00671CE2" w:rsidRPr="00A07BE9" w:rsidRDefault="00671CE2" w:rsidP="00671CE2">
      <w:pPr>
        <w:rPr>
          <w:rFonts w:ascii="Open Sans" w:eastAsia="Times New Roman" w:hAnsi="Open Sans" w:cs="Open Sans"/>
          <w:sz w:val="20"/>
          <w:szCs w:val="20"/>
          <w:lang w:eastAsia="es-ES"/>
        </w:rPr>
      </w:pPr>
    </w:p>
    <w:p w14:paraId="625F0D25" w14:textId="77777777" w:rsidR="00671CE2" w:rsidRPr="00A07BE9" w:rsidRDefault="00671CE2" w:rsidP="00671CE2">
      <w:pPr>
        <w:spacing w:after="0"/>
        <w:rPr>
          <w:rFonts w:ascii="Open Sans" w:eastAsia="Times New Roman" w:hAnsi="Open Sans" w:cs="Open Sans"/>
          <w:sz w:val="20"/>
          <w:szCs w:val="20"/>
          <w:lang w:eastAsia="es-ES"/>
        </w:rPr>
      </w:pPr>
    </w:p>
    <w:p w14:paraId="738822C6" w14:textId="77777777" w:rsidR="00671CE2" w:rsidRPr="00A07BE9" w:rsidRDefault="00671CE2" w:rsidP="00671CE2">
      <w:pPr>
        <w:tabs>
          <w:tab w:val="left" w:pos="4980"/>
        </w:tabs>
        <w:spacing w:after="0"/>
        <w:jc w:val="both"/>
        <w:rPr>
          <w:rFonts w:ascii="Open Sans" w:eastAsia="Times New Roman" w:hAnsi="Open Sans" w:cs="Open Sans"/>
          <w:b/>
          <w:bCs/>
          <w:caps/>
          <w:color w:val="9D2235"/>
          <w:sz w:val="20"/>
          <w:szCs w:val="20"/>
          <w:lang w:eastAsia="es-ES"/>
        </w:rPr>
      </w:pPr>
    </w:p>
    <w:p w14:paraId="48AAFA11" w14:textId="77777777" w:rsidR="00671CE2" w:rsidRPr="00A07BE9" w:rsidRDefault="00671CE2" w:rsidP="00671CE2">
      <w:pPr>
        <w:tabs>
          <w:tab w:val="left" w:pos="4980"/>
        </w:tabs>
        <w:spacing w:after="0"/>
        <w:jc w:val="both"/>
        <w:rPr>
          <w:rFonts w:ascii="Open Sans" w:eastAsia="Times New Roman" w:hAnsi="Open Sans" w:cs="Open Sans"/>
          <w:b/>
          <w:bCs/>
          <w:caps/>
          <w:color w:val="9D2235"/>
          <w:sz w:val="20"/>
          <w:szCs w:val="20"/>
          <w:lang w:eastAsia="es-ES"/>
        </w:rPr>
      </w:pPr>
    </w:p>
    <w:p w14:paraId="0ABE9EEB" w14:textId="77777777" w:rsidR="00671CE2" w:rsidRPr="00A07BE9" w:rsidRDefault="00671CE2" w:rsidP="00671CE2">
      <w:pPr>
        <w:tabs>
          <w:tab w:val="left" w:pos="4980"/>
        </w:tabs>
        <w:spacing w:after="0"/>
        <w:jc w:val="both"/>
        <w:rPr>
          <w:rFonts w:ascii="Open Sans" w:eastAsia="Times New Roman" w:hAnsi="Open Sans" w:cs="Open Sans"/>
          <w:b/>
          <w:bCs/>
          <w:caps/>
          <w:color w:val="9D2235"/>
          <w:sz w:val="20"/>
          <w:szCs w:val="20"/>
          <w:lang w:eastAsia="es-ES"/>
        </w:rPr>
      </w:pPr>
    </w:p>
    <w:p w14:paraId="241D2C74" w14:textId="034639D3" w:rsidR="00671CE2" w:rsidRPr="00A07BE9" w:rsidRDefault="00671CE2" w:rsidP="00671CE2">
      <w:pPr>
        <w:tabs>
          <w:tab w:val="left" w:pos="4980"/>
        </w:tabs>
        <w:spacing w:after="0"/>
        <w:jc w:val="both"/>
        <w:rPr>
          <w:rFonts w:ascii="Open Sans" w:eastAsia="Times New Roman" w:hAnsi="Open Sans" w:cs="Open Sans"/>
          <w:b/>
          <w:bCs/>
          <w:caps/>
          <w:color w:val="9D2235"/>
          <w:sz w:val="24"/>
          <w:szCs w:val="24"/>
          <w:lang w:eastAsia="es-ES"/>
        </w:rPr>
      </w:pPr>
    </w:p>
    <w:p w14:paraId="3824F2C0" w14:textId="3DE59601" w:rsidR="00B81BCD" w:rsidRDefault="00B81BCD" w:rsidP="00671CE2">
      <w:pPr>
        <w:tabs>
          <w:tab w:val="left" w:pos="4980"/>
        </w:tabs>
        <w:spacing w:after="0"/>
        <w:jc w:val="both"/>
        <w:rPr>
          <w:rFonts w:ascii="Open Sans" w:eastAsia="Times New Roman" w:hAnsi="Open Sans" w:cs="Open Sans"/>
          <w:b/>
          <w:bCs/>
          <w:caps/>
          <w:color w:val="9D2235"/>
          <w:sz w:val="24"/>
          <w:szCs w:val="24"/>
          <w:lang w:eastAsia="es-ES"/>
        </w:rPr>
      </w:pPr>
    </w:p>
    <w:p w14:paraId="70F17683" w14:textId="77777777" w:rsidR="008A0A32" w:rsidRPr="00A07BE9" w:rsidRDefault="008A0A32" w:rsidP="00671CE2">
      <w:pPr>
        <w:tabs>
          <w:tab w:val="left" w:pos="4980"/>
        </w:tabs>
        <w:spacing w:after="0"/>
        <w:jc w:val="both"/>
        <w:rPr>
          <w:rFonts w:ascii="Open Sans" w:eastAsia="Times New Roman" w:hAnsi="Open Sans" w:cs="Open Sans"/>
          <w:b/>
          <w:bCs/>
          <w:caps/>
          <w:color w:val="9D2235"/>
          <w:sz w:val="24"/>
          <w:szCs w:val="24"/>
          <w:lang w:eastAsia="es-ES"/>
        </w:rPr>
      </w:pPr>
    </w:p>
    <w:p w14:paraId="4B5BAE0F" w14:textId="77777777" w:rsidR="008A0A32" w:rsidRDefault="00671CE2" w:rsidP="008A0A32">
      <w:pPr>
        <w:spacing w:after="0" w:line="276" w:lineRule="auto"/>
        <w:jc w:val="both"/>
        <w:rPr>
          <w:rFonts w:ascii="Open Sans" w:eastAsia="Times New Roman" w:hAnsi="Open Sans" w:cs="Open Sans"/>
          <w:b/>
          <w:bCs/>
          <w:smallCaps/>
          <w:color w:val="9D2235"/>
          <w:sz w:val="24"/>
          <w:szCs w:val="24"/>
          <w:lang w:eastAsia="es-ES"/>
        </w:rPr>
      </w:pPr>
      <w:r w:rsidRPr="00A07BE9">
        <w:rPr>
          <w:rFonts w:ascii="Open Sans" w:eastAsia="Times New Roman" w:hAnsi="Open Sans" w:cs="Open Sans"/>
          <w:b/>
          <w:bCs/>
          <w:smallCaps/>
          <w:color w:val="9D2235"/>
          <w:sz w:val="24"/>
          <w:szCs w:val="24"/>
          <w:lang w:eastAsia="es-ES"/>
        </w:rPr>
        <w:lastRenderedPageBreak/>
        <w:t>4.3.6.3. Datos sobre los expedientes en los cuales se ha resuelto conceder el estatuto de persona denunciante acumulados desde 2017 a 2019</w:t>
      </w:r>
    </w:p>
    <w:p w14:paraId="598D9D9F" w14:textId="77777777" w:rsidR="008A0A32" w:rsidRDefault="008A0A32" w:rsidP="008A0A32">
      <w:pPr>
        <w:spacing w:after="0" w:line="276" w:lineRule="auto"/>
        <w:jc w:val="both"/>
        <w:rPr>
          <w:rFonts w:ascii="Open Sans" w:eastAsia="Times New Roman" w:hAnsi="Open Sans" w:cs="Open Sans"/>
          <w:b/>
          <w:color w:val="9D2235"/>
          <w:sz w:val="20"/>
          <w:szCs w:val="20"/>
          <w:lang w:eastAsia="es-ES"/>
        </w:rPr>
      </w:pPr>
    </w:p>
    <w:p w14:paraId="47B8B655" w14:textId="17314E18" w:rsidR="00671CE2" w:rsidRPr="00A07BE9" w:rsidRDefault="00671CE2" w:rsidP="008A0A32">
      <w:pPr>
        <w:spacing w:after="0" w:line="276" w:lineRule="auto"/>
        <w:jc w:val="both"/>
        <w:rPr>
          <w:rFonts w:ascii="Open Sans" w:eastAsia="Times New Roman" w:hAnsi="Open Sans" w:cs="Open Sans"/>
          <w:b/>
          <w:sz w:val="20"/>
          <w:szCs w:val="20"/>
          <w:lang w:eastAsia="es-ES"/>
        </w:rPr>
      </w:pPr>
      <w:r w:rsidRPr="00A07BE9">
        <w:rPr>
          <w:rFonts w:ascii="Open Sans" w:eastAsia="Times New Roman" w:hAnsi="Open Sans" w:cs="Open Sans"/>
          <w:b/>
          <w:color w:val="9D2235"/>
          <w:sz w:val="20"/>
          <w:szCs w:val="20"/>
          <w:lang w:eastAsia="es-ES"/>
        </w:rPr>
        <w:t xml:space="preserve">Gráfico </w:t>
      </w:r>
      <w:r w:rsidR="00E671DC" w:rsidRPr="00A07BE9">
        <w:rPr>
          <w:rFonts w:ascii="Open Sans" w:eastAsia="Times New Roman" w:hAnsi="Open Sans" w:cs="Open Sans"/>
          <w:b/>
          <w:color w:val="9D2235"/>
          <w:sz w:val="20"/>
          <w:szCs w:val="20"/>
          <w:lang w:eastAsia="es-ES"/>
        </w:rPr>
        <w:t>27</w:t>
      </w:r>
      <w:r w:rsidRPr="00A07BE9">
        <w:rPr>
          <w:rFonts w:ascii="Open Sans" w:eastAsia="Times New Roman" w:hAnsi="Open Sans" w:cs="Open Sans"/>
          <w:b/>
          <w:color w:val="9D2235"/>
          <w:sz w:val="20"/>
          <w:szCs w:val="20"/>
          <w:lang w:eastAsia="es-ES"/>
        </w:rPr>
        <w:t>:</w:t>
      </w:r>
      <w:r w:rsidRPr="00A07BE9">
        <w:rPr>
          <w:rFonts w:ascii="Open Sans" w:eastAsia="Times New Roman" w:hAnsi="Open Sans" w:cs="Open Sans"/>
          <w:b/>
          <w:sz w:val="20"/>
          <w:szCs w:val="20"/>
          <w:lang w:eastAsia="es-ES"/>
        </w:rPr>
        <w:t xml:space="preserve"> Canal o medio de presentación de solicitudes respecto de las que se ha concedido el estatuto de persona denunciante años 2017 a 2019 (total: 20)</w:t>
      </w:r>
    </w:p>
    <w:p w14:paraId="1437B3D2" w14:textId="3F9A5F7C" w:rsidR="00671CE2" w:rsidRPr="00A07BE9" w:rsidRDefault="00BF432C" w:rsidP="00671CE2">
      <w:pPr>
        <w:rPr>
          <w:rFonts w:ascii="Open Sans" w:eastAsia="Times New Roman" w:hAnsi="Open Sans" w:cs="Open Sans"/>
          <w:sz w:val="20"/>
          <w:szCs w:val="20"/>
          <w:lang w:eastAsia="es-ES"/>
        </w:rPr>
      </w:pPr>
      <w:r w:rsidRPr="00A07BE9">
        <w:rPr>
          <w:rFonts w:eastAsiaTheme="minorHAnsi"/>
          <w:noProof/>
          <w:sz w:val="20"/>
          <w:szCs w:val="20"/>
        </w:rPr>
        <w:drawing>
          <wp:anchor distT="0" distB="0" distL="114300" distR="114300" simplePos="0" relativeHeight="251909120" behindDoc="1" locked="0" layoutInCell="1" allowOverlap="1" wp14:anchorId="204DE90C" wp14:editId="7E033820">
            <wp:simplePos x="0" y="0"/>
            <wp:positionH relativeFrom="margin">
              <wp:posOffset>653133</wp:posOffset>
            </wp:positionH>
            <wp:positionV relativeFrom="paragraph">
              <wp:posOffset>125585</wp:posOffset>
            </wp:positionV>
            <wp:extent cx="4138930" cy="1994535"/>
            <wp:effectExtent l="0" t="0" r="0" b="5715"/>
            <wp:wrapTight wrapText="bothSides">
              <wp:wrapPolygon edited="0">
                <wp:start x="0" y="0"/>
                <wp:lineTo x="0" y="21456"/>
                <wp:lineTo x="21474" y="21456"/>
                <wp:lineTo x="21474" y="0"/>
                <wp:lineTo x="0" y="0"/>
              </wp:wrapPolygon>
            </wp:wrapTight>
            <wp:docPr id="352" name="Gráfico 352">
              <a:extLst xmlns:a="http://schemas.openxmlformats.org/drawingml/2006/main">
                <a:ext uri="{FF2B5EF4-FFF2-40B4-BE49-F238E27FC236}">
                  <a16:creationId xmlns:a16="http://schemas.microsoft.com/office/drawing/2014/main" id="{A070FD59-9D84-40CA-AD97-EAD7B03FF8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0"/>
              </a:graphicData>
            </a:graphic>
            <wp14:sizeRelH relativeFrom="margin">
              <wp14:pctWidth>0</wp14:pctWidth>
            </wp14:sizeRelH>
            <wp14:sizeRelV relativeFrom="margin">
              <wp14:pctHeight>0</wp14:pctHeight>
            </wp14:sizeRelV>
          </wp:anchor>
        </w:drawing>
      </w:r>
    </w:p>
    <w:p w14:paraId="37FA4A11" w14:textId="773089B2" w:rsidR="00671CE2" w:rsidRPr="00A07BE9" w:rsidRDefault="00671CE2" w:rsidP="00671CE2">
      <w:pPr>
        <w:rPr>
          <w:rFonts w:ascii="Open Sans" w:eastAsia="Times New Roman" w:hAnsi="Open Sans" w:cs="Open Sans"/>
          <w:sz w:val="20"/>
          <w:szCs w:val="20"/>
          <w:lang w:eastAsia="es-ES"/>
        </w:rPr>
      </w:pPr>
    </w:p>
    <w:p w14:paraId="17F852A8" w14:textId="77777777" w:rsidR="00671CE2" w:rsidRPr="00A07BE9" w:rsidRDefault="00671CE2" w:rsidP="00671CE2">
      <w:pPr>
        <w:rPr>
          <w:rFonts w:ascii="Open Sans" w:eastAsia="Times New Roman" w:hAnsi="Open Sans" w:cs="Open Sans"/>
          <w:sz w:val="20"/>
          <w:szCs w:val="20"/>
          <w:lang w:eastAsia="es-ES"/>
        </w:rPr>
      </w:pPr>
    </w:p>
    <w:p w14:paraId="2C87C0C3" w14:textId="77777777" w:rsidR="00671CE2" w:rsidRPr="00A07BE9" w:rsidRDefault="00671CE2" w:rsidP="00671CE2">
      <w:pPr>
        <w:rPr>
          <w:rFonts w:ascii="Open Sans" w:eastAsia="Times New Roman" w:hAnsi="Open Sans" w:cs="Open Sans"/>
          <w:sz w:val="20"/>
          <w:szCs w:val="20"/>
          <w:lang w:eastAsia="es-ES"/>
        </w:rPr>
      </w:pPr>
    </w:p>
    <w:p w14:paraId="6EFAC87C" w14:textId="77777777" w:rsidR="00671CE2" w:rsidRPr="00A07BE9" w:rsidRDefault="00671CE2" w:rsidP="00671CE2">
      <w:pPr>
        <w:rPr>
          <w:rFonts w:ascii="Open Sans" w:eastAsia="Times New Roman" w:hAnsi="Open Sans" w:cs="Open Sans"/>
          <w:sz w:val="20"/>
          <w:szCs w:val="20"/>
          <w:lang w:eastAsia="es-ES"/>
        </w:rPr>
      </w:pPr>
    </w:p>
    <w:p w14:paraId="25EA4079" w14:textId="77777777" w:rsidR="00671CE2" w:rsidRPr="00A07BE9" w:rsidRDefault="00671CE2" w:rsidP="00671CE2">
      <w:pPr>
        <w:rPr>
          <w:rFonts w:ascii="Open Sans" w:eastAsia="Times New Roman" w:hAnsi="Open Sans" w:cs="Open Sans"/>
          <w:sz w:val="20"/>
          <w:szCs w:val="20"/>
          <w:lang w:eastAsia="es-ES"/>
        </w:rPr>
      </w:pPr>
    </w:p>
    <w:p w14:paraId="26B82C83" w14:textId="77777777" w:rsidR="00671CE2" w:rsidRPr="00A07BE9" w:rsidRDefault="00671CE2" w:rsidP="00671CE2">
      <w:pPr>
        <w:rPr>
          <w:rFonts w:ascii="Open Sans" w:eastAsia="Times New Roman" w:hAnsi="Open Sans" w:cs="Open Sans"/>
          <w:sz w:val="20"/>
          <w:szCs w:val="20"/>
          <w:lang w:eastAsia="es-ES"/>
        </w:rPr>
      </w:pPr>
    </w:p>
    <w:p w14:paraId="1768DFBC" w14:textId="77777777" w:rsidR="00B81BCD" w:rsidRPr="00A07BE9" w:rsidRDefault="00B81BCD" w:rsidP="00671CE2">
      <w:pPr>
        <w:jc w:val="both"/>
        <w:rPr>
          <w:rFonts w:ascii="Open Sans" w:eastAsia="Times New Roman" w:hAnsi="Open Sans" w:cs="Open Sans"/>
          <w:b/>
          <w:color w:val="9D2235"/>
          <w:sz w:val="20"/>
          <w:szCs w:val="20"/>
          <w:lang w:eastAsia="es-ES"/>
        </w:rPr>
      </w:pPr>
    </w:p>
    <w:p w14:paraId="3ED1DD39" w14:textId="68DDB77C" w:rsidR="00671CE2" w:rsidRPr="00A07BE9" w:rsidRDefault="00671CE2" w:rsidP="00671CE2">
      <w:pPr>
        <w:jc w:val="both"/>
        <w:rPr>
          <w:rFonts w:ascii="Open Sans" w:eastAsia="Times New Roman" w:hAnsi="Open Sans" w:cs="Open Sans"/>
          <w:b/>
          <w:sz w:val="20"/>
          <w:szCs w:val="20"/>
          <w:lang w:eastAsia="es-ES"/>
        </w:rPr>
      </w:pPr>
      <w:r w:rsidRPr="00A07BE9">
        <w:rPr>
          <w:rFonts w:ascii="Open Sans" w:eastAsia="Times New Roman" w:hAnsi="Open Sans" w:cs="Open Sans"/>
          <w:b/>
          <w:color w:val="9D2235"/>
          <w:sz w:val="20"/>
          <w:szCs w:val="20"/>
          <w:lang w:eastAsia="es-ES"/>
        </w:rPr>
        <w:t xml:space="preserve">Gráfico </w:t>
      </w:r>
      <w:r w:rsidR="00E671DC" w:rsidRPr="00A07BE9">
        <w:rPr>
          <w:rFonts w:ascii="Open Sans" w:eastAsia="Times New Roman" w:hAnsi="Open Sans" w:cs="Open Sans"/>
          <w:b/>
          <w:color w:val="9D2235"/>
          <w:sz w:val="20"/>
          <w:szCs w:val="20"/>
          <w:lang w:eastAsia="es-ES"/>
        </w:rPr>
        <w:t>28</w:t>
      </w:r>
      <w:r w:rsidRPr="00A07BE9">
        <w:rPr>
          <w:rFonts w:ascii="Open Sans" w:eastAsia="Times New Roman" w:hAnsi="Open Sans" w:cs="Open Sans"/>
          <w:b/>
          <w:color w:val="9D2235"/>
          <w:sz w:val="20"/>
          <w:szCs w:val="20"/>
          <w:lang w:eastAsia="es-ES"/>
        </w:rPr>
        <w:t xml:space="preserve">: </w:t>
      </w:r>
      <w:r w:rsidRPr="00A07BE9">
        <w:rPr>
          <w:rFonts w:ascii="Open Sans" w:eastAsia="Times New Roman" w:hAnsi="Open Sans" w:cs="Open Sans"/>
          <w:b/>
          <w:sz w:val="20"/>
          <w:szCs w:val="20"/>
          <w:lang w:eastAsia="es-ES"/>
        </w:rPr>
        <w:t>Provincias en la que se ubica la administración o entidad denunciada o investigada (años 2017 a 2019)</w:t>
      </w:r>
    </w:p>
    <w:p w14:paraId="1420AC0D" w14:textId="77777777" w:rsidR="00671CE2" w:rsidRPr="00A07BE9" w:rsidRDefault="00671CE2" w:rsidP="00671CE2">
      <w:pPr>
        <w:rPr>
          <w:rFonts w:ascii="Open Sans" w:eastAsia="Times New Roman" w:hAnsi="Open Sans" w:cs="Open Sans"/>
          <w:b/>
          <w:sz w:val="20"/>
          <w:szCs w:val="20"/>
          <w:lang w:eastAsia="es-ES"/>
        </w:rPr>
      </w:pPr>
      <w:r w:rsidRPr="00A07BE9">
        <w:rPr>
          <w:rFonts w:eastAsiaTheme="minorHAnsi"/>
          <w:noProof/>
          <w:sz w:val="20"/>
          <w:szCs w:val="20"/>
        </w:rPr>
        <w:drawing>
          <wp:anchor distT="0" distB="0" distL="114300" distR="114300" simplePos="0" relativeHeight="251751424" behindDoc="1" locked="0" layoutInCell="1" allowOverlap="1" wp14:anchorId="61DF797B" wp14:editId="77667112">
            <wp:simplePos x="0" y="0"/>
            <wp:positionH relativeFrom="margin">
              <wp:posOffset>661131</wp:posOffset>
            </wp:positionH>
            <wp:positionV relativeFrom="paragraph">
              <wp:posOffset>15312</wp:posOffset>
            </wp:positionV>
            <wp:extent cx="4171950" cy="1695450"/>
            <wp:effectExtent l="0" t="0" r="0" b="0"/>
            <wp:wrapTight wrapText="bothSides">
              <wp:wrapPolygon edited="0">
                <wp:start x="0" y="0"/>
                <wp:lineTo x="0" y="21357"/>
                <wp:lineTo x="21501" y="21357"/>
                <wp:lineTo x="21501" y="0"/>
                <wp:lineTo x="0" y="0"/>
              </wp:wrapPolygon>
            </wp:wrapTight>
            <wp:docPr id="353" name="Gráfico 353">
              <a:extLst xmlns:a="http://schemas.openxmlformats.org/drawingml/2006/main">
                <a:ext uri="{FF2B5EF4-FFF2-40B4-BE49-F238E27FC236}">
                  <a16:creationId xmlns:a16="http://schemas.microsoft.com/office/drawing/2014/main" id="{CEFD16CC-DAC4-4DB2-8416-C0279DD908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1"/>
              </a:graphicData>
            </a:graphic>
            <wp14:sizeRelH relativeFrom="margin">
              <wp14:pctWidth>0</wp14:pctWidth>
            </wp14:sizeRelH>
            <wp14:sizeRelV relativeFrom="margin">
              <wp14:pctHeight>0</wp14:pctHeight>
            </wp14:sizeRelV>
          </wp:anchor>
        </w:drawing>
      </w:r>
    </w:p>
    <w:p w14:paraId="4475281E" w14:textId="77777777" w:rsidR="00671CE2" w:rsidRPr="00A07BE9" w:rsidRDefault="00671CE2" w:rsidP="00671CE2">
      <w:pPr>
        <w:rPr>
          <w:rFonts w:ascii="Open Sans" w:eastAsia="Times New Roman" w:hAnsi="Open Sans" w:cs="Open Sans"/>
          <w:b/>
          <w:sz w:val="20"/>
          <w:szCs w:val="20"/>
          <w:lang w:eastAsia="es-ES"/>
        </w:rPr>
      </w:pPr>
    </w:p>
    <w:p w14:paraId="5D90E5FB" w14:textId="77777777" w:rsidR="00671CE2" w:rsidRPr="00A07BE9" w:rsidRDefault="00671CE2" w:rsidP="00671CE2">
      <w:pPr>
        <w:rPr>
          <w:rFonts w:ascii="Open Sans" w:eastAsia="Times New Roman" w:hAnsi="Open Sans" w:cs="Open Sans"/>
          <w:b/>
          <w:sz w:val="20"/>
          <w:szCs w:val="20"/>
          <w:lang w:eastAsia="es-ES"/>
        </w:rPr>
      </w:pPr>
    </w:p>
    <w:p w14:paraId="1AD3BB48" w14:textId="77777777" w:rsidR="00671CE2" w:rsidRPr="00A07BE9" w:rsidRDefault="00671CE2" w:rsidP="00671CE2">
      <w:pPr>
        <w:rPr>
          <w:rFonts w:ascii="Open Sans" w:eastAsia="Times New Roman" w:hAnsi="Open Sans" w:cs="Open Sans"/>
          <w:sz w:val="20"/>
          <w:szCs w:val="20"/>
          <w:lang w:eastAsia="es-ES"/>
        </w:rPr>
      </w:pPr>
    </w:p>
    <w:p w14:paraId="47C47E9D" w14:textId="77777777" w:rsidR="00671CE2" w:rsidRPr="00A07BE9" w:rsidRDefault="00671CE2" w:rsidP="00671CE2">
      <w:pPr>
        <w:rPr>
          <w:rFonts w:ascii="Open Sans" w:eastAsia="Times New Roman" w:hAnsi="Open Sans" w:cs="Open Sans"/>
          <w:sz w:val="20"/>
          <w:szCs w:val="20"/>
          <w:lang w:eastAsia="es-ES"/>
        </w:rPr>
      </w:pPr>
    </w:p>
    <w:p w14:paraId="01F68F54" w14:textId="6022AB3E" w:rsidR="00433C7A" w:rsidRPr="00A07BE9" w:rsidRDefault="00433C7A" w:rsidP="00433C7A">
      <w:pPr>
        <w:spacing w:line="240" w:lineRule="auto"/>
        <w:jc w:val="both"/>
        <w:rPr>
          <w:rFonts w:ascii="Open Sans" w:eastAsiaTheme="minorHAnsi" w:hAnsi="Open Sans" w:cs="Open Sans"/>
          <w:b/>
          <w:color w:val="9D2235"/>
          <w:sz w:val="20"/>
          <w:szCs w:val="20"/>
        </w:rPr>
      </w:pPr>
    </w:p>
    <w:p w14:paraId="2D105F50" w14:textId="77777777" w:rsidR="00433C7A" w:rsidRPr="00A07BE9" w:rsidRDefault="00433C7A" w:rsidP="00433C7A">
      <w:pPr>
        <w:spacing w:line="240" w:lineRule="auto"/>
        <w:jc w:val="both"/>
        <w:rPr>
          <w:rFonts w:ascii="Open Sans" w:eastAsiaTheme="minorHAnsi" w:hAnsi="Open Sans" w:cs="Open Sans"/>
          <w:b/>
          <w:color w:val="9D2235"/>
          <w:sz w:val="20"/>
          <w:szCs w:val="20"/>
        </w:rPr>
      </w:pPr>
    </w:p>
    <w:p w14:paraId="41238561" w14:textId="17A136ED" w:rsidR="00BF5C4E" w:rsidRPr="008A0A32" w:rsidRDefault="00861276" w:rsidP="00671CE2">
      <w:pPr>
        <w:jc w:val="both"/>
        <w:rPr>
          <w:rFonts w:ascii="Open Sans" w:eastAsiaTheme="minorHAnsi" w:hAnsi="Open Sans" w:cs="Open Sans"/>
          <w:b/>
          <w:sz w:val="20"/>
          <w:szCs w:val="20"/>
        </w:rPr>
      </w:pPr>
      <w:r w:rsidRPr="00A07BE9">
        <w:rPr>
          <w:rFonts w:eastAsiaTheme="minorHAnsi"/>
          <w:noProof/>
          <w:sz w:val="20"/>
          <w:szCs w:val="20"/>
        </w:rPr>
        <w:drawing>
          <wp:anchor distT="0" distB="0" distL="114300" distR="114300" simplePos="0" relativeHeight="251773952" behindDoc="1" locked="0" layoutInCell="1" allowOverlap="1" wp14:anchorId="3612EE30" wp14:editId="3442D99F">
            <wp:simplePos x="0" y="0"/>
            <wp:positionH relativeFrom="margin">
              <wp:align>left</wp:align>
            </wp:positionH>
            <wp:positionV relativeFrom="paragraph">
              <wp:posOffset>567690</wp:posOffset>
            </wp:positionV>
            <wp:extent cx="5607050" cy="2127250"/>
            <wp:effectExtent l="0" t="19050" r="0" b="6350"/>
            <wp:wrapTight wrapText="bothSides">
              <wp:wrapPolygon edited="0">
                <wp:start x="0" y="-193"/>
                <wp:lineTo x="0" y="21471"/>
                <wp:lineTo x="21502" y="21471"/>
                <wp:lineTo x="21502" y="-193"/>
                <wp:lineTo x="0" y="-193"/>
              </wp:wrapPolygon>
            </wp:wrapTight>
            <wp:docPr id="354" name="Gráfico 354">
              <a:extLst xmlns:a="http://schemas.openxmlformats.org/drawingml/2006/main">
                <a:ext uri="{FF2B5EF4-FFF2-40B4-BE49-F238E27FC236}">
                  <a16:creationId xmlns:a16="http://schemas.microsoft.com/office/drawing/2014/main" id="{0E836CA4-5277-4159-AD02-336DE15A71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2"/>
              </a:graphicData>
            </a:graphic>
            <wp14:sizeRelH relativeFrom="margin">
              <wp14:pctWidth>0</wp14:pctWidth>
            </wp14:sizeRelH>
            <wp14:sizeRelV relativeFrom="margin">
              <wp14:pctHeight>0</wp14:pctHeight>
            </wp14:sizeRelV>
          </wp:anchor>
        </w:drawing>
      </w:r>
      <w:r w:rsidR="00671CE2" w:rsidRPr="00A07BE9">
        <w:rPr>
          <w:rFonts w:ascii="Open Sans" w:eastAsiaTheme="minorHAnsi" w:hAnsi="Open Sans" w:cs="Open Sans"/>
          <w:b/>
          <w:color w:val="9D2235"/>
          <w:sz w:val="20"/>
          <w:szCs w:val="20"/>
        </w:rPr>
        <w:t xml:space="preserve">Gráfico </w:t>
      </w:r>
      <w:r w:rsidR="00E671DC" w:rsidRPr="00A07BE9">
        <w:rPr>
          <w:rFonts w:ascii="Open Sans" w:eastAsiaTheme="minorHAnsi" w:hAnsi="Open Sans" w:cs="Open Sans"/>
          <w:b/>
          <w:color w:val="9D2235"/>
          <w:sz w:val="20"/>
          <w:szCs w:val="20"/>
        </w:rPr>
        <w:t>29</w:t>
      </w:r>
      <w:r w:rsidR="00671CE2" w:rsidRPr="00A07BE9">
        <w:rPr>
          <w:rFonts w:ascii="Open Sans" w:eastAsiaTheme="minorHAnsi" w:hAnsi="Open Sans" w:cs="Open Sans"/>
          <w:b/>
          <w:color w:val="9D2235"/>
          <w:sz w:val="20"/>
          <w:szCs w:val="20"/>
        </w:rPr>
        <w:t xml:space="preserve">: </w:t>
      </w:r>
      <w:r w:rsidR="00671CE2" w:rsidRPr="00A07BE9">
        <w:rPr>
          <w:rFonts w:ascii="Open Sans" w:eastAsiaTheme="minorHAnsi" w:hAnsi="Open Sans" w:cs="Open Sans"/>
          <w:b/>
          <w:sz w:val="20"/>
          <w:szCs w:val="20"/>
        </w:rPr>
        <w:t>Según el contenido de la denuncia realizada por los denunciantes protegidos (años 2017 a 2019)</w:t>
      </w:r>
    </w:p>
    <w:p w14:paraId="14A53165" w14:textId="5603AD53" w:rsidR="00433C7A" w:rsidRPr="00A07BE9" w:rsidRDefault="00BF5C4E" w:rsidP="00671CE2">
      <w:pPr>
        <w:jc w:val="both"/>
        <w:rPr>
          <w:rFonts w:ascii="Open Sans" w:eastAsia="Times New Roman" w:hAnsi="Open Sans" w:cs="Open Sans"/>
          <w:b/>
          <w:sz w:val="20"/>
          <w:szCs w:val="20"/>
          <w:lang w:eastAsia="es-ES"/>
        </w:rPr>
      </w:pPr>
      <w:r w:rsidRPr="00A07BE9">
        <w:rPr>
          <w:rFonts w:eastAsiaTheme="minorHAnsi"/>
          <w:noProof/>
          <w:color w:val="9D2235"/>
          <w:sz w:val="20"/>
          <w:szCs w:val="20"/>
        </w:rPr>
        <w:lastRenderedPageBreak/>
        <w:drawing>
          <wp:anchor distT="0" distB="0" distL="114300" distR="114300" simplePos="0" relativeHeight="251911168" behindDoc="1" locked="0" layoutInCell="1" allowOverlap="1" wp14:anchorId="3526761F" wp14:editId="661D319A">
            <wp:simplePos x="0" y="0"/>
            <wp:positionH relativeFrom="margin">
              <wp:align>right</wp:align>
            </wp:positionH>
            <wp:positionV relativeFrom="paragraph">
              <wp:posOffset>572135</wp:posOffset>
            </wp:positionV>
            <wp:extent cx="5403850" cy="2489200"/>
            <wp:effectExtent l="0" t="0" r="6350" b="6350"/>
            <wp:wrapTight wrapText="bothSides">
              <wp:wrapPolygon edited="0">
                <wp:start x="0" y="0"/>
                <wp:lineTo x="0" y="21490"/>
                <wp:lineTo x="21549" y="21490"/>
                <wp:lineTo x="21549" y="0"/>
                <wp:lineTo x="0" y="0"/>
              </wp:wrapPolygon>
            </wp:wrapTight>
            <wp:docPr id="355" name="Gráfico 355">
              <a:extLst xmlns:a="http://schemas.openxmlformats.org/drawingml/2006/main">
                <a:ext uri="{FF2B5EF4-FFF2-40B4-BE49-F238E27FC236}">
                  <a16:creationId xmlns:a16="http://schemas.microsoft.com/office/drawing/2014/main" id="{55299A2D-A789-4B13-8E03-B8FF7EBE79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3"/>
              </a:graphicData>
            </a:graphic>
            <wp14:sizeRelH relativeFrom="margin">
              <wp14:pctWidth>0</wp14:pctWidth>
            </wp14:sizeRelH>
            <wp14:sizeRelV relativeFrom="margin">
              <wp14:pctHeight>0</wp14:pctHeight>
            </wp14:sizeRelV>
          </wp:anchor>
        </w:drawing>
      </w:r>
      <w:r w:rsidR="00671CE2" w:rsidRPr="00A07BE9">
        <w:rPr>
          <w:rFonts w:ascii="Open Sans" w:eastAsia="Times New Roman" w:hAnsi="Open Sans" w:cs="Open Sans"/>
          <w:b/>
          <w:color w:val="9D2235"/>
          <w:sz w:val="20"/>
          <w:szCs w:val="20"/>
          <w:lang w:eastAsia="es-ES"/>
        </w:rPr>
        <w:t xml:space="preserve">Gráfico </w:t>
      </w:r>
      <w:r w:rsidR="00E671DC" w:rsidRPr="00A07BE9">
        <w:rPr>
          <w:rFonts w:ascii="Open Sans" w:eastAsia="Times New Roman" w:hAnsi="Open Sans" w:cs="Open Sans"/>
          <w:b/>
          <w:color w:val="9D2235"/>
          <w:sz w:val="20"/>
          <w:szCs w:val="20"/>
          <w:lang w:eastAsia="es-ES"/>
        </w:rPr>
        <w:t>30</w:t>
      </w:r>
      <w:r w:rsidR="00671CE2" w:rsidRPr="00A07BE9">
        <w:rPr>
          <w:rFonts w:ascii="Open Sans" w:eastAsia="Times New Roman" w:hAnsi="Open Sans" w:cs="Open Sans"/>
          <w:b/>
          <w:color w:val="9D2235"/>
          <w:sz w:val="20"/>
          <w:szCs w:val="20"/>
          <w:lang w:eastAsia="es-ES"/>
        </w:rPr>
        <w:t xml:space="preserve">: </w:t>
      </w:r>
      <w:r w:rsidR="00671CE2" w:rsidRPr="00A07BE9">
        <w:rPr>
          <w:rFonts w:ascii="Open Sans" w:eastAsia="Times New Roman" w:hAnsi="Open Sans" w:cs="Open Sans"/>
          <w:b/>
          <w:sz w:val="20"/>
          <w:szCs w:val="20"/>
          <w:lang w:eastAsia="es-ES"/>
        </w:rPr>
        <w:t>Condición laboral de los trabajadores a los que se le ha concedido el estatuto de persona denunciante (años 2017 a 2019)</w:t>
      </w:r>
    </w:p>
    <w:p w14:paraId="28448720" w14:textId="77777777" w:rsidR="00BF5C4E" w:rsidRPr="00A07BE9" w:rsidRDefault="00BF5C4E" w:rsidP="00671CE2">
      <w:pPr>
        <w:jc w:val="both"/>
        <w:rPr>
          <w:rFonts w:ascii="Open Sans" w:eastAsia="Times New Roman" w:hAnsi="Open Sans" w:cs="Open Sans"/>
          <w:b/>
          <w:color w:val="9D2235"/>
          <w:sz w:val="20"/>
          <w:szCs w:val="20"/>
          <w:lang w:eastAsia="es-ES"/>
        </w:rPr>
      </w:pPr>
    </w:p>
    <w:p w14:paraId="34AE193F" w14:textId="755900AA" w:rsidR="00671CE2" w:rsidRPr="00A07BE9" w:rsidRDefault="00671CE2" w:rsidP="00671CE2">
      <w:pPr>
        <w:jc w:val="both"/>
        <w:rPr>
          <w:rFonts w:ascii="Open Sans" w:eastAsia="Times New Roman" w:hAnsi="Open Sans" w:cs="Open Sans"/>
          <w:b/>
          <w:sz w:val="20"/>
          <w:szCs w:val="20"/>
          <w:lang w:eastAsia="es-ES"/>
        </w:rPr>
      </w:pPr>
      <w:r w:rsidRPr="00A07BE9">
        <w:rPr>
          <w:rFonts w:ascii="Open Sans" w:eastAsia="Times New Roman" w:hAnsi="Open Sans" w:cs="Open Sans"/>
          <w:b/>
          <w:color w:val="9D2235"/>
          <w:sz w:val="20"/>
          <w:szCs w:val="20"/>
          <w:lang w:eastAsia="es-ES"/>
        </w:rPr>
        <w:t xml:space="preserve">Gráfico </w:t>
      </w:r>
      <w:r w:rsidR="00E671DC" w:rsidRPr="00A07BE9">
        <w:rPr>
          <w:rFonts w:ascii="Open Sans" w:eastAsia="Times New Roman" w:hAnsi="Open Sans" w:cs="Open Sans"/>
          <w:b/>
          <w:color w:val="9D2235"/>
          <w:sz w:val="20"/>
          <w:szCs w:val="20"/>
          <w:lang w:eastAsia="es-ES"/>
        </w:rPr>
        <w:t>31</w:t>
      </w:r>
      <w:r w:rsidRPr="00A07BE9">
        <w:rPr>
          <w:rFonts w:ascii="Open Sans" w:eastAsia="Times New Roman" w:hAnsi="Open Sans" w:cs="Open Sans"/>
          <w:b/>
          <w:color w:val="9D2235"/>
          <w:sz w:val="20"/>
          <w:szCs w:val="20"/>
          <w:lang w:eastAsia="es-ES"/>
        </w:rPr>
        <w:t xml:space="preserve">: </w:t>
      </w:r>
      <w:r w:rsidRPr="00A07BE9">
        <w:rPr>
          <w:rFonts w:ascii="Open Sans" w:eastAsia="Times New Roman" w:hAnsi="Open Sans" w:cs="Open Sans"/>
          <w:b/>
          <w:sz w:val="20"/>
          <w:szCs w:val="20"/>
          <w:lang w:eastAsia="es-ES"/>
        </w:rPr>
        <w:t>Personas denunciantes protegidas clasificadas por género (años 2017 a 2019)</w:t>
      </w:r>
    </w:p>
    <w:p w14:paraId="160B53AA" w14:textId="60D97A18" w:rsidR="00671CE2" w:rsidRPr="00A07BE9" w:rsidRDefault="001E295B" w:rsidP="00671CE2">
      <w:pPr>
        <w:pStyle w:val="Textoindependiente"/>
        <w:spacing w:after="0" w:line="240" w:lineRule="auto"/>
        <w:jc w:val="both"/>
        <w:rPr>
          <w:rFonts w:eastAsia="Times New Roman" w:cs="Open Sans"/>
          <w:b/>
          <w:bCs/>
          <w:smallCaps/>
          <w:color w:val="993333"/>
          <w:sz w:val="20"/>
          <w:szCs w:val="20"/>
          <w:lang w:eastAsia="es-ES"/>
        </w:rPr>
      </w:pPr>
      <w:r w:rsidRPr="00A07BE9">
        <w:rPr>
          <w:rFonts w:asciiTheme="minorHAnsi" w:eastAsiaTheme="minorHAnsi" w:hAnsiTheme="minorHAnsi" w:cstheme="minorBidi"/>
          <w:noProof/>
          <w:sz w:val="20"/>
          <w:szCs w:val="20"/>
          <w:lang w:eastAsia="en-US"/>
        </w:rPr>
        <w:drawing>
          <wp:anchor distT="0" distB="0" distL="114300" distR="114300" simplePos="0" relativeHeight="251756544" behindDoc="1" locked="0" layoutInCell="1" allowOverlap="1" wp14:anchorId="4D63AC38" wp14:editId="2A912DFD">
            <wp:simplePos x="0" y="0"/>
            <wp:positionH relativeFrom="column">
              <wp:posOffset>603885</wp:posOffset>
            </wp:positionH>
            <wp:positionV relativeFrom="paragraph">
              <wp:posOffset>5715</wp:posOffset>
            </wp:positionV>
            <wp:extent cx="3842385" cy="1612900"/>
            <wp:effectExtent l="0" t="0" r="5715" b="6350"/>
            <wp:wrapTight wrapText="bothSides">
              <wp:wrapPolygon edited="0">
                <wp:start x="0" y="0"/>
                <wp:lineTo x="0" y="21430"/>
                <wp:lineTo x="21525" y="21430"/>
                <wp:lineTo x="21525" y="0"/>
                <wp:lineTo x="0" y="0"/>
              </wp:wrapPolygon>
            </wp:wrapTight>
            <wp:docPr id="356" name="Gráfico 356">
              <a:extLst xmlns:a="http://schemas.openxmlformats.org/drawingml/2006/main">
                <a:ext uri="{FF2B5EF4-FFF2-40B4-BE49-F238E27FC236}">
                  <a16:creationId xmlns:a16="http://schemas.microsoft.com/office/drawing/2014/main" id="{6C4135B0-4A1E-48A1-8177-7977CDF001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4"/>
              </a:graphicData>
            </a:graphic>
            <wp14:sizeRelH relativeFrom="margin">
              <wp14:pctWidth>0</wp14:pctWidth>
            </wp14:sizeRelH>
            <wp14:sizeRelV relativeFrom="margin">
              <wp14:pctHeight>0</wp14:pctHeight>
            </wp14:sizeRelV>
          </wp:anchor>
        </w:drawing>
      </w:r>
    </w:p>
    <w:p w14:paraId="4B956910" w14:textId="2BE3D358" w:rsidR="00671CE2" w:rsidRPr="00A07BE9" w:rsidRDefault="00671CE2" w:rsidP="00671CE2">
      <w:pPr>
        <w:spacing w:after="0" w:line="240" w:lineRule="auto"/>
        <w:jc w:val="both"/>
        <w:rPr>
          <w:rFonts w:ascii="Open Sans" w:eastAsia="Times New Roman" w:hAnsi="Open Sans" w:cs="Open Sans"/>
          <w:b/>
          <w:bCs/>
          <w:smallCaps/>
          <w:color w:val="993333"/>
          <w:sz w:val="20"/>
          <w:szCs w:val="20"/>
          <w:lang w:eastAsia="es-ES"/>
        </w:rPr>
      </w:pPr>
    </w:p>
    <w:p w14:paraId="3DEC6F84" w14:textId="7FB1516C" w:rsidR="00671CE2" w:rsidRPr="00A07BE9" w:rsidRDefault="00671CE2" w:rsidP="00671CE2">
      <w:pPr>
        <w:spacing w:after="0" w:line="240" w:lineRule="auto"/>
        <w:jc w:val="both"/>
        <w:rPr>
          <w:rFonts w:ascii="Open Sans" w:eastAsia="Times New Roman" w:hAnsi="Open Sans" w:cs="Open Sans"/>
          <w:b/>
          <w:bCs/>
          <w:smallCaps/>
          <w:color w:val="993333"/>
          <w:sz w:val="20"/>
          <w:szCs w:val="20"/>
          <w:lang w:eastAsia="es-ES"/>
        </w:rPr>
      </w:pPr>
    </w:p>
    <w:p w14:paraId="327EF997" w14:textId="11D47B02" w:rsidR="00671CE2" w:rsidRPr="00A07BE9" w:rsidRDefault="00671CE2" w:rsidP="00671CE2">
      <w:pPr>
        <w:spacing w:after="0" w:line="240" w:lineRule="auto"/>
        <w:jc w:val="both"/>
        <w:rPr>
          <w:rFonts w:ascii="Open Sans" w:eastAsia="Times New Roman" w:hAnsi="Open Sans" w:cs="Open Sans"/>
          <w:b/>
          <w:bCs/>
          <w:smallCaps/>
          <w:color w:val="993333"/>
          <w:sz w:val="20"/>
          <w:szCs w:val="20"/>
          <w:lang w:eastAsia="es-ES"/>
        </w:rPr>
      </w:pPr>
    </w:p>
    <w:p w14:paraId="4C39D924" w14:textId="0009C0BD" w:rsidR="00671CE2" w:rsidRPr="00A07BE9" w:rsidRDefault="00671CE2" w:rsidP="00671CE2">
      <w:pPr>
        <w:spacing w:after="0" w:line="240" w:lineRule="auto"/>
        <w:jc w:val="both"/>
        <w:rPr>
          <w:rFonts w:ascii="Open Sans" w:eastAsia="Times New Roman" w:hAnsi="Open Sans" w:cs="Open Sans"/>
          <w:b/>
          <w:bCs/>
          <w:smallCaps/>
          <w:color w:val="993333"/>
          <w:sz w:val="20"/>
          <w:szCs w:val="20"/>
          <w:lang w:eastAsia="es-ES"/>
        </w:rPr>
      </w:pPr>
    </w:p>
    <w:p w14:paraId="624C1843" w14:textId="77777777" w:rsidR="00671CE2" w:rsidRPr="00A07BE9" w:rsidRDefault="00671CE2" w:rsidP="00671CE2">
      <w:pPr>
        <w:spacing w:after="0" w:line="240" w:lineRule="auto"/>
        <w:jc w:val="both"/>
        <w:rPr>
          <w:rFonts w:ascii="Open Sans" w:eastAsia="Times New Roman" w:hAnsi="Open Sans" w:cs="Open Sans"/>
          <w:b/>
          <w:bCs/>
          <w:smallCaps/>
          <w:color w:val="993333"/>
          <w:sz w:val="20"/>
          <w:szCs w:val="20"/>
          <w:lang w:eastAsia="es-ES"/>
        </w:rPr>
      </w:pPr>
    </w:p>
    <w:p w14:paraId="1C4BA88B" w14:textId="77777777" w:rsidR="00671CE2" w:rsidRPr="00A07BE9" w:rsidRDefault="00671CE2" w:rsidP="00671CE2">
      <w:pPr>
        <w:spacing w:after="0" w:line="240" w:lineRule="auto"/>
        <w:jc w:val="both"/>
        <w:rPr>
          <w:rFonts w:ascii="Open Sans" w:eastAsia="Times New Roman" w:hAnsi="Open Sans" w:cs="Open Sans"/>
          <w:b/>
          <w:bCs/>
          <w:smallCaps/>
          <w:color w:val="993333"/>
          <w:sz w:val="20"/>
          <w:szCs w:val="20"/>
          <w:lang w:eastAsia="es-ES"/>
        </w:rPr>
      </w:pPr>
    </w:p>
    <w:p w14:paraId="5770A37D" w14:textId="77777777" w:rsidR="00671CE2" w:rsidRPr="00A07BE9" w:rsidRDefault="00671CE2" w:rsidP="00671CE2">
      <w:pPr>
        <w:spacing w:after="0" w:line="240" w:lineRule="auto"/>
        <w:jc w:val="both"/>
        <w:rPr>
          <w:rFonts w:ascii="Open Sans" w:eastAsia="Times New Roman" w:hAnsi="Open Sans" w:cs="Open Sans"/>
          <w:b/>
          <w:bCs/>
          <w:smallCaps/>
          <w:color w:val="993333"/>
          <w:sz w:val="20"/>
          <w:szCs w:val="20"/>
          <w:lang w:eastAsia="es-ES"/>
        </w:rPr>
      </w:pPr>
    </w:p>
    <w:p w14:paraId="7D15F282" w14:textId="77777777" w:rsidR="00433C7A" w:rsidRPr="00A07BE9" w:rsidRDefault="00433C7A" w:rsidP="00671CE2">
      <w:pPr>
        <w:spacing w:after="0" w:line="240" w:lineRule="auto"/>
        <w:jc w:val="both"/>
        <w:rPr>
          <w:rFonts w:ascii="Open Sans" w:eastAsia="Times New Roman" w:hAnsi="Open Sans" w:cs="Open Sans"/>
          <w:b/>
          <w:bCs/>
          <w:smallCaps/>
          <w:color w:val="9D2235"/>
          <w:sz w:val="32"/>
          <w:szCs w:val="32"/>
          <w:lang w:eastAsia="es-ES"/>
        </w:rPr>
      </w:pPr>
    </w:p>
    <w:p w14:paraId="3E3993EB" w14:textId="77777777" w:rsidR="00433C7A" w:rsidRPr="00A07BE9" w:rsidRDefault="00433C7A" w:rsidP="00671CE2">
      <w:pPr>
        <w:spacing w:after="0" w:line="240" w:lineRule="auto"/>
        <w:jc w:val="both"/>
        <w:rPr>
          <w:rFonts w:ascii="Open Sans" w:eastAsia="Times New Roman" w:hAnsi="Open Sans" w:cs="Open Sans"/>
          <w:b/>
          <w:bCs/>
          <w:smallCaps/>
          <w:color w:val="9D2235"/>
          <w:sz w:val="20"/>
          <w:szCs w:val="20"/>
          <w:lang w:eastAsia="es-ES"/>
        </w:rPr>
      </w:pPr>
    </w:p>
    <w:p w14:paraId="36D1491A" w14:textId="77777777" w:rsidR="00112709" w:rsidRPr="00A07BE9" w:rsidRDefault="00112709" w:rsidP="00671CE2">
      <w:pPr>
        <w:spacing w:after="0" w:line="240" w:lineRule="auto"/>
        <w:jc w:val="both"/>
        <w:rPr>
          <w:rFonts w:ascii="Open Sans" w:eastAsia="Times New Roman" w:hAnsi="Open Sans" w:cs="Open Sans"/>
          <w:b/>
          <w:bCs/>
          <w:smallCaps/>
          <w:color w:val="9D2235"/>
          <w:sz w:val="20"/>
          <w:szCs w:val="20"/>
          <w:lang w:eastAsia="es-ES"/>
        </w:rPr>
      </w:pPr>
    </w:p>
    <w:p w14:paraId="173CEA13" w14:textId="41EC700B" w:rsidR="00671CE2" w:rsidRPr="00A07BE9" w:rsidRDefault="00671CE2" w:rsidP="00671CE2">
      <w:pPr>
        <w:spacing w:after="0" w:line="240" w:lineRule="auto"/>
        <w:jc w:val="both"/>
        <w:rPr>
          <w:rFonts w:ascii="Open Sans" w:hAnsi="Open Sans"/>
          <w:color w:val="9D2235"/>
          <w:sz w:val="32"/>
          <w:szCs w:val="32"/>
        </w:rPr>
      </w:pPr>
      <w:r w:rsidRPr="00A07BE9">
        <w:rPr>
          <w:rFonts w:ascii="Open Sans" w:eastAsia="Times New Roman" w:hAnsi="Open Sans" w:cs="Open Sans"/>
          <w:b/>
          <w:bCs/>
          <w:smallCaps/>
          <w:color w:val="9D2235"/>
          <w:sz w:val="32"/>
          <w:szCs w:val="32"/>
          <w:lang w:eastAsia="es-ES"/>
        </w:rPr>
        <w:t>4.4. POTESTAD SANCIONADORA</w:t>
      </w:r>
    </w:p>
    <w:p w14:paraId="16EC9174" w14:textId="77777777" w:rsidR="00671CE2" w:rsidRPr="00A07BE9" w:rsidRDefault="00671CE2" w:rsidP="00671CE2">
      <w:pPr>
        <w:spacing w:after="0" w:line="240" w:lineRule="auto"/>
        <w:jc w:val="both"/>
        <w:rPr>
          <w:rFonts w:ascii="Open Sans" w:eastAsia="Times New Roman" w:hAnsi="Open Sans" w:cs="Open Sans"/>
          <w:color w:val="000000"/>
          <w:sz w:val="20"/>
          <w:szCs w:val="20"/>
          <w:lang w:eastAsia="es-ES"/>
        </w:rPr>
      </w:pPr>
    </w:p>
    <w:p w14:paraId="0C94CB9C" w14:textId="3C2FFB90" w:rsidR="00671CE2" w:rsidRPr="00A07BE9" w:rsidRDefault="00671CE2" w:rsidP="00671CE2">
      <w:pPr>
        <w:spacing w:after="0" w:line="276" w:lineRule="auto"/>
        <w:jc w:val="both"/>
        <w:rPr>
          <w:rFonts w:ascii="Open Sans" w:hAnsi="Open Sans"/>
          <w:color w:val="000000"/>
          <w:sz w:val="20"/>
          <w:szCs w:val="20"/>
        </w:rPr>
      </w:pPr>
      <w:r w:rsidRPr="00A07BE9">
        <w:rPr>
          <w:rFonts w:ascii="Open Sans" w:eastAsia="Times New Roman" w:hAnsi="Open Sans" w:cs="Open Sans"/>
          <w:color w:val="000000"/>
          <w:sz w:val="20"/>
          <w:szCs w:val="20"/>
          <w:lang w:eastAsia="es-ES"/>
        </w:rPr>
        <w:t xml:space="preserve">La </w:t>
      </w:r>
      <w:hyperlink r:id="rId255" w:history="1">
        <w:r w:rsidRPr="00A07BE9">
          <w:rPr>
            <w:rStyle w:val="Hipervnculo"/>
            <w:rFonts w:ascii="Open Sans" w:eastAsia="Times New Roman" w:hAnsi="Open Sans" w:cs="Open Sans"/>
            <w:sz w:val="20"/>
            <w:szCs w:val="20"/>
            <w:lang w:eastAsia="es-ES"/>
          </w:rPr>
          <w:t>Sentencia del Tribunal Constitucional 42/1987</w:t>
        </w:r>
      </w:hyperlink>
      <w:r w:rsidRPr="00A07BE9">
        <w:rPr>
          <w:rFonts w:ascii="Open Sans" w:eastAsia="Times New Roman" w:hAnsi="Open Sans" w:cs="Open Sans"/>
          <w:color w:val="000000"/>
          <w:sz w:val="20"/>
          <w:szCs w:val="20"/>
          <w:lang w:eastAsia="es-ES"/>
        </w:rPr>
        <w:t xml:space="preserve">, de 7 de abril, entre otras, ya señalaba que el término </w:t>
      </w:r>
      <w:r w:rsidRPr="00A07BE9">
        <w:rPr>
          <w:rFonts w:ascii="Open Sans" w:eastAsia="Times New Roman" w:hAnsi="Open Sans" w:cs="Open Sans"/>
          <w:i/>
          <w:iCs/>
          <w:color w:val="000000"/>
          <w:sz w:val="20"/>
          <w:szCs w:val="20"/>
          <w:lang w:eastAsia="es-ES"/>
        </w:rPr>
        <w:t>legislación vigente,</w:t>
      </w:r>
      <w:r w:rsidRPr="00A07BE9">
        <w:rPr>
          <w:rFonts w:ascii="Open Sans" w:eastAsia="Times New Roman" w:hAnsi="Open Sans" w:cs="Open Sans"/>
          <w:color w:val="000000"/>
          <w:sz w:val="20"/>
          <w:szCs w:val="20"/>
          <w:lang w:eastAsia="es-ES"/>
        </w:rPr>
        <w:t xml:space="preserve"> contenido en el artículo 25.1 de la </w:t>
      </w:r>
      <w:hyperlink r:id="rId256" w:history="1">
        <w:r w:rsidRPr="00A07BE9">
          <w:rPr>
            <w:rStyle w:val="Hipervnculo"/>
            <w:rFonts w:ascii="Open Sans" w:eastAsia="Times New Roman" w:hAnsi="Open Sans" w:cs="Open Sans"/>
            <w:sz w:val="20"/>
            <w:szCs w:val="20"/>
            <w:lang w:eastAsia="es-ES"/>
          </w:rPr>
          <w:t>Constitución</w:t>
        </w:r>
      </w:hyperlink>
      <w:r w:rsidRPr="00A07BE9">
        <w:rPr>
          <w:rFonts w:ascii="Open Sans" w:eastAsia="Times New Roman" w:hAnsi="Open Sans" w:cs="Open Sans"/>
          <w:color w:val="000000"/>
          <w:sz w:val="20"/>
          <w:szCs w:val="20"/>
          <w:lang w:eastAsia="es-ES"/>
        </w:rPr>
        <w:t>, es expresivo de una reserva de Ley en materia sancionadora.</w:t>
      </w:r>
    </w:p>
    <w:p w14:paraId="4353E98D" w14:textId="77777777"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p>
    <w:p w14:paraId="29201105" w14:textId="300CB268" w:rsidR="00671CE2" w:rsidRPr="00442A94" w:rsidRDefault="00671CE2" w:rsidP="00671CE2">
      <w:pPr>
        <w:spacing w:after="0" w:line="276" w:lineRule="auto"/>
        <w:jc w:val="both"/>
        <w:rPr>
          <w:rFonts w:ascii="Open Sans" w:hAnsi="Open Sans"/>
          <w:color w:val="000000"/>
          <w:sz w:val="20"/>
          <w:szCs w:val="20"/>
        </w:rPr>
      </w:pPr>
      <w:r w:rsidRPr="00A07BE9">
        <w:rPr>
          <w:rFonts w:ascii="Open Sans" w:eastAsia="Times New Roman" w:hAnsi="Open Sans" w:cs="Open Sans"/>
          <w:color w:val="000000"/>
          <w:sz w:val="20"/>
          <w:szCs w:val="20"/>
          <w:lang w:eastAsia="es-ES"/>
        </w:rPr>
        <w:t xml:space="preserve">A diferencia de otras regulaciones que la han precedido (caso de la </w:t>
      </w:r>
      <w:hyperlink r:id="rId257" w:history="1">
        <w:r w:rsidRPr="00A07BE9">
          <w:rPr>
            <w:rStyle w:val="Hipervnculo"/>
            <w:rFonts w:ascii="Open Sans" w:eastAsia="Times New Roman" w:hAnsi="Open Sans" w:cs="Open Sans"/>
            <w:sz w:val="20"/>
            <w:szCs w:val="20"/>
            <w:lang w:eastAsia="es-ES"/>
          </w:rPr>
          <w:t>Ley 14/2008, de 5 de noviembre, de creación de la Oficina Antifraude de Cataluña</w:t>
        </w:r>
      </w:hyperlink>
      <w:r w:rsidRPr="00A07BE9">
        <w:rPr>
          <w:rFonts w:ascii="Open Sans" w:eastAsia="Times New Roman" w:hAnsi="Open Sans" w:cs="Open Sans"/>
          <w:color w:val="000000"/>
          <w:sz w:val="20"/>
          <w:szCs w:val="20"/>
          <w:lang w:eastAsia="es-ES"/>
        </w:rPr>
        <w:t xml:space="preserve">) y de otras aprobadas con posterioridad a la entrada en vigor de la </w:t>
      </w:r>
      <w:hyperlink r:id="rId258" w:history="1">
        <w:r w:rsidR="0050097D" w:rsidRPr="00A07BE9">
          <w:rPr>
            <w:rStyle w:val="Hipervnculo"/>
            <w:rFonts w:ascii="Open Sans" w:hAnsi="Open Sans" w:cs="Open Sans"/>
            <w:sz w:val="20"/>
            <w:szCs w:val="20"/>
          </w:rPr>
          <w:t>Ley 11/2016</w:t>
        </w:r>
      </w:hyperlink>
      <w:r w:rsidR="0050097D" w:rsidRPr="00A07BE9">
        <w:rPr>
          <w:rFonts w:ascii="Open Sans" w:hAnsi="Open Sans" w:cs="Open Sans"/>
          <w:sz w:val="20"/>
          <w:szCs w:val="20"/>
        </w:rPr>
        <w:t>,</w:t>
      </w:r>
      <w:r w:rsidRPr="00A07BE9">
        <w:rPr>
          <w:rFonts w:ascii="Open Sans" w:eastAsia="Times New Roman" w:hAnsi="Open Sans" w:cs="Open Sans"/>
          <w:color w:val="000000"/>
          <w:sz w:val="20"/>
          <w:szCs w:val="20"/>
          <w:lang w:eastAsia="es-ES"/>
        </w:rPr>
        <w:t xml:space="preserve"> de la Agencia de Prevención y Lucha contra el Fraude y la Corrupción de la Comunitat Valenciana (caso por ejemplo de la </w:t>
      </w:r>
      <w:hyperlink r:id="rId259" w:history="1">
        <w:r w:rsidRPr="00A07BE9">
          <w:rPr>
            <w:rStyle w:val="Hipervnculo"/>
            <w:rFonts w:ascii="Open Sans" w:eastAsia="Times New Roman" w:hAnsi="Open Sans" w:cs="Open Sans"/>
            <w:sz w:val="20"/>
            <w:szCs w:val="20"/>
            <w:lang w:eastAsia="es-ES"/>
          </w:rPr>
          <w:t>Ley 5/2017, de 1 de junio, de Integridad y Ética Públicas de Aragón, que crea la Agencia de Integridad y Ética Públicas</w:t>
        </w:r>
      </w:hyperlink>
      <w:r w:rsidRPr="00A07BE9">
        <w:rPr>
          <w:rFonts w:ascii="Open Sans" w:eastAsia="Times New Roman" w:hAnsi="Open Sans" w:cs="Open Sans"/>
          <w:color w:val="000000"/>
          <w:sz w:val="20"/>
          <w:szCs w:val="20"/>
          <w:lang w:eastAsia="es-ES"/>
        </w:rPr>
        <w:t xml:space="preserve"> de dicha Comunidad), la </w:t>
      </w:r>
      <w:hyperlink r:id="rId260" w:history="1">
        <w:r w:rsidR="0050097D" w:rsidRPr="00A07BE9">
          <w:rPr>
            <w:rStyle w:val="Hipervnculo"/>
            <w:rFonts w:ascii="Open Sans" w:hAnsi="Open Sans" w:cs="Open Sans"/>
            <w:sz w:val="20"/>
            <w:szCs w:val="20"/>
          </w:rPr>
          <w:t>Ley 11/2016</w:t>
        </w:r>
      </w:hyperlink>
      <w:r w:rsidR="00C54EA9" w:rsidRPr="00A07BE9">
        <w:rPr>
          <w:rStyle w:val="Hipervnculo"/>
          <w:rFonts w:ascii="Open Sans" w:hAnsi="Open Sans" w:cs="Open Sans"/>
          <w:sz w:val="20"/>
          <w:szCs w:val="20"/>
          <w:u w:val="none"/>
        </w:rPr>
        <w:t xml:space="preserve"> </w:t>
      </w:r>
      <w:r w:rsidRPr="00A07BE9">
        <w:rPr>
          <w:rFonts w:ascii="Open Sans" w:eastAsia="Times New Roman" w:hAnsi="Open Sans" w:cs="Open Sans"/>
          <w:color w:val="000000"/>
          <w:sz w:val="20"/>
          <w:szCs w:val="20"/>
          <w:lang w:eastAsia="es-ES"/>
        </w:rPr>
        <w:t>introdujo expresamente un régimen sancionador en esta materia, recogido en su capítulo III y al que dedica los artículos 17 a 21.</w:t>
      </w:r>
    </w:p>
    <w:p w14:paraId="4E39B7F8" w14:textId="77777777" w:rsidR="00671CE2" w:rsidRPr="00A07BE9" w:rsidRDefault="00671CE2" w:rsidP="00671CE2">
      <w:pPr>
        <w:spacing w:after="0" w:line="276" w:lineRule="auto"/>
        <w:jc w:val="both"/>
        <w:rPr>
          <w:rFonts w:ascii="Open Sans" w:hAnsi="Open Sans"/>
          <w:color w:val="000000"/>
          <w:sz w:val="20"/>
          <w:szCs w:val="20"/>
        </w:rPr>
      </w:pPr>
      <w:r w:rsidRPr="00A07BE9">
        <w:rPr>
          <w:rFonts w:ascii="Open Sans" w:eastAsia="Times New Roman" w:hAnsi="Open Sans" w:cs="Open Sans"/>
          <w:color w:val="000000"/>
          <w:sz w:val="20"/>
          <w:szCs w:val="20"/>
          <w:lang w:eastAsia="es-ES"/>
        </w:rPr>
        <w:lastRenderedPageBreak/>
        <w:t>Ello fue debido no solo a la obligada observancia del principio de legalidad sancionadora en su doble vertiente de garantía material y formal, esto es, de exigencia de predeterminación normativa de las conductas ilícitas y de las sanciones correspondientes, y del rango necesario de las normas tipificadoras, sino también al deseo del legislador autonómico de reforzar la actuación de la Agencia para la mejor consecución de sus fines y objetivos, dando para ello un adecuado marco normativo que eliminase cualquier atisbo de inseguridad jurídica en el ejercicio de esta potestad pública.</w:t>
      </w:r>
    </w:p>
    <w:p w14:paraId="1753860E" w14:textId="77777777"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p>
    <w:p w14:paraId="7A4A7C35" w14:textId="3325592D" w:rsidR="00671CE2" w:rsidRPr="00A07BE9" w:rsidRDefault="00671CE2" w:rsidP="00671CE2">
      <w:pPr>
        <w:spacing w:after="0" w:line="276" w:lineRule="auto"/>
        <w:jc w:val="both"/>
        <w:rPr>
          <w:rFonts w:ascii="Open Sans" w:hAnsi="Open Sans"/>
          <w:sz w:val="20"/>
          <w:szCs w:val="20"/>
        </w:rPr>
      </w:pPr>
      <w:r w:rsidRPr="00A07BE9">
        <w:rPr>
          <w:rFonts w:ascii="Open Sans" w:eastAsia="Times New Roman" w:hAnsi="Open Sans" w:cs="Open Sans"/>
          <w:color w:val="000000"/>
          <w:sz w:val="20"/>
          <w:szCs w:val="20"/>
          <w:lang w:eastAsia="es-ES"/>
        </w:rPr>
        <w:t xml:space="preserve">Ese mismo criterio, adelantado a lo que posteriormente se ha recogido en la </w:t>
      </w:r>
      <w:hyperlink r:id="rId261" w:history="1">
        <w:r w:rsidRPr="00A07BE9">
          <w:rPr>
            <w:rStyle w:val="Hipervnculo"/>
            <w:rFonts w:ascii="Open Sans" w:eastAsia="Times New Roman" w:hAnsi="Open Sans" w:cs="Open Sans"/>
            <w:sz w:val="20"/>
            <w:szCs w:val="20"/>
            <w:lang w:eastAsia="es-ES"/>
          </w:rPr>
          <w:t>Directiva (UE) 2019/1937</w:t>
        </w:r>
      </w:hyperlink>
      <w:r w:rsidRPr="00A07BE9">
        <w:rPr>
          <w:rFonts w:ascii="Open Sans" w:eastAsia="Times New Roman" w:hAnsi="Open Sans" w:cs="Open Sans"/>
          <w:color w:val="000000"/>
          <w:sz w:val="20"/>
          <w:szCs w:val="20"/>
          <w:lang w:eastAsia="es-ES"/>
        </w:rPr>
        <w:t xml:space="preserve">, que obliga a los Estados miembros a establecer sanciones efectivas, proporcionadas y disuasorias para las personas físicas o jurídicas que impidan o intenten impedir las denuncias, adopten medidas de represalia contra las personas denunciantes o promuevan procedimientos abusivos contra estas, se ha seguido en otras normas autonómicas que regulan esta materia, como es el caso de la </w:t>
      </w:r>
      <w:hyperlink r:id="rId262" w:history="1">
        <w:r w:rsidRPr="00A07BE9">
          <w:rPr>
            <w:rStyle w:val="Hipervnculo"/>
            <w:rFonts w:ascii="Open Sans" w:eastAsia="Times New Roman" w:hAnsi="Open Sans" w:cs="Open Sans"/>
            <w:sz w:val="20"/>
            <w:szCs w:val="20"/>
            <w:lang w:eastAsia="es-ES"/>
          </w:rPr>
          <w:t>Ley 16/2016, de 9 de diciembre, de creación de la Oficina de Prevención y Lucha contra la Corrupción en las Illes Balears</w:t>
        </w:r>
      </w:hyperlink>
      <w:r w:rsidRPr="00A07BE9">
        <w:rPr>
          <w:rFonts w:ascii="Open Sans" w:eastAsia="Times New Roman" w:hAnsi="Open Sans" w:cs="Open Sans"/>
          <w:color w:val="000000"/>
          <w:sz w:val="20"/>
          <w:szCs w:val="20"/>
          <w:lang w:eastAsia="es-ES"/>
        </w:rPr>
        <w:t xml:space="preserve">, o la </w:t>
      </w:r>
      <w:hyperlink r:id="rId263" w:history="1">
        <w:r w:rsidRPr="00A07BE9">
          <w:rPr>
            <w:rStyle w:val="Hipervnculo"/>
            <w:rFonts w:ascii="Open Sans" w:eastAsia="Times New Roman" w:hAnsi="Open Sans" w:cs="Open Sans"/>
            <w:sz w:val="20"/>
            <w:szCs w:val="20"/>
            <w:lang w:eastAsia="es-ES"/>
          </w:rPr>
          <w:t>Ley foral 7/2018, de 17 de mayo, de creación de la Oficina de buenas prácticas y anticorrupción de la Comunidad Foral de Navarra</w:t>
        </w:r>
      </w:hyperlink>
      <w:r w:rsidRPr="00A07BE9">
        <w:rPr>
          <w:rFonts w:ascii="Open Sans" w:eastAsia="Times New Roman" w:hAnsi="Open Sans" w:cs="Open Sans"/>
          <w:color w:val="000000"/>
          <w:sz w:val="20"/>
          <w:szCs w:val="20"/>
          <w:lang w:eastAsia="es-ES"/>
        </w:rPr>
        <w:t>, que también recogen y ordenan un régimen sancionador específico.</w:t>
      </w:r>
    </w:p>
    <w:p w14:paraId="168BF524" w14:textId="77777777"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p>
    <w:p w14:paraId="12483189" w14:textId="23EEBF68" w:rsidR="00671CE2" w:rsidRPr="00A07BE9" w:rsidRDefault="00671CE2" w:rsidP="00671CE2">
      <w:pPr>
        <w:spacing w:after="0" w:line="276" w:lineRule="auto"/>
        <w:jc w:val="both"/>
        <w:rPr>
          <w:rFonts w:ascii="Open Sans" w:hAnsi="Open Sans"/>
          <w:color w:val="000000"/>
          <w:sz w:val="20"/>
          <w:szCs w:val="20"/>
        </w:rPr>
      </w:pPr>
      <w:r w:rsidRPr="00A07BE9">
        <w:rPr>
          <w:rFonts w:ascii="Open Sans" w:eastAsia="Times New Roman" w:hAnsi="Open Sans" w:cs="Open Sans"/>
          <w:color w:val="000000"/>
          <w:sz w:val="20"/>
          <w:szCs w:val="20"/>
          <w:lang w:eastAsia="es-ES"/>
        </w:rPr>
        <w:t xml:space="preserve">Para corregir actuaciones y omisiones que contravienen la legalidad prevista en la propia </w:t>
      </w:r>
      <w:hyperlink r:id="rId264" w:history="1">
        <w:r w:rsidR="0050097D" w:rsidRPr="00A07BE9">
          <w:rPr>
            <w:rStyle w:val="Hipervnculo"/>
            <w:rFonts w:ascii="Open Sans" w:hAnsi="Open Sans" w:cs="Open Sans"/>
            <w:sz w:val="20"/>
            <w:szCs w:val="20"/>
          </w:rPr>
          <w:t>Ley 11/2016</w:t>
        </w:r>
      </w:hyperlink>
      <w:r w:rsidRPr="00A07BE9">
        <w:rPr>
          <w:rFonts w:ascii="Open Sans" w:eastAsia="Times New Roman" w:hAnsi="Open Sans" w:cs="Open Sans"/>
          <w:color w:val="000000"/>
          <w:sz w:val="20"/>
          <w:szCs w:val="20"/>
          <w:lang w:eastAsia="es-ES"/>
        </w:rPr>
        <w:t>, esta recoge el régimen jurídico sancionador necesario y a tal efecto:</w:t>
      </w:r>
    </w:p>
    <w:p w14:paraId="76A104DF" w14:textId="77777777"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p>
    <w:p w14:paraId="1A44D061" w14:textId="77777777" w:rsidR="00E62917" w:rsidRPr="00A07BE9" w:rsidRDefault="00671CE2" w:rsidP="00E62917">
      <w:pPr>
        <w:pStyle w:val="Prrafodelista"/>
        <w:numPr>
          <w:ilvl w:val="0"/>
          <w:numId w:val="2"/>
        </w:numPr>
        <w:spacing w:after="0" w:line="276" w:lineRule="auto"/>
        <w:ind w:left="924" w:hanging="357"/>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Declara que son responsables de las infracciones, incluso a título de simple inobservancia, las personas físicas o jurídicas, cualquiera que sea su naturaleza, las autoridades, directivos y el personal al servicio de las entidades previstas en el artículo 3 (ámbito subjetivo de actuación de la Agencia), que realicen acciones o que incurran en las omisiones tipificadas en esta Ley, con dolo, culpa o negligencia.</w:t>
      </w:r>
    </w:p>
    <w:p w14:paraId="5CFAEC55" w14:textId="77777777" w:rsidR="00E62917" w:rsidRPr="00A07BE9" w:rsidRDefault="00671CE2" w:rsidP="00E62917">
      <w:pPr>
        <w:pStyle w:val="Prrafodelista"/>
        <w:numPr>
          <w:ilvl w:val="0"/>
          <w:numId w:val="2"/>
        </w:numPr>
        <w:spacing w:after="0" w:line="276" w:lineRule="auto"/>
        <w:ind w:left="924" w:hanging="357"/>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Tipifica las correspondientes infracciones en esta materia, distinguiendo entre leves, graves y muy graves.</w:t>
      </w:r>
    </w:p>
    <w:p w14:paraId="21496394" w14:textId="77777777" w:rsidR="00E62917" w:rsidRPr="00A07BE9" w:rsidRDefault="00671CE2" w:rsidP="00E62917">
      <w:pPr>
        <w:pStyle w:val="Prrafodelista"/>
        <w:numPr>
          <w:ilvl w:val="0"/>
          <w:numId w:val="2"/>
        </w:numPr>
        <w:spacing w:after="0" w:line="276" w:lineRule="auto"/>
        <w:ind w:left="924" w:hanging="357"/>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Introduce las sanciones correspondientes a las infracciones cometidas, entre otras, con multas de hasta 400.000 euros.</w:t>
      </w:r>
    </w:p>
    <w:p w14:paraId="177DF16C" w14:textId="77777777" w:rsidR="00E62917" w:rsidRPr="00A07BE9" w:rsidRDefault="00671CE2" w:rsidP="00E62917">
      <w:pPr>
        <w:pStyle w:val="Prrafodelista"/>
        <w:numPr>
          <w:ilvl w:val="0"/>
          <w:numId w:val="2"/>
        </w:numPr>
        <w:spacing w:after="0" w:line="276" w:lineRule="auto"/>
        <w:ind w:left="924" w:hanging="357"/>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Enumera los principios para su graduación (proporcionalidad, culpabilidad o entidad del daño).</w:t>
      </w:r>
    </w:p>
    <w:p w14:paraId="55A368BE" w14:textId="77465C52" w:rsidR="00671CE2" w:rsidRPr="00A07BE9" w:rsidRDefault="00671CE2" w:rsidP="00E62917">
      <w:pPr>
        <w:pStyle w:val="Prrafodelista"/>
        <w:numPr>
          <w:ilvl w:val="0"/>
          <w:numId w:val="2"/>
        </w:numPr>
        <w:spacing w:after="0" w:line="276" w:lineRule="auto"/>
        <w:ind w:left="924" w:hanging="357"/>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Residencia la competencia para la imposición de sanciones en la </w:t>
      </w:r>
      <w:r w:rsidR="0001775B" w:rsidRPr="00A07BE9">
        <w:rPr>
          <w:rFonts w:ascii="Open Sans" w:eastAsia="Times New Roman" w:hAnsi="Open Sans" w:cs="Open Sans"/>
          <w:color w:val="000000"/>
          <w:sz w:val="20"/>
          <w:szCs w:val="20"/>
          <w:lang w:eastAsia="es-ES"/>
        </w:rPr>
        <w:t>Dirección de la Agencia</w:t>
      </w:r>
      <w:r w:rsidRPr="00A07BE9">
        <w:rPr>
          <w:rFonts w:ascii="Open Sans" w:eastAsia="Times New Roman" w:hAnsi="Open Sans" w:cs="Open Sans"/>
          <w:color w:val="000000"/>
          <w:sz w:val="20"/>
          <w:szCs w:val="20"/>
          <w:lang w:eastAsia="es-ES"/>
        </w:rPr>
        <w:t>.</w:t>
      </w:r>
    </w:p>
    <w:p w14:paraId="78F616D0" w14:textId="77777777"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p>
    <w:p w14:paraId="13D628F2" w14:textId="77777777"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Con ello se persigue garantizar el cumplimiento efectivo del ordenamiento jurídico vigente, impidiendo que se consoliden situaciones de antijuridicidad, e imponiendo sanciones a los responsables de los ilícitos administrativos, relacionados en este caso, con el incumplimiento de las medidas de protección de las personas denunciantes, la presentación de denuncias falsas, o el incumplimiento del deber de colaborar con la Agencia en los procedimientos de investigación.</w:t>
      </w:r>
    </w:p>
    <w:p w14:paraId="19ED774D" w14:textId="77777777"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p>
    <w:p w14:paraId="46067EF8" w14:textId="6349A80D" w:rsidR="00671CE2" w:rsidRPr="00A07BE9" w:rsidRDefault="00671CE2" w:rsidP="00671CE2">
      <w:pPr>
        <w:spacing w:after="0" w:line="276" w:lineRule="auto"/>
        <w:jc w:val="both"/>
        <w:rPr>
          <w:rFonts w:ascii="Open Sans" w:hAnsi="Open Sans"/>
          <w:color w:val="000000"/>
          <w:sz w:val="20"/>
          <w:szCs w:val="20"/>
        </w:rPr>
      </w:pPr>
      <w:r w:rsidRPr="00A07BE9">
        <w:rPr>
          <w:rFonts w:ascii="Open Sans" w:eastAsia="Times New Roman" w:hAnsi="Open Sans" w:cs="Open Sans"/>
          <w:color w:val="000000"/>
          <w:sz w:val="20"/>
          <w:szCs w:val="20"/>
          <w:lang w:eastAsia="es-ES"/>
        </w:rPr>
        <w:lastRenderedPageBreak/>
        <w:t xml:space="preserve">Por su parte, el </w:t>
      </w:r>
      <w:hyperlink r:id="rId265" w:history="1">
        <w:r w:rsidRPr="00A07BE9">
          <w:rPr>
            <w:rStyle w:val="Hipervnculo"/>
            <w:rFonts w:ascii="Open Sans" w:eastAsia="Times New Roman" w:hAnsi="Open Sans" w:cs="Open Sans"/>
            <w:sz w:val="20"/>
            <w:szCs w:val="20"/>
            <w:lang w:eastAsia="es-ES"/>
          </w:rPr>
          <w:t>Reglamento de funcionamiento y régimen interior</w:t>
        </w:r>
      </w:hyperlink>
      <w:r w:rsidRPr="00A07BE9">
        <w:rPr>
          <w:rFonts w:ascii="Open Sans" w:eastAsia="Times New Roman" w:hAnsi="Open Sans" w:cs="Open Sans"/>
          <w:color w:val="000000"/>
          <w:sz w:val="20"/>
          <w:szCs w:val="20"/>
          <w:lang w:eastAsia="es-ES"/>
        </w:rPr>
        <w:t xml:space="preserve"> de la Agencia, aprobad</w:t>
      </w:r>
      <w:r w:rsidR="00303793" w:rsidRPr="00A07BE9">
        <w:rPr>
          <w:rFonts w:ascii="Open Sans" w:eastAsia="Times New Roman" w:hAnsi="Open Sans" w:cs="Open Sans"/>
          <w:color w:val="000000"/>
          <w:sz w:val="20"/>
          <w:szCs w:val="20"/>
          <w:lang w:eastAsia="es-ES"/>
        </w:rPr>
        <w:t>o</w:t>
      </w:r>
      <w:r w:rsidRPr="00A07BE9">
        <w:rPr>
          <w:rFonts w:ascii="Open Sans" w:eastAsia="Times New Roman" w:hAnsi="Open Sans" w:cs="Open Sans"/>
          <w:color w:val="000000"/>
          <w:sz w:val="20"/>
          <w:szCs w:val="20"/>
          <w:lang w:eastAsia="es-ES"/>
        </w:rPr>
        <w:t xml:space="preserve"> en 2019 en desarrollo de la </w:t>
      </w:r>
      <w:hyperlink r:id="rId266" w:history="1">
        <w:r w:rsidR="0050097D" w:rsidRPr="00A07BE9">
          <w:rPr>
            <w:rStyle w:val="Hipervnculo"/>
            <w:rFonts w:ascii="Open Sans" w:hAnsi="Open Sans" w:cs="Open Sans"/>
            <w:sz w:val="20"/>
            <w:szCs w:val="20"/>
          </w:rPr>
          <w:t>Ley 11/2016</w:t>
        </w:r>
      </w:hyperlink>
      <w:r w:rsidRPr="00A07BE9">
        <w:rPr>
          <w:rFonts w:ascii="Open Sans" w:eastAsia="Times New Roman" w:hAnsi="Open Sans" w:cs="Open Sans"/>
          <w:color w:val="000000"/>
          <w:sz w:val="20"/>
          <w:szCs w:val="20"/>
          <w:lang w:eastAsia="es-ES"/>
        </w:rPr>
        <w:t>, dedica su título VIII al procedimiento sancionador, regulando con mayor grado de detalle aspectos como las actuaciones previas, la posibilidad de decretar medidas de carácter provisional, las diferentes fases del procedimiento (iniciación, instrucción , propuesta de resolución, audiencia y resolución), los efectos de esta última fase o los posibles recursos que se pueden interponer.</w:t>
      </w:r>
    </w:p>
    <w:p w14:paraId="0241BA34" w14:textId="77777777" w:rsidR="00671CE2" w:rsidRPr="00A07BE9" w:rsidRDefault="00671CE2" w:rsidP="00671CE2">
      <w:pPr>
        <w:spacing w:after="0" w:line="276" w:lineRule="auto"/>
        <w:jc w:val="both"/>
        <w:rPr>
          <w:rFonts w:ascii="Open Sans" w:eastAsia="Times New Roman" w:hAnsi="Open Sans" w:cs="Open Sans"/>
          <w:color w:val="000000"/>
          <w:sz w:val="20"/>
          <w:szCs w:val="20"/>
          <w:lang w:eastAsia="es-ES"/>
        </w:rPr>
      </w:pPr>
    </w:p>
    <w:p w14:paraId="2E9102A8" w14:textId="510699F3" w:rsidR="00671CE2" w:rsidRPr="00A07BE9" w:rsidRDefault="00671CE2" w:rsidP="00671CE2">
      <w:pPr>
        <w:spacing w:after="0" w:line="276" w:lineRule="auto"/>
        <w:jc w:val="both"/>
        <w:rPr>
          <w:rFonts w:ascii="Open Sans" w:eastAsia="Times New Roman" w:hAnsi="Open Sans" w:cs="Times New Roman"/>
          <w:color w:val="000000"/>
          <w:sz w:val="20"/>
          <w:szCs w:val="20"/>
          <w:lang w:eastAsia="es-ES"/>
        </w:rPr>
      </w:pPr>
      <w:r w:rsidRPr="00A07BE9">
        <w:rPr>
          <w:rFonts w:ascii="Open Sans" w:eastAsia="Times New Roman" w:hAnsi="Open Sans" w:cs="Open Sans"/>
          <w:color w:val="000000"/>
          <w:sz w:val="20"/>
          <w:szCs w:val="20"/>
          <w:lang w:eastAsia="es-ES"/>
        </w:rPr>
        <w:t xml:space="preserve">Por lo que respecta a esta potestad sancionadora, debe señalarse que durante el año 2019 la Agencia no ha incoado ningún procedimiento sancionador por la comisión de las infracciones tipificadas en la </w:t>
      </w:r>
      <w:hyperlink r:id="rId267" w:history="1">
        <w:r w:rsidR="0050097D" w:rsidRPr="00A07BE9">
          <w:rPr>
            <w:rStyle w:val="Hipervnculo"/>
            <w:rFonts w:ascii="Open Sans" w:hAnsi="Open Sans" w:cs="Open Sans"/>
            <w:sz w:val="20"/>
            <w:szCs w:val="20"/>
          </w:rPr>
          <w:t>Ley 11/2016</w:t>
        </w:r>
      </w:hyperlink>
      <w:r w:rsidR="0050097D" w:rsidRPr="00A07BE9">
        <w:rPr>
          <w:rFonts w:ascii="Open Sans" w:hAnsi="Open Sans" w:cs="Open Sans"/>
          <w:sz w:val="20"/>
          <w:szCs w:val="20"/>
        </w:rPr>
        <w:t>,</w:t>
      </w:r>
      <w:r w:rsidRPr="00A07BE9">
        <w:rPr>
          <w:rFonts w:ascii="Open Sans" w:eastAsia="Times New Roman" w:hAnsi="Open Sans" w:cs="Open Sans"/>
          <w:color w:val="000000"/>
          <w:sz w:val="20"/>
          <w:szCs w:val="20"/>
          <w:lang w:eastAsia="es-ES"/>
        </w:rPr>
        <w:t xml:space="preserve"> si bien, en el ejercicio de las labores de investigación y de seguimiento de las medidas de protección del denunciante, ha advertido a varias administraciones públicas, sector público vinculado y corporaciones de derecho público, de la posibilidad de tal medida. Todo ello, sin olvidar que, en cualquier caso, la imposición de cualquier sanción en esta materia requiere la incoación, tramitación y resolución del oportuno procedimiento, en el que se observarán todas las garantías para las personas, físicas o jurídicas, afectadas.</w:t>
      </w:r>
    </w:p>
    <w:p w14:paraId="53AB4B27" w14:textId="1EC4D68D" w:rsidR="000952B8" w:rsidRDefault="000952B8" w:rsidP="00671CE2">
      <w:pPr>
        <w:spacing w:after="0" w:line="240" w:lineRule="auto"/>
        <w:jc w:val="both"/>
        <w:rPr>
          <w:rFonts w:ascii="Open Sans" w:eastAsia="Times New Roman" w:hAnsi="Open Sans" w:cs="Open Sans"/>
          <w:b/>
          <w:bCs/>
          <w:smallCaps/>
          <w:color w:val="993333"/>
          <w:sz w:val="20"/>
          <w:szCs w:val="20"/>
          <w:lang w:eastAsia="es-ES"/>
        </w:rPr>
      </w:pPr>
    </w:p>
    <w:p w14:paraId="00679866" w14:textId="77777777" w:rsidR="008A0A32" w:rsidRPr="00A07BE9" w:rsidRDefault="008A0A32" w:rsidP="00671CE2">
      <w:pPr>
        <w:spacing w:after="0" w:line="240" w:lineRule="auto"/>
        <w:jc w:val="both"/>
        <w:rPr>
          <w:rFonts w:ascii="Open Sans" w:eastAsia="Times New Roman" w:hAnsi="Open Sans" w:cs="Open Sans"/>
          <w:b/>
          <w:bCs/>
          <w:smallCaps/>
          <w:color w:val="993333"/>
          <w:sz w:val="20"/>
          <w:szCs w:val="20"/>
          <w:lang w:eastAsia="es-ES"/>
        </w:rPr>
      </w:pPr>
    </w:p>
    <w:p w14:paraId="212B20A1" w14:textId="77777777" w:rsidR="00671CE2" w:rsidRPr="00A07BE9" w:rsidRDefault="00671CE2" w:rsidP="00671CE2">
      <w:pPr>
        <w:spacing w:after="0" w:line="240" w:lineRule="auto"/>
        <w:jc w:val="both"/>
        <w:rPr>
          <w:rFonts w:ascii="Open Sans" w:eastAsia="Times New Roman" w:hAnsi="Open Sans" w:cs="Open Sans"/>
          <w:b/>
          <w:bCs/>
          <w:smallCaps/>
          <w:color w:val="9D2235"/>
          <w:sz w:val="32"/>
          <w:szCs w:val="32"/>
          <w:lang w:eastAsia="es-ES"/>
        </w:rPr>
      </w:pPr>
      <w:r w:rsidRPr="00A07BE9">
        <w:rPr>
          <w:rFonts w:ascii="Open Sans" w:eastAsia="Times New Roman" w:hAnsi="Open Sans" w:cs="Open Sans"/>
          <w:b/>
          <w:bCs/>
          <w:smallCaps/>
          <w:color w:val="9D2235"/>
          <w:sz w:val="32"/>
          <w:szCs w:val="32"/>
          <w:lang w:eastAsia="es-ES"/>
        </w:rPr>
        <w:t>4.5. Convenios y otras colaboraciones</w:t>
      </w:r>
    </w:p>
    <w:p w14:paraId="0E8F855A" w14:textId="77777777" w:rsidR="00671CE2" w:rsidRPr="00A07BE9" w:rsidRDefault="00671CE2" w:rsidP="00671CE2">
      <w:pPr>
        <w:spacing w:after="0" w:line="240" w:lineRule="auto"/>
        <w:jc w:val="both"/>
        <w:rPr>
          <w:rFonts w:ascii="Open Sans" w:hAnsi="Open Sans"/>
          <w:b/>
          <w:bCs/>
          <w:color w:val="000000"/>
          <w:sz w:val="20"/>
          <w:szCs w:val="20"/>
        </w:rPr>
      </w:pPr>
    </w:p>
    <w:p w14:paraId="32FB7E66" w14:textId="6C7D2FD2" w:rsidR="00671CE2" w:rsidRPr="00A07BE9" w:rsidRDefault="00671CE2" w:rsidP="00671CE2">
      <w:pPr>
        <w:spacing w:after="0" w:line="276" w:lineRule="auto"/>
        <w:jc w:val="both"/>
        <w:rPr>
          <w:rFonts w:ascii="Open Sans" w:hAnsi="Open Sans"/>
          <w:color w:val="000000"/>
          <w:sz w:val="20"/>
          <w:szCs w:val="20"/>
        </w:rPr>
      </w:pPr>
      <w:r w:rsidRPr="00A07BE9">
        <w:rPr>
          <w:rFonts w:ascii="Open Sans" w:hAnsi="Open Sans"/>
          <w:color w:val="000000"/>
          <w:sz w:val="20"/>
          <w:szCs w:val="20"/>
        </w:rPr>
        <w:t xml:space="preserve">Son objeto de inscripción en el Registro de convenios de la Agencia los convenios suscritos, así como cualquier incidencia relativa a la interpretación, ejecución, modificación, prórroga, suspensión y extinción de los mismos. En dicho Registro constan, hasta el momento, los convenios firmados por la </w:t>
      </w:r>
      <w:r w:rsidR="0001775B" w:rsidRPr="00A07BE9">
        <w:rPr>
          <w:rFonts w:ascii="Open Sans" w:hAnsi="Open Sans"/>
          <w:color w:val="000000"/>
          <w:sz w:val="20"/>
          <w:szCs w:val="20"/>
        </w:rPr>
        <w:t>Dirección de la Agencia</w:t>
      </w:r>
      <w:r w:rsidRPr="00A07BE9">
        <w:rPr>
          <w:rFonts w:ascii="Open Sans" w:hAnsi="Open Sans"/>
          <w:color w:val="000000"/>
          <w:sz w:val="20"/>
          <w:szCs w:val="20"/>
        </w:rPr>
        <w:t xml:space="preserve"> en los ejercicios 2018 y 2019.</w:t>
      </w:r>
    </w:p>
    <w:p w14:paraId="752CEB70" w14:textId="77777777" w:rsidR="00671CE2" w:rsidRPr="00A07BE9" w:rsidRDefault="00671CE2" w:rsidP="00671CE2">
      <w:pPr>
        <w:spacing w:after="0" w:line="276" w:lineRule="auto"/>
        <w:jc w:val="both"/>
        <w:rPr>
          <w:rFonts w:ascii="Open Sans" w:hAnsi="Open Sans"/>
          <w:color w:val="000000"/>
          <w:sz w:val="20"/>
          <w:szCs w:val="20"/>
        </w:rPr>
      </w:pPr>
    </w:p>
    <w:p w14:paraId="57512677" w14:textId="77777777" w:rsidR="00671CE2" w:rsidRPr="00A07BE9" w:rsidRDefault="00671CE2" w:rsidP="00671CE2">
      <w:pPr>
        <w:spacing w:after="0" w:line="276" w:lineRule="auto"/>
        <w:jc w:val="both"/>
        <w:rPr>
          <w:rFonts w:ascii="Open Sans" w:hAnsi="Open Sans"/>
          <w:color w:val="000000"/>
          <w:sz w:val="20"/>
          <w:szCs w:val="20"/>
        </w:rPr>
      </w:pPr>
      <w:r w:rsidRPr="00A07BE9">
        <w:rPr>
          <w:rFonts w:ascii="Open Sans" w:hAnsi="Open Sans"/>
          <w:color w:val="000000"/>
          <w:sz w:val="20"/>
          <w:szCs w:val="20"/>
        </w:rPr>
        <w:t>En 2018, conforme figura en la correspondiente Memoria, se suscribieron tres convenios marco: el primero, con la Oficina Antifrau de Catalunya; el segundo, con la Oficina de Prevención y Lucha contra la Corrupción de les Illes Balears; y finalmente, el tercero, con el</w:t>
      </w:r>
      <w:r w:rsidRPr="00A07BE9">
        <w:rPr>
          <w:rFonts w:ascii="Open Sans" w:hAnsi="Open Sans" w:cs="Arial"/>
          <w:color w:val="000000"/>
          <w:sz w:val="20"/>
          <w:szCs w:val="20"/>
        </w:rPr>
        <w:t xml:space="preserve"> Ayuntamiento de Barcelona. Dichos convenios se mantienen vigentes desde la fecha de su firma, desarrollándose las previsiones contenidas en los mismos y sin que se haya planteado incidencia alguna en su ejecución.</w:t>
      </w:r>
    </w:p>
    <w:p w14:paraId="5F3D89F5" w14:textId="77777777" w:rsidR="00671CE2" w:rsidRPr="00A07BE9" w:rsidRDefault="00671CE2" w:rsidP="00671CE2">
      <w:pPr>
        <w:spacing w:after="0" w:line="276" w:lineRule="auto"/>
        <w:jc w:val="both"/>
        <w:rPr>
          <w:rFonts w:ascii="Open Sans" w:hAnsi="Open Sans" w:cs="Arial"/>
          <w:color w:val="000000"/>
          <w:sz w:val="20"/>
          <w:szCs w:val="20"/>
        </w:rPr>
      </w:pPr>
    </w:p>
    <w:p w14:paraId="56E256F7" w14:textId="77777777" w:rsidR="00671CE2" w:rsidRPr="00A07BE9" w:rsidRDefault="00671CE2" w:rsidP="00671CE2">
      <w:pPr>
        <w:spacing w:after="0" w:line="276" w:lineRule="auto"/>
        <w:jc w:val="both"/>
        <w:rPr>
          <w:rFonts w:ascii="Open Sans" w:hAnsi="Open Sans"/>
          <w:color w:val="000000"/>
          <w:sz w:val="20"/>
          <w:szCs w:val="20"/>
        </w:rPr>
      </w:pPr>
      <w:r w:rsidRPr="00A07BE9">
        <w:rPr>
          <w:rFonts w:ascii="Open Sans" w:hAnsi="Open Sans"/>
          <w:color w:val="000000"/>
          <w:sz w:val="20"/>
          <w:szCs w:val="20"/>
        </w:rPr>
        <w:t xml:space="preserve">Asimismo, durante el año 2019, en aras a continuar fortaleciendo los canales permanentes de comunicación y colaboración con otros entes para mejorar la eficacia del cumplimiento de objetivos de interés común, la Agencia ha suscrito dos nuevos convenios marco. </w:t>
      </w:r>
    </w:p>
    <w:p w14:paraId="442F2F33" w14:textId="77777777" w:rsidR="00671CE2" w:rsidRPr="00A07BE9" w:rsidRDefault="00671CE2" w:rsidP="00671CE2">
      <w:pPr>
        <w:spacing w:after="0" w:line="276" w:lineRule="auto"/>
        <w:jc w:val="both"/>
        <w:rPr>
          <w:rFonts w:ascii="Open Sans" w:hAnsi="Open Sans"/>
          <w:color w:val="000000"/>
          <w:sz w:val="20"/>
          <w:szCs w:val="20"/>
        </w:rPr>
      </w:pPr>
    </w:p>
    <w:p w14:paraId="61329FD3" w14:textId="77777777" w:rsidR="00671CE2" w:rsidRPr="00A07BE9" w:rsidRDefault="00671CE2" w:rsidP="00671CE2">
      <w:pPr>
        <w:spacing w:after="0" w:line="276" w:lineRule="auto"/>
        <w:jc w:val="both"/>
        <w:rPr>
          <w:sz w:val="20"/>
          <w:szCs w:val="20"/>
        </w:rPr>
      </w:pPr>
      <w:r w:rsidRPr="00A07BE9">
        <w:rPr>
          <w:rFonts w:ascii="Open Sans" w:hAnsi="Open Sans"/>
          <w:color w:val="000000"/>
          <w:sz w:val="20"/>
          <w:szCs w:val="20"/>
        </w:rPr>
        <w:t>El primero de los convenios marco de 2019 es el suscrito en fecha 9 de julio entre la Agencia y la Asociación Tactical Whistleblower, a</w:t>
      </w:r>
      <w:r w:rsidRPr="00A07BE9">
        <w:rPr>
          <w:rStyle w:val="Tipusdelletraperdefectedelpargraf"/>
          <w:rFonts w:ascii="Open Sans" w:hAnsi="Open Sans" w:cs="Arial"/>
          <w:color w:val="000000"/>
          <w:sz w:val="20"/>
          <w:szCs w:val="20"/>
        </w:rPr>
        <w:t xml:space="preserve">sociación sin ánimo de lucro constituida en España, que nace con vocación de promover la ética y la seguridad en las instituciones, tanto públicas como privadas, en sus relaciones administrativas, sociales y comerciales. Dicho convenio contempla, entre sus objetivos, promover la ética y seguridad en el mercado financiero mediante la aplicación de tecnologías como el </w:t>
      </w:r>
      <w:r w:rsidRPr="00A07BE9">
        <w:rPr>
          <w:rStyle w:val="Tipusdelletraperdefectedelpargraf"/>
          <w:rFonts w:ascii="Open Sans" w:hAnsi="Open Sans" w:cs="Arial"/>
          <w:i/>
          <w:iCs/>
          <w:color w:val="000000"/>
          <w:sz w:val="20"/>
          <w:szCs w:val="20"/>
        </w:rPr>
        <w:t xml:space="preserve">blockchain </w:t>
      </w:r>
      <w:r w:rsidRPr="00A07BE9">
        <w:rPr>
          <w:rStyle w:val="Tipusdelletraperdefectedelpargraf"/>
          <w:rFonts w:ascii="Open Sans" w:hAnsi="Open Sans" w:cs="Arial"/>
          <w:color w:val="000000"/>
          <w:sz w:val="20"/>
          <w:szCs w:val="20"/>
        </w:rPr>
        <w:t xml:space="preserve">y otras herramientas ya desarrolladas o en vías de desarrollo, así como </w:t>
      </w:r>
      <w:r w:rsidRPr="00A07BE9">
        <w:rPr>
          <w:rFonts w:ascii="Open Sans" w:hAnsi="Open Sans" w:cs="Arial"/>
          <w:color w:val="000000"/>
          <w:sz w:val="20"/>
          <w:szCs w:val="20"/>
        </w:rPr>
        <w:t xml:space="preserve">colaborar en la implementación de aplicaciones tecnológicas que faciliten la lucha contra el fraude y la corrupción en los </w:t>
      </w:r>
      <w:r w:rsidRPr="00A07BE9">
        <w:rPr>
          <w:rFonts w:ascii="Open Sans" w:hAnsi="Open Sans" w:cs="Arial"/>
          <w:color w:val="000000"/>
          <w:sz w:val="20"/>
          <w:szCs w:val="20"/>
        </w:rPr>
        <w:lastRenderedPageBreak/>
        <w:t xml:space="preserve">ámbitos de la contratación, las subvenciones y las concesiones públicas. Este convenio se publicó en el </w:t>
      </w:r>
      <w:r w:rsidRPr="00A07BE9">
        <w:rPr>
          <w:rFonts w:ascii="Open Sans" w:hAnsi="Open Sans"/>
          <w:color w:val="000000"/>
          <w:sz w:val="20"/>
          <w:szCs w:val="20"/>
        </w:rPr>
        <w:t>DOGV núm. 8604 de 1 de agosto 2019 y en el BOCV núm. 18 de 31 de julio de 2019, además de constar en la página web de la Agencia en cumplimiento de las prescripciones legales sobre transparencia.</w:t>
      </w:r>
    </w:p>
    <w:p w14:paraId="6E2A5BDC" w14:textId="77777777" w:rsidR="00671CE2" w:rsidRPr="00A07BE9" w:rsidRDefault="00671CE2" w:rsidP="00671CE2">
      <w:pPr>
        <w:spacing w:after="0" w:line="276" w:lineRule="auto"/>
        <w:jc w:val="both"/>
        <w:rPr>
          <w:rFonts w:ascii="Open Sans" w:hAnsi="Open Sans"/>
          <w:color w:val="000000"/>
          <w:sz w:val="20"/>
          <w:szCs w:val="20"/>
        </w:rPr>
      </w:pPr>
    </w:p>
    <w:p w14:paraId="6A12EA93" w14:textId="31005DCA" w:rsidR="00671CE2" w:rsidRPr="00A07BE9" w:rsidRDefault="00671CE2" w:rsidP="00671CE2">
      <w:pPr>
        <w:spacing w:after="0" w:line="276" w:lineRule="auto"/>
        <w:jc w:val="both"/>
        <w:rPr>
          <w:rFonts w:ascii="Open Sans" w:hAnsi="Open Sans"/>
          <w:sz w:val="20"/>
          <w:szCs w:val="20"/>
        </w:rPr>
      </w:pPr>
      <w:r w:rsidRPr="00A07BE9">
        <w:rPr>
          <w:rFonts w:ascii="Open Sans" w:hAnsi="Open Sans"/>
          <w:color w:val="000000"/>
          <w:sz w:val="20"/>
          <w:szCs w:val="20"/>
        </w:rPr>
        <w:t xml:space="preserve">El segundo de los citados convenios marco fue suscrito en fecha 14 de octubre de 2019 con la Universitat de València, siendo su finalidad el </w:t>
      </w:r>
      <w:r w:rsidRPr="00A07BE9">
        <w:rPr>
          <w:rFonts w:ascii="Open Sans" w:hAnsi="Open Sans" w:cs="Arial"/>
          <w:color w:val="000000"/>
          <w:sz w:val="20"/>
          <w:szCs w:val="20"/>
        </w:rPr>
        <w:t>establecimiento de un marco de actuación para la colaboración entre las partes en actividades de formación, sensibilización de la comunidad universitaria e investigación aplicada. Fue</w:t>
      </w:r>
      <w:r w:rsidRPr="00A07BE9">
        <w:rPr>
          <w:rFonts w:ascii="Open Sans" w:hAnsi="Open Sans" w:cs="Arial"/>
          <w:color w:val="729FCF"/>
          <w:sz w:val="20"/>
          <w:szCs w:val="20"/>
        </w:rPr>
        <w:t xml:space="preserve"> </w:t>
      </w:r>
      <w:r w:rsidRPr="00A07BE9">
        <w:rPr>
          <w:rFonts w:ascii="Open Sans" w:hAnsi="Open Sans" w:cs="Arial"/>
          <w:color w:val="000000"/>
          <w:sz w:val="20"/>
          <w:szCs w:val="20"/>
        </w:rPr>
        <w:t>objeto de publicación en el</w:t>
      </w:r>
      <w:r w:rsidRPr="00A07BE9">
        <w:rPr>
          <w:rFonts w:ascii="Open Sans" w:hAnsi="Open Sans" w:cs="Arial"/>
          <w:color w:val="729FCF"/>
          <w:sz w:val="20"/>
          <w:szCs w:val="20"/>
        </w:rPr>
        <w:t xml:space="preserve"> </w:t>
      </w:r>
      <w:r w:rsidRPr="00A07BE9">
        <w:rPr>
          <w:rFonts w:ascii="Open Sans" w:hAnsi="Open Sans" w:cs="Arial"/>
          <w:color w:val="000000"/>
          <w:sz w:val="20"/>
          <w:szCs w:val="20"/>
        </w:rPr>
        <w:t>BOCV núm. 51 de 30 de diciembre de 2019 y en la página web de la Agencia.</w:t>
      </w:r>
    </w:p>
    <w:p w14:paraId="72BDF9B8" w14:textId="77777777" w:rsidR="00671CE2" w:rsidRPr="00A07BE9" w:rsidRDefault="00671CE2" w:rsidP="00671CE2">
      <w:pPr>
        <w:spacing w:after="0" w:line="240" w:lineRule="auto"/>
        <w:jc w:val="both"/>
        <w:rPr>
          <w:rFonts w:ascii="Open Sans" w:hAnsi="Open Sans" w:cs="Arial"/>
          <w:color w:val="000000"/>
          <w:sz w:val="20"/>
          <w:szCs w:val="20"/>
        </w:rPr>
      </w:pPr>
    </w:p>
    <w:p w14:paraId="254A64DA" w14:textId="77777777" w:rsidR="00F261F3" w:rsidRPr="00A07BE9" w:rsidRDefault="00F261F3" w:rsidP="00671CE2">
      <w:pPr>
        <w:spacing w:after="0" w:line="240" w:lineRule="auto"/>
        <w:jc w:val="both"/>
        <w:rPr>
          <w:rFonts w:ascii="Open Sans" w:eastAsia="Times New Roman" w:hAnsi="Open Sans" w:cs="Times New Roman"/>
          <w:color w:val="C9211E"/>
          <w:sz w:val="20"/>
          <w:szCs w:val="20"/>
          <w:lang w:eastAsia="es-ES"/>
        </w:rPr>
      </w:pPr>
    </w:p>
    <w:p w14:paraId="1976D5E8" w14:textId="77777777" w:rsidR="00671CE2" w:rsidRPr="00A07BE9" w:rsidRDefault="00671CE2" w:rsidP="00671CE2">
      <w:pPr>
        <w:spacing w:after="0" w:line="240" w:lineRule="auto"/>
        <w:jc w:val="both"/>
        <w:rPr>
          <w:rFonts w:ascii="Open Sans" w:hAnsi="Open Sans"/>
          <w:color w:val="9D2235"/>
          <w:sz w:val="32"/>
          <w:szCs w:val="32"/>
        </w:rPr>
      </w:pPr>
      <w:r w:rsidRPr="00A07BE9">
        <w:rPr>
          <w:rFonts w:ascii="Open Sans" w:eastAsia="Times New Roman" w:hAnsi="Open Sans" w:cs="Open Sans"/>
          <w:b/>
          <w:bCs/>
          <w:smallCaps/>
          <w:color w:val="9D2235"/>
          <w:sz w:val="32"/>
          <w:szCs w:val="32"/>
          <w:lang w:eastAsia="es-ES"/>
        </w:rPr>
        <w:t xml:space="preserve">4.6. Asesoramiento jurídico, secretaría de mesa de negociación </w:t>
      </w:r>
      <w:r w:rsidRPr="00A07BE9">
        <w:rPr>
          <w:rFonts w:ascii="Open Sans" w:eastAsia="Times New Roman" w:hAnsi="Open Sans" w:cs="Open Sans"/>
          <w:b/>
          <w:bCs/>
          <w:smallCaps/>
          <w:color w:val="9D2235"/>
          <w:spacing w:val="-6"/>
          <w:sz w:val="32"/>
          <w:szCs w:val="32"/>
          <w:lang w:eastAsia="es-ES"/>
        </w:rPr>
        <w:t>y procedimientos contenciosos</w:t>
      </w:r>
    </w:p>
    <w:p w14:paraId="7EF8D874" w14:textId="77777777" w:rsidR="00671CE2" w:rsidRPr="00A07BE9" w:rsidRDefault="00671CE2" w:rsidP="00671CE2">
      <w:pPr>
        <w:spacing w:after="0" w:line="240" w:lineRule="auto"/>
        <w:jc w:val="both"/>
        <w:rPr>
          <w:rFonts w:ascii="Open Sans" w:hAnsi="Open Sans"/>
          <w:color w:val="000000"/>
          <w:sz w:val="20"/>
          <w:szCs w:val="20"/>
        </w:rPr>
      </w:pPr>
    </w:p>
    <w:p w14:paraId="2B94DCAB" w14:textId="3AD8835A" w:rsidR="00671CE2" w:rsidRPr="00A07BE9" w:rsidRDefault="00671CE2" w:rsidP="00671CE2">
      <w:pPr>
        <w:spacing w:after="0" w:line="276" w:lineRule="auto"/>
        <w:jc w:val="both"/>
        <w:rPr>
          <w:rFonts w:ascii="Open Sans" w:hAnsi="Open Sans"/>
          <w:color w:val="000000"/>
          <w:sz w:val="20"/>
          <w:szCs w:val="20"/>
        </w:rPr>
      </w:pPr>
      <w:r w:rsidRPr="00A07BE9">
        <w:rPr>
          <w:rFonts w:ascii="Open Sans" w:hAnsi="Open Sans"/>
          <w:color w:val="000000"/>
          <w:sz w:val="20"/>
          <w:szCs w:val="20"/>
        </w:rPr>
        <w:t xml:space="preserve">Durante el ejercicio 2019 se ha prestado </w:t>
      </w:r>
      <w:r w:rsidRPr="00A07BE9">
        <w:rPr>
          <w:rFonts w:ascii="Open Sans" w:hAnsi="Open Sans"/>
          <w:b/>
          <w:bCs/>
          <w:color w:val="000000"/>
          <w:sz w:val="20"/>
          <w:szCs w:val="20"/>
        </w:rPr>
        <w:t>asesoramiento jurídico</w:t>
      </w:r>
      <w:r w:rsidRPr="00A07BE9">
        <w:rPr>
          <w:rFonts w:ascii="Open Sans" w:hAnsi="Open Sans"/>
          <w:color w:val="000000"/>
          <w:sz w:val="20"/>
          <w:szCs w:val="20"/>
        </w:rPr>
        <w:t xml:space="preserve"> a la persona titular de la </w:t>
      </w:r>
      <w:r w:rsidR="0001775B" w:rsidRPr="00A07BE9">
        <w:rPr>
          <w:rFonts w:ascii="Open Sans" w:hAnsi="Open Sans"/>
          <w:color w:val="000000"/>
          <w:sz w:val="20"/>
          <w:szCs w:val="20"/>
        </w:rPr>
        <w:t>Dirección de la Agencia</w:t>
      </w:r>
      <w:r w:rsidRPr="00A07BE9">
        <w:rPr>
          <w:rFonts w:ascii="Open Sans" w:hAnsi="Open Sans"/>
          <w:color w:val="000000"/>
          <w:sz w:val="20"/>
          <w:szCs w:val="20"/>
        </w:rPr>
        <w:t xml:space="preserve"> y a las diferentes unidades administrativas que integran la misma; tarea que se ha materializado a través de la contestación a consultas que se han planteado acerca de aspectos legales de diferentes cuestiones, y a través de la emisión de informes jurídicos específicos, preceptivos, como los relativos a expedientes de contratación que así lo requieren y los emitidos en la tramitación de convenios, o no preceptivos.</w:t>
      </w:r>
    </w:p>
    <w:p w14:paraId="08E24FC9" w14:textId="77777777" w:rsidR="00671CE2" w:rsidRPr="00A07BE9" w:rsidRDefault="00671CE2" w:rsidP="00671CE2">
      <w:pPr>
        <w:spacing w:after="0" w:line="276" w:lineRule="auto"/>
        <w:jc w:val="both"/>
        <w:rPr>
          <w:rFonts w:ascii="Open Sans" w:hAnsi="Open Sans"/>
          <w:color w:val="000000"/>
          <w:sz w:val="20"/>
          <w:szCs w:val="20"/>
        </w:rPr>
      </w:pPr>
    </w:p>
    <w:p w14:paraId="6D1B8651" w14:textId="1103CA4D" w:rsidR="00671CE2" w:rsidRPr="00A07BE9" w:rsidRDefault="00671CE2" w:rsidP="00671CE2">
      <w:pPr>
        <w:spacing w:after="0" w:line="276" w:lineRule="auto"/>
        <w:jc w:val="both"/>
        <w:rPr>
          <w:sz w:val="20"/>
          <w:szCs w:val="20"/>
        </w:rPr>
      </w:pPr>
      <w:r w:rsidRPr="00A07BE9">
        <w:rPr>
          <w:rFonts w:ascii="Open Sans" w:hAnsi="Open Sans"/>
          <w:color w:val="000000"/>
          <w:sz w:val="20"/>
          <w:szCs w:val="20"/>
        </w:rPr>
        <w:t xml:space="preserve">En cuanto a la emisión de </w:t>
      </w:r>
      <w:r w:rsidRPr="00A07BE9">
        <w:rPr>
          <w:rFonts w:ascii="Open Sans" w:hAnsi="Open Sans"/>
          <w:b/>
          <w:bCs/>
          <w:color w:val="000000"/>
          <w:sz w:val="20"/>
          <w:szCs w:val="20"/>
        </w:rPr>
        <w:t>informes jurídicos</w:t>
      </w:r>
      <w:r w:rsidRPr="00A07BE9">
        <w:rPr>
          <w:rFonts w:ascii="Open Sans" w:hAnsi="Open Sans"/>
          <w:color w:val="000000"/>
          <w:sz w:val="20"/>
          <w:szCs w:val="20"/>
        </w:rPr>
        <w:t xml:space="preserve"> durante 2019, además de los correspondientes a los expedientes de</w:t>
      </w:r>
      <w:r w:rsidRPr="00A07BE9">
        <w:rPr>
          <w:rFonts w:ascii="Open Sans" w:hAnsi="Open Sans"/>
          <w:color w:val="168253"/>
          <w:sz w:val="20"/>
          <w:szCs w:val="20"/>
        </w:rPr>
        <w:t xml:space="preserve"> </w:t>
      </w:r>
      <w:r w:rsidRPr="00A07BE9">
        <w:rPr>
          <w:rFonts w:ascii="Open Sans" w:hAnsi="Open Sans"/>
          <w:color w:val="000000"/>
          <w:sz w:val="20"/>
          <w:szCs w:val="20"/>
        </w:rPr>
        <w:t xml:space="preserve">tramitación ordinaria de contratos y de convenios, se actualizó, en abril de 2019, con motivo de la entrada en vigor del </w:t>
      </w:r>
      <w:hyperlink r:id="rId268" w:history="1">
        <w:r w:rsidRPr="00A07BE9">
          <w:rPr>
            <w:rStyle w:val="Hipervnculo"/>
            <w:rFonts w:ascii="Open Sans" w:hAnsi="Open Sans"/>
            <w:sz w:val="20"/>
            <w:szCs w:val="20"/>
          </w:rPr>
          <w:t>Decreto 42/2019, de 22 de marzo, del Consell</w:t>
        </w:r>
        <w:r w:rsidRPr="00A07BE9">
          <w:rPr>
            <w:rStyle w:val="Hipervnculo"/>
            <w:rFonts w:ascii="Open Sans" w:hAnsi="Open Sans"/>
            <w:color w:val="auto"/>
            <w:sz w:val="20"/>
            <w:szCs w:val="20"/>
            <w:u w:val="none"/>
          </w:rPr>
          <w:t>, de regulación de las condiciones de trabajo del personal funcionario de la Administración de la Generalitat</w:t>
        </w:r>
      </w:hyperlink>
      <w:r w:rsidRPr="00A07BE9">
        <w:rPr>
          <w:rFonts w:ascii="Open Sans" w:hAnsi="Open Sans"/>
          <w:color w:val="000000"/>
          <w:sz w:val="20"/>
          <w:szCs w:val="20"/>
        </w:rPr>
        <w:t xml:space="preserve">, el </w:t>
      </w:r>
      <w:hyperlink r:id="rId269" w:history="1">
        <w:r w:rsidRPr="00A07BE9">
          <w:rPr>
            <w:rStyle w:val="Hipervnculo"/>
            <w:rFonts w:ascii="Open Sans" w:hAnsi="Open Sans" w:cs="Arial"/>
            <w:sz w:val="20"/>
            <w:szCs w:val="20"/>
          </w:rPr>
          <w:t xml:space="preserve">informe jurídico sobre el marco normativo de aplicación, en materia de personal, al funcionariado de la Agencia </w:t>
        </w:r>
        <w:r w:rsidRPr="00A07BE9">
          <w:rPr>
            <w:rStyle w:val="Hipervnculo"/>
            <w:rFonts w:ascii="Open Sans" w:hAnsi="Open Sans" w:cs="Arial"/>
            <w:color w:val="auto"/>
            <w:sz w:val="20"/>
            <w:szCs w:val="20"/>
            <w:u w:val="none"/>
          </w:rPr>
          <w:t>en fecha de 18 de abril de 2019</w:t>
        </w:r>
      </w:hyperlink>
      <w:r w:rsidRPr="00A07BE9">
        <w:rPr>
          <w:rStyle w:val="Tipusdelletraperdefectedelpargraf"/>
          <w:rFonts w:ascii="Open Sans" w:hAnsi="Open Sans" w:cs="Arial"/>
          <w:color w:val="000000"/>
          <w:sz w:val="20"/>
          <w:szCs w:val="20"/>
        </w:rPr>
        <w:t xml:space="preserve">; y se </w:t>
      </w:r>
      <w:r w:rsidRPr="00A07BE9">
        <w:rPr>
          <w:rFonts w:ascii="Open Sans" w:hAnsi="Open Sans"/>
          <w:color w:val="000000"/>
          <w:sz w:val="20"/>
          <w:szCs w:val="20"/>
        </w:rPr>
        <w:t>ha continuado adaptando los informes relativos al paso a la situación administrativa de servicios especiales del personal funcionario de carrera que adquiere un puesto</w:t>
      </w:r>
      <w:r w:rsidRPr="00A07BE9">
        <w:rPr>
          <w:rFonts w:ascii="Open Sans" w:hAnsi="Open Sans" w:cs="Arial"/>
          <w:color w:val="000000"/>
          <w:sz w:val="20"/>
          <w:szCs w:val="20"/>
        </w:rPr>
        <w:t xml:space="preserve"> </w:t>
      </w:r>
      <w:r w:rsidRPr="00A07BE9">
        <w:rPr>
          <w:rStyle w:val="Tipusdelletraperdefectedelpargraf"/>
          <w:rFonts w:ascii="Open Sans" w:hAnsi="Open Sans" w:cs="Arial"/>
          <w:color w:val="000000"/>
          <w:sz w:val="20"/>
          <w:szCs w:val="20"/>
        </w:rPr>
        <w:t>con carácter definitivo, a efectos del reconocimiento de esta situación administrativa en las administraciones públicas de procedencia.</w:t>
      </w:r>
    </w:p>
    <w:p w14:paraId="53FCC963" w14:textId="77777777" w:rsidR="00671CE2" w:rsidRPr="00A07BE9" w:rsidRDefault="00671CE2" w:rsidP="00671CE2">
      <w:pPr>
        <w:spacing w:after="0" w:line="276" w:lineRule="auto"/>
        <w:jc w:val="both"/>
        <w:rPr>
          <w:rStyle w:val="Tipusdelletraperdefectedelpargraf"/>
          <w:rFonts w:ascii="Open Sans" w:hAnsi="Open Sans" w:cs="Arial"/>
          <w:color w:val="000000"/>
          <w:sz w:val="20"/>
          <w:szCs w:val="20"/>
        </w:rPr>
      </w:pPr>
    </w:p>
    <w:p w14:paraId="23C6AD77" w14:textId="318DF25A" w:rsidR="00671CE2" w:rsidRPr="00A07BE9" w:rsidRDefault="00671CE2" w:rsidP="00671CE2">
      <w:pPr>
        <w:spacing w:after="0" w:line="276" w:lineRule="auto"/>
        <w:jc w:val="both"/>
        <w:rPr>
          <w:sz w:val="20"/>
          <w:szCs w:val="20"/>
        </w:rPr>
      </w:pPr>
      <w:r w:rsidRPr="00A07BE9">
        <w:rPr>
          <w:rStyle w:val="Tipusdelletraperdefectedelpargraf"/>
          <w:rFonts w:ascii="Open Sans" w:hAnsi="Open Sans" w:cs="Arial"/>
          <w:color w:val="000000"/>
          <w:sz w:val="20"/>
          <w:szCs w:val="20"/>
        </w:rPr>
        <w:t xml:space="preserve">Asimismo, en relación con los recursos humanos de la Agencia se evacuó el </w:t>
      </w:r>
      <w:hyperlink r:id="rId270" w:history="1">
        <w:r w:rsidRPr="00A07BE9">
          <w:rPr>
            <w:rStyle w:val="Hipervnculo"/>
            <w:rFonts w:ascii="Open Sans" w:hAnsi="Open Sans" w:cs="Arial"/>
            <w:sz w:val="20"/>
            <w:szCs w:val="20"/>
          </w:rPr>
          <w:t>informe jurídico de 4 de julio de 2019, sobre la forma de provisión de puestos de trabajo</w:t>
        </w:r>
      </w:hyperlink>
      <w:r w:rsidRPr="00A07BE9">
        <w:rPr>
          <w:rStyle w:val="Tipusdelletraperdefectedelpargraf"/>
          <w:rFonts w:ascii="Open Sans" w:hAnsi="Open Sans" w:cs="Arial"/>
          <w:color w:val="000000"/>
          <w:sz w:val="20"/>
          <w:szCs w:val="20"/>
        </w:rPr>
        <w:t xml:space="preserve"> prevista en la propuesta de Relación de Puestos de Trabajo de la Agencia de Prevención y Lucha contra el Fraude y la Corrupción de la Comunitat Valenciana.</w:t>
      </w:r>
    </w:p>
    <w:p w14:paraId="17F9612F" w14:textId="77777777" w:rsidR="00671CE2" w:rsidRPr="00A07BE9" w:rsidRDefault="00671CE2" w:rsidP="00671CE2">
      <w:pPr>
        <w:spacing w:after="0" w:line="276" w:lineRule="auto"/>
        <w:jc w:val="both"/>
        <w:rPr>
          <w:rStyle w:val="Tipusdelletraperdefectedelpargraf"/>
          <w:rFonts w:ascii="Open Sans" w:hAnsi="Open Sans" w:cs="Arial"/>
          <w:color w:val="000000"/>
          <w:sz w:val="20"/>
          <w:szCs w:val="20"/>
        </w:rPr>
      </w:pPr>
    </w:p>
    <w:p w14:paraId="55120F54" w14:textId="488C9132" w:rsidR="00671CE2" w:rsidRPr="00A07BE9" w:rsidRDefault="00671CE2" w:rsidP="00671CE2">
      <w:pPr>
        <w:spacing w:after="0" w:line="276" w:lineRule="auto"/>
        <w:jc w:val="both"/>
        <w:rPr>
          <w:sz w:val="20"/>
          <w:szCs w:val="20"/>
        </w:rPr>
      </w:pPr>
      <w:r w:rsidRPr="00A07BE9">
        <w:rPr>
          <w:rStyle w:val="Tipusdelletraperdefectedelpargraf"/>
          <w:rFonts w:ascii="Open Sans" w:hAnsi="Open Sans" w:cs="Arial"/>
          <w:color w:val="000000"/>
          <w:sz w:val="20"/>
          <w:szCs w:val="20"/>
        </w:rPr>
        <w:t>Por otra parte, a petición de la Dirección de Análisis e Investigación de la Agencia, se emitió</w:t>
      </w:r>
      <w:r w:rsidRPr="00A07BE9">
        <w:rPr>
          <w:rStyle w:val="Tipusdelletraperdefectedelpargraf"/>
          <w:rFonts w:ascii="Open Sans" w:hAnsi="Open Sans" w:cs="Arial"/>
          <w:color w:val="729FCF"/>
          <w:sz w:val="20"/>
          <w:szCs w:val="20"/>
        </w:rPr>
        <w:t xml:space="preserve"> </w:t>
      </w:r>
      <w:r w:rsidRPr="00A07BE9">
        <w:rPr>
          <w:rStyle w:val="Tipusdelletraperdefectedelpargraf"/>
          <w:rFonts w:ascii="Open Sans" w:hAnsi="Open Sans" w:cs="Arial"/>
          <w:color w:val="000000"/>
          <w:sz w:val="20"/>
          <w:szCs w:val="20"/>
        </w:rPr>
        <w:t xml:space="preserve">el </w:t>
      </w:r>
      <w:hyperlink r:id="rId271" w:history="1">
        <w:r w:rsidRPr="00A07BE9">
          <w:rPr>
            <w:rStyle w:val="Hipervnculo"/>
            <w:rFonts w:ascii="Open Sans" w:hAnsi="Open Sans" w:cs="Arial"/>
            <w:sz w:val="20"/>
            <w:szCs w:val="20"/>
          </w:rPr>
          <w:t>informe jurídico de 18 de abril de 2019 sobre la cobertura por personal funcionario interino de determinados puestos de trabajo, incluidos en la relación de puestos de trabajo de la Generalitat</w:t>
        </w:r>
      </w:hyperlink>
      <w:r w:rsidRPr="00A07BE9">
        <w:rPr>
          <w:rStyle w:val="Tipusdelletraperdefectedelpargraf"/>
          <w:rFonts w:ascii="Open Sans" w:hAnsi="Open Sans" w:cs="Arial"/>
          <w:color w:val="000000"/>
          <w:sz w:val="20"/>
          <w:szCs w:val="20"/>
        </w:rPr>
        <w:t xml:space="preserve">, cuya forma de provisión es la libre designación, correspondientes a secretarías de altos cargos de la administración de la Generalitat, así como otros informes y </w:t>
      </w:r>
      <w:r w:rsidRPr="00A07BE9">
        <w:rPr>
          <w:rStyle w:val="Tipusdelletraperdefectedelpargraf"/>
          <w:rFonts w:ascii="Open Sans" w:hAnsi="Open Sans" w:cs="Arial"/>
          <w:color w:val="000000"/>
          <w:sz w:val="20"/>
          <w:szCs w:val="20"/>
        </w:rPr>
        <w:lastRenderedPageBreak/>
        <w:t>asesoramientos en relación con los trámites a seguir en el procedimiento de investigación derivado de la interposición de denuncias de la Agencia y otras cuestiones relativas al contenido de determinadas denuncias presentadas en la Agencia y sus consecuencias jurídicas.</w:t>
      </w:r>
    </w:p>
    <w:p w14:paraId="12B99E8E" w14:textId="77777777" w:rsidR="00433C7A" w:rsidRPr="00A07BE9" w:rsidRDefault="00433C7A" w:rsidP="00671CE2">
      <w:pPr>
        <w:spacing w:after="0" w:line="276" w:lineRule="auto"/>
        <w:jc w:val="both"/>
        <w:rPr>
          <w:rStyle w:val="Tipusdelletraperdefectedelpargraf"/>
          <w:rFonts w:ascii="Open Sans" w:hAnsi="Open Sans" w:cs="Arial"/>
          <w:color w:val="000000"/>
          <w:sz w:val="20"/>
          <w:szCs w:val="20"/>
        </w:rPr>
      </w:pPr>
    </w:p>
    <w:p w14:paraId="0F7A5AB8" w14:textId="60D510AE" w:rsidR="00671CE2" w:rsidRPr="00A07BE9" w:rsidRDefault="00671CE2" w:rsidP="00671CE2">
      <w:pPr>
        <w:pStyle w:val="Textbody"/>
        <w:spacing w:after="0" w:line="276" w:lineRule="auto"/>
        <w:jc w:val="both"/>
        <w:rPr>
          <w:rFonts w:ascii="Open Sans" w:hAnsi="Open Sans"/>
          <w:sz w:val="20"/>
          <w:szCs w:val="20"/>
        </w:rPr>
      </w:pPr>
      <w:r w:rsidRPr="00A07BE9">
        <w:rPr>
          <w:rFonts w:ascii="Open Sans" w:hAnsi="Open Sans"/>
          <w:color w:val="000000"/>
          <w:sz w:val="20"/>
          <w:szCs w:val="20"/>
        </w:rPr>
        <w:t>Igualmente, resulta necesario destacar</w:t>
      </w:r>
      <w:r w:rsidRPr="00A07BE9">
        <w:rPr>
          <w:rStyle w:val="Tipusdelletraperdefectedelpargraf"/>
          <w:rFonts w:ascii="Open Sans" w:hAnsi="Open Sans"/>
          <w:color w:val="000000"/>
          <w:sz w:val="20"/>
          <w:szCs w:val="20"/>
          <w:lang w:bidi="ar-SA"/>
        </w:rPr>
        <w:t xml:space="preserve"> en este punto, la emisión del </w:t>
      </w:r>
      <w:hyperlink r:id="rId272" w:history="1">
        <w:r w:rsidRPr="00A07BE9">
          <w:rPr>
            <w:rStyle w:val="Hipervnculo"/>
            <w:rFonts w:ascii="Open Sans" w:hAnsi="Open Sans"/>
            <w:sz w:val="20"/>
            <w:szCs w:val="20"/>
            <w:lang w:bidi="ar-SA"/>
          </w:rPr>
          <w:t xml:space="preserve">informe jurídico de 28 de mayo de 2019 sobre las consideraciones contenidas en el </w:t>
        </w:r>
        <w:r w:rsidR="005B415E" w:rsidRPr="00A07BE9">
          <w:rPr>
            <w:rStyle w:val="Hipervnculo"/>
            <w:rFonts w:ascii="Open Sans" w:hAnsi="Open Sans"/>
            <w:sz w:val="20"/>
            <w:szCs w:val="20"/>
            <w:lang w:bidi="ar-SA"/>
          </w:rPr>
          <w:t>D</w:t>
        </w:r>
        <w:r w:rsidRPr="00A07BE9">
          <w:rPr>
            <w:rStyle w:val="Hipervnculo"/>
            <w:rFonts w:ascii="Open Sans" w:hAnsi="Open Sans"/>
            <w:sz w:val="20"/>
            <w:szCs w:val="20"/>
            <w:lang w:bidi="ar-SA"/>
          </w:rPr>
          <w:t>ictamen núm. 266/2019 del Consell Jurídic Consultiu de fecha 24 de abril de 2019</w:t>
        </w:r>
      </w:hyperlink>
      <w:r w:rsidRPr="00A07BE9">
        <w:rPr>
          <w:rStyle w:val="Tipusdelletraperdefectedelpargraf"/>
          <w:rFonts w:ascii="Open Sans" w:hAnsi="Open Sans"/>
          <w:color w:val="000000"/>
          <w:sz w:val="20"/>
          <w:szCs w:val="20"/>
          <w:lang w:bidi="ar-SA"/>
        </w:rPr>
        <w:t xml:space="preserve">, sobre el proyecto de </w:t>
      </w:r>
      <w:hyperlink r:id="rId273" w:history="1">
        <w:r w:rsidRPr="00A07BE9">
          <w:rPr>
            <w:rStyle w:val="Hipervnculo"/>
            <w:rFonts w:ascii="Open Sans" w:hAnsi="Open Sans"/>
            <w:sz w:val="20"/>
            <w:szCs w:val="20"/>
            <w:lang w:bidi="ar-SA"/>
          </w:rPr>
          <w:t>Reglamento de funcionamiento y régimen interior</w:t>
        </w:r>
      </w:hyperlink>
      <w:r w:rsidRPr="00A07BE9">
        <w:rPr>
          <w:rStyle w:val="Tipusdelletraperdefectedelpargraf"/>
          <w:rFonts w:ascii="Open Sans" w:hAnsi="Open Sans"/>
          <w:color w:val="000000"/>
          <w:sz w:val="20"/>
          <w:szCs w:val="20"/>
          <w:lang w:bidi="ar-SA"/>
        </w:rPr>
        <w:t xml:space="preserve"> de la Agencia, como desarrollo de la </w:t>
      </w:r>
      <w:hyperlink r:id="rId274" w:history="1">
        <w:r w:rsidR="0050097D" w:rsidRPr="00A07BE9">
          <w:rPr>
            <w:rStyle w:val="Hipervnculo"/>
            <w:rFonts w:ascii="Open Sans" w:hAnsi="Open Sans" w:cs="Open Sans"/>
            <w:sz w:val="20"/>
            <w:szCs w:val="20"/>
          </w:rPr>
          <w:t>Ley 11/2016</w:t>
        </w:r>
        <w:r w:rsidR="0050097D" w:rsidRPr="00A07BE9">
          <w:rPr>
            <w:rStyle w:val="Hipervnculo"/>
            <w:rFonts w:ascii="Open Sans" w:hAnsi="Open Sans"/>
            <w:color w:val="auto"/>
            <w:sz w:val="20"/>
            <w:szCs w:val="20"/>
            <w:u w:val="none"/>
          </w:rPr>
          <w:t>, de 28 de noviembre, de la Generalitat</w:t>
        </w:r>
      </w:hyperlink>
      <w:r w:rsidRPr="00A07BE9">
        <w:rPr>
          <w:rStyle w:val="Tipusdelletraperdefectedelpargraf"/>
          <w:rFonts w:ascii="Open Sans" w:hAnsi="Open Sans"/>
          <w:color w:val="000000"/>
          <w:sz w:val="20"/>
          <w:szCs w:val="20"/>
          <w:lang w:bidi="ar-SA"/>
        </w:rPr>
        <w:t>, al que se refiere el apartado 4.2.3.1. de esta Memoria, cuyo contenido íntegro puede</w:t>
      </w:r>
      <w:r w:rsidRPr="00A07BE9">
        <w:rPr>
          <w:rStyle w:val="Tipusdelletraperdefectedelpargraf"/>
          <w:rFonts w:ascii="Open Sans" w:eastAsia="Times New Roman" w:hAnsi="Open Sans" w:cs="Open Sans"/>
          <w:color w:val="000000"/>
          <w:sz w:val="20"/>
          <w:szCs w:val="20"/>
          <w:lang w:val="ca-ES" w:eastAsia="es-ES" w:bidi="ar-SA"/>
        </w:rPr>
        <w:t xml:space="preserve"> visualizarse en el portal de transparencia de la página web de la Agencia.</w:t>
      </w:r>
    </w:p>
    <w:p w14:paraId="63F702E2" w14:textId="77777777" w:rsidR="00671CE2" w:rsidRPr="00A07BE9" w:rsidRDefault="00671CE2" w:rsidP="00671CE2">
      <w:pPr>
        <w:pStyle w:val="Textbody"/>
        <w:spacing w:after="0" w:line="276" w:lineRule="auto"/>
        <w:jc w:val="both"/>
        <w:rPr>
          <w:rStyle w:val="Tipusdelletraperdefectedelpargraf"/>
          <w:rFonts w:ascii="Open Sans" w:hAnsi="Open Sans"/>
          <w:color w:val="000000"/>
          <w:sz w:val="20"/>
          <w:szCs w:val="20"/>
          <w:lang w:bidi="ar-SA"/>
        </w:rPr>
      </w:pPr>
    </w:p>
    <w:p w14:paraId="1636813B" w14:textId="77E7FEB1" w:rsidR="00671CE2" w:rsidRPr="00A07BE9" w:rsidRDefault="00671CE2" w:rsidP="00671CE2">
      <w:pPr>
        <w:spacing w:after="0" w:line="276" w:lineRule="auto"/>
        <w:jc w:val="both"/>
        <w:rPr>
          <w:rFonts w:ascii="Open Sans" w:hAnsi="Open Sans"/>
          <w:color w:val="000000"/>
          <w:sz w:val="20"/>
          <w:szCs w:val="20"/>
        </w:rPr>
      </w:pPr>
      <w:r w:rsidRPr="00A07BE9">
        <w:rPr>
          <w:rFonts w:ascii="Open Sans" w:hAnsi="Open Sans"/>
          <w:color w:val="000000"/>
          <w:sz w:val="20"/>
          <w:szCs w:val="20"/>
        </w:rPr>
        <w:t xml:space="preserve">En relación con la función de </w:t>
      </w:r>
      <w:r w:rsidRPr="00A07BE9">
        <w:rPr>
          <w:rFonts w:ascii="Open Sans" w:hAnsi="Open Sans"/>
          <w:b/>
          <w:bCs/>
          <w:color w:val="000000"/>
          <w:sz w:val="20"/>
          <w:szCs w:val="20"/>
        </w:rPr>
        <w:t>secretaría de la Mesa de negociación</w:t>
      </w:r>
      <w:r w:rsidRPr="00A07BE9">
        <w:rPr>
          <w:rFonts w:ascii="Open Sans" w:hAnsi="Open Sans"/>
          <w:color w:val="000000"/>
          <w:sz w:val="20"/>
          <w:szCs w:val="20"/>
        </w:rPr>
        <w:t xml:space="preserve"> de la Agencia, integrada por representantes de la propia Agencia y de las organizaciones sindicales FeSP-UGT, CC.OO y Stas-Intersindical Valenciana, cabe subrayar que se han mantenido durante 2019 varias reuniones a fin de tratar temas objeto de negociación colectiva, de acuerdo con lo dispuesto en el artículo 37 del </w:t>
      </w:r>
      <w:hyperlink r:id="rId275" w:history="1">
        <w:r w:rsidRPr="00A07BE9">
          <w:rPr>
            <w:rStyle w:val="Hipervnculo"/>
            <w:rFonts w:ascii="Open Sans" w:hAnsi="Open Sans"/>
            <w:sz w:val="20"/>
            <w:szCs w:val="20"/>
          </w:rPr>
          <w:t>Real Decreto Legislativo 5/2015, de 30 de octubre, por el que se aprueba el texto refundido de la Ley del Estatuto Básico del Empleado Público</w:t>
        </w:r>
      </w:hyperlink>
      <w:r w:rsidRPr="00A07BE9">
        <w:rPr>
          <w:rFonts w:ascii="Open Sans" w:hAnsi="Open Sans"/>
          <w:color w:val="000000"/>
          <w:sz w:val="20"/>
          <w:szCs w:val="20"/>
        </w:rPr>
        <w:t xml:space="preserve">, y el artículo 154.2 de la </w:t>
      </w:r>
      <w:hyperlink r:id="rId276" w:history="1">
        <w:r w:rsidRPr="00A07BE9">
          <w:rPr>
            <w:rStyle w:val="Hipervnculo"/>
            <w:rFonts w:ascii="Open Sans" w:hAnsi="Open Sans"/>
            <w:sz w:val="20"/>
            <w:szCs w:val="20"/>
          </w:rPr>
          <w:t>Ley 10/2010, de 9 de julio, de la Generalitat, de ordenación y gestión de la Función Pública Valenciana</w:t>
        </w:r>
      </w:hyperlink>
      <w:r w:rsidRPr="00A07BE9">
        <w:rPr>
          <w:rFonts w:ascii="Open Sans" w:hAnsi="Open Sans"/>
          <w:color w:val="000000"/>
          <w:sz w:val="20"/>
          <w:szCs w:val="20"/>
        </w:rPr>
        <w:t xml:space="preserve">. </w:t>
      </w:r>
    </w:p>
    <w:p w14:paraId="440861D7" w14:textId="77777777" w:rsidR="00671CE2" w:rsidRPr="00A07BE9" w:rsidRDefault="00671CE2" w:rsidP="00671CE2">
      <w:pPr>
        <w:spacing w:after="0" w:line="276" w:lineRule="auto"/>
        <w:jc w:val="both"/>
        <w:rPr>
          <w:rFonts w:ascii="Open Sans" w:hAnsi="Open Sans"/>
          <w:color w:val="000000"/>
          <w:sz w:val="20"/>
          <w:szCs w:val="20"/>
        </w:rPr>
      </w:pPr>
    </w:p>
    <w:p w14:paraId="109E51CC" w14:textId="383F6A3B" w:rsidR="00671CE2" w:rsidRPr="00A07BE9" w:rsidRDefault="00671CE2" w:rsidP="00671CE2">
      <w:pPr>
        <w:spacing w:after="0" w:line="276" w:lineRule="auto"/>
        <w:jc w:val="both"/>
        <w:rPr>
          <w:rFonts w:ascii="Open Sans" w:hAnsi="Open Sans"/>
          <w:color w:val="000000"/>
          <w:sz w:val="20"/>
          <w:szCs w:val="20"/>
        </w:rPr>
      </w:pPr>
      <w:r w:rsidRPr="00A07BE9">
        <w:rPr>
          <w:rFonts w:ascii="Open Sans" w:hAnsi="Open Sans"/>
          <w:color w:val="000000"/>
          <w:sz w:val="20"/>
          <w:szCs w:val="20"/>
        </w:rPr>
        <w:t xml:space="preserve">Así, la Mesa de negociación este año ha celebrado cuatro reuniones, respecto de las que se ha levantado la correspondiente acta, en fechas 4 de marzo, 10 de julio, 15 de julio y 20 de diciembre de 2019. Y se han suscrito dos acuerdos: el de 11 de marzo de 2019 por el que se da conformidad al proyecto de </w:t>
      </w:r>
      <w:hyperlink r:id="rId277" w:history="1">
        <w:r w:rsidRPr="00A07BE9">
          <w:rPr>
            <w:rStyle w:val="Hipervnculo"/>
            <w:rFonts w:ascii="Open Sans" w:hAnsi="Open Sans"/>
            <w:sz w:val="20"/>
            <w:szCs w:val="20"/>
          </w:rPr>
          <w:t>Reglamento de funcionamiento y régimen interior</w:t>
        </w:r>
      </w:hyperlink>
      <w:r w:rsidRPr="00A07BE9">
        <w:rPr>
          <w:rFonts w:ascii="Open Sans" w:hAnsi="Open Sans"/>
          <w:color w:val="000000"/>
          <w:sz w:val="20"/>
          <w:szCs w:val="20"/>
        </w:rPr>
        <w:t xml:space="preserve"> de la Agencia, y el de 24 de julio de 2019 relativo a la modificación de la Resolución de 13 de octubre de 2017 sobre reconocimiento individualizado del desarrollo profesional alcanzado por el personal funcionario de carrera de la Agencia.</w:t>
      </w:r>
    </w:p>
    <w:p w14:paraId="24B4A6AC" w14:textId="77777777" w:rsidR="00671CE2" w:rsidRPr="00A07BE9" w:rsidRDefault="00671CE2" w:rsidP="00671CE2">
      <w:pPr>
        <w:spacing w:after="0" w:line="276" w:lineRule="auto"/>
        <w:jc w:val="both"/>
        <w:rPr>
          <w:rFonts w:ascii="Open Sans" w:hAnsi="Open Sans"/>
          <w:color w:val="000000"/>
          <w:sz w:val="20"/>
          <w:szCs w:val="20"/>
        </w:rPr>
      </w:pPr>
    </w:p>
    <w:p w14:paraId="6F81A4FB" w14:textId="77777777" w:rsidR="0050097D" w:rsidRPr="00A07BE9" w:rsidRDefault="00671CE2" w:rsidP="00671CE2">
      <w:pPr>
        <w:spacing w:after="0" w:line="276" w:lineRule="auto"/>
        <w:jc w:val="both"/>
        <w:rPr>
          <w:rFonts w:ascii="Open Sans" w:hAnsi="Open Sans" w:cs="Open Sans"/>
          <w:sz w:val="20"/>
          <w:szCs w:val="20"/>
        </w:rPr>
      </w:pPr>
      <w:r w:rsidRPr="00A07BE9">
        <w:rPr>
          <w:rFonts w:ascii="Open Sans" w:hAnsi="Open Sans"/>
          <w:color w:val="000000"/>
          <w:sz w:val="20"/>
          <w:szCs w:val="20"/>
        </w:rPr>
        <w:t>En la reunión de 4 de marzo</w:t>
      </w:r>
      <w:r w:rsidRPr="00A07BE9">
        <w:rPr>
          <w:rFonts w:ascii="Open Sans" w:hAnsi="Open Sans"/>
          <w:color w:val="CE181E"/>
          <w:sz w:val="20"/>
          <w:szCs w:val="20"/>
        </w:rPr>
        <w:t xml:space="preserve"> </w:t>
      </w:r>
      <w:r w:rsidRPr="00A07BE9">
        <w:rPr>
          <w:rFonts w:ascii="Open Sans" w:hAnsi="Open Sans"/>
          <w:color w:val="000000"/>
          <w:sz w:val="20"/>
          <w:szCs w:val="20"/>
        </w:rPr>
        <w:t xml:space="preserve">se trató, como único punto del orden del día, la negociación de </w:t>
      </w:r>
      <w:r w:rsidRPr="00A07BE9">
        <w:rPr>
          <w:rFonts w:ascii="Open Sans" w:hAnsi="Open Sans" w:cs="Arial"/>
          <w:color w:val="000000"/>
          <w:sz w:val="20"/>
          <w:szCs w:val="20"/>
        </w:rPr>
        <w:t>las condiciones de trabajo del personal de la Agencia, incluidas en el</w:t>
      </w:r>
      <w:r w:rsidRPr="00A07BE9">
        <w:rPr>
          <w:rFonts w:ascii="Open Sans" w:hAnsi="Open Sans"/>
          <w:color w:val="000000"/>
          <w:sz w:val="20"/>
          <w:szCs w:val="20"/>
        </w:rPr>
        <w:t xml:space="preserve"> proyecto de Reglamento de funcionamiento y régimen interior de la Agencia,</w:t>
      </w:r>
      <w:r w:rsidRPr="00A07BE9">
        <w:rPr>
          <w:rFonts w:ascii="Open Sans" w:hAnsi="Open Sans" w:cs="Arial"/>
          <w:color w:val="000000"/>
          <w:sz w:val="20"/>
          <w:szCs w:val="20"/>
        </w:rPr>
        <w:t xml:space="preserve"> en desarrollo de la </w:t>
      </w:r>
      <w:hyperlink r:id="rId278" w:history="1">
        <w:r w:rsidR="0050097D" w:rsidRPr="00A07BE9">
          <w:rPr>
            <w:rStyle w:val="Hipervnculo"/>
            <w:rFonts w:ascii="Open Sans" w:hAnsi="Open Sans" w:cs="Open Sans"/>
            <w:sz w:val="20"/>
            <w:szCs w:val="20"/>
          </w:rPr>
          <w:t>Ley 11/2016</w:t>
        </w:r>
        <w:r w:rsidR="0050097D" w:rsidRPr="00A07BE9">
          <w:rPr>
            <w:rStyle w:val="Hipervnculo"/>
            <w:rFonts w:ascii="Open Sans" w:hAnsi="Open Sans"/>
            <w:color w:val="auto"/>
            <w:sz w:val="20"/>
            <w:szCs w:val="20"/>
            <w:u w:val="none"/>
          </w:rPr>
          <w:t>, de 28 de noviembre, de la Generalitat</w:t>
        </w:r>
      </w:hyperlink>
      <w:r w:rsidR="0050097D" w:rsidRPr="00A07BE9">
        <w:rPr>
          <w:rFonts w:ascii="Open Sans" w:hAnsi="Open Sans" w:cs="Open Sans"/>
          <w:sz w:val="20"/>
          <w:szCs w:val="20"/>
        </w:rPr>
        <w:t>.</w:t>
      </w:r>
    </w:p>
    <w:p w14:paraId="1A496727" w14:textId="77777777" w:rsidR="0050097D" w:rsidRPr="00A07BE9" w:rsidRDefault="0050097D" w:rsidP="00671CE2">
      <w:pPr>
        <w:spacing w:after="0" w:line="276" w:lineRule="auto"/>
        <w:jc w:val="both"/>
        <w:rPr>
          <w:rFonts w:ascii="Open Sans" w:hAnsi="Open Sans" w:cs="Arial"/>
          <w:color w:val="000000"/>
          <w:sz w:val="20"/>
          <w:szCs w:val="20"/>
        </w:rPr>
      </w:pPr>
    </w:p>
    <w:p w14:paraId="6676184A" w14:textId="5BA3142A" w:rsidR="00671CE2" w:rsidRPr="00A07BE9" w:rsidRDefault="00671CE2" w:rsidP="00671CE2">
      <w:pPr>
        <w:spacing w:after="0" w:line="276" w:lineRule="auto"/>
        <w:jc w:val="both"/>
        <w:rPr>
          <w:rFonts w:ascii="Open Sans" w:hAnsi="Open Sans"/>
          <w:sz w:val="20"/>
          <w:szCs w:val="20"/>
        </w:rPr>
      </w:pPr>
      <w:r w:rsidRPr="00A07BE9">
        <w:rPr>
          <w:rFonts w:ascii="Open Sans" w:hAnsi="Open Sans" w:cs="Arial"/>
          <w:color w:val="000000"/>
          <w:sz w:val="20"/>
          <w:szCs w:val="20"/>
        </w:rPr>
        <w:t xml:space="preserve">En las reuniones de 10 y 15 de julio se negoció la actualización de la </w:t>
      </w:r>
      <w:hyperlink r:id="rId279" w:history="1">
        <w:r w:rsidRPr="00A07BE9">
          <w:rPr>
            <w:rStyle w:val="Hipervnculo"/>
            <w:rFonts w:ascii="Open Sans" w:hAnsi="Open Sans" w:cs="Arial"/>
            <w:sz w:val="20"/>
            <w:szCs w:val="20"/>
          </w:rPr>
          <w:t>Relación de Puestos de Trabajo de la Agencia</w:t>
        </w:r>
      </w:hyperlink>
      <w:r w:rsidRPr="00A07BE9">
        <w:rPr>
          <w:rFonts w:ascii="Open Sans" w:hAnsi="Open Sans" w:cs="Arial"/>
          <w:color w:val="000000"/>
          <w:sz w:val="20"/>
          <w:szCs w:val="20"/>
        </w:rPr>
        <w:t xml:space="preserve">, que culminó con la Resolución de 19 de agosto de 2019, del director de la Agencia de aprobación de aquélla (DOGV núm. 8624, de 30.08.2019). </w:t>
      </w:r>
    </w:p>
    <w:p w14:paraId="5B8EB17D" w14:textId="77777777" w:rsidR="00671CE2" w:rsidRPr="00A07BE9" w:rsidRDefault="00671CE2" w:rsidP="00671CE2">
      <w:pPr>
        <w:spacing w:after="0" w:line="276" w:lineRule="auto"/>
        <w:jc w:val="both"/>
        <w:rPr>
          <w:rFonts w:ascii="Open Sans" w:hAnsi="Open Sans" w:cs="Arial"/>
          <w:color w:val="000000"/>
          <w:sz w:val="20"/>
          <w:szCs w:val="20"/>
        </w:rPr>
      </w:pPr>
    </w:p>
    <w:p w14:paraId="0C3BE3C0" w14:textId="4CB1BA2B" w:rsidR="00671CE2" w:rsidRPr="00A07BE9" w:rsidRDefault="00671CE2" w:rsidP="00671CE2">
      <w:pPr>
        <w:spacing w:after="0" w:line="276" w:lineRule="auto"/>
        <w:jc w:val="both"/>
        <w:rPr>
          <w:rFonts w:ascii="Open Sans" w:hAnsi="Open Sans"/>
          <w:sz w:val="20"/>
          <w:szCs w:val="20"/>
        </w:rPr>
      </w:pPr>
      <w:r w:rsidRPr="00A07BE9">
        <w:rPr>
          <w:rFonts w:ascii="Open Sans" w:hAnsi="Open Sans" w:cs="Arial"/>
          <w:color w:val="000000"/>
          <w:sz w:val="20"/>
          <w:szCs w:val="20"/>
        </w:rPr>
        <w:t xml:space="preserve">Y en la de 20 de diciembre se dio cuenta a la representación sindical del incremento del Capítulo I de gastos de la Agencia, por creación de nuevos puestos, consignado en el proyecto de presupuestos de la Generalitat para el año 2020, y de </w:t>
      </w:r>
      <w:r w:rsidRPr="00A07BE9">
        <w:rPr>
          <w:rFonts w:ascii="Open Sans" w:hAnsi="Open Sans"/>
          <w:color w:val="000000"/>
          <w:sz w:val="20"/>
          <w:szCs w:val="20"/>
        </w:rPr>
        <w:t>la propuesta de modificación del artículo 29 de</w:t>
      </w:r>
      <w:r w:rsidR="0050097D" w:rsidRPr="00A07BE9">
        <w:rPr>
          <w:rFonts w:ascii="Open Sans" w:hAnsi="Open Sans"/>
          <w:color w:val="000000"/>
          <w:sz w:val="20"/>
          <w:szCs w:val="20"/>
        </w:rPr>
        <w:t xml:space="preserve"> la</w:t>
      </w:r>
      <w:r w:rsidRPr="00A07BE9">
        <w:rPr>
          <w:rFonts w:ascii="Open Sans" w:hAnsi="Open Sans"/>
          <w:color w:val="000000"/>
          <w:sz w:val="20"/>
          <w:szCs w:val="20"/>
        </w:rPr>
        <w:t xml:space="preserve"> </w:t>
      </w:r>
      <w:hyperlink r:id="rId280" w:history="1">
        <w:r w:rsidR="0050097D" w:rsidRPr="00A07BE9">
          <w:rPr>
            <w:rStyle w:val="Hipervnculo"/>
            <w:rFonts w:ascii="Open Sans" w:hAnsi="Open Sans" w:cs="Open Sans"/>
            <w:sz w:val="20"/>
            <w:szCs w:val="20"/>
          </w:rPr>
          <w:t>Ley 11/2016</w:t>
        </w:r>
        <w:r w:rsidR="0050097D" w:rsidRPr="00A07BE9">
          <w:rPr>
            <w:rStyle w:val="Hipervnculo"/>
            <w:rFonts w:ascii="Open Sans" w:hAnsi="Open Sans"/>
            <w:color w:val="auto"/>
            <w:sz w:val="20"/>
            <w:szCs w:val="20"/>
            <w:u w:val="none"/>
          </w:rPr>
          <w:t>, de 28 de noviembre</w:t>
        </w:r>
      </w:hyperlink>
      <w:r w:rsidR="0050097D" w:rsidRPr="00A07BE9">
        <w:rPr>
          <w:rFonts w:ascii="Open Sans" w:hAnsi="Open Sans" w:cs="Open Sans"/>
          <w:sz w:val="20"/>
          <w:szCs w:val="20"/>
        </w:rPr>
        <w:t>,</w:t>
      </w:r>
      <w:r w:rsidRPr="00A07BE9">
        <w:rPr>
          <w:rFonts w:ascii="Open Sans" w:hAnsi="Open Sans"/>
          <w:color w:val="000000"/>
          <w:sz w:val="20"/>
          <w:szCs w:val="20"/>
        </w:rPr>
        <w:t xml:space="preserve"> con especial atención al </w:t>
      </w:r>
      <w:r w:rsidRPr="00A07BE9">
        <w:rPr>
          <w:rFonts w:ascii="Open Sans" w:hAnsi="Open Sans"/>
          <w:color w:val="000000"/>
          <w:sz w:val="20"/>
          <w:szCs w:val="20"/>
        </w:rPr>
        <w:lastRenderedPageBreak/>
        <w:t>requerimiento de que todos los funcionarios y funcionarias que sean adscritos a la Agencia con carácter definitivo sean declarados en la situación administrativa de servicios especiales.</w:t>
      </w:r>
    </w:p>
    <w:p w14:paraId="709D0055" w14:textId="77777777" w:rsidR="00671CE2" w:rsidRPr="00A07BE9" w:rsidRDefault="00671CE2" w:rsidP="00671CE2">
      <w:pPr>
        <w:spacing w:after="0" w:line="276" w:lineRule="auto"/>
        <w:jc w:val="both"/>
        <w:rPr>
          <w:rFonts w:ascii="Open Sans" w:hAnsi="Open Sans"/>
          <w:color w:val="000000"/>
          <w:sz w:val="20"/>
          <w:szCs w:val="20"/>
        </w:rPr>
      </w:pPr>
    </w:p>
    <w:p w14:paraId="5222B6F0" w14:textId="77777777" w:rsidR="00671CE2" w:rsidRPr="00A07BE9" w:rsidRDefault="00671CE2" w:rsidP="00671CE2">
      <w:pPr>
        <w:spacing w:after="0" w:line="276" w:lineRule="auto"/>
        <w:jc w:val="both"/>
        <w:rPr>
          <w:rFonts w:ascii="Open Sans" w:hAnsi="Open Sans"/>
          <w:sz w:val="20"/>
          <w:szCs w:val="20"/>
        </w:rPr>
      </w:pPr>
      <w:r w:rsidRPr="00A07BE9">
        <w:rPr>
          <w:rStyle w:val="Tipusdelletraperdefectedelpargraf"/>
          <w:rFonts w:ascii="Open Sans" w:hAnsi="Open Sans" w:cs="Arial"/>
          <w:color w:val="000000"/>
          <w:sz w:val="20"/>
          <w:szCs w:val="20"/>
        </w:rPr>
        <w:t xml:space="preserve">También se ha intervenido en sede jurisdiccional defendiendo, en diferentes </w:t>
      </w:r>
      <w:r w:rsidRPr="00A07BE9">
        <w:rPr>
          <w:rStyle w:val="Tipusdelletraperdefectedelpargraf"/>
          <w:rFonts w:ascii="Open Sans" w:hAnsi="Open Sans" w:cs="Arial"/>
          <w:b/>
          <w:bCs/>
          <w:color w:val="000000"/>
          <w:sz w:val="20"/>
          <w:szCs w:val="20"/>
        </w:rPr>
        <w:t>procedimientos contenciosos-administrativos,</w:t>
      </w:r>
      <w:r w:rsidRPr="00A07BE9">
        <w:rPr>
          <w:rStyle w:val="Tipusdelletraperdefectedelpargraf"/>
          <w:rFonts w:ascii="Open Sans" w:hAnsi="Open Sans" w:cs="Arial"/>
          <w:color w:val="000000"/>
          <w:sz w:val="20"/>
          <w:szCs w:val="20"/>
        </w:rPr>
        <w:t xml:space="preserve"> los acuerdos y resoluciones de la Agencia ante las impugnaciones efectuadas por diferentes personas físicas o jurídicas. En todos estos litigios, la Agencia ha comparecido en los autos como parte demandada, presentando los correspondientes escritos procesales en defensa de la validez de los actos impugnados.</w:t>
      </w:r>
    </w:p>
    <w:p w14:paraId="18D0EAFC" w14:textId="77777777" w:rsidR="00671CE2" w:rsidRPr="00A07BE9" w:rsidRDefault="00671CE2" w:rsidP="00671CE2">
      <w:pPr>
        <w:spacing w:after="0" w:line="276" w:lineRule="auto"/>
        <w:jc w:val="both"/>
        <w:rPr>
          <w:rStyle w:val="Tipusdelletraperdefectedelpargraf"/>
          <w:rFonts w:ascii="Open Sans" w:hAnsi="Open Sans" w:cs="Arial"/>
          <w:color w:val="000000"/>
          <w:sz w:val="20"/>
          <w:szCs w:val="20"/>
        </w:rPr>
      </w:pPr>
    </w:p>
    <w:p w14:paraId="21D37833" w14:textId="77777777" w:rsidR="00671CE2" w:rsidRPr="00A07BE9" w:rsidRDefault="00671CE2" w:rsidP="00671CE2">
      <w:pPr>
        <w:spacing w:after="0" w:line="276" w:lineRule="auto"/>
        <w:jc w:val="both"/>
        <w:rPr>
          <w:sz w:val="20"/>
          <w:szCs w:val="20"/>
        </w:rPr>
      </w:pPr>
      <w:r w:rsidRPr="00A07BE9">
        <w:rPr>
          <w:rStyle w:val="Tipusdelletraperdefectedelpargraf"/>
          <w:rFonts w:ascii="Open Sans" w:hAnsi="Open Sans" w:cs="Arial"/>
          <w:color w:val="000000"/>
          <w:sz w:val="20"/>
          <w:szCs w:val="20"/>
        </w:rPr>
        <w:t xml:space="preserve">Por lo que respecta a la actuación de la Agencia en el ámbito jurisdiccional, se hace necesario destacar que en el año 2019 se plantearon un total de ocho procedimientos contra resoluciones de la Agencia. </w:t>
      </w:r>
    </w:p>
    <w:p w14:paraId="48B70E46" w14:textId="77777777" w:rsidR="00671CE2" w:rsidRPr="00A07BE9" w:rsidRDefault="00671CE2" w:rsidP="00671CE2">
      <w:pPr>
        <w:spacing w:after="0" w:line="276" w:lineRule="auto"/>
        <w:jc w:val="both"/>
        <w:rPr>
          <w:rStyle w:val="Tipusdelletraperdefectedelpargraf"/>
          <w:rFonts w:ascii="Open Sans" w:hAnsi="Open Sans" w:cs="Arial"/>
          <w:color w:val="000000"/>
          <w:sz w:val="20"/>
          <w:szCs w:val="20"/>
        </w:rPr>
      </w:pPr>
    </w:p>
    <w:p w14:paraId="31AB73CA" w14:textId="2DA4999C" w:rsidR="00671CE2" w:rsidRPr="00A07BE9" w:rsidRDefault="00671CE2" w:rsidP="00671CE2">
      <w:pPr>
        <w:spacing w:after="0" w:line="276" w:lineRule="auto"/>
        <w:jc w:val="both"/>
        <w:rPr>
          <w:sz w:val="20"/>
          <w:szCs w:val="20"/>
        </w:rPr>
      </w:pPr>
      <w:r w:rsidRPr="00A07BE9">
        <w:rPr>
          <w:rStyle w:val="Tipusdelletraperdefectedelpargraf"/>
          <w:rFonts w:ascii="Open Sans" w:hAnsi="Open Sans" w:cs="Arial"/>
          <w:color w:val="000000"/>
          <w:sz w:val="20"/>
          <w:szCs w:val="20"/>
        </w:rPr>
        <w:t xml:space="preserve">Tres de ellos finalizaron tras el desistimiento de los correspondientes recursos por parte de los recurrentes, en concreto, los dos recursos </w:t>
      </w:r>
      <w:r w:rsidRPr="00A07BE9">
        <w:rPr>
          <w:rStyle w:val="Tipusdelletraperdefectedelpargraf"/>
          <w:rFonts w:ascii="Open Sans" w:hAnsi="Open Sans" w:cs="Arial"/>
          <w:strike/>
          <w:color w:val="000000"/>
          <w:sz w:val="20"/>
          <w:szCs w:val="20"/>
        </w:rPr>
        <w:t>i</w:t>
      </w:r>
      <w:r w:rsidRPr="00A07BE9">
        <w:rPr>
          <w:rStyle w:val="Tipusdelletraperdefectedelpargraf"/>
          <w:rFonts w:ascii="Open Sans" w:hAnsi="Open Sans" w:cs="Arial"/>
          <w:color w:val="000000"/>
          <w:sz w:val="20"/>
          <w:szCs w:val="20"/>
        </w:rPr>
        <w:t xml:space="preserve">nterpuestos por personal propio de la Agencia contra sendos acuerdos de encuadramiento inicial en el sistema de carrera profesional horizontal, y el interpuesto por una mercantil contra la resolución de otorgamiento del estatuto de protección de la persona denunciante a un trabajador de la misma, al amparo del artículo 14 de la </w:t>
      </w:r>
      <w:hyperlink r:id="rId281" w:history="1">
        <w:r w:rsidR="0045757F" w:rsidRPr="00A07BE9">
          <w:rPr>
            <w:rStyle w:val="Hipervnculo"/>
            <w:rFonts w:ascii="Open Sans" w:hAnsi="Open Sans" w:cs="Open Sans"/>
            <w:sz w:val="20"/>
            <w:szCs w:val="20"/>
          </w:rPr>
          <w:t>Ley 11/2016</w:t>
        </w:r>
        <w:r w:rsidRPr="00A07BE9">
          <w:rPr>
            <w:rStyle w:val="Hipervnculo"/>
            <w:rFonts w:ascii="Open Sans" w:hAnsi="Open Sans" w:cs="Arial"/>
            <w:color w:val="auto"/>
            <w:sz w:val="20"/>
            <w:szCs w:val="20"/>
            <w:u w:val="none"/>
          </w:rPr>
          <w:t>, de 28 de noviembre, de la Generalitat</w:t>
        </w:r>
      </w:hyperlink>
      <w:r w:rsidRPr="00A07BE9">
        <w:rPr>
          <w:rStyle w:val="Tipusdelletraperdefectedelpargraf"/>
          <w:rFonts w:ascii="Open Sans" w:hAnsi="Open Sans" w:cs="Arial"/>
          <w:color w:val="000000"/>
          <w:sz w:val="20"/>
          <w:szCs w:val="20"/>
        </w:rPr>
        <w:t>.</w:t>
      </w:r>
    </w:p>
    <w:p w14:paraId="1985D67D" w14:textId="77777777" w:rsidR="00671CE2" w:rsidRPr="00A07BE9" w:rsidRDefault="00671CE2" w:rsidP="00671CE2">
      <w:pPr>
        <w:spacing w:after="0" w:line="276" w:lineRule="auto"/>
        <w:jc w:val="both"/>
        <w:rPr>
          <w:rStyle w:val="Tipusdelletraperdefectedelpargraf"/>
          <w:rFonts w:ascii="Open Sans" w:hAnsi="Open Sans" w:cs="Arial"/>
          <w:color w:val="000000"/>
          <w:sz w:val="20"/>
          <w:szCs w:val="20"/>
        </w:rPr>
      </w:pPr>
    </w:p>
    <w:p w14:paraId="3E82458A" w14:textId="4DECEF30" w:rsidR="00671CE2" w:rsidRPr="00A07BE9" w:rsidRDefault="00671CE2" w:rsidP="00671CE2">
      <w:pPr>
        <w:spacing w:after="0" w:line="276" w:lineRule="auto"/>
        <w:jc w:val="both"/>
        <w:rPr>
          <w:sz w:val="20"/>
          <w:szCs w:val="20"/>
        </w:rPr>
      </w:pPr>
      <w:r w:rsidRPr="00A07BE9">
        <w:rPr>
          <w:rStyle w:val="Tipusdelletraperdefectedelpargraf"/>
          <w:rFonts w:ascii="Open Sans" w:hAnsi="Open Sans" w:cs="Arial"/>
          <w:color w:val="000000"/>
          <w:sz w:val="20"/>
          <w:szCs w:val="20"/>
        </w:rPr>
        <w:t xml:space="preserve">En relación con los primeros dos recursos citados en el párrafo anterior, debe reiterarse, una vez más, el permanente objetivo de la Agencia de alcanzar una solución adecuada para el reconocimiento y establecimiento de los requisitos y consecuencias del complemento de carrera profesional horizontal de todo su personal. A tal efecto, se introdujo, desde el primer momento, su expresa regulación en la propuesta del proyecto de Reglamento de funcionamiento y régimen interior de la Agencia. De tal modo, los recurrentes desistieron de ambos recursos contencioso-administrativos, poniendo fin a dichas impugnaciones, una vez fue aprobado el </w:t>
      </w:r>
      <w:hyperlink r:id="rId282" w:history="1">
        <w:r w:rsidRPr="00A07BE9">
          <w:rPr>
            <w:rStyle w:val="Hipervnculo"/>
            <w:rFonts w:ascii="Open Sans" w:hAnsi="Open Sans" w:cs="Arial"/>
            <w:sz w:val="20"/>
            <w:szCs w:val="20"/>
          </w:rPr>
          <w:t>Reglamento</w:t>
        </w:r>
      </w:hyperlink>
      <w:r w:rsidRPr="00A07BE9">
        <w:rPr>
          <w:rStyle w:val="Tipusdelletraperdefectedelpargraf"/>
          <w:rFonts w:ascii="Open Sans" w:hAnsi="Open Sans" w:cs="Arial"/>
          <w:color w:val="000000"/>
          <w:sz w:val="20"/>
          <w:szCs w:val="20"/>
        </w:rPr>
        <w:t xml:space="preserve"> en fecha 27 de junio de 2019, que establece en sus artículos 63.2 y 64 y en su disposición transitoria única, que todo el personal de la Agencia tiene </w:t>
      </w:r>
      <w:r w:rsidRPr="00A07BE9">
        <w:rPr>
          <w:rStyle w:val="Tipusdelletraperdefectedelpargraf"/>
          <w:rFonts w:ascii="Open Sans" w:eastAsia="Times New Roman" w:hAnsi="Open Sans" w:cs="Times New Roman"/>
          <w:color w:val="000000"/>
          <w:sz w:val="20"/>
          <w:szCs w:val="20"/>
        </w:rPr>
        <w:t>derecho al complemento de carrera profesional y al reconocimiento del grado de carrera profesional horizontal que le corresponda, con efectos desde la fecha de su incorporación o toma de posesión, y cualquiera que sea la forma de provisión, provisional o definitiva, del puesto de trabajo, teniéndose en cuenta para el primer reconocimiento el tiempo de servicios prestado en otras administraciones públicas.</w:t>
      </w:r>
    </w:p>
    <w:p w14:paraId="26B28797" w14:textId="77777777" w:rsidR="00671CE2" w:rsidRPr="00A07BE9" w:rsidRDefault="00671CE2" w:rsidP="00671CE2">
      <w:pPr>
        <w:spacing w:after="0" w:line="276" w:lineRule="auto"/>
        <w:jc w:val="both"/>
        <w:rPr>
          <w:rStyle w:val="Tipusdelletraperdefectedelpargraf"/>
          <w:rFonts w:ascii="Open Sans" w:eastAsia="Times New Roman" w:hAnsi="Open Sans" w:cs="Times New Roman"/>
          <w:color w:val="000000"/>
          <w:sz w:val="20"/>
          <w:szCs w:val="20"/>
        </w:rPr>
      </w:pPr>
    </w:p>
    <w:p w14:paraId="2A087822" w14:textId="254F1C67" w:rsidR="00671CE2" w:rsidRPr="00A07BE9" w:rsidRDefault="00671CE2" w:rsidP="00671CE2">
      <w:pPr>
        <w:spacing w:after="0" w:line="276" w:lineRule="auto"/>
        <w:jc w:val="both"/>
        <w:rPr>
          <w:sz w:val="20"/>
          <w:szCs w:val="20"/>
        </w:rPr>
      </w:pPr>
      <w:r w:rsidRPr="00A07BE9">
        <w:rPr>
          <w:rStyle w:val="Tipusdelletraperdefectedelpargraf"/>
          <w:rFonts w:ascii="Open Sans" w:hAnsi="Open Sans" w:cs="Arial"/>
          <w:color w:val="000000"/>
          <w:sz w:val="20"/>
          <w:szCs w:val="20"/>
        </w:rPr>
        <w:t xml:space="preserve">En cuanto al tercero de los antecitados recursos, que concluyó por desistimiento de la parte actora (la mercantil MINUSVAL-EIL. S.L.), debe indicarse que tras el acuerdo de conciliación alcanzado entre el empleado denunciante y la empresa ante la jurisdicción social, con intervención de la Fiscalía, se reconoció por aquélla la improcedencia del despido efectuado al trabajador. A continuación, la mercantil MINUSVAL-EIL. S.L. desistió del recurso contencioso-administrativo interpuesto contra la resolución de la </w:t>
      </w:r>
      <w:r w:rsidR="0001775B" w:rsidRPr="00A07BE9">
        <w:rPr>
          <w:rStyle w:val="Tipusdelletraperdefectedelpargraf"/>
          <w:rFonts w:ascii="Open Sans" w:hAnsi="Open Sans" w:cs="Arial"/>
          <w:color w:val="000000"/>
          <w:sz w:val="20"/>
          <w:szCs w:val="20"/>
        </w:rPr>
        <w:t>Dirección de la Agencia</w:t>
      </w:r>
      <w:r w:rsidRPr="00A07BE9">
        <w:rPr>
          <w:rStyle w:val="Tipusdelletraperdefectedelpargraf"/>
          <w:rFonts w:ascii="Open Sans" w:hAnsi="Open Sans" w:cs="Arial"/>
          <w:color w:val="000000"/>
          <w:sz w:val="20"/>
          <w:szCs w:val="20"/>
        </w:rPr>
        <w:t xml:space="preserve"> de otorgamiento del estatuto de protección de la persona denunciante.</w:t>
      </w:r>
    </w:p>
    <w:p w14:paraId="21F586BF" w14:textId="77777777" w:rsidR="00671CE2" w:rsidRPr="00A07BE9" w:rsidRDefault="00671CE2" w:rsidP="00671CE2">
      <w:pPr>
        <w:spacing w:after="0" w:line="276" w:lineRule="auto"/>
        <w:jc w:val="both"/>
        <w:rPr>
          <w:rStyle w:val="Tipusdelletraperdefectedelpargraf"/>
          <w:rFonts w:ascii="Open Sans" w:hAnsi="Open Sans" w:cs="Arial"/>
          <w:color w:val="000000"/>
          <w:sz w:val="20"/>
          <w:szCs w:val="20"/>
        </w:rPr>
      </w:pPr>
    </w:p>
    <w:p w14:paraId="633F116B" w14:textId="77777777" w:rsidR="00671CE2" w:rsidRPr="00A07BE9" w:rsidRDefault="00671CE2" w:rsidP="00671CE2">
      <w:pPr>
        <w:spacing w:after="0" w:line="276" w:lineRule="auto"/>
        <w:jc w:val="both"/>
        <w:rPr>
          <w:sz w:val="20"/>
          <w:szCs w:val="20"/>
        </w:rPr>
      </w:pPr>
      <w:r w:rsidRPr="00A07BE9">
        <w:rPr>
          <w:rStyle w:val="Tipusdelletraperdefectedelpargraf"/>
          <w:rFonts w:ascii="Open Sans" w:hAnsi="Open Sans" w:cs="Arial"/>
          <w:color w:val="000000"/>
          <w:sz w:val="20"/>
          <w:szCs w:val="20"/>
        </w:rPr>
        <w:lastRenderedPageBreak/>
        <w:t xml:space="preserve">Los recursos contencioso-administrativos, planteados contra la Agencia y que se mantienen a 31 de diciembre de 2019 son cuatro, refiriéndose a los siguientes asuntos: </w:t>
      </w:r>
    </w:p>
    <w:p w14:paraId="058C3361" w14:textId="77777777" w:rsidR="00671CE2" w:rsidRPr="00A07BE9" w:rsidRDefault="00671CE2" w:rsidP="00671CE2">
      <w:pPr>
        <w:spacing w:after="0" w:line="276" w:lineRule="auto"/>
        <w:jc w:val="both"/>
        <w:rPr>
          <w:rStyle w:val="Tipusdelletraperdefectedelpargraf"/>
          <w:rFonts w:ascii="Open Sans" w:hAnsi="Open Sans" w:cs="Arial"/>
          <w:color w:val="000000"/>
          <w:sz w:val="20"/>
          <w:szCs w:val="20"/>
        </w:rPr>
      </w:pPr>
    </w:p>
    <w:p w14:paraId="6E9BCD3A" w14:textId="77777777" w:rsidR="00E62917" w:rsidRPr="00A07BE9" w:rsidRDefault="00671CE2" w:rsidP="00E62917">
      <w:pPr>
        <w:pStyle w:val="Prrafodelista"/>
        <w:numPr>
          <w:ilvl w:val="0"/>
          <w:numId w:val="2"/>
        </w:numPr>
        <w:spacing w:after="0" w:line="276" w:lineRule="auto"/>
        <w:ind w:left="924" w:hanging="357"/>
        <w:jc w:val="both"/>
        <w:rPr>
          <w:rStyle w:val="Tipusdelletraperdefectedelpargraf"/>
          <w:rFonts w:ascii="Open Sans" w:hAnsi="Open Sans" w:cs="Arial"/>
          <w:color w:val="000000"/>
          <w:sz w:val="20"/>
          <w:szCs w:val="20"/>
        </w:rPr>
      </w:pPr>
      <w:r w:rsidRPr="00A07BE9">
        <w:rPr>
          <w:rStyle w:val="Tipusdelletraperdefectedelpargraf"/>
          <w:rFonts w:ascii="Open Sans" w:hAnsi="Open Sans" w:cs="Arial"/>
          <w:color w:val="000000"/>
          <w:sz w:val="20"/>
          <w:szCs w:val="20"/>
        </w:rPr>
        <w:t>Dos de los recursos versan sobre cuestiones de personal.</w:t>
      </w:r>
    </w:p>
    <w:p w14:paraId="6A1D24BA" w14:textId="39BAC7AA" w:rsidR="00E62917" w:rsidRPr="00A07BE9" w:rsidRDefault="00671CE2" w:rsidP="00E62917">
      <w:pPr>
        <w:pStyle w:val="Prrafodelista"/>
        <w:numPr>
          <w:ilvl w:val="0"/>
          <w:numId w:val="2"/>
        </w:numPr>
        <w:spacing w:after="0" w:line="276" w:lineRule="auto"/>
        <w:ind w:left="924" w:hanging="357"/>
        <w:jc w:val="both"/>
        <w:rPr>
          <w:rStyle w:val="Tipusdelletraperdefectedelpargraf"/>
          <w:rFonts w:ascii="Open Sans" w:hAnsi="Open Sans" w:cs="Arial"/>
          <w:color w:val="000000"/>
          <w:sz w:val="20"/>
          <w:szCs w:val="20"/>
        </w:rPr>
      </w:pPr>
      <w:r w:rsidRPr="00A07BE9">
        <w:rPr>
          <w:rStyle w:val="Tipusdelletraperdefectedelpargraf"/>
          <w:rFonts w:ascii="Open Sans" w:hAnsi="Open Sans" w:cs="Arial"/>
          <w:color w:val="000000"/>
          <w:sz w:val="20"/>
          <w:szCs w:val="20"/>
        </w:rPr>
        <w:t xml:space="preserve">Otro es un recurso interpuesto por el Ayuntamiento de Los Montesinos y por su </w:t>
      </w:r>
      <w:r w:rsidR="00FB02FA" w:rsidRPr="00A07BE9">
        <w:rPr>
          <w:rStyle w:val="Tipusdelletraperdefectedelpargraf"/>
          <w:rFonts w:ascii="Open Sans" w:hAnsi="Open Sans" w:cs="Arial"/>
          <w:color w:val="000000"/>
          <w:sz w:val="20"/>
          <w:szCs w:val="20"/>
        </w:rPr>
        <w:t>alcalde</w:t>
      </w:r>
      <w:r w:rsidRPr="00A07BE9">
        <w:rPr>
          <w:rStyle w:val="Tipusdelletraperdefectedelpargraf"/>
          <w:rFonts w:ascii="Open Sans" w:hAnsi="Open Sans" w:cs="Arial"/>
          <w:color w:val="000000"/>
          <w:sz w:val="20"/>
          <w:szCs w:val="20"/>
        </w:rPr>
        <w:t xml:space="preserve"> (se trata de dos recursos posteriormente acumulados en un solo procedimiento), contra la resolución de la </w:t>
      </w:r>
      <w:r w:rsidR="0001775B" w:rsidRPr="00A07BE9">
        <w:rPr>
          <w:rStyle w:val="Tipusdelletraperdefectedelpargraf"/>
          <w:rFonts w:ascii="Open Sans" w:hAnsi="Open Sans" w:cs="Arial"/>
          <w:color w:val="000000"/>
          <w:sz w:val="20"/>
          <w:szCs w:val="20"/>
        </w:rPr>
        <w:t>Dirección de la Agencia</w:t>
      </w:r>
      <w:r w:rsidRPr="00A07BE9">
        <w:rPr>
          <w:rStyle w:val="Tipusdelletraperdefectedelpargraf"/>
          <w:rFonts w:ascii="Open Sans" w:hAnsi="Open Sans" w:cs="Arial"/>
          <w:color w:val="000000"/>
          <w:sz w:val="20"/>
          <w:szCs w:val="20"/>
        </w:rPr>
        <w:t xml:space="preserve"> que otorga el estatuto de protección de la persona denunciante a un funcionario municipal responsable en el área de urbanismo.</w:t>
      </w:r>
    </w:p>
    <w:p w14:paraId="7B16DABE" w14:textId="364EA9C0" w:rsidR="00671CE2" w:rsidRPr="00A07BE9" w:rsidRDefault="00671CE2" w:rsidP="00E62917">
      <w:pPr>
        <w:pStyle w:val="Prrafodelista"/>
        <w:numPr>
          <w:ilvl w:val="0"/>
          <w:numId w:val="2"/>
        </w:numPr>
        <w:spacing w:after="0" w:line="276" w:lineRule="auto"/>
        <w:ind w:left="924" w:hanging="357"/>
        <w:jc w:val="both"/>
        <w:rPr>
          <w:rFonts w:ascii="Open Sans" w:hAnsi="Open Sans" w:cs="Arial"/>
          <w:color w:val="000000"/>
          <w:sz w:val="20"/>
          <w:szCs w:val="20"/>
        </w:rPr>
      </w:pPr>
      <w:r w:rsidRPr="00A07BE9">
        <w:rPr>
          <w:rStyle w:val="Tipusdelletraperdefectedelpargraf"/>
          <w:rFonts w:ascii="Open Sans" w:hAnsi="Open Sans" w:cs="Arial"/>
          <w:color w:val="000000"/>
          <w:sz w:val="20"/>
          <w:szCs w:val="20"/>
        </w:rPr>
        <w:t>Y el último recurso se interpuso por parte del Grupo Parlamentario Popular en l</w:t>
      </w:r>
      <w:r w:rsidR="008B7F0F" w:rsidRPr="00A07BE9">
        <w:rPr>
          <w:rStyle w:val="Tipusdelletraperdefectedelpargraf"/>
          <w:rFonts w:ascii="Open Sans" w:hAnsi="Open Sans" w:cs="Arial"/>
          <w:color w:val="000000"/>
          <w:sz w:val="20"/>
          <w:szCs w:val="20"/>
        </w:rPr>
        <w:t>e</w:t>
      </w:r>
      <w:r w:rsidRPr="00A07BE9">
        <w:rPr>
          <w:rStyle w:val="Tipusdelletraperdefectedelpargraf"/>
          <w:rFonts w:ascii="Open Sans" w:hAnsi="Open Sans" w:cs="Arial"/>
          <w:color w:val="000000"/>
          <w:sz w:val="20"/>
          <w:szCs w:val="20"/>
        </w:rPr>
        <w:t xml:space="preserve">s Corts Valencianes, por el procedimiento especial de protección de derechos fundamentales de la persona, contra la contestación de esta Agencia a la solicitud de documentación </w:t>
      </w:r>
      <w:r w:rsidRPr="00A07BE9">
        <w:rPr>
          <w:rStyle w:val="Tipusdelletraperdefectedelpargraf"/>
          <w:rFonts w:ascii="Open Sans" w:eastAsia="Times New Roman" w:hAnsi="Open Sans" w:cs="Arial"/>
          <w:color w:val="000000"/>
          <w:sz w:val="20"/>
          <w:szCs w:val="20"/>
          <w:lang w:eastAsia="es-ES"/>
        </w:rPr>
        <w:t>núm. 1546, formulada por dicho Grupo Parlamentario a través del cauce previsto en el artículo 12 del Reglamento de les Corts, referente a expedientes de investigación.</w:t>
      </w:r>
    </w:p>
    <w:p w14:paraId="2DC9C08F" w14:textId="77777777" w:rsidR="00A21AB4" w:rsidRPr="00A07BE9" w:rsidRDefault="00A21AB4" w:rsidP="00CB1947">
      <w:pPr>
        <w:spacing w:before="100" w:beforeAutospacing="1" w:after="0" w:line="240" w:lineRule="auto"/>
        <w:rPr>
          <w:rFonts w:ascii="Open Sans" w:hAnsi="Open Sans" w:cs="Open Sans"/>
          <w:color w:val="000000" w:themeColor="text1"/>
          <w:sz w:val="21"/>
          <w:szCs w:val="21"/>
        </w:rPr>
      </w:pPr>
    </w:p>
    <w:p w14:paraId="2FED02FE" w14:textId="77777777" w:rsidR="00417226" w:rsidRPr="00A07BE9" w:rsidRDefault="00CB1947" w:rsidP="004F3165">
      <w:pPr>
        <w:spacing w:before="100" w:beforeAutospacing="1" w:after="0" w:line="240" w:lineRule="auto"/>
        <w:rPr>
          <w:rFonts w:ascii="Open Sans" w:hAnsi="Open Sans" w:cs="Open Sans"/>
          <w:sz w:val="20"/>
          <w:szCs w:val="20"/>
        </w:rPr>
      </w:pPr>
      <w:r w:rsidRPr="00A07BE9">
        <w:rPr>
          <w:rFonts w:ascii="Open Sans" w:hAnsi="Open Sans" w:cs="Open Sans"/>
          <w:color w:val="000000" w:themeColor="text1"/>
          <w:sz w:val="21"/>
          <w:szCs w:val="21"/>
        </w:rPr>
        <w:br w:type="page"/>
      </w:r>
    </w:p>
    <w:p w14:paraId="6477B8CE" w14:textId="77777777" w:rsidR="00D075FF" w:rsidRPr="00A07BE9" w:rsidRDefault="00D075FF" w:rsidP="000952B8">
      <w:pPr>
        <w:spacing w:after="0" w:line="240" w:lineRule="auto"/>
        <w:jc w:val="both"/>
        <w:rPr>
          <w:rFonts w:ascii="Open Sans" w:eastAsia="Times New Roman" w:hAnsi="Open Sans" w:cs="Open Sans"/>
          <w:b/>
          <w:bCs/>
          <w:smallCaps/>
          <w:color w:val="94070A"/>
          <w:spacing w:val="-14"/>
          <w:sz w:val="20"/>
          <w:szCs w:val="20"/>
          <w:lang w:eastAsia="es-ES"/>
        </w:rPr>
      </w:pPr>
    </w:p>
    <w:p w14:paraId="0541223D" w14:textId="77777777" w:rsidR="00D075FF" w:rsidRPr="00A07BE9" w:rsidRDefault="00D075FF" w:rsidP="000952B8">
      <w:pPr>
        <w:spacing w:after="0" w:line="240" w:lineRule="auto"/>
        <w:jc w:val="both"/>
        <w:rPr>
          <w:rFonts w:ascii="Open Sans" w:eastAsia="Times New Roman" w:hAnsi="Open Sans" w:cs="Open Sans"/>
          <w:b/>
          <w:bCs/>
          <w:smallCaps/>
          <w:color w:val="94070A"/>
          <w:spacing w:val="-14"/>
          <w:sz w:val="20"/>
          <w:szCs w:val="20"/>
          <w:lang w:eastAsia="es-ES"/>
        </w:rPr>
      </w:pPr>
    </w:p>
    <w:p w14:paraId="1E413B8C" w14:textId="5FF997CB" w:rsidR="000952B8" w:rsidRPr="00A07BE9" w:rsidRDefault="000952B8" w:rsidP="000952B8">
      <w:pPr>
        <w:spacing w:after="0" w:line="240" w:lineRule="auto"/>
        <w:jc w:val="both"/>
        <w:rPr>
          <w:rFonts w:ascii="Open Sans" w:eastAsia="Times New Roman" w:hAnsi="Open Sans" w:cs="Open Sans"/>
          <w:sz w:val="24"/>
          <w:szCs w:val="24"/>
          <w:lang w:eastAsia="es-ES"/>
        </w:rPr>
      </w:pPr>
      <w:r w:rsidRPr="00A07BE9">
        <w:rPr>
          <w:rFonts w:ascii="Open Sans" w:eastAsia="Times New Roman" w:hAnsi="Open Sans" w:cs="Open Sans"/>
          <w:b/>
          <w:bCs/>
          <w:smallCaps/>
          <w:color w:val="94070A"/>
          <w:spacing w:val="-14"/>
          <w:sz w:val="200"/>
          <w:szCs w:val="200"/>
          <w:lang w:eastAsia="es-ES"/>
        </w:rPr>
        <w:t>05</w:t>
      </w:r>
    </w:p>
    <w:p w14:paraId="47961AF0" w14:textId="7E5F7A1F" w:rsidR="000952B8" w:rsidRPr="00A07BE9" w:rsidRDefault="000952B8" w:rsidP="000952B8">
      <w:pPr>
        <w:spacing w:after="0" w:line="240" w:lineRule="auto"/>
        <w:jc w:val="both"/>
        <w:rPr>
          <w:rFonts w:ascii="Open Sans" w:eastAsia="Times New Roman" w:hAnsi="Open Sans" w:cs="Open Sans"/>
          <w:spacing w:val="-14"/>
          <w:sz w:val="24"/>
          <w:szCs w:val="24"/>
          <w:lang w:eastAsia="es-ES"/>
        </w:rPr>
      </w:pPr>
      <w:r w:rsidRPr="00A07BE9">
        <w:rPr>
          <w:rFonts w:ascii="Open Sans" w:eastAsia="Times New Roman" w:hAnsi="Open Sans" w:cs="Open Sans"/>
          <w:b/>
          <w:bCs/>
          <w:color w:val="94070A"/>
          <w:spacing w:val="-14"/>
          <w:sz w:val="80"/>
          <w:szCs w:val="80"/>
          <w:lang w:eastAsia="es-ES"/>
        </w:rPr>
        <w:t xml:space="preserve">Actividad </w:t>
      </w:r>
      <w:r w:rsidR="004F2FD1" w:rsidRPr="00A07BE9">
        <w:rPr>
          <w:rFonts w:ascii="Open Sans" w:eastAsia="Times New Roman" w:hAnsi="Open Sans" w:cs="Open Sans"/>
          <w:b/>
          <w:bCs/>
          <w:color w:val="94070A"/>
          <w:spacing w:val="-14"/>
          <w:sz w:val="80"/>
          <w:szCs w:val="80"/>
          <w:lang w:eastAsia="es-ES"/>
        </w:rPr>
        <w:t>i</w:t>
      </w:r>
      <w:r w:rsidRPr="00A07BE9">
        <w:rPr>
          <w:rFonts w:ascii="Open Sans" w:eastAsia="Times New Roman" w:hAnsi="Open Sans" w:cs="Open Sans"/>
          <w:b/>
          <w:bCs/>
          <w:color w:val="94070A"/>
          <w:spacing w:val="-14"/>
          <w:sz w:val="80"/>
          <w:szCs w:val="80"/>
          <w:lang w:eastAsia="es-ES"/>
        </w:rPr>
        <w:t>nstitucional</w:t>
      </w:r>
    </w:p>
    <w:p w14:paraId="6494420D" w14:textId="6398F632" w:rsidR="000952B8" w:rsidRPr="00A07BE9" w:rsidRDefault="000952B8" w:rsidP="000952B8">
      <w:pPr>
        <w:spacing w:after="0" w:line="288" w:lineRule="auto"/>
        <w:jc w:val="both"/>
        <w:rPr>
          <w:rFonts w:ascii="Open Sans" w:eastAsia="Times New Roman" w:hAnsi="Open Sans" w:cs="Open Sans"/>
          <w:sz w:val="32"/>
          <w:szCs w:val="32"/>
          <w:lang w:eastAsia="es-ES"/>
        </w:rPr>
      </w:pPr>
    </w:p>
    <w:p w14:paraId="7E29C9EE" w14:textId="77777777" w:rsidR="00F851FB" w:rsidRPr="00A07BE9" w:rsidRDefault="00F851FB" w:rsidP="000952B8">
      <w:pPr>
        <w:spacing w:after="0" w:line="288" w:lineRule="auto"/>
        <w:jc w:val="both"/>
        <w:rPr>
          <w:rFonts w:ascii="Open Sans" w:eastAsia="Times New Roman" w:hAnsi="Open Sans" w:cs="Open Sans"/>
          <w:sz w:val="32"/>
          <w:szCs w:val="32"/>
          <w:lang w:eastAsia="es-ES"/>
        </w:rPr>
      </w:pPr>
    </w:p>
    <w:p w14:paraId="26B6D6E6" w14:textId="77777777" w:rsidR="000952B8" w:rsidRPr="00A07BE9" w:rsidRDefault="000952B8" w:rsidP="000952B8">
      <w:pPr>
        <w:spacing w:after="0" w:line="276" w:lineRule="auto"/>
        <w:jc w:val="both"/>
        <w:rPr>
          <w:rFonts w:ascii="Open Sans" w:eastAsia="Times New Roman" w:hAnsi="Open Sans" w:cs="Open Sans"/>
          <w:sz w:val="24"/>
          <w:szCs w:val="24"/>
          <w:lang w:eastAsia="es-ES"/>
        </w:rPr>
      </w:pPr>
      <w:r w:rsidRPr="00A07BE9">
        <w:rPr>
          <w:rFonts w:ascii="Open Sans" w:eastAsia="Times New Roman" w:hAnsi="Open Sans" w:cs="Open Sans"/>
          <w:b/>
          <w:bCs/>
          <w:smallCaps/>
          <w:color w:val="94070A"/>
          <w:sz w:val="32"/>
          <w:szCs w:val="32"/>
          <w:lang w:eastAsia="es-ES"/>
        </w:rPr>
        <w:t>5.1. Introducción</w:t>
      </w:r>
    </w:p>
    <w:p w14:paraId="4F5EF7CA"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0954F01B"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Bajo la dependencia directa de la persona titular de la Dirección General de la Agencia, corresponden a la unidad administrativa denominada Gabinete de Relaciones Institucionales, Participación y Comunicación las siguientes funciones:</w:t>
      </w:r>
    </w:p>
    <w:p w14:paraId="1A8BE89E"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0467C0B5" w14:textId="77777777" w:rsidR="000952B8" w:rsidRPr="00A07BE9" w:rsidRDefault="000952B8" w:rsidP="000952B8">
      <w:pPr>
        <w:numPr>
          <w:ilvl w:val="0"/>
          <w:numId w:val="21"/>
        </w:numPr>
        <w:spacing w:after="0" w:line="276" w:lineRule="auto"/>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Mantener, impulsar y gestionar las relaciones institucionales con los órganos e instituciones de la Generalitat, del Estado y de las demás administraciones públicas.</w:t>
      </w:r>
    </w:p>
    <w:p w14:paraId="1B5881EC" w14:textId="77777777" w:rsidR="000952B8" w:rsidRPr="00A07BE9" w:rsidRDefault="000952B8" w:rsidP="000952B8">
      <w:pPr>
        <w:numPr>
          <w:ilvl w:val="0"/>
          <w:numId w:val="21"/>
        </w:numPr>
        <w:spacing w:after="0" w:line="276" w:lineRule="auto"/>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Desarrollar las políticas de comunicación externa e imagen institucional de la Agencia, y las relaciones informativas y con los medios de comunicación.</w:t>
      </w:r>
    </w:p>
    <w:p w14:paraId="2D7D0DFB" w14:textId="77777777" w:rsidR="000952B8" w:rsidRPr="00A07BE9" w:rsidRDefault="000952B8" w:rsidP="000952B8">
      <w:pPr>
        <w:numPr>
          <w:ilvl w:val="0"/>
          <w:numId w:val="21"/>
        </w:numPr>
        <w:spacing w:after="0" w:line="276" w:lineRule="auto"/>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Elaborar, gestionar y analizar cualquier tipo de información y documentación sobre las materias propias de la Agencia.</w:t>
      </w:r>
    </w:p>
    <w:p w14:paraId="318E2875" w14:textId="77777777" w:rsidR="000952B8" w:rsidRPr="00A07BE9" w:rsidRDefault="000952B8" w:rsidP="000952B8">
      <w:pPr>
        <w:numPr>
          <w:ilvl w:val="0"/>
          <w:numId w:val="21"/>
        </w:numPr>
        <w:spacing w:after="0" w:line="276" w:lineRule="auto"/>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Proponer, preparar y elaborar los informes, estadísticas, publicaciones, estudios técnicos y memorias necesarios en relación con las funciones atribuidas a la Agencia.</w:t>
      </w:r>
    </w:p>
    <w:p w14:paraId="35B2D4EA" w14:textId="77777777" w:rsidR="000952B8" w:rsidRPr="00A07BE9" w:rsidRDefault="000952B8" w:rsidP="000952B8">
      <w:pPr>
        <w:numPr>
          <w:ilvl w:val="0"/>
          <w:numId w:val="21"/>
        </w:numPr>
        <w:spacing w:after="0" w:line="276" w:lineRule="auto"/>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Proponer y tramitar las actuaciones de la Agencia relacionadas con la actividad parlamentaria.</w:t>
      </w:r>
    </w:p>
    <w:p w14:paraId="289EE8A1" w14:textId="77777777" w:rsidR="000952B8" w:rsidRPr="00A07BE9" w:rsidRDefault="000952B8" w:rsidP="000952B8">
      <w:pPr>
        <w:numPr>
          <w:ilvl w:val="0"/>
          <w:numId w:val="21"/>
        </w:numPr>
        <w:spacing w:after="0" w:line="276" w:lineRule="auto"/>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Desarrollar programas específicos de sensibilización a la ciudadanía para fomentar la creación de una cultura social de rechazo de la corrupción.</w:t>
      </w:r>
    </w:p>
    <w:p w14:paraId="734F373C" w14:textId="77777777" w:rsidR="000952B8" w:rsidRPr="00A07BE9" w:rsidRDefault="000952B8" w:rsidP="000952B8">
      <w:pPr>
        <w:numPr>
          <w:ilvl w:val="0"/>
          <w:numId w:val="21"/>
        </w:numPr>
        <w:spacing w:after="0" w:line="276" w:lineRule="auto"/>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Promover espacios de encuentro e intercambio con la sociedad civil y recoger sus aportaciones.</w:t>
      </w:r>
    </w:p>
    <w:p w14:paraId="4106F554" w14:textId="77777777" w:rsidR="000952B8" w:rsidRPr="00A07BE9" w:rsidRDefault="000952B8" w:rsidP="000952B8">
      <w:pPr>
        <w:numPr>
          <w:ilvl w:val="0"/>
          <w:numId w:val="21"/>
        </w:numPr>
        <w:spacing w:after="0" w:line="276" w:lineRule="auto"/>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 xml:space="preserve">Efectuar el seguimiento, evaluación del desarrollo y grado de cumplimiento de la normativa vigente en materia de igualdad entre mujeres y hombres en el ámbito de </w:t>
      </w:r>
      <w:r w:rsidRPr="00A07BE9">
        <w:rPr>
          <w:rFonts w:ascii="Open Sans" w:eastAsia="Times New Roman" w:hAnsi="Open Sans" w:cs="Open Sans"/>
          <w:sz w:val="20"/>
          <w:szCs w:val="20"/>
          <w:lang w:eastAsia="es-ES"/>
        </w:rPr>
        <w:lastRenderedPageBreak/>
        <w:t>las actuaciones de la Agencia, incluida la utilización de un lenguaje no sexista y no discriminatorio y la transmisión de valores positivos e igualitarios en la publicidad institucional.</w:t>
      </w:r>
    </w:p>
    <w:p w14:paraId="42FE6D29" w14:textId="77777777" w:rsidR="000952B8" w:rsidRPr="00A07BE9" w:rsidRDefault="000952B8" w:rsidP="000952B8">
      <w:pPr>
        <w:numPr>
          <w:ilvl w:val="0"/>
          <w:numId w:val="21"/>
        </w:numPr>
        <w:spacing w:after="0" w:line="276" w:lineRule="auto"/>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Aquellas otras que se le asignen por la persona titular de la dirección.</w:t>
      </w:r>
    </w:p>
    <w:p w14:paraId="35AE88F9"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03C99273"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Desde el Gabinete de Relaciones Institucionales, Comunicación y Participación se han realizado a lo largo de 2019 distintas actividades institucionales que se detallan en los epígrafes que a continuación se desarrollan.</w:t>
      </w:r>
    </w:p>
    <w:p w14:paraId="6703FF05"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1F5B5A54"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0EA5177E" w14:textId="77777777" w:rsidR="000952B8" w:rsidRPr="00A07BE9" w:rsidRDefault="000952B8" w:rsidP="000952B8">
      <w:pPr>
        <w:spacing w:after="0" w:line="276" w:lineRule="auto"/>
        <w:jc w:val="both"/>
        <w:rPr>
          <w:rFonts w:ascii="Open Sans" w:eastAsia="Times New Roman" w:hAnsi="Open Sans" w:cs="Open Sans"/>
          <w:b/>
          <w:bCs/>
          <w:smallCaps/>
          <w:color w:val="94070A"/>
          <w:sz w:val="32"/>
          <w:szCs w:val="32"/>
          <w:lang w:eastAsia="es-ES"/>
        </w:rPr>
      </w:pPr>
      <w:r w:rsidRPr="00A07BE9">
        <w:rPr>
          <w:rFonts w:ascii="Open Sans" w:eastAsia="Times New Roman" w:hAnsi="Open Sans" w:cs="Open Sans"/>
          <w:b/>
          <w:bCs/>
          <w:smallCaps/>
          <w:color w:val="94070A"/>
          <w:sz w:val="32"/>
          <w:szCs w:val="32"/>
          <w:lang w:eastAsia="es-ES"/>
        </w:rPr>
        <w:t>5.2. Actos organizados</w:t>
      </w:r>
    </w:p>
    <w:p w14:paraId="6E83017B"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32DCBB2E"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A fin de difundir las actividades de la Agencia en el ámbito de la sociedad civil, se han desarrollado diversos actos, organizados por la propia Agencia para sensibilizar a la ciudadanía en materia de lucha contra el fraude y la corrupción</w:t>
      </w:r>
    </w:p>
    <w:p w14:paraId="590591FA"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45BDFB7D"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Por otro lado, se han puesto en marcha actividades de formación: unas, internas, dirigidas al personal de la Agencia y otras al conjunto de los empleados públicos.</w:t>
      </w:r>
    </w:p>
    <w:p w14:paraId="2465B1D2"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6C637CBC"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Las conferencias y seminarios dirigidos al personal de la Agencia se detallan en el apartado 2.3.4 de esta Memoria.</w:t>
      </w:r>
    </w:p>
    <w:p w14:paraId="3FB52205"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22E6FF0C" w14:textId="77777777" w:rsidR="000952B8" w:rsidRPr="00A07BE9" w:rsidRDefault="000952B8" w:rsidP="000952B8">
      <w:pPr>
        <w:spacing w:after="0" w:line="276" w:lineRule="auto"/>
        <w:jc w:val="both"/>
        <w:rPr>
          <w:rFonts w:ascii="Calibri" w:eastAsia="Calibri" w:hAnsi="Calibri" w:cs="Calibri"/>
          <w:sz w:val="20"/>
          <w:szCs w:val="20"/>
        </w:rPr>
      </w:pPr>
      <w:r w:rsidRPr="00A07BE9">
        <w:rPr>
          <w:rFonts w:ascii="Open Sans" w:eastAsia="Times New Roman" w:hAnsi="Open Sans" w:cs="Open Sans"/>
          <w:sz w:val="20"/>
          <w:szCs w:val="20"/>
          <w:lang w:eastAsia="es-ES"/>
        </w:rPr>
        <w:t>En relación con las actividades organizadas dirigidas a la sociedad civil, una de las más destacables ha sido la relacionada con el documental</w:t>
      </w:r>
      <w:r w:rsidRPr="00A07BE9">
        <w:rPr>
          <w:rFonts w:ascii="Open Sans" w:eastAsia="Times New Roman" w:hAnsi="Open Sans" w:cs="Open Sans"/>
          <w:b/>
          <w:sz w:val="20"/>
          <w:szCs w:val="20"/>
          <w:u w:val="single"/>
          <w:lang w:eastAsia="es-ES"/>
        </w:rPr>
        <w:t xml:space="preserve"> </w:t>
      </w:r>
      <w:hyperlink r:id="rId283">
        <w:r w:rsidRPr="00A07BE9">
          <w:rPr>
            <w:rStyle w:val="Hipervnculo"/>
            <w:rFonts w:ascii="Open Sans" w:eastAsia="NSimSun" w:hAnsi="Open Sans" w:cs="Open Sans"/>
            <w:sz w:val="20"/>
            <w:szCs w:val="20"/>
            <w:lang w:eastAsia="zh-CN"/>
          </w:rPr>
          <w:t>“La corrupción: Organismo nocivo”</w:t>
        </w:r>
      </w:hyperlink>
      <w:r w:rsidRPr="00A07BE9">
        <w:rPr>
          <w:rFonts w:ascii="Open Sans" w:eastAsia="Times New Roman" w:hAnsi="Open Sans" w:cs="Open Sans"/>
          <w:b/>
          <w:sz w:val="20"/>
          <w:szCs w:val="20"/>
          <w:lang w:eastAsia="es-ES"/>
        </w:rPr>
        <w:t xml:space="preserve"> </w:t>
      </w:r>
      <w:r w:rsidRPr="00A07BE9">
        <w:rPr>
          <w:rFonts w:ascii="Open Sans" w:eastAsia="Times New Roman" w:hAnsi="Open Sans" w:cs="Open Sans"/>
          <w:sz w:val="20"/>
          <w:szCs w:val="20"/>
          <w:lang w:eastAsia="es-ES"/>
        </w:rPr>
        <w:t xml:space="preserve">(2015), producido por Pandora Box TV y dirigido por Albert Sanfeliu con guion de Teresa Soler. </w:t>
      </w:r>
    </w:p>
    <w:p w14:paraId="12D3320C"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4B33C329"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 xml:space="preserve">La Agencia ha producido una actualización de este documental, cuatro años después, para adaptar sus contenidos y adecuar su formato para su mejor difusión. </w:t>
      </w:r>
    </w:p>
    <w:p w14:paraId="1BD2DCB4"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0369B2F2" w14:textId="59063D50" w:rsidR="000952B8" w:rsidRPr="00A07BE9" w:rsidRDefault="000952B8" w:rsidP="000952B8">
      <w:pPr>
        <w:spacing w:after="0" w:line="276" w:lineRule="auto"/>
        <w:jc w:val="both"/>
        <w:rPr>
          <w:rFonts w:ascii="Calibri" w:eastAsia="Calibri" w:hAnsi="Calibri" w:cs="Calibri"/>
          <w:sz w:val="20"/>
          <w:szCs w:val="20"/>
        </w:rPr>
      </w:pPr>
      <w:r w:rsidRPr="00A07BE9">
        <w:rPr>
          <w:rFonts w:ascii="Open Sans" w:eastAsia="Times New Roman" w:hAnsi="Open Sans" w:cs="Open Sans"/>
          <w:sz w:val="20"/>
          <w:szCs w:val="20"/>
          <w:lang w:eastAsia="es-ES"/>
        </w:rPr>
        <w:t>En mayo de 2019, se graba en la sede de la Agencia una mesa redonda con las intervenciones del director, Sr. Joan Llinares; la directora de Prevención, Formación y Documentación, Sr</w:t>
      </w:r>
      <w:r w:rsidR="00774AAB" w:rsidRPr="00A07BE9">
        <w:rPr>
          <w:rFonts w:ascii="Open Sans" w:eastAsia="Times New Roman" w:hAnsi="Open Sans" w:cs="Open Sans"/>
          <w:sz w:val="20"/>
          <w:szCs w:val="20"/>
          <w:lang w:eastAsia="es-ES"/>
        </w:rPr>
        <w:t>a</w:t>
      </w:r>
      <w:r w:rsidRPr="00A07BE9">
        <w:rPr>
          <w:rFonts w:ascii="Open Sans" w:eastAsia="Times New Roman" w:hAnsi="Open Sans" w:cs="Open Sans"/>
          <w:sz w:val="20"/>
          <w:szCs w:val="20"/>
          <w:lang w:eastAsia="es-ES"/>
        </w:rPr>
        <w:t>. S</w:t>
      </w:r>
      <w:r w:rsidR="009A0558" w:rsidRPr="00A07BE9">
        <w:rPr>
          <w:rFonts w:ascii="Open Sans" w:eastAsia="Times New Roman" w:hAnsi="Open Sans" w:cs="Open Sans"/>
          <w:sz w:val="20"/>
          <w:szCs w:val="20"/>
          <w:lang w:eastAsia="es-ES"/>
        </w:rPr>
        <w:t>í</w:t>
      </w:r>
      <w:r w:rsidRPr="00A07BE9">
        <w:rPr>
          <w:rFonts w:ascii="Open Sans" w:eastAsia="Times New Roman" w:hAnsi="Open Sans" w:cs="Open Sans"/>
          <w:sz w:val="20"/>
          <w:szCs w:val="20"/>
          <w:lang w:eastAsia="es-ES"/>
        </w:rPr>
        <w:t>lvia Vèrnia; el magistrad</w:t>
      </w:r>
      <w:r w:rsidRPr="00A07BE9">
        <w:rPr>
          <w:rFonts w:ascii="Open Sans" w:eastAsia="Times New Roman" w:hAnsi="Open Sans" w:cs="Open Sans"/>
          <w:color w:val="000000"/>
          <w:sz w:val="20"/>
          <w:szCs w:val="20"/>
          <w:lang w:eastAsia="es-ES"/>
        </w:rPr>
        <w:t>o,</w:t>
      </w:r>
      <w:r w:rsidRPr="00A07BE9">
        <w:rPr>
          <w:rFonts w:ascii="Open Sans" w:eastAsia="Times New Roman" w:hAnsi="Open Sans" w:cs="Open Sans"/>
          <w:sz w:val="20"/>
          <w:szCs w:val="20"/>
          <w:lang w:eastAsia="es-ES"/>
        </w:rPr>
        <w:t xml:space="preserve"> Sr. Joaquim Bosch; y el catedrático de Ciencia Política y de la Administración de la Universidad Rey Juan Carlos de Madrid y miembro del Comité Ejecutivo de Transparencia Internacional España, Profesor Manuel Villoria.</w:t>
      </w:r>
    </w:p>
    <w:p w14:paraId="0902A152"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44F36B21"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 xml:space="preserve">Alrededor de este documental, se han realizado diversas acciones de difusión, en algunas de las cuales ha participado el director de la Agencia, que han constado de una presentación, la proyección del documental y un posterior debate. </w:t>
      </w:r>
    </w:p>
    <w:p w14:paraId="6FD5B7AB" w14:textId="77777777" w:rsidR="00112709" w:rsidRPr="00A07BE9" w:rsidRDefault="00112709" w:rsidP="000952B8">
      <w:pPr>
        <w:spacing w:after="0" w:line="276" w:lineRule="auto"/>
        <w:jc w:val="both"/>
        <w:rPr>
          <w:rFonts w:ascii="Open Sans" w:eastAsia="Times New Roman" w:hAnsi="Open Sans" w:cs="Open Sans"/>
          <w:b/>
          <w:bCs/>
          <w:smallCaps/>
          <w:color w:val="94070A"/>
          <w:sz w:val="28"/>
          <w:szCs w:val="28"/>
          <w:lang w:eastAsia="es-ES"/>
        </w:rPr>
      </w:pPr>
    </w:p>
    <w:p w14:paraId="50A4351C" w14:textId="77777777" w:rsidR="00112709" w:rsidRPr="00A07BE9" w:rsidRDefault="00112709" w:rsidP="000952B8">
      <w:pPr>
        <w:spacing w:after="0" w:line="276" w:lineRule="auto"/>
        <w:jc w:val="both"/>
        <w:rPr>
          <w:rFonts w:ascii="Open Sans" w:eastAsia="Times New Roman" w:hAnsi="Open Sans" w:cs="Open Sans"/>
          <w:b/>
          <w:bCs/>
          <w:smallCaps/>
          <w:color w:val="94070A"/>
          <w:sz w:val="28"/>
          <w:szCs w:val="28"/>
          <w:lang w:eastAsia="es-ES"/>
        </w:rPr>
      </w:pPr>
    </w:p>
    <w:p w14:paraId="10852D36" w14:textId="77777777" w:rsidR="00112709" w:rsidRPr="00A07BE9" w:rsidRDefault="00112709" w:rsidP="000952B8">
      <w:pPr>
        <w:spacing w:after="0" w:line="276" w:lineRule="auto"/>
        <w:jc w:val="both"/>
        <w:rPr>
          <w:rFonts w:ascii="Open Sans" w:eastAsia="Times New Roman" w:hAnsi="Open Sans" w:cs="Open Sans"/>
          <w:b/>
          <w:bCs/>
          <w:smallCaps/>
          <w:color w:val="94070A"/>
          <w:sz w:val="28"/>
          <w:szCs w:val="28"/>
          <w:lang w:eastAsia="es-ES"/>
        </w:rPr>
      </w:pPr>
    </w:p>
    <w:p w14:paraId="424875F8" w14:textId="4696569A" w:rsidR="000952B8" w:rsidRPr="00A07BE9" w:rsidRDefault="000952B8" w:rsidP="000952B8">
      <w:pPr>
        <w:spacing w:after="0" w:line="276" w:lineRule="auto"/>
        <w:jc w:val="both"/>
        <w:rPr>
          <w:rFonts w:ascii="Open Sans" w:eastAsia="Times New Roman" w:hAnsi="Open Sans" w:cs="Open Sans"/>
          <w:b/>
          <w:bCs/>
          <w:smallCaps/>
          <w:color w:val="94070A"/>
          <w:sz w:val="28"/>
          <w:szCs w:val="28"/>
          <w:lang w:eastAsia="es-ES"/>
        </w:rPr>
      </w:pPr>
      <w:r w:rsidRPr="00A07BE9">
        <w:rPr>
          <w:rFonts w:ascii="Open Sans" w:eastAsia="Times New Roman" w:hAnsi="Open Sans" w:cs="Open Sans"/>
          <w:b/>
          <w:bCs/>
          <w:smallCaps/>
          <w:color w:val="94070A"/>
          <w:sz w:val="28"/>
          <w:szCs w:val="28"/>
          <w:lang w:eastAsia="es-ES"/>
        </w:rPr>
        <w:lastRenderedPageBreak/>
        <w:t>5.2.1. Consejo de Participación Ciudadana de la Agencia Valenciana Antifraude</w:t>
      </w:r>
    </w:p>
    <w:p w14:paraId="70E28BAC" w14:textId="77777777" w:rsidR="000952B8" w:rsidRPr="00A07BE9" w:rsidRDefault="000952B8" w:rsidP="000952B8">
      <w:pPr>
        <w:spacing w:after="0" w:line="276" w:lineRule="auto"/>
        <w:jc w:val="both"/>
        <w:rPr>
          <w:rFonts w:ascii="Open Sans" w:eastAsia="Times New Roman" w:hAnsi="Open Sans" w:cs="Open Sans"/>
          <w:b/>
          <w:bCs/>
          <w:smallCaps/>
          <w:color w:val="94070A"/>
          <w:sz w:val="20"/>
          <w:szCs w:val="20"/>
          <w:lang w:eastAsia="es-ES"/>
        </w:rPr>
      </w:pPr>
    </w:p>
    <w:p w14:paraId="3E154ADB" w14:textId="632991E3" w:rsidR="000952B8" w:rsidRPr="00A07BE9" w:rsidRDefault="000952B8" w:rsidP="000952B8">
      <w:pPr>
        <w:spacing w:after="0" w:line="276" w:lineRule="auto"/>
        <w:jc w:val="both"/>
        <w:rPr>
          <w:rFonts w:ascii="Calibri" w:eastAsia="Calibri" w:hAnsi="Calibri" w:cs="Calibri"/>
          <w:sz w:val="20"/>
          <w:szCs w:val="20"/>
        </w:rPr>
      </w:pPr>
      <w:r w:rsidRPr="00A07BE9">
        <w:rPr>
          <w:rFonts w:ascii="Open Sans" w:eastAsia="Times New Roman" w:hAnsi="Open Sans" w:cs="Open Sans"/>
          <w:sz w:val="20"/>
          <w:szCs w:val="20"/>
          <w:lang w:eastAsia="es-ES"/>
        </w:rPr>
        <w:t xml:space="preserve">Por </w:t>
      </w:r>
      <w:hyperlink r:id="rId284">
        <w:r w:rsidRPr="00A07BE9">
          <w:rPr>
            <w:rStyle w:val="Hipervnculo"/>
            <w:rFonts w:ascii="Open Sans" w:eastAsia="NSimSun" w:hAnsi="Open Sans" w:cs="Open Sans"/>
            <w:sz w:val="20"/>
            <w:szCs w:val="20"/>
            <w:lang w:eastAsia="zh-CN"/>
          </w:rPr>
          <w:t>Resolución de 12 de febrero de 2019</w:t>
        </w:r>
        <w:r w:rsidRPr="00A07BE9">
          <w:rPr>
            <w:rStyle w:val="Hipervnculo"/>
            <w:rFonts w:ascii="Open Sans" w:eastAsia="NSimSun" w:hAnsi="Open Sans" w:cs="Open Sans"/>
            <w:color w:val="auto"/>
            <w:sz w:val="20"/>
            <w:szCs w:val="20"/>
            <w:u w:val="none"/>
            <w:lang w:eastAsia="zh-CN"/>
          </w:rPr>
          <w:t>, del director de la Agencia</w:t>
        </w:r>
      </w:hyperlink>
      <w:r w:rsidRPr="00A07BE9">
        <w:rPr>
          <w:rFonts w:ascii="Open Sans" w:eastAsia="Times New Roman" w:hAnsi="Open Sans" w:cs="Open Sans"/>
          <w:sz w:val="20"/>
          <w:szCs w:val="20"/>
          <w:lang w:eastAsia="es-ES"/>
        </w:rPr>
        <w:t xml:space="preserve">, publicada en el DOGV número 346 de 22 de febrero de 2019, se crea el </w:t>
      </w:r>
      <w:hyperlink r:id="rId285">
        <w:r w:rsidRPr="00A07BE9">
          <w:rPr>
            <w:rFonts w:ascii="Open Sans" w:eastAsia="Times New Roman" w:hAnsi="Open Sans" w:cs="Open Sans"/>
            <w:color w:val="000080"/>
            <w:sz w:val="20"/>
            <w:szCs w:val="20"/>
            <w:u w:val="single"/>
            <w:lang w:eastAsia="es-ES"/>
          </w:rPr>
          <w:t xml:space="preserve">Consejo de Participación </w:t>
        </w:r>
        <w:r w:rsidRPr="00A07BE9">
          <w:rPr>
            <w:rFonts w:ascii="Open Sans" w:eastAsia="Times New Roman" w:hAnsi="Open Sans" w:cs="Open Sans"/>
            <w:sz w:val="20"/>
            <w:szCs w:val="20"/>
            <w:lang w:eastAsia="es-ES"/>
          </w:rPr>
          <w:t>de la Agencia de Prevención y Lucha contra el Fraude y la Corrupción de la Comunitat Valenciana</w:t>
        </w:r>
      </w:hyperlink>
      <w:r w:rsidR="00CE56FC" w:rsidRPr="00A07BE9">
        <w:rPr>
          <w:rFonts w:ascii="Open Sans" w:eastAsia="Times New Roman" w:hAnsi="Open Sans" w:cs="Open Sans"/>
          <w:color w:val="000080"/>
          <w:sz w:val="20"/>
          <w:szCs w:val="20"/>
          <w:lang w:eastAsia="es-ES"/>
        </w:rPr>
        <w:t>.</w:t>
      </w:r>
    </w:p>
    <w:p w14:paraId="51E599AF"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7045BE84"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Este Consejo se configura como órgano asesor y de consulta para la participación de la sociedad civil y personas expertas dentro del ámbito de la prevención y lucha contra el fraude y la corrupción, la transparencia en la actividad pública y la calidad democrática, en aras al mejor cumplimiento de las funciones y finalidades de esta Agencia. Su finalidad es impulsar la vinculación de la Agencia con la sociedad civil y la ciudadanía facilitando su comunicación y relación.</w:t>
      </w:r>
    </w:p>
    <w:p w14:paraId="3EAAB607"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36160FEC" w14:textId="77777777" w:rsidR="000952B8" w:rsidRPr="00A07BE9" w:rsidRDefault="000952B8" w:rsidP="000952B8">
      <w:pPr>
        <w:spacing w:after="0" w:line="276" w:lineRule="auto"/>
        <w:jc w:val="both"/>
        <w:rPr>
          <w:rFonts w:ascii="Calibri" w:eastAsia="Calibri" w:hAnsi="Calibri" w:cs="Calibri"/>
          <w:sz w:val="20"/>
          <w:szCs w:val="20"/>
        </w:rPr>
      </w:pPr>
      <w:r w:rsidRPr="00A07BE9">
        <w:rPr>
          <w:rFonts w:ascii="Open Sans" w:eastAsia="Times New Roman" w:hAnsi="Open Sans" w:cs="Open Sans"/>
          <w:sz w:val="20"/>
          <w:szCs w:val="20"/>
          <w:lang w:eastAsia="es-ES"/>
        </w:rPr>
        <w:t xml:space="preserve">El Consejo de Participación se regula en el título IV (artículos 24 a 26), </w:t>
      </w:r>
      <w:r w:rsidRPr="00A07BE9">
        <w:rPr>
          <w:rFonts w:ascii="Open Sans" w:eastAsia="Times New Roman" w:hAnsi="Open Sans" w:cs="Open Sans"/>
          <w:color w:val="000080"/>
          <w:sz w:val="20"/>
          <w:szCs w:val="20"/>
          <w:lang w:eastAsia="es-ES"/>
        </w:rPr>
        <w:t xml:space="preserve">del </w:t>
      </w:r>
      <w:hyperlink r:id="rId286">
        <w:r w:rsidRPr="00A07BE9">
          <w:rPr>
            <w:rFonts w:ascii="Open Sans" w:eastAsia="Times New Roman" w:hAnsi="Open Sans" w:cs="Open Sans"/>
            <w:color w:val="000080"/>
            <w:sz w:val="20"/>
            <w:szCs w:val="20"/>
            <w:u w:val="single"/>
            <w:lang w:eastAsia="es-ES"/>
          </w:rPr>
          <w:t>Reglamento de funcionamiento y régimen interior</w:t>
        </w:r>
      </w:hyperlink>
      <w:r w:rsidRPr="00A07BE9">
        <w:rPr>
          <w:rFonts w:ascii="Open Sans" w:eastAsia="Times New Roman" w:hAnsi="Open Sans" w:cs="Open Sans"/>
          <w:color w:val="000080"/>
          <w:sz w:val="20"/>
          <w:szCs w:val="20"/>
          <w:u w:val="single"/>
          <w:lang w:eastAsia="es-ES"/>
        </w:rPr>
        <w:t xml:space="preserve"> </w:t>
      </w:r>
      <w:r w:rsidRPr="00A07BE9">
        <w:rPr>
          <w:rFonts w:ascii="Open Sans" w:eastAsia="Times New Roman" w:hAnsi="Open Sans" w:cs="Open Sans"/>
          <w:sz w:val="20"/>
          <w:szCs w:val="20"/>
          <w:lang w:eastAsia="es-ES"/>
        </w:rPr>
        <w:t>de la Agencia de 27 de junio 2019.</w:t>
      </w:r>
    </w:p>
    <w:p w14:paraId="076DA15C"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13D40AFC" w14:textId="77777777" w:rsidR="000952B8" w:rsidRPr="00A07BE9" w:rsidRDefault="000952B8" w:rsidP="000952B8">
      <w:pPr>
        <w:spacing w:after="0" w:line="276" w:lineRule="auto"/>
        <w:jc w:val="both"/>
        <w:rPr>
          <w:rFonts w:ascii="Calibri" w:eastAsia="Calibri" w:hAnsi="Calibri" w:cs="Calibri"/>
          <w:sz w:val="20"/>
          <w:szCs w:val="20"/>
        </w:rPr>
      </w:pPr>
      <w:r w:rsidRPr="00A07BE9">
        <w:rPr>
          <w:rFonts w:ascii="Open Sans" w:eastAsia="Times New Roman" w:hAnsi="Open Sans" w:cs="Open Sans"/>
          <w:sz w:val="20"/>
          <w:szCs w:val="20"/>
          <w:lang w:eastAsia="es-ES"/>
        </w:rPr>
        <w:t>En concreto</w:t>
      </w:r>
      <w:r w:rsidRPr="00A07BE9">
        <w:rPr>
          <w:rFonts w:ascii="Open Sans" w:eastAsia="Times New Roman" w:hAnsi="Open Sans" w:cs="Open Sans"/>
          <w:color w:val="000000"/>
          <w:sz w:val="20"/>
          <w:szCs w:val="20"/>
          <w:lang w:eastAsia="es-ES"/>
        </w:rPr>
        <w:t>, el artículo 25 del Reglamento, en su apartado 1, establece la composición del Consejo de Participación, y en su apartado 3, destaca que los mandatos de la vicepresidencia y de las vocalías del Consejo de Participación serán renovados cada tres años, con posibilidad de prórroga por otros tres años más.</w:t>
      </w:r>
    </w:p>
    <w:p w14:paraId="48B620BD"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p>
    <w:p w14:paraId="0E12DF89"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Añade este precepto, en sus apartados 4 y 5, que podrán ser invitadas a sus reuniones aquellas personas que por razón de su competencia o especial conocimiento sobre los asuntos a tratar se estime oportuno, y también, a través de las organizaciones sociales presentes en el Consejo, ciudadanas y ciudadanos concretos y representantes de estos que así lo deseen.</w:t>
      </w:r>
    </w:p>
    <w:p w14:paraId="05163B54"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p>
    <w:p w14:paraId="40EEAD9A" w14:textId="15C1338E"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Asimismo, la antedicha Resolución de 12 de febrero de 201</w:t>
      </w:r>
      <w:r w:rsidR="00D55E9F" w:rsidRPr="00A07BE9">
        <w:rPr>
          <w:rFonts w:ascii="Open Sans" w:eastAsia="Times New Roman" w:hAnsi="Open Sans" w:cs="Open Sans"/>
          <w:color w:val="000000"/>
          <w:sz w:val="20"/>
          <w:szCs w:val="20"/>
          <w:lang w:eastAsia="es-ES"/>
        </w:rPr>
        <w:t>9</w:t>
      </w:r>
      <w:r w:rsidRPr="00A07BE9">
        <w:rPr>
          <w:rFonts w:ascii="Open Sans" w:eastAsia="Times New Roman" w:hAnsi="Open Sans" w:cs="Open Sans"/>
          <w:color w:val="000000"/>
          <w:sz w:val="20"/>
          <w:szCs w:val="20"/>
          <w:lang w:eastAsia="es-ES"/>
        </w:rPr>
        <w:t>, del director de la Agencia, además de crear el Consejo de Participación, abría el plazo para la presentación de candidaturas para ocupar sus vocalías en representación de organizaciones cívicas.</w:t>
      </w:r>
    </w:p>
    <w:p w14:paraId="1F86CD9B"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p>
    <w:p w14:paraId="118A72ED"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Se recibieron las solicitudes para formar parte del Consejo y la correspondiente documentación administrativa. De acuerdo a lo previsto en la disposición adicional primera de esta Resolución y después de varias comunicaciones mantenidas por la Agencia, a través de correo electrónico, con cada uno de los representantes de estas organizaciones, se les trasladó la propuesta de composición del Consejo, que admitía a todos los solicitantes, cubriendo el número máximo de vocalías previsto en su norma de creación. Finalmente, se celebró la sesión constitutiva del Consejo de Participación de la Agencia el 4 de octubre de 2019 en Valencia.</w:t>
      </w:r>
    </w:p>
    <w:p w14:paraId="0767A9BF" w14:textId="77777777" w:rsidR="000952B8" w:rsidRPr="00A07BE9" w:rsidRDefault="000952B8" w:rsidP="000952B8">
      <w:pPr>
        <w:spacing w:after="0" w:line="276" w:lineRule="auto"/>
        <w:jc w:val="both"/>
        <w:rPr>
          <w:rFonts w:ascii="Open Sans" w:eastAsia="Times New Roman" w:hAnsi="Open Sans" w:cs="Open Sans"/>
          <w:color w:val="000000"/>
          <w:sz w:val="21"/>
          <w:szCs w:val="21"/>
          <w:lang w:eastAsia="es-ES"/>
        </w:rPr>
      </w:pPr>
      <w:r w:rsidRPr="00A07BE9">
        <w:rPr>
          <w:rFonts w:ascii="Calibri" w:eastAsia="Calibri" w:hAnsi="Calibri" w:cs="Calibri"/>
          <w:noProof/>
        </w:rPr>
        <w:lastRenderedPageBreak/>
        <w:drawing>
          <wp:inline distT="0" distB="0" distL="0" distR="0" wp14:anchorId="3D4E7FC0" wp14:editId="0787BB1A">
            <wp:extent cx="5400040" cy="1996440"/>
            <wp:effectExtent l="0" t="0" r="0" b="0"/>
            <wp:docPr id="9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3"/>
                    <pic:cNvPicPr>
                      <a:picLocks noChangeAspect="1" noChangeArrowheads="1"/>
                    </pic:cNvPicPr>
                  </pic:nvPicPr>
                  <pic:blipFill>
                    <a:blip r:embed="rId287" cstate="screen">
                      <a:extLst>
                        <a:ext uri="{28A0092B-C50C-407E-A947-70E740481C1C}">
                          <a14:useLocalDpi xmlns:a14="http://schemas.microsoft.com/office/drawing/2010/main"/>
                        </a:ext>
                      </a:extLst>
                    </a:blip>
                    <a:stretch>
                      <a:fillRect/>
                    </a:stretch>
                  </pic:blipFill>
                  <pic:spPr bwMode="auto">
                    <a:xfrm>
                      <a:off x="0" y="0"/>
                      <a:ext cx="5400040" cy="1996440"/>
                    </a:xfrm>
                    <a:prstGeom prst="rect">
                      <a:avLst/>
                    </a:prstGeom>
                  </pic:spPr>
                </pic:pic>
              </a:graphicData>
            </a:graphic>
          </wp:inline>
        </w:drawing>
      </w:r>
    </w:p>
    <w:p w14:paraId="56906F55"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p>
    <w:p w14:paraId="2EE7A7FB" w14:textId="6D6F0144" w:rsidR="000952B8" w:rsidRPr="00A07BE9" w:rsidRDefault="000952B8" w:rsidP="000952B8">
      <w:pPr>
        <w:spacing w:after="0" w:line="276" w:lineRule="auto"/>
        <w:jc w:val="both"/>
        <w:rPr>
          <w:rFonts w:ascii="Calibri" w:eastAsia="Calibri" w:hAnsi="Calibri" w:cs="Calibri"/>
          <w:sz w:val="20"/>
          <w:szCs w:val="20"/>
        </w:rPr>
      </w:pPr>
      <w:r w:rsidRPr="00A07BE9">
        <w:rPr>
          <w:rFonts w:ascii="Open Sans" w:eastAsia="Times New Roman" w:hAnsi="Open Sans" w:cs="Open Sans"/>
          <w:sz w:val="20"/>
          <w:szCs w:val="20"/>
          <w:lang w:eastAsia="es-ES"/>
        </w:rPr>
        <w:t xml:space="preserve">Por </w:t>
      </w:r>
      <w:hyperlink r:id="rId288">
        <w:r w:rsidRPr="00A07BE9">
          <w:rPr>
            <w:rFonts w:ascii="Open Sans" w:eastAsia="Times New Roman" w:hAnsi="Open Sans" w:cs="Open Sans"/>
            <w:color w:val="000080"/>
            <w:sz w:val="20"/>
            <w:szCs w:val="20"/>
            <w:u w:val="single"/>
            <w:lang w:eastAsia="es-ES"/>
          </w:rPr>
          <w:t>Resolución de 15 de octubre de 2019</w:t>
        </w:r>
      </w:hyperlink>
      <w:r w:rsidRPr="00A07BE9">
        <w:rPr>
          <w:rFonts w:ascii="Open Sans" w:eastAsia="Times New Roman" w:hAnsi="Open Sans" w:cs="Open Sans"/>
          <w:sz w:val="20"/>
          <w:szCs w:val="20"/>
          <w:lang w:eastAsia="es-ES"/>
        </w:rPr>
        <w:t xml:space="preserve">, del director de la Agencia (DOGV 8665 de 28 de octubre), se determina la composición </w:t>
      </w:r>
      <w:r w:rsidRPr="00A07BE9">
        <w:rPr>
          <w:rFonts w:ascii="Open Sans" w:eastAsia="Times New Roman" w:hAnsi="Open Sans" w:cs="Open Sans"/>
          <w:color w:val="000000"/>
          <w:sz w:val="20"/>
          <w:szCs w:val="20"/>
          <w:lang w:eastAsia="es-ES"/>
        </w:rPr>
        <w:t>del Consejo de Participación que, en pleno, queda integrado por los siguientes miembros:</w:t>
      </w:r>
    </w:p>
    <w:p w14:paraId="08240661"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p>
    <w:p w14:paraId="69156192" w14:textId="77777777" w:rsidR="000952B8" w:rsidRPr="00A07BE9" w:rsidRDefault="000952B8" w:rsidP="000952B8">
      <w:pPr>
        <w:numPr>
          <w:ilvl w:val="0"/>
          <w:numId w:val="22"/>
        </w:numPr>
        <w:spacing w:after="0" w:line="276" w:lineRule="auto"/>
        <w:contextualSpacing/>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La Presidencia, ejercida por el director de la Agencia de Prevención y Lucha contra el Fraude y la Corrupción de la Comunitat Valenciana.</w:t>
      </w:r>
    </w:p>
    <w:p w14:paraId="744D0FED" w14:textId="77777777" w:rsidR="000952B8" w:rsidRPr="00A07BE9" w:rsidRDefault="000952B8" w:rsidP="000952B8">
      <w:pPr>
        <w:numPr>
          <w:ilvl w:val="0"/>
          <w:numId w:val="22"/>
        </w:numPr>
        <w:spacing w:after="0" w:line="276" w:lineRule="auto"/>
        <w:contextualSpacing/>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La Vicepresidencia, que corresponde a Ana María Fuertes Eugenio, en representación de Fundación por la Justicia, la cual fue elegida mediante votación por las organizaciones cívicas en la sesión constitutiva.</w:t>
      </w:r>
    </w:p>
    <w:p w14:paraId="4B68FAE5" w14:textId="77777777" w:rsidR="000952B8" w:rsidRPr="00A07BE9" w:rsidRDefault="000952B8" w:rsidP="000952B8">
      <w:pPr>
        <w:numPr>
          <w:ilvl w:val="0"/>
          <w:numId w:val="22"/>
        </w:numPr>
        <w:spacing w:after="0" w:line="276" w:lineRule="auto"/>
        <w:contextualSpacing/>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La secretaría del Consejo, ejercida por Teresa Clemente García, directora de Asuntos Jurídicos de la Agencia.</w:t>
      </w:r>
    </w:p>
    <w:p w14:paraId="156E1084" w14:textId="77777777" w:rsidR="000952B8" w:rsidRPr="00A07BE9" w:rsidRDefault="000952B8" w:rsidP="000952B8">
      <w:pPr>
        <w:numPr>
          <w:ilvl w:val="0"/>
          <w:numId w:val="22"/>
        </w:numPr>
        <w:spacing w:after="0" w:line="276" w:lineRule="auto"/>
        <w:contextualSpacing/>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Doce vocalías integradas por personas representantes de cada una de las organizaciones cívicas de carácter social que trabajan contra el fraude y la corrupción en la Comunitat Valenciana o que tienen entre sus fines la transparencia de la actividad pública, el buen gobierno y la defensa de los derechos de los ciudadanos dentro de este ámbito a lo largo del territorio de la Comunitat:</w:t>
      </w:r>
    </w:p>
    <w:p w14:paraId="3A7C4BF4" w14:textId="77777777" w:rsidR="000952B8" w:rsidRPr="00A07BE9" w:rsidRDefault="000952B8" w:rsidP="000952B8">
      <w:pPr>
        <w:tabs>
          <w:tab w:val="left" w:pos="1560"/>
        </w:tabs>
        <w:spacing w:after="0" w:line="276" w:lineRule="auto"/>
        <w:ind w:left="1560" w:hanging="426"/>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1. </w:t>
      </w:r>
      <w:r w:rsidRPr="00A07BE9">
        <w:rPr>
          <w:rFonts w:ascii="Open Sans" w:eastAsia="Times New Roman" w:hAnsi="Open Sans" w:cs="Open Sans"/>
          <w:color w:val="000000"/>
          <w:sz w:val="20"/>
          <w:szCs w:val="20"/>
          <w:lang w:eastAsia="es-ES"/>
        </w:rPr>
        <w:tab/>
        <w:t>Silvina Bacigalupo Saggese, en representación de Transparency International España.</w:t>
      </w:r>
    </w:p>
    <w:p w14:paraId="4D7AABBA" w14:textId="77777777" w:rsidR="000952B8" w:rsidRPr="00A07BE9" w:rsidRDefault="000952B8" w:rsidP="000952B8">
      <w:pPr>
        <w:tabs>
          <w:tab w:val="left" w:pos="1560"/>
        </w:tabs>
        <w:spacing w:after="0" w:line="276" w:lineRule="auto"/>
        <w:ind w:left="1560" w:hanging="426"/>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2. </w:t>
      </w:r>
      <w:r w:rsidRPr="00A07BE9">
        <w:rPr>
          <w:rFonts w:ascii="Open Sans" w:eastAsia="Times New Roman" w:hAnsi="Open Sans" w:cs="Open Sans"/>
          <w:color w:val="000000"/>
          <w:sz w:val="20"/>
          <w:szCs w:val="20"/>
          <w:lang w:eastAsia="es-ES"/>
        </w:rPr>
        <w:tab/>
        <w:t>Miguel Falomir Sorio, en representación de Asociación Valenciana de Consumidores y Usuarios.</w:t>
      </w:r>
    </w:p>
    <w:p w14:paraId="761AE179" w14:textId="77777777" w:rsidR="000952B8" w:rsidRPr="00A07BE9" w:rsidRDefault="000952B8" w:rsidP="000952B8">
      <w:pPr>
        <w:tabs>
          <w:tab w:val="left" w:pos="1560"/>
        </w:tabs>
        <w:spacing w:after="0" w:line="276" w:lineRule="auto"/>
        <w:ind w:left="1560" w:hanging="426"/>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3. </w:t>
      </w:r>
      <w:r w:rsidRPr="00A07BE9">
        <w:rPr>
          <w:rFonts w:ascii="Open Sans" w:eastAsia="Times New Roman" w:hAnsi="Open Sans" w:cs="Open Sans"/>
          <w:color w:val="000000"/>
          <w:sz w:val="20"/>
          <w:szCs w:val="20"/>
          <w:lang w:eastAsia="es-ES"/>
        </w:rPr>
        <w:tab/>
        <w:t>Antonia Ferrer Sapena, en representación de Tactical Whistleblower.</w:t>
      </w:r>
    </w:p>
    <w:p w14:paraId="0048D62C" w14:textId="77777777" w:rsidR="000952B8" w:rsidRPr="00A07BE9" w:rsidRDefault="000952B8" w:rsidP="000952B8">
      <w:pPr>
        <w:tabs>
          <w:tab w:val="left" w:pos="1560"/>
        </w:tabs>
        <w:spacing w:after="0" w:line="276" w:lineRule="auto"/>
        <w:ind w:left="1560" w:hanging="426"/>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4. </w:t>
      </w:r>
      <w:r w:rsidRPr="00A07BE9">
        <w:rPr>
          <w:rFonts w:ascii="Open Sans" w:eastAsia="Times New Roman" w:hAnsi="Open Sans" w:cs="Open Sans"/>
          <w:color w:val="000000"/>
          <w:sz w:val="20"/>
          <w:szCs w:val="20"/>
          <w:lang w:eastAsia="es-ES"/>
        </w:rPr>
        <w:tab/>
        <w:t>Juan Carlos Galindo Gómez, en representación de la Asociación Española Sujetos Obligados en Prevención del Blanqueo.</w:t>
      </w:r>
    </w:p>
    <w:p w14:paraId="054D092A" w14:textId="77777777" w:rsidR="000952B8" w:rsidRPr="00A07BE9" w:rsidRDefault="000952B8" w:rsidP="000952B8">
      <w:pPr>
        <w:tabs>
          <w:tab w:val="left" w:pos="1560"/>
        </w:tabs>
        <w:spacing w:after="0" w:line="276" w:lineRule="auto"/>
        <w:ind w:left="1560" w:hanging="426"/>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5. </w:t>
      </w:r>
      <w:r w:rsidRPr="00A07BE9">
        <w:rPr>
          <w:rFonts w:ascii="Open Sans" w:eastAsia="Times New Roman" w:hAnsi="Open Sans" w:cs="Open Sans"/>
          <w:color w:val="000000"/>
          <w:sz w:val="20"/>
          <w:szCs w:val="20"/>
          <w:lang w:eastAsia="es-ES"/>
        </w:rPr>
        <w:tab/>
        <w:t>Justo López Díaz, en representación de Alertadores Contra la Corrupción – Whistle Blower.</w:t>
      </w:r>
    </w:p>
    <w:p w14:paraId="7765460E" w14:textId="77777777" w:rsidR="000952B8" w:rsidRPr="00A07BE9" w:rsidRDefault="000952B8" w:rsidP="000952B8">
      <w:pPr>
        <w:tabs>
          <w:tab w:val="left" w:pos="1560"/>
        </w:tabs>
        <w:spacing w:after="0" w:line="276" w:lineRule="auto"/>
        <w:ind w:left="1560" w:hanging="426"/>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6. </w:t>
      </w:r>
      <w:r w:rsidRPr="00A07BE9">
        <w:rPr>
          <w:rFonts w:ascii="Open Sans" w:eastAsia="Times New Roman" w:hAnsi="Open Sans" w:cs="Open Sans"/>
          <w:color w:val="000000"/>
          <w:sz w:val="20"/>
          <w:szCs w:val="20"/>
          <w:lang w:eastAsia="es-ES"/>
        </w:rPr>
        <w:tab/>
        <w:t>Baltasar Garzón Real, en representación de la Fundación Internacional Baltasar Garzón.</w:t>
      </w:r>
    </w:p>
    <w:p w14:paraId="033D7F56" w14:textId="77777777" w:rsidR="000952B8" w:rsidRPr="00A07BE9" w:rsidRDefault="000952B8" w:rsidP="000952B8">
      <w:pPr>
        <w:tabs>
          <w:tab w:val="left" w:pos="1560"/>
        </w:tabs>
        <w:spacing w:after="0" w:line="276" w:lineRule="auto"/>
        <w:ind w:left="1560" w:hanging="426"/>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7. </w:t>
      </w:r>
      <w:r w:rsidRPr="00A07BE9">
        <w:rPr>
          <w:rFonts w:ascii="Open Sans" w:eastAsia="Times New Roman" w:hAnsi="Open Sans" w:cs="Open Sans"/>
          <w:color w:val="000000"/>
          <w:sz w:val="20"/>
          <w:szCs w:val="20"/>
          <w:lang w:eastAsia="es-ES"/>
        </w:rPr>
        <w:tab/>
        <w:t>Peter Matjašič, en representación de Open Society Initative for Europe.</w:t>
      </w:r>
    </w:p>
    <w:p w14:paraId="694AB751" w14:textId="77777777" w:rsidR="000952B8" w:rsidRPr="00A07BE9" w:rsidRDefault="000952B8" w:rsidP="000952B8">
      <w:pPr>
        <w:tabs>
          <w:tab w:val="left" w:pos="1560"/>
        </w:tabs>
        <w:spacing w:after="0" w:line="276" w:lineRule="auto"/>
        <w:ind w:left="1560" w:hanging="426"/>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8. </w:t>
      </w:r>
      <w:r w:rsidRPr="00A07BE9">
        <w:rPr>
          <w:rFonts w:ascii="Open Sans" w:eastAsia="Times New Roman" w:hAnsi="Open Sans" w:cs="Open Sans"/>
          <w:color w:val="000000"/>
          <w:sz w:val="20"/>
          <w:szCs w:val="20"/>
          <w:lang w:eastAsia="es-ES"/>
        </w:rPr>
        <w:tab/>
        <w:t>Rafael Maurí Victoria, en representación del Observatori Ciutadà contra la Corrupció.</w:t>
      </w:r>
    </w:p>
    <w:p w14:paraId="72679DA7" w14:textId="77777777" w:rsidR="000952B8" w:rsidRPr="00A07BE9" w:rsidRDefault="000952B8" w:rsidP="000952B8">
      <w:pPr>
        <w:tabs>
          <w:tab w:val="left" w:pos="1560"/>
        </w:tabs>
        <w:spacing w:after="0" w:line="276" w:lineRule="auto"/>
        <w:ind w:left="1560" w:hanging="426"/>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9. </w:t>
      </w:r>
      <w:r w:rsidRPr="00A07BE9">
        <w:rPr>
          <w:rFonts w:ascii="Open Sans" w:eastAsia="Times New Roman" w:hAnsi="Open Sans" w:cs="Open Sans"/>
          <w:color w:val="000000"/>
          <w:sz w:val="20"/>
          <w:szCs w:val="20"/>
          <w:lang w:eastAsia="es-ES"/>
        </w:rPr>
        <w:tab/>
        <w:t>Antonio Penadés Chusp, en representación de Acción Cívica contra la Corrupción.</w:t>
      </w:r>
    </w:p>
    <w:p w14:paraId="0C1810D9" w14:textId="77777777" w:rsidR="000952B8" w:rsidRPr="00A07BE9" w:rsidRDefault="000952B8" w:rsidP="000952B8">
      <w:pPr>
        <w:tabs>
          <w:tab w:val="left" w:pos="1560"/>
        </w:tabs>
        <w:spacing w:after="0" w:line="276" w:lineRule="auto"/>
        <w:ind w:left="1560" w:hanging="426"/>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lastRenderedPageBreak/>
        <w:t xml:space="preserve">10. </w:t>
      </w:r>
      <w:r w:rsidRPr="00A07BE9">
        <w:rPr>
          <w:rFonts w:ascii="Open Sans" w:eastAsia="Times New Roman" w:hAnsi="Open Sans" w:cs="Open Sans"/>
          <w:color w:val="000000"/>
          <w:sz w:val="20"/>
          <w:szCs w:val="20"/>
          <w:lang w:eastAsia="es-ES"/>
        </w:rPr>
        <w:tab/>
        <w:t>Azahara Peralta Bravo, en representación de Plataforma por la Honestidad.</w:t>
      </w:r>
    </w:p>
    <w:p w14:paraId="124B0E01" w14:textId="77777777" w:rsidR="000952B8" w:rsidRPr="00A07BE9" w:rsidRDefault="000952B8" w:rsidP="000952B8">
      <w:pPr>
        <w:tabs>
          <w:tab w:val="left" w:pos="1560"/>
        </w:tabs>
        <w:spacing w:after="0" w:line="276" w:lineRule="auto"/>
        <w:ind w:left="1560" w:hanging="426"/>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11.</w:t>
      </w:r>
      <w:r w:rsidRPr="00A07BE9">
        <w:rPr>
          <w:rFonts w:ascii="Open Sans" w:eastAsia="Times New Roman" w:hAnsi="Open Sans" w:cs="Open Sans"/>
          <w:color w:val="000000"/>
          <w:sz w:val="20"/>
          <w:szCs w:val="20"/>
          <w:lang w:eastAsia="es-ES"/>
        </w:rPr>
        <w:tab/>
        <w:t xml:space="preserve"> José Ribera Facundo, en representación de la Plataforma Ciutadana Castelló per la Justícia i Contra la Corrupció.</w:t>
      </w:r>
    </w:p>
    <w:p w14:paraId="6465068A" w14:textId="77777777" w:rsidR="000952B8" w:rsidRPr="00A07BE9" w:rsidRDefault="000952B8" w:rsidP="000952B8">
      <w:pPr>
        <w:tabs>
          <w:tab w:val="left" w:pos="1560"/>
        </w:tabs>
        <w:spacing w:after="0" w:line="276" w:lineRule="auto"/>
        <w:ind w:left="1560" w:hanging="426"/>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12.</w:t>
      </w:r>
      <w:r w:rsidRPr="00A07BE9">
        <w:rPr>
          <w:rFonts w:ascii="Open Sans" w:eastAsia="Times New Roman" w:hAnsi="Open Sans" w:cs="Open Sans"/>
          <w:color w:val="000000"/>
          <w:sz w:val="20"/>
          <w:szCs w:val="20"/>
          <w:lang w:eastAsia="es-ES"/>
        </w:rPr>
        <w:tab/>
        <w:t>Francisco Gaspar Latorre, en representación del Sindicato de Técnicos del Ministerio de Hacienda (GESTHA).</w:t>
      </w:r>
    </w:p>
    <w:p w14:paraId="12B8D598" w14:textId="77777777" w:rsidR="000952B8" w:rsidRPr="00A07BE9" w:rsidRDefault="000952B8" w:rsidP="000952B8">
      <w:pPr>
        <w:numPr>
          <w:ilvl w:val="0"/>
          <w:numId w:val="22"/>
        </w:numPr>
        <w:spacing w:after="0" w:line="276" w:lineRule="auto"/>
        <w:contextualSpacing/>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Cuatro vocalías entre personas que se han destacado por su compromiso en defensa de la ética y la lucha contra el fraude y la corrupción, con repercusión de su actividad en la Comunitat Valenciana:</w:t>
      </w:r>
    </w:p>
    <w:p w14:paraId="57E6EC8D" w14:textId="77777777" w:rsidR="000952B8" w:rsidRPr="00A07BE9" w:rsidRDefault="000952B8" w:rsidP="000952B8">
      <w:pPr>
        <w:tabs>
          <w:tab w:val="left" w:pos="1560"/>
        </w:tabs>
        <w:spacing w:after="0" w:line="276" w:lineRule="auto"/>
        <w:ind w:left="1560" w:hanging="426"/>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1. </w:t>
      </w:r>
      <w:r w:rsidRPr="00A07BE9">
        <w:rPr>
          <w:rFonts w:ascii="Open Sans" w:eastAsia="Times New Roman" w:hAnsi="Open Sans" w:cs="Open Sans"/>
          <w:color w:val="000000"/>
          <w:sz w:val="20"/>
          <w:szCs w:val="20"/>
          <w:lang w:eastAsia="es-ES"/>
        </w:rPr>
        <w:tab/>
        <w:t>Hervé Falciani, presidente de la asociación Tactical Whistleblower.</w:t>
      </w:r>
    </w:p>
    <w:p w14:paraId="510DD03D" w14:textId="77777777" w:rsidR="000952B8" w:rsidRPr="00A07BE9" w:rsidRDefault="000952B8" w:rsidP="000952B8">
      <w:pPr>
        <w:tabs>
          <w:tab w:val="left" w:pos="1560"/>
        </w:tabs>
        <w:spacing w:after="0" w:line="276" w:lineRule="auto"/>
        <w:ind w:left="1560" w:hanging="426"/>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2. </w:t>
      </w:r>
      <w:r w:rsidRPr="00A07BE9">
        <w:rPr>
          <w:rFonts w:ascii="Open Sans" w:eastAsia="Times New Roman" w:hAnsi="Open Sans" w:cs="Open Sans"/>
          <w:color w:val="000000"/>
          <w:sz w:val="20"/>
          <w:szCs w:val="20"/>
          <w:lang w:eastAsia="es-ES"/>
        </w:rPr>
        <w:tab/>
        <w:t>Vanesa Felip Torrent, presidenta del Colegio de Secretarios, Interventores y Tesoreros de la Administración Local de València.</w:t>
      </w:r>
    </w:p>
    <w:p w14:paraId="19FA8709" w14:textId="77777777" w:rsidR="000952B8" w:rsidRPr="00A07BE9" w:rsidRDefault="000952B8" w:rsidP="000952B8">
      <w:pPr>
        <w:tabs>
          <w:tab w:val="left" w:pos="1560"/>
        </w:tabs>
        <w:spacing w:after="0" w:line="276" w:lineRule="auto"/>
        <w:ind w:left="1560" w:hanging="426"/>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3. </w:t>
      </w:r>
      <w:r w:rsidRPr="00A07BE9">
        <w:rPr>
          <w:rFonts w:ascii="Open Sans" w:eastAsia="Times New Roman" w:hAnsi="Open Sans" w:cs="Open Sans"/>
          <w:color w:val="000000"/>
          <w:sz w:val="20"/>
          <w:szCs w:val="20"/>
          <w:lang w:eastAsia="es-ES"/>
        </w:rPr>
        <w:tab/>
        <w:t>Fernando Jiménez Sánchez, profesor titular de Ciencia Política y de la Administración de la Universidad de Murcia.</w:t>
      </w:r>
    </w:p>
    <w:p w14:paraId="3B1B13B3" w14:textId="77777777" w:rsidR="000952B8" w:rsidRPr="00A07BE9" w:rsidRDefault="000952B8" w:rsidP="000952B8">
      <w:pPr>
        <w:tabs>
          <w:tab w:val="left" w:pos="1560"/>
        </w:tabs>
        <w:spacing w:after="0" w:line="276" w:lineRule="auto"/>
        <w:ind w:left="1560" w:hanging="426"/>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4. </w:t>
      </w:r>
      <w:r w:rsidRPr="00A07BE9">
        <w:rPr>
          <w:rFonts w:ascii="Open Sans" w:eastAsia="Times New Roman" w:hAnsi="Open Sans" w:cs="Open Sans"/>
          <w:color w:val="000000"/>
          <w:sz w:val="20"/>
          <w:szCs w:val="20"/>
          <w:lang w:eastAsia="es-ES"/>
        </w:rPr>
        <w:tab/>
        <w:t>Consuelo Vidal Hernandis, presidenta de la asociación Observatori Ciutadà contra la Corrupció.</w:t>
      </w:r>
    </w:p>
    <w:p w14:paraId="18CF930B" w14:textId="77777777" w:rsidR="000952B8" w:rsidRPr="00A07BE9" w:rsidRDefault="000952B8" w:rsidP="000952B8">
      <w:pPr>
        <w:numPr>
          <w:ilvl w:val="0"/>
          <w:numId w:val="22"/>
        </w:numPr>
        <w:spacing w:after="0" w:line="276" w:lineRule="auto"/>
        <w:contextualSpacing/>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Tres vocalías ocupadas por los responsables, respectivamente, de las direcciones de Prevención, Formación y Documentación, Análisis e Investigación y jefatura de Gabinete de Relaciones Institucionales, Comunicación y Participación.</w:t>
      </w:r>
    </w:p>
    <w:p w14:paraId="6E48DEBE"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p>
    <w:p w14:paraId="7C95FF61"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En la reunión constitutiva del 4 de octubre se acordó, por unanimidad, la constitución de dos grupos de trabajo:</w:t>
      </w:r>
    </w:p>
    <w:p w14:paraId="0B052254" w14:textId="77777777" w:rsidR="00FA15F4" w:rsidRPr="00A07BE9" w:rsidRDefault="00FA15F4" w:rsidP="00FA15F4">
      <w:pPr>
        <w:spacing w:after="0" w:line="276" w:lineRule="auto"/>
        <w:contextualSpacing/>
        <w:jc w:val="both"/>
        <w:rPr>
          <w:rFonts w:ascii="Open Sans" w:eastAsia="Calibri" w:hAnsi="Open Sans" w:cs="Open Sans"/>
          <w:kern w:val="2"/>
          <w:sz w:val="20"/>
          <w:szCs w:val="20"/>
          <w:lang w:eastAsia="zh-CN" w:bidi="hi-IN"/>
        </w:rPr>
      </w:pPr>
    </w:p>
    <w:p w14:paraId="663F4B93" w14:textId="77777777" w:rsidR="00FA15F4" w:rsidRPr="00A07BE9" w:rsidRDefault="000952B8" w:rsidP="00FA15F4">
      <w:pPr>
        <w:numPr>
          <w:ilvl w:val="0"/>
          <w:numId w:val="6"/>
        </w:numPr>
        <w:spacing w:after="0" w:line="276" w:lineRule="auto"/>
        <w:ind w:left="714" w:hanging="357"/>
        <w:contextualSpacing/>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Prevención y Educación</w:t>
      </w:r>
    </w:p>
    <w:p w14:paraId="652DB535" w14:textId="1FC5118F" w:rsidR="000952B8" w:rsidRPr="00A07BE9" w:rsidRDefault="000952B8" w:rsidP="00FA15F4">
      <w:pPr>
        <w:numPr>
          <w:ilvl w:val="0"/>
          <w:numId w:val="6"/>
        </w:numPr>
        <w:spacing w:after="0" w:line="276" w:lineRule="auto"/>
        <w:ind w:left="714" w:hanging="357"/>
        <w:contextualSpacing/>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Protección del denunciante</w:t>
      </w:r>
    </w:p>
    <w:p w14:paraId="258DA186"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p>
    <w:p w14:paraId="457A6167" w14:textId="77777777" w:rsidR="000952B8" w:rsidRPr="00A07BE9" w:rsidRDefault="000952B8" w:rsidP="000952B8">
      <w:pPr>
        <w:spacing w:after="0" w:line="276" w:lineRule="auto"/>
        <w:jc w:val="both"/>
        <w:rPr>
          <w:rFonts w:ascii="Open Sans" w:eastAsia="Times New Roman" w:hAnsi="Open Sans" w:cs="Open Sans"/>
          <w:smallCaps/>
          <w:sz w:val="20"/>
          <w:szCs w:val="20"/>
          <w:lang w:eastAsia="es-ES"/>
        </w:rPr>
      </w:pPr>
    </w:p>
    <w:p w14:paraId="02F79074" w14:textId="77777777" w:rsidR="000952B8" w:rsidRPr="00A07BE9" w:rsidRDefault="000952B8" w:rsidP="000952B8">
      <w:pPr>
        <w:spacing w:after="0" w:line="276" w:lineRule="auto"/>
        <w:ind w:left="709" w:hanging="709"/>
        <w:jc w:val="both"/>
        <w:rPr>
          <w:rFonts w:ascii="Open Sans" w:eastAsia="Times New Roman" w:hAnsi="Open Sans" w:cs="Open Sans"/>
          <w:b/>
          <w:bCs/>
          <w:smallCaps/>
          <w:color w:val="94070A"/>
          <w:sz w:val="28"/>
          <w:szCs w:val="28"/>
          <w:lang w:eastAsia="es-ES"/>
        </w:rPr>
      </w:pPr>
      <w:r w:rsidRPr="00A07BE9">
        <w:rPr>
          <w:rFonts w:ascii="Open Sans" w:eastAsia="Times New Roman" w:hAnsi="Open Sans" w:cs="Open Sans"/>
          <w:b/>
          <w:bCs/>
          <w:smallCaps/>
          <w:color w:val="94070A"/>
          <w:sz w:val="28"/>
          <w:szCs w:val="28"/>
          <w:lang w:eastAsia="es-ES"/>
        </w:rPr>
        <w:t>5.2.2. Mención Honorífica de la Agencia Valenciana Antifraude</w:t>
      </w:r>
    </w:p>
    <w:p w14:paraId="6E6D520F" w14:textId="77777777" w:rsidR="000952B8" w:rsidRPr="00A07BE9" w:rsidRDefault="000952B8" w:rsidP="000952B8">
      <w:pPr>
        <w:spacing w:after="0" w:line="276" w:lineRule="auto"/>
        <w:jc w:val="both"/>
        <w:rPr>
          <w:rFonts w:ascii="Open Sans" w:eastAsia="Times New Roman" w:hAnsi="Open Sans" w:cs="Open Sans"/>
          <w:b/>
          <w:bCs/>
          <w:smallCaps/>
          <w:color w:val="94070A"/>
          <w:sz w:val="20"/>
          <w:szCs w:val="20"/>
          <w:lang w:eastAsia="es-ES"/>
        </w:rPr>
      </w:pPr>
    </w:p>
    <w:p w14:paraId="72F1F1D3" w14:textId="77777777" w:rsidR="000952B8" w:rsidRPr="00A07BE9" w:rsidRDefault="000952B8" w:rsidP="000952B8">
      <w:pPr>
        <w:spacing w:after="0" w:line="276" w:lineRule="auto"/>
        <w:jc w:val="both"/>
        <w:rPr>
          <w:rFonts w:ascii="Calibri" w:eastAsia="Calibri" w:hAnsi="Calibri" w:cs="Calibri"/>
          <w:sz w:val="20"/>
          <w:szCs w:val="20"/>
        </w:rPr>
      </w:pPr>
      <w:r w:rsidRPr="00A07BE9">
        <w:rPr>
          <w:rFonts w:ascii="Open Sans" w:eastAsia="Times New Roman" w:hAnsi="Open Sans" w:cs="Open Sans"/>
          <w:color w:val="000000"/>
          <w:sz w:val="20"/>
          <w:szCs w:val="20"/>
          <w:lang w:eastAsia="es-ES"/>
        </w:rPr>
        <w:t xml:space="preserve">Por Resolución de 25 de noviembre de 2019, del director de la Agencia, se crea y regula la concesión de la </w:t>
      </w:r>
      <w:r w:rsidRPr="00A07BE9">
        <w:rPr>
          <w:rFonts w:ascii="Open Sans" w:eastAsia="Times New Roman" w:hAnsi="Open Sans" w:cs="Open Sans"/>
          <w:b/>
          <w:color w:val="000000"/>
          <w:sz w:val="20"/>
          <w:szCs w:val="20"/>
          <w:lang w:eastAsia="es-ES"/>
        </w:rPr>
        <w:t>Mención Honorífica Insignia de Plata de la Agencia</w:t>
      </w:r>
      <w:r w:rsidRPr="00A07BE9">
        <w:rPr>
          <w:rFonts w:ascii="Open Sans" w:eastAsia="Times New Roman" w:hAnsi="Open Sans" w:cs="Open Sans"/>
          <w:color w:val="000000"/>
          <w:sz w:val="20"/>
          <w:szCs w:val="20"/>
          <w:lang w:eastAsia="es-ES"/>
        </w:rPr>
        <w:t xml:space="preserve"> con el fin de premiar y distinguir al funcionariado a su servicio que haya destacado por su esfuerzo, mérito y resultados de su trabajo y acciones, sean merecedores de este reconocimiento por su contribución al desarrollo de las funciones y fines de la Agencia, en particular, en relación con la prevención y la lucha contra el fraude y la corrupción.</w:t>
      </w:r>
    </w:p>
    <w:p w14:paraId="46D71D78"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p>
    <w:p w14:paraId="45925B23"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La concesión de la Mención Honorífica Insignia de Plata da derecho a que dicha mención se haga constar en el expediente personal y profesional, a la expedición del diploma acreditativo y a recibir la representación en plata del logotipo reglamentario de la Agencia.</w:t>
      </w:r>
    </w:p>
    <w:p w14:paraId="312F71D7"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Su concesión corresponde al director de la Agencia, quien se reserva la acción de desposeer de esta distinción a la persona agraciada en el supuesto de que esta incurra en actos contrarios a las razones determinantes de la concesión.</w:t>
      </w:r>
    </w:p>
    <w:p w14:paraId="042F02DA" w14:textId="2434B3A3"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p>
    <w:p w14:paraId="14DC3794" w14:textId="60242D3C" w:rsidR="00F851FB" w:rsidRPr="00A07BE9" w:rsidRDefault="00F851FB" w:rsidP="000952B8">
      <w:pPr>
        <w:spacing w:after="0" w:line="276" w:lineRule="auto"/>
        <w:jc w:val="both"/>
        <w:rPr>
          <w:rFonts w:ascii="Open Sans" w:eastAsia="Times New Roman" w:hAnsi="Open Sans" w:cs="Open Sans"/>
          <w:color w:val="000000"/>
          <w:sz w:val="20"/>
          <w:szCs w:val="20"/>
          <w:lang w:eastAsia="es-ES"/>
        </w:rPr>
      </w:pPr>
    </w:p>
    <w:p w14:paraId="1A8D0C16" w14:textId="77777777" w:rsidR="000952B8" w:rsidRPr="00A07BE9" w:rsidRDefault="000952B8" w:rsidP="000952B8">
      <w:pPr>
        <w:spacing w:after="0" w:line="276" w:lineRule="auto"/>
        <w:ind w:left="709" w:hanging="709"/>
        <w:jc w:val="both"/>
        <w:rPr>
          <w:rFonts w:ascii="Open Sans" w:eastAsia="Times New Roman" w:hAnsi="Open Sans" w:cs="Open Sans"/>
          <w:b/>
          <w:bCs/>
          <w:smallCaps/>
          <w:color w:val="94070A"/>
          <w:sz w:val="28"/>
          <w:szCs w:val="28"/>
          <w:lang w:eastAsia="es-ES"/>
        </w:rPr>
      </w:pPr>
      <w:r w:rsidRPr="00A07BE9">
        <w:rPr>
          <w:rFonts w:ascii="Open Sans" w:eastAsia="Times New Roman" w:hAnsi="Open Sans" w:cs="Open Sans"/>
          <w:b/>
          <w:bCs/>
          <w:smallCaps/>
          <w:color w:val="94070A"/>
          <w:sz w:val="28"/>
          <w:szCs w:val="28"/>
          <w:lang w:eastAsia="es-ES"/>
        </w:rPr>
        <w:lastRenderedPageBreak/>
        <w:t>5.2.3. Dia Internacional de Naciones Unidas contra la Corrupción.</w:t>
      </w:r>
    </w:p>
    <w:p w14:paraId="301565E2"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p>
    <w:p w14:paraId="3FF26A4A" w14:textId="77777777" w:rsidR="000952B8" w:rsidRPr="00A07BE9" w:rsidRDefault="000952B8" w:rsidP="000952B8">
      <w:pPr>
        <w:spacing w:after="0" w:line="288" w:lineRule="auto"/>
        <w:jc w:val="both"/>
        <w:rPr>
          <w:rFonts w:ascii="Open Sans" w:eastAsia="Times New Roman" w:hAnsi="Open Sans" w:cs="Open Sans"/>
          <w:sz w:val="20"/>
          <w:szCs w:val="20"/>
          <w:lang w:eastAsia="es-ES"/>
        </w:rPr>
      </w:pPr>
      <w:r w:rsidRPr="00A07BE9">
        <w:rPr>
          <w:rFonts w:ascii="Open Sans" w:eastAsia="Times New Roman" w:hAnsi="Open Sans" w:cs="Open Sans"/>
          <w:color w:val="000000"/>
          <w:sz w:val="20"/>
          <w:szCs w:val="20"/>
          <w:lang w:eastAsia="es-ES"/>
        </w:rPr>
        <w:t xml:space="preserve">El 9 de diciembre se celebró el Día Internacional de Naciones Unidas contra la Corrupción </w:t>
      </w:r>
      <w:r w:rsidRPr="00A07BE9">
        <w:rPr>
          <w:rFonts w:ascii="Open Sans" w:eastAsia="Times New Roman" w:hAnsi="Open Sans" w:cs="Open Sans"/>
          <w:sz w:val="20"/>
          <w:szCs w:val="20"/>
          <w:lang w:eastAsia="es-ES"/>
        </w:rPr>
        <w:t>bajo el lema</w:t>
      </w:r>
      <w:r w:rsidRPr="00A07BE9">
        <w:rPr>
          <w:rFonts w:ascii="Open Sans" w:eastAsia="Times New Roman" w:hAnsi="Open Sans" w:cs="Open Sans"/>
          <w:i/>
          <w:iCs/>
          <w:sz w:val="20"/>
          <w:szCs w:val="20"/>
          <w:lang w:eastAsia="es-ES"/>
        </w:rPr>
        <w:t xml:space="preserve"> </w:t>
      </w:r>
      <w:r w:rsidRPr="00A07BE9">
        <w:rPr>
          <w:rFonts w:ascii="Open Sans" w:eastAsia="Times New Roman" w:hAnsi="Open Sans" w:cs="Open Sans"/>
          <w:iCs/>
          <w:sz w:val="20"/>
          <w:szCs w:val="20"/>
          <w:lang w:eastAsia="es-ES"/>
        </w:rPr>
        <w:t>“Unidos contra la corrupción para el desarrollo, la paz y la seguridad”</w:t>
      </w:r>
      <w:r w:rsidRPr="00A07BE9">
        <w:rPr>
          <w:rFonts w:ascii="Open Sans" w:eastAsia="Times New Roman" w:hAnsi="Open Sans" w:cs="Open Sans"/>
          <w:i/>
          <w:iCs/>
          <w:sz w:val="20"/>
          <w:szCs w:val="20"/>
          <w:lang w:eastAsia="es-ES"/>
        </w:rPr>
        <w:t>,</w:t>
      </w:r>
      <w:r w:rsidRPr="00A07BE9">
        <w:rPr>
          <w:rFonts w:ascii="Open Sans" w:eastAsia="Times New Roman" w:hAnsi="Open Sans" w:cs="Open Sans"/>
          <w:color w:val="000000"/>
          <w:sz w:val="20"/>
          <w:szCs w:val="20"/>
          <w:lang w:eastAsia="es-ES"/>
        </w:rPr>
        <w:t xml:space="preserve"> con una jornada </w:t>
      </w:r>
      <w:r w:rsidRPr="00A07BE9">
        <w:rPr>
          <w:rFonts w:ascii="Open Sans" w:eastAsia="Times New Roman" w:hAnsi="Open Sans" w:cs="Open Sans"/>
          <w:sz w:val="20"/>
          <w:szCs w:val="20"/>
          <w:lang w:eastAsia="es-ES"/>
        </w:rPr>
        <w:t>sobre la recién publicada Directiva Europea,</w:t>
      </w:r>
      <w:r w:rsidRPr="00A07BE9">
        <w:rPr>
          <w:rFonts w:ascii="Open Sans" w:eastAsia="Times New Roman" w:hAnsi="Open Sans" w:cs="Open Sans"/>
          <w:color w:val="000000"/>
          <w:sz w:val="20"/>
          <w:szCs w:val="20"/>
          <w:lang w:eastAsia="es-ES"/>
        </w:rPr>
        <w:t xml:space="preserve"> ofrecida </w:t>
      </w:r>
      <w:r w:rsidRPr="00A07BE9">
        <w:rPr>
          <w:rFonts w:ascii="Open Sans" w:eastAsia="Times New Roman" w:hAnsi="Open Sans" w:cs="Open Sans"/>
          <w:sz w:val="20"/>
          <w:szCs w:val="20"/>
          <w:lang w:eastAsia="es-ES"/>
        </w:rPr>
        <w:t>en el Salón de Actos de la Fundación Universidad-Empresa de la Universitat de València (ADEIT), sita en la Plaza Virgen de la Paz, núm. 3 de Valencia, sobre la base de una presentación acerca del significado del 9 de diciembre, como Día Internacional de Naciones Unidas contra la Corrupción, de dos conferencias y de un debate final.</w:t>
      </w:r>
    </w:p>
    <w:p w14:paraId="44655121" w14:textId="77777777" w:rsidR="000952B8" w:rsidRPr="00A07BE9" w:rsidRDefault="000952B8" w:rsidP="000952B8">
      <w:pPr>
        <w:spacing w:after="0" w:line="288" w:lineRule="auto"/>
        <w:jc w:val="both"/>
        <w:rPr>
          <w:rFonts w:ascii="Open Sans" w:eastAsia="Times New Roman" w:hAnsi="Open Sans" w:cs="Open Sans"/>
          <w:sz w:val="20"/>
          <w:szCs w:val="20"/>
          <w:lang w:eastAsia="es-ES"/>
        </w:rPr>
      </w:pPr>
    </w:p>
    <w:p w14:paraId="7DE633F4" w14:textId="77777777" w:rsidR="000952B8" w:rsidRPr="00A07BE9" w:rsidRDefault="000952B8" w:rsidP="000952B8">
      <w:pPr>
        <w:spacing w:after="0" w:line="288" w:lineRule="auto"/>
        <w:jc w:val="both"/>
        <w:rPr>
          <w:rFonts w:ascii="Open Sans" w:eastAsia="Times New Roman" w:hAnsi="Open Sans" w:cs="Open Sans"/>
          <w:sz w:val="21"/>
          <w:szCs w:val="21"/>
          <w:lang w:eastAsia="es-ES"/>
        </w:rPr>
      </w:pPr>
      <w:r w:rsidRPr="00A07BE9">
        <w:rPr>
          <w:rFonts w:ascii="Calibri" w:eastAsia="Calibri" w:hAnsi="Calibri" w:cs="Calibri"/>
          <w:noProof/>
        </w:rPr>
        <w:drawing>
          <wp:inline distT="0" distB="0" distL="0" distR="0" wp14:anchorId="7D217975" wp14:editId="083D735F">
            <wp:extent cx="5400040" cy="2479675"/>
            <wp:effectExtent l="0" t="0" r="0" b="0"/>
            <wp:docPr id="9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5"/>
                    <pic:cNvPicPr>
                      <a:picLocks noChangeAspect="1" noChangeArrowheads="1"/>
                    </pic:cNvPicPr>
                  </pic:nvPicPr>
                  <pic:blipFill>
                    <a:blip r:embed="rId289" cstate="screen">
                      <a:extLst>
                        <a:ext uri="{28A0092B-C50C-407E-A947-70E740481C1C}">
                          <a14:useLocalDpi xmlns:a14="http://schemas.microsoft.com/office/drawing/2010/main"/>
                        </a:ext>
                      </a:extLst>
                    </a:blip>
                    <a:stretch>
                      <a:fillRect/>
                    </a:stretch>
                  </pic:blipFill>
                  <pic:spPr bwMode="auto">
                    <a:xfrm>
                      <a:off x="0" y="0"/>
                      <a:ext cx="5400040" cy="2479675"/>
                    </a:xfrm>
                    <a:prstGeom prst="rect">
                      <a:avLst/>
                    </a:prstGeom>
                  </pic:spPr>
                </pic:pic>
              </a:graphicData>
            </a:graphic>
          </wp:inline>
        </w:drawing>
      </w:r>
    </w:p>
    <w:p w14:paraId="03641719" w14:textId="77777777" w:rsidR="000952B8" w:rsidRPr="00A07BE9" w:rsidRDefault="000952B8" w:rsidP="000952B8">
      <w:pPr>
        <w:spacing w:after="0" w:line="288" w:lineRule="auto"/>
        <w:jc w:val="both"/>
        <w:rPr>
          <w:rFonts w:ascii="Open Sans" w:eastAsia="Times New Roman" w:hAnsi="Open Sans" w:cs="Open Sans"/>
          <w:sz w:val="20"/>
          <w:szCs w:val="20"/>
          <w:lang w:eastAsia="es-ES"/>
        </w:rPr>
      </w:pPr>
    </w:p>
    <w:p w14:paraId="31D6CC83" w14:textId="77777777" w:rsidR="000952B8" w:rsidRPr="00A07BE9" w:rsidRDefault="000952B8" w:rsidP="000952B8">
      <w:pPr>
        <w:spacing w:after="0" w:line="288"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El objetivo de esta sesión fue dar a conocer las principales novedades del nuevo marco europeo en materia de protección a personas que denuncian o alertan de hechos o conductas susceptibles de ser consideradas fraude, corrupción o contrarias al interés público, y analizar el papel de las recientes Agencias Antifraude en esta materia y en el establecimiento de canales seguros de recepción de denuncias.</w:t>
      </w:r>
    </w:p>
    <w:p w14:paraId="18707A6F"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p>
    <w:p w14:paraId="2E15BAAF" w14:textId="644D8D14" w:rsidR="000952B8" w:rsidRPr="00A07BE9" w:rsidRDefault="000952B8" w:rsidP="000952B8">
      <w:pPr>
        <w:spacing w:after="0" w:line="288" w:lineRule="auto"/>
        <w:jc w:val="both"/>
        <w:rPr>
          <w:rFonts w:ascii="Calibri" w:eastAsia="Calibri" w:hAnsi="Calibri" w:cs="Calibri"/>
          <w:sz w:val="20"/>
          <w:szCs w:val="20"/>
        </w:rPr>
      </w:pPr>
      <w:r w:rsidRPr="00A07BE9">
        <w:rPr>
          <w:rFonts w:ascii="Open Sans" w:eastAsia="Times New Roman" w:hAnsi="Open Sans" w:cs="Open Sans"/>
          <w:color w:val="000000"/>
          <w:sz w:val="20"/>
          <w:szCs w:val="20"/>
          <w:lang w:eastAsia="es-ES"/>
        </w:rPr>
        <w:t xml:space="preserve">La jornada estuvo moderada por el Sr. Juan Carlos Galindo, presidente de Aseblac </w:t>
      </w:r>
      <w:r w:rsidRPr="00A07BE9">
        <w:rPr>
          <w:rFonts w:ascii="Open Sans" w:eastAsia="Times New Roman" w:hAnsi="Open Sans" w:cs="Open Sans"/>
          <w:sz w:val="20"/>
          <w:szCs w:val="20"/>
          <w:lang w:eastAsia="es-ES"/>
        </w:rPr>
        <w:t>y miembro del Consejo de Participación de la Agencia</w:t>
      </w:r>
      <w:r w:rsidRPr="00A07BE9">
        <w:rPr>
          <w:rFonts w:ascii="Open Sans" w:eastAsia="Times New Roman" w:hAnsi="Open Sans" w:cs="Open Sans"/>
          <w:color w:val="000000"/>
          <w:sz w:val="20"/>
          <w:szCs w:val="20"/>
          <w:lang w:eastAsia="es-ES"/>
        </w:rPr>
        <w:t>. A la introducción realizada por el Sr. Hervé Falciani</w:t>
      </w:r>
      <w:r w:rsidRPr="00A07BE9">
        <w:rPr>
          <w:rFonts w:ascii="Open Sans" w:eastAsia="Times New Roman" w:hAnsi="Open Sans" w:cs="Open Sans"/>
          <w:sz w:val="20"/>
          <w:szCs w:val="20"/>
          <w:lang w:eastAsia="es-ES"/>
        </w:rPr>
        <w:t>, Ingeniero de Sistemas y miembro del Consejo de Participación</w:t>
      </w:r>
      <w:r w:rsidRPr="00A07BE9">
        <w:rPr>
          <w:rFonts w:ascii="Open Sans" w:eastAsia="Times New Roman" w:hAnsi="Open Sans" w:cs="Open Sans"/>
          <w:color w:val="000000"/>
          <w:sz w:val="20"/>
          <w:szCs w:val="20"/>
          <w:lang w:eastAsia="es-ES"/>
        </w:rPr>
        <w:t xml:space="preserve"> con la conferencia “La Inteligencia Artificial en la lucha contra la corrupción”, siguieron otras dos conferencias: (1) “Objeto y ámbito de la Directiva Europea y su impacto sobre el ordenamiento jurídico español”, a cargo de la </w:t>
      </w:r>
      <w:r w:rsidR="004E2065" w:rsidRPr="00A07BE9">
        <w:rPr>
          <w:rFonts w:ascii="Open Sans" w:eastAsia="Times New Roman" w:hAnsi="Open Sans" w:cs="Open Sans"/>
          <w:color w:val="000000"/>
          <w:sz w:val="20"/>
          <w:szCs w:val="20"/>
          <w:lang w:eastAsia="es-ES"/>
        </w:rPr>
        <w:t>d</w:t>
      </w:r>
      <w:r w:rsidRPr="00A07BE9">
        <w:rPr>
          <w:rFonts w:ascii="Open Sans" w:eastAsia="Times New Roman" w:hAnsi="Open Sans" w:cs="Open Sans"/>
          <w:color w:val="000000"/>
          <w:sz w:val="20"/>
          <w:szCs w:val="20"/>
          <w:lang w:eastAsia="es-ES"/>
        </w:rPr>
        <w:t xml:space="preserve">irectora de Asuntos Jurídicos de la Agencia, Sra. Teresa Clemente, y (2) “La función de las Agencias Antifraude en la implementación de sistemas seguros de denuncias y en la protección de los denunciantes” por el </w:t>
      </w:r>
      <w:r w:rsidR="004E2065" w:rsidRPr="00A07BE9">
        <w:rPr>
          <w:rFonts w:ascii="Open Sans" w:eastAsia="Times New Roman" w:hAnsi="Open Sans" w:cs="Open Sans"/>
          <w:color w:val="000000"/>
          <w:sz w:val="20"/>
          <w:szCs w:val="20"/>
          <w:lang w:eastAsia="es-ES"/>
        </w:rPr>
        <w:t>d</w:t>
      </w:r>
      <w:r w:rsidRPr="00A07BE9">
        <w:rPr>
          <w:rFonts w:ascii="Open Sans" w:eastAsia="Times New Roman" w:hAnsi="Open Sans" w:cs="Open Sans"/>
          <w:color w:val="000000"/>
          <w:sz w:val="20"/>
          <w:szCs w:val="20"/>
          <w:lang w:eastAsia="es-ES"/>
        </w:rPr>
        <w:t>irector de la Agencia, Sr. Llinares.</w:t>
      </w:r>
    </w:p>
    <w:p w14:paraId="2D610759" w14:textId="77777777" w:rsidR="00533AD8" w:rsidRDefault="000952B8" w:rsidP="000952B8">
      <w:pPr>
        <w:spacing w:after="0" w:line="288" w:lineRule="auto"/>
        <w:jc w:val="both"/>
        <w:rPr>
          <w:rFonts w:ascii="Open Sans" w:eastAsia="Times New Roman" w:hAnsi="Open Sans" w:cs="Open Sans"/>
          <w:sz w:val="20"/>
          <w:szCs w:val="20"/>
          <w:lang w:eastAsia="es-ES"/>
        </w:rPr>
      </w:pPr>
      <w:r w:rsidRPr="00A07BE9">
        <w:rPr>
          <w:rFonts w:ascii="Calibri" w:eastAsia="Calibri" w:hAnsi="Calibri" w:cs="Calibri"/>
          <w:noProof/>
        </w:rPr>
        <w:lastRenderedPageBreak/>
        <w:drawing>
          <wp:anchor distT="0" distB="0" distL="114300" distR="114300" simplePos="0" relativeHeight="251887616" behindDoc="1" locked="0" layoutInCell="1" allowOverlap="1" wp14:anchorId="387FAC59" wp14:editId="1503ABF3">
            <wp:simplePos x="0" y="0"/>
            <wp:positionH relativeFrom="margin">
              <wp:align>right</wp:align>
            </wp:positionH>
            <wp:positionV relativeFrom="paragraph">
              <wp:posOffset>184785</wp:posOffset>
            </wp:positionV>
            <wp:extent cx="5114925" cy="2839907"/>
            <wp:effectExtent l="0" t="0" r="0" b="0"/>
            <wp:wrapTight wrapText="bothSides">
              <wp:wrapPolygon edited="0">
                <wp:start x="0" y="0"/>
                <wp:lineTo x="0" y="21445"/>
                <wp:lineTo x="21479" y="21445"/>
                <wp:lineTo x="21479" y="0"/>
                <wp:lineTo x="0" y="0"/>
              </wp:wrapPolygon>
            </wp:wrapTight>
            <wp:docPr id="94" name="Imagen 2" descr="https://www.antifraucv.es/wp-content/uploads/2019/12/imagen_vide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https://www.antifraucv.es/wp-content/uploads/2019/12/imagen_video-1.png"/>
                    <pic:cNvPicPr>
                      <a:picLocks noChangeAspect="1" noChangeArrowheads="1"/>
                    </pic:cNvPicPr>
                  </pic:nvPicPr>
                  <pic:blipFill>
                    <a:blip r:embed="rId290" cstate="screen">
                      <a:extLst>
                        <a:ext uri="{28A0092B-C50C-407E-A947-70E740481C1C}">
                          <a14:useLocalDpi xmlns:a14="http://schemas.microsoft.com/office/drawing/2010/main"/>
                        </a:ext>
                      </a:extLst>
                    </a:blip>
                    <a:stretch>
                      <a:fillRect/>
                    </a:stretch>
                  </pic:blipFill>
                  <pic:spPr bwMode="auto">
                    <a:xfrm>
                      <a:off x="0" y="0"/>
                      <a:ext cx="5114925" cy="2839907"/>
                    </a:xfrm>
                    <a:prstGeom prst="rect">
                      <a:avLst/>
                    </a:prstGeom>
                  </pic:spPr>
                </pic:pic>
              </a:graphicData>
            </a:graphic>
          </wp:anchor>
        </w:drawing>
      </w:r>
    </w:p>
    <w:p w14:paraId="41FAE247" w14:textId="33C87C9B" w:rsidR="000952B8" w:rsidRPr="00A07BE9" w:rsidRDefault="000952B8" w:rsidP="000952B8">
      <w:pPr>
        <w:spacing w:after="0" w:line="288" w:lineRule="auto"/>
        <w:jc w:val="both"/>
        <w:rPr>
          <w:rFonts w:ascii="Calibri" w:eastAsia="Calibri" w:hAnsi="Calibri" w:cs="Calibri"/>
          <w:color w:val="000080"/>
          <w:sz w:val="20"/>
          <w:szCs w:val="20"/>
        </w:rPr>
      </w:pPr>
      <w:r w:rsidRPr="00A07BE9">
        <w:rPr>
          <w:rFonts w:ascii="Open Sans" w:eastAsia="Times New Roman" w:hAnsi="Open Sans" w:cs="Open Sans"/>
          <w:sz w:val="20"/>
          <w:szCs w:val="20"/>
          <w:lang w:eastAsia="es-ES"/>
        </w:rPr>
        <w:t xml:space="preserve">La Jornada estuvo dirigida al personal al servicio de todas las administraciones públicas y de su sector público vinculado, así como sus autoridades o representantes, cargos electos y cargos no electos; también al público en general que pudiera estar interesado en su contenido. A fin de poder poner a disposición de todos los interesados y por la limitación del aforo existente, la Jornada se emitió en </w:t>
      </w:r>
      <w:r w:rsidRPr="00A07BE9">
        <w:rPr>
          <w:rFonts w:ascii="Open Sans" w:eastAsia="Times New Roman" w:hAnsi="Open Sans" w:cs="Open Sans"/>
          <w:i/>
          <w:iCs/>
          <w:sz w:val="20"/>
          <w:szCs w:val="20"/>
          <w:lang w:eastAsia="es-ES"/>
        </w:rPr>
        <w:t>streaming</w:t>
      </w:r>
      <w:r w:rsidRPr="00A07BE9">
        <w:rPr>
          <w:rFonts w:ascii="Open Sans" w:eastAsia="Times New Roman" w:hAnsi="Open Sans" w:cs="Open Sans"/>
          <w:sz w:val="20"/>
          <w:szCs w:val="20"/>
          <w:lang w:eastAsia="es-ES"/>
        </w:rPr>
        <w:t xml:space="preserve"> y está disponible en el canal de YouTube de la Agencia, junto con diversas entrevistas que fueron realizadas en este mismo acto. Enlace: </w:t>
      </w:r>
      <w:hyperlink r:id="rId291">
        <w:r w:rsidRPr="00A07BE9">
          <w:rPr>
            <w:rFonts w:ascii="Open Sans" w:eastAsia="Times New Roman" w:hAnsi="Open Sans" w:cs="Open Sans"/>
            <w:color w:val="000080"/>
            <w:sz w:val="20"/>
            <w:szCs w:val="20"/>
            <w:u w:val="single"/>
            <w:lang w:eastAsia="es-ES"/>
          </w:rPr>
          <w:t>https://youtu.be/9WqIVUU6cOE</w:t>
        </w:r>
      </w:hyperlink>
    </w:p>
    <w:p w14:paraId="50C79DB3" w14:textId="7BB8BFF2"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79A88E76" w14:textId="77777777" w:rsidR="003504BA" w:rsidRPr="00A07BE9" w:rsidRDefault="003504BA" w:rsidP="000952B8">
      <w:pPr>
        <w:spacing w:after="0" w:line="276" w:lineRule="auto"/>
        <w:jc w:val="both"/>
        <w:rPr>
          <w:rFonts w:ascii="Open Sans" w:eastAsia="Times New Roman" w:hAnsi="Open Sans" w:cs="Open Sans"/>
          <w:sz w:val="20"/>
          <w:szCs w:val="20"/>
          <w:lang w:eastAsia="es-ES"/>
        </w:rPr>
      </w:pPr>
    </w:p>
    <w:p w14:paraId="14F9C90D" w14:textId="77777777" w:rsidR="000952B8" w:rsidRPr="00A07BE9" w:rsidRDefault="000952B8" w:rsidP="000952B8">
      <w:pPr>
        <w:spacing w:after="0" w:line="276" w:lineRule="auto"/>
        <w:jc w:val="both"/>
        <w:rPr>
          <w:rFonts w:ascii="Open Sans" w:eastAsia="Times New Roman" w:hAnsi="Open Sans" w:cs="Open Sans"/>
          <w:b/>
          <w:bCs/>
          <w:smallCaps/>
          <w:color w:val="993333"/>
          <w:sz w:val="28"/>
          <w:szCs w:val="28"/>
          <w:lang w:eastAsia="es-ES"/>
        </w:rPr>
      </w:pPr>
      <w:r w:rsidRPr="00A07BE9">
        <w:rPr>
          <w:rFonts w:ascii="Open Sans" w:eastAsia="Times New Roman" w:hAnsi="Open Sans" w:cs="Open Sans"/>
          <w:b/>
          <w:bCs/>
          <w:smallCaps/>
          <w:color w:val="993333"/>
          <w:sz w:val="28"/>
          <w:szCs w:val="28"/>
          <w:lang w:eastAsia="es-ES"/>
        </w:rPr>
        <w:t>5.3 Red estatal de oficinas i agencias de lucha contra el fraude y la corrupción del Estado español</w:t>
      </w:r>
    </w:p>
    <w:p w14:paraId="4DA2B636" w14:textId="77777777" w:rsidR="000952B8" w:rsidRPr="00A07BE9" w:rsidRDefault="000952B8" w:rsidP="000952B8">
      <w:pPr>
        <w:spacing w:after="0" w:line="276" w:lineRule="auto"/>
        <w:jc w:val="both"/>
        <w:rPr>
          <w:rFonts w:ascii="Open Sans" w:eastAsia="Times New Roman" w:hAnsi="Open Sans" w:cs="Open Sans"/>
          <w:smallCaps/>
          <w:sz w:val="20"/>
          <w:szCs w:val="20"/>
          <w:lang w:eastAsia="es-ES"/>
        </w:rPr>
      </w:pPr>
    </w:p>
    <w:p w14:paraId="7635222F" w14:textId="77777777" w:rsidR="000952B8" w:rsidRPr="00A07BE9" w:rsidRDefault="000952B8" w:rsidP="000952B8">
      <w:pPr>
        <w:spacing w:after="0" w:line="276" w:lineRule="auto"/>
        <w:jc w:val="both"/>
        <w:rPr>
          <w:rFonts w:ascii="Calibri" w:eastAsia="Calibri" w:hAnsi="Calibri" w:cs="Calibri"/>
          <w:sz w:val="20"/>
          <w:szCs w:val="20"/>
        </w:rPr>
      </w:pPr>
      <w:r w:rsidRPr="00A07BE9">
        <w:rPr>
          <w:rFonts w:ascii="Open Sans" w:eastAsia="Times New Roman" w:hAnsi="Open Sans" w:cs="Open Sans"/>
          <w:color w:val="000000"/>
          <w:sz w:val="20"/>
          <w:szCs w:val="20"/>
          <w:lang w:eastAsia="es-ES"/>
        </w:rPr>
        <w:t>En 2018 se creó un sistema de coordinación entre las oficinas y agencias del Estado, denominado Red de Oficinas y Agencias Antifraude del Estado Español. Los miembros adheridos son: Oficina Antifraude de Cataluña; Oficina de Prevención y Lucha contra la Corrupción de las Islas Baleares;</w:t>
      </w:r>
      <w:r w:rsidRPr="00A07BE9">
        <w:rPr>
          <w:rFonts w:ascii="Open Sans" w:eastAsia="Times New Roman" w:hAnsi="Open Sans" w:cs="Open Sans"/>
          <w:i/>
          <w:color w:val="000000"/>
          <w:sz w:val="20"/>
          <w:szCs w:val="20"/>
          <w:lang w:eastAsia="es-ES"/>
        </w:rPr>
        <w:t xml:space="preserve"> Consello de Contas</w:t>
      </w:r>
      <w:r w:rsidRPr="00A07BE9">
        <w:rPr>
          <w:rFonts w:ascii="Open Sans" w:eastAsia="Times New Roman" w:hAnsi="Open Sans" w:cs="Open Sans"/>
          <w:color w:val="000000"/>
          <w:sz w:val="20"/>
          <w:szCs w:val="20"/>
          <w:lang w:eastAsia="es-ES"/>
        </w:rPr>
        <w:t xml:space="preserve"> de Galicia; Oficina Municipal contra el Fraude y la Corrupción del Ayuntamiento de Madrid; Oficina para la Transparencia y las Buenas Prácticas del Ayuntamiento de Barcelona; Agencia de Transparencia del Área Metropolitana de Barcelona; y Agencia de Prevención y Lucha contra el Fraude y la Corrupción de la Comunitat Valenciana.</w:t>
      </w:r>
    </w:p>
    <w:p w14:paraId="6F6D6CD7"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p>
    <w:p w14:paraId="53F57967"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Los objetivos de la Red giran en relación a las cuestiones relativas a la formación del personal y la capacitación de este, la colaboración en actividades formativas en materia de integridad y ética pública, la puesta en común de conocimientos y experiencias prácticas en materia de prevención y lucha contra el fraude y la corrupción, el fomento de la integridad institucional y la transparencia, y también las que tienen como finalidad que la ciudadanía pueda comunicarse de manera confidencial y segura conductas de las administraciones públicas </w:t>
      </w:r>
      <w:r w:rsidRPr="00A07BE9">
        <w:rPr>
          <w:rFonts w:ascii="Open Sans" w:eastAsia="Times New Roman" w:hAnsi="Open Sans" w:cs="Open Sans"/>
          <w:color w:val="000000"/>
          <w:sz w:val="20"/>
          <w:szCs w:val="20"/>
          <w:lang w:eastAsia="es-ES"/>
        </w:rPr>
        <w:lastRenderedPageBreak/>
        <w:t>contrarias a los principios o a las reglas éticas y de buen gobierno y administración determinados en el ordenamiento jurídico vigente.</w:t>
      </w:r>
    </w:p>
    <w:p w14:paraId="0B3F43A8"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p>
    <w:p w14:paraId="15133257"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También hay que destacar la colaboración para llevar a cabo estudios en materia de prevención de la corrupción, el fomento de la integridad institucional, la transparencia y el análisis de riesgos.</w:t>
      </w:r>
    </w:p>
    <w:p w14:paraId="1C7EF0D3"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p>
    <w:p w14:paraId="4CE9917D" w14:textId="77777777" w:rsidR="000952B8" w:rsidRPr="00A07BE9" w:rsidRDefault="000952B8" w:rsidP="000952B8">
      <w:pPr>
        <w:spacing w:after="0" w:line="276" w:lineRule="auto"/>
        <w:jc w:val="both"/>
        <w:rPr>
          <w:rFonts w:ascii="Calibri" w:eastAsia="Calibri" w:hAnsi="Calibri" w:cs="Calibri"/>
          <w:sz w:val="20"/>
          <w:szCs w:val="20"/>
        </w:rPr>
      </w:pPr>
      <w:r w:rsidRPr="00A07BE9">
        <w:rPr>
          <w:rFonts w:ascii="Open Sans" w:eastAsia="Times New Roman" w:hAnsi="Open Sans" w:cs="Open Sans"/>
          <w:color w:val="000000"/>
          <w:sz w:val="20"/>
          <w:szCs w:val="20"/>
          <w:lang w:eastAsia="es-ES"/>
        </w:rPr>
        <w:t>Las reuniones semestrales de 2019 han sido las que se exponen a continuación:</w:t>
      </w:r>
    </w:p>
    <w:p w14:paraId="377F4326"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p>
    <w:p w14:paraId="283FE15F" w14:textId="77777777" w:rsidR="000952B8" w:rsidRPr="00A07BE9" w:rsidRDefault="000952B8" w:rsidP="000952B8">
      <w:pPr>
        <w:spacing w:after="0" w:line="276" w:lineRule="auto"/>
        <w:jc w:val="both"/>
        <w:rPr>
          <w:rFonts w:ascii="Open Sans" w:eastAsia="Times New Roman" w:hAnsi="Open Sans" w:cs="Open Sans"/>
          <w:b/>
          <w:color w:val="C00000"/>
          <w:sz w:val="20"/>
          <w:szCs w:val="20"/>
          <w:lang w:eastAsia="es-ES"/>
        </w:rPr>
      </w:pPr>
      <w:r w:rsidRPr="00A07BE9">
        <w:rPr>
          <w:rFonts w:ascii="Open Sans" w:eastAsia="Times New Roman" w:hAnsi="Open Sans" w:cs="Open Sans"/>
          <w:b/>
          <w:color w:val="C00000"/>
          <w:sz w:val="20"/>
          <w:szCs w:val="20"/>
          <w:lang w:eastAsia="es-ES"/>
        </w:rPr>
        <w:t>III Encuentro de la Red de Oficinas y Agencias Antifraude de España</w:t>
      </w:r>
      <w:r w:rsidRPr="00A07BE9">
        <w:rPr>
          <w:rFonts w:ascii="Open Sans" w:eastAsia="Times New Roman" w:hAnsi="Open Sans" w:cs="Open Sans"/>
          <w:b/>
          <w:color w:val="C00000"/>
          <w:sz w:val="20"/>
          <w:szCs w:val="20"/>
          <w:lang w:eastAsia="es-ES"/>
        </w:rPr>
        <w:tab/>
      </w:r>
    </w:p>
    <w:p w14:paraId="35B5C7D0" w14:textId="77777777" w:rsidR="000952B8" w:rsidRPr="00A07BE9" w:rsidRDefault="000952B8" w:rsidP="000952B8">
      <w:pPr>
        <w:spacing w:after="0" w:line="276" w:lineRule="auto"/>
        <w:jc w:val="both"/>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Madrid, 27 y 28 de junio de 2019</w:t>
      </w:r>
    </w:p>
    <w:p w14:paraId="19BF4949"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p>
    <w:p w14:paraId="5A6B3D60" w14:textId="5BBDD78B"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Organizada por la Oficina Municipal contra el Fraude y la Corrupción del Ayuntamiento de Madrid, este 3</w:t>
      </w:r>
      <w:r w:rsidRPr="00A07BE9">
        <w:rPr>
          <w:rFonts w:ascii="Open Sans" w:eastAsia="Times New Roman" w:hAnsi="Open Sans" w:cs="Open Sans"/>
          <w:color w:val="000000"/>
          <w:sz w:val="20"/>
          <w:szCs w:val="20"/>
          <w:vertAlign w:val="superscript"/>
          <w:lang w:eastAsia="es-ES"/>
        </w:rPr>
        <w:t>er</w:t>
      </w:r>
      <w:r w:rsidRPr="00A07BE9">
        <w:rPr>
          <w:rFonts w:ascii="Open Sans" w:eastAsia="Times New Roman" w:hAnsi="Open Sans" w:cs="Open Sans"/>
          <w:color w:val="000000"/>
          <w:sz w:val="20"/>
          <w:szCs w:val="20"/>
          <w:lang w:eastAsia="es-ES"/>
        </w:rPr>
        <w:t xml:space="preserve"> encuentro reunió a los siguientes participantes:</w:t>
      </w:r>
    </w:p>
    <w:p w14:paraId="10516A24" w14:textId="77777777" w:rsidR="000E6355" w:rsidRPr="00A07BE9" w:rsidRDefault="000E6355" w:rsidP="000E6355">
      <w:pPr>
        <w:spacing w:after="0" w:line="276" w:lineRule="auto"/>
        <w:contextualSpacing/>
        <w:jc w:val="both"/>
        <w:rPr>
          <w:rFonts w:ascii="Open Sans" w:eastAsia="Calibri" w:hAnsi="Open Sans" w:cs="Open Sans"/>
          <w:kern w:val="2"/>
          <w:sz w:val="20"/>
          <w:szCs w:val="20"/>
          <w:lang w:eastAsia="zh-CN" w:bidi="hi-IN"/>
        </w:rPr>
      </w:pPr>
    </w:p>
    <w:p w14:paraId="31C30ECB" w14:textId="77777777" w:rsidR="000E6355" w:rsidRPr="00A07BE9" w:rsidRDefault="000952B8" w:rsidP="000E6355">
      <w:pPr>
        <w:numPr>
          <w:ilvl w:val="0"/>
          <w:numId w:val="6"/>
        </w:numPr>
        <w:spacing w:after="0" w:line="276" w:lineRule="auto"/>
        <w:ind w:left="714" w:hanging="357"/>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Sra. Gemma Calvet, directora de la Oficina de Transparencia de la Agencia de Transparencia del Área Metropolitana de Barcelona.</w:t>
      </w:r>
    </w:p>
    <w:p w14:paraId="5649D0B7" w14:textId="77777777" w:rsidR="000E6355" w:rsidRPr="00A07BE9" w:rsidRDefault="000952B8" w:rsidP="000E6355">
      <w:pPr>
        <w:numPr>
          <w:ilvl w:val="0"/>
          <w:numId w:val="6"/>
        </w:numPr>
        <w:spacing w:after="0" w:line="276" w:lineRule="auto"/>
        <w:ind w:left="714" w:hanging="357"/>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Sr. Miguel Ángel Gimeno, director de la Oficina Antifraude de Cataluña.</w:t>
      </w:r>
    </w:p>
    <w:p w14:paraId="4060729B" w14:textId="77777777" w:rsidR="000E6355" w:rsidRPr="00A07BE9" w:rsidRDefault="000952B8" w:rsidP="000E6355">
      <w:pPr>
        <w:numPr>
          <w:ilvl w:val="0"/>
          <w:numId w:val="6"/>
        </w:numPr>
        <w:spacing w:after="0" w:line="276" w:lineRule="auto"/>
        <w:ind w:left="714" w:hanging="357"/>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Sra. Lourdes Parramón Bregolat, Jefe de Área de Relaciones Institucionales de la Oficina Antifraude de Cataluña.</w:t>
      </w:r>
    </w:p>
    <w:p w14:paraId="6AB0F6AB" w14:textId="77777777" w:rsidR="000E6355" w:rsidRPr="00A07BE9" w:rsidRDefault="000952B8" w:rsidP="000E6355">
      <w:pPr>
        <w:numPr>
          <w:ilvl w:val="0"/>
          <w:numId w:val="6"/>
        </w:numPr>
        <w:spacing w:after="0" w:line="276" w:lineRule="auto"/>
        <w:ind w:left="714" w:hanging="357"/>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Sra. Rosa M. Sánchez, directora de Análisis, de la Oficina para la Transparencia y las Buenas Prácticas del Ayuntamiento de Barcelona.</w:t>
      </w:r>
    </w:p>
    <w:p w14:paraId="13EA7610" w14:textId="77777777" w:rsidR="000E6355" w:rsidRPr="00A07BE9" w:rsidRDefault="000952B8" w:rsidP="000E6355">
      <w:pPr>
        <w:numPr>
          <w:ilvl w:val="0"/>
          <w:numId w:val="6"/>
        </w:numPr>
        <w:spacing w:after="0" w:line="276" w:lineRule="auto"/>
        <w:ind w:left="714" w:hanging="357"/>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 xml:space="preserve">Sra. Beatriz Rodríguez Fraga, consejera del Área Institucional del </w:t>
      </w:r>
      <w:r w:rsidRPr="00A07BE9">
        <w:rPr>
          <w:rFonts w:ascii="Open Sans" w:eastAsia="Times New Roman" w:hAnsi="Open Sans" w:cs="Open Sans"/>
          <w:i/>
          <w:sz w:val="20"/>
          <w:szCs w:val="20"/>
          <w:lang w:eastAsia="es-ES"/>
        </w:rPr>
        <w:t>Consello de Contas</w:t>
      </w:r>
      <w:r w:rsidRPr="00A07BE9">
        <w:rPr>
          <w:rFonts w:ascii="Open Sans" w:eastAsia="Times New Roman" w:hAnsi="Open Sans" w:cs="Open Sans"/>
          <w:sz w:val="20"/>
          <w:szCs w:val="20"/>
          <w:lang w:eastAsia="es-ES"/>
        </w:rPr>
        <w:t xml:space="preserve"> de Galicia.</w:t>
      </w:r>
    </w:p>
    <w:p w14:paraId="0E0C9BEC" w14:textId="77777777" w:rsidR="000E6355" w:rsidRPr="00A07BE9" w:rsidRDefault="000952B8" w:rsidP="000E6355">
      <w:pPr>
        <w:numPr>
          <w:ilvl w:val="0"/>
          <w:numId w:val="6"/>
        </w:numPr>
        <w:spacing w:after="0" w:line="276" w:lineRule="auto"/>
        <w:ind w:left="714" w:hanging="357"/>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Sr. Jaime Far, director de la Oficina de Prevención y Lucha contra la Corrupción de las Islas Baleares.</w:t>
      </w:r>
    </w:p>
    <w:p w14:paraId="61A35512" w14:textId="77777777" w:rsidR="000E6355" w:rsidRPr="00A07BE9" w:rsidRDefault="000952B8" w:rsidP="000E6355">
      <w:pPr>
        <w:numPr>
          <w:ilvl w:val="0"/>
          <w:numId w:val="6"/>
        </w:numPr>
        <w:spacing w:after="0" w:line="276" w:lineRule="auto"/>
        <w:ind w:left="714" w:hanging="357"/>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Sr. Cristóbal Milán Mateu, Jefe de Área de Ética Pública, Prevención e Integridad de la Oficina de Prevención y Lucha contra la Corrupción de las Islas Baleares.</w:t>
      </w:r>
    </w:p>
    <w:p w14:paraId="63D146AD" w14:textId="77777777" w:rsidR="000E6355" w:rsidRPr="00A07BE9" w:rsidRDefault="000952B8" w:rsidP="000E6355">
      <w:pPr>
        <w:numPr>
          <w:ilvl w:val="0"/>
          <w:numId w:val="6"/>
        </w:numPr>
        <w:spacing w:after="0" w:line="276" w:lineRule="auto"/>
        <w:ind w:left="714" w:hanging="357"/>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 xml:space="preserve">Sra. Belén Méndez Alonso, Jefe de Área de Investigación e Inspección de la </w:t>
      </w:r>
      <w:r w:rsidRPr="00A07BE9">
        <w:rPr>
          <w:rFonts w:ascii="Open Sans" w:eastAsia="Times New Roman" w:hAnsi="Open Sans" w:cs="Open Sans"/>
          <w:color w:val="000000"/>
          <w:sz w:val="20"/>
          <w:szCs w:val="20"/>
          <w:lang w:eastAsia="es-ES"/>
        </w:rPr>
        <w:t>Oficina de Prevención y Lucha contra la Corrupción de las Islas Baleares</w:t>
      </w:r>
      <w:r w:rsidRPr="00A07BE9">
        <w:rPr>
          <w:rFonts w:ascii="Open Sans" w:eastAsia="Times New Roman" w:hAnsi="Open Sans" w:cs="Open Sans"/>
          <w:sz w:val="20"/>
          <w:szCs w:val="20"/>
          <w:lang w:eastAsia="es-ES"/>
        </w:rPr>
        <w:t>.</w:t>
      </w:r>
    </w:p>
    <w:p w14:paraId="43366991" w14:textId="77777777" w:rsidR="000E6355" w:rsidRPr="00A07BE9" w:rsidRDefault="000952B8" w:rsidP="000E6355">
      <w:pPr>
        <w:numPr>
          <w:ilvl w:val="0"/>
          <w:numId w:val="6"/>
        </w:numPr>
        <w:spacing w:after="0" w:line="276" w:lineRule="auto"/>
        <w:ind w:left="714" w:hanging="357"/>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Sr. Carlos Granados, director de la Oficina Municipal contra el Fraude y la Corrupción del Ayuntamiento de Madrid.</w:t>
      </w:r>
    </w:p>
    <w:p w14:paraId="58638569" w14:textId="77777777" w:rsidR="000E6355" w:rsidRPr="00A07BE9" w:rsidRDefault="000952B8" w:rsidP="000E6355">
      <w:pPr>
        <w:numPr>
          <w:ilvl w:val="0"/>
          <w:numId w:val="6"/>
        </w:numPr>
        <w:spacing w:after="0" w:line="276" w:lineRule="auto"/>
        <w:ind w:left="714" w:hanging="357"/>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 xml:space="preserve">Sra. Teresa Clemente García, </w:t>
      </w:r>
      <w:r w:rsidR="004E2065" w:rsidRPr="00A07BE9">
        <w:rPr>
          <w:rFonts w:ascii="Open Sans" w:eastAsia="Times New Roman" w:hAnsi="Open Sans" w:cs="Open Sans"/>
          <w:sz w:val="20"/>
          <w:szCs w:val="20"/>
          <w:lang w:eastAsia="es-ES"/>
        </w:rPr>
        <w:t>d</w:t>
      </w:r>
      <w:r w:rsidRPr="00A07BE9">
        <w:rPr>
          <w:rFonts w:ascii="Open Sans" w:eastAsia="Times New Roman" w:hAnsi="Open Sans" w:cs="Open Sans"/>
          <w:sz w:val="20"/>
          <w:szCs w:val="20"/>
          <w:lang w:eastAsia="es-ES"/>
        </w:rPr>
        <w:t>irectora de Asuntos Jurídicos de la Agencia.</w:t>
      </w:r>
    </w:p>
    <w:p w14:paraId="49E3B8AA" w14:textId="77777777" w:rsidR="000E6355" w:rsidRPr="00A07BE9" w:rsidRDefault="000952B8" w:rsidP="000E6355">
      <w:pPr>
        <w:numPr>
          <w:ilvl w:val="0"/>
          <w:numId w:val="6"/>
        </w:numPr>
        <w:spacing w:after="0" w:line="276" w:lineRule="auto"/>
        <w:ind w:left="714" w:hanging="357"/>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 xml:space="preserve">Sr. Marcial González González, </w:t>
      </w:r>
      <w:r w:rsidR="004E2065" w:rsidRPr="00A07BE9">
        <w:rPr>
          <w:rFonts w:ascii="Open Sans" w:eastAsia="Times New Roman" w:hAnsi="Open Sans" w:cs="Open Sans"/>
          <w:sz w:val="20"/>
          <w:szCs w:val="20"/>
          <w:lang w:eastAsia="es-ES"/>
        </w:rPr>
        <w:t>d</w:t>
      </w:r>
      <w:r w:rsidRPr="00A07BE9">
        <w:rPr>
          <w:rFonts w:ascii="Open Sans" w:eastAsia="Times New Roman" w:hAnsi="Open Sans" w:cs="Open Sans"/>
          <w:sz w:val="20"/>
          <w:szCs w:val="20"/>
          <w:lang w:eastAsia="es-ES"/>
        </w:rPr>
        <w:t>irector de Análisis e Investigación de la Agencia.</w:t>
      </w:r>
    </w:p>
    <w:p w14:paraId="7AE6403B" w14:textId="092FE323" w:rsidR="000952B8" w:rsidRPr="00A07BE9" w:rsidRDefault="000952B8" w:rsidP="000952B8">
      <w:pPr>
        <w:numPr>
          <w:ilvl w:val="0"/>
          <w:numId w:val="6"/>
        </w:numPr>
        <w:spacing w:after="0" w:line="276" w:lineRule="auto"/>
        <w:ind w:left="714" w:hanging="357"/>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Sr. Joan Llinares, director de la Agencia.</w:t>
      </w:r>
    </w:p>
    <w:p w14:paraId="0D296A65" w14:textId="77777777" w:rsidR="00E34DF2" w:rsidRPr="00A07BE9" w:rsidRDefault="00E34DF2" w:rsidP="00E34DF2">
      <w:pPr>
        <w:spacing w:after="0" w:line="276" w:lineRule="auto"/>
        <w:ind w:left="714"/>
        <w:contextualSpacing/>
        <w:jc w:val="both"/>
        <w:rPr>
          <w:rFonts w:ascii="Open Sans" w:eastAsia="Times New Roman" w:hAnsi="Open Sans" w:cs="Open Sans"/>
          <w:sz w:val="20"/>
          <w:szCs w:val="20"/>
          <w:lang w:eastAsia="es-ES"/>
        </w:rPr>
      </w:pPr>
    </w:p>
    <w:p w14:paraId="6E3B1AEE" w14:textId="7E63AE48" w:rsidR="000952B8"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El encuentro se estructuró en dos sesiones de trabajo tituladas</w:t>
      </w:r>
      <w:r w:rsidR="00E34DF2" w:rsidRPr="00A07BE9">
        <w:rPr>
          <w:rFonts w:ascii="Open Sans" w:eastAsia="Times New Roman" w:hAnsi="Open Sans" w:cs="Open Sans"/>
          <w:sz w:val="20"/>
          <w:szCs w:val="20"/>
          <w:lang w:eastAsia="es-ES"/>
        </w:rPr>
        <w:t>:</w:t>
      </w:r>
    </w:p>
    <w:p w14:paraId="5121EEE6" w14:textId="77777777" w:rsidR="00533AD8" w:rsidRPr="00A07BE9" w:rsidRDefault="00533AD8" w:rsidP="000952B8">
      <w:pPr>
        <w:spacing w:after="0" w:line="276" w:lineRule="auto"/>
        <w:jc w:val="both"/>
        <w:rPr>
          <w:rFonts w:ascii="Open Sans" w:eastAsia="Times New Roman" w:hAnsi="Open Sans" w:cs="Open Sans"/>
          <w:sz w:val="20"/>
          <w:szCs w:val="20"/>
          <w:lang w:eastAsia="es-ES"/>
        </w:rPr>
      </w:pPr>
    </w:p>
    <w:p w14:paraId="6C851445" w14:textId="77777777" w:rsidR="000952B8" w:rsidRPr="00A07BE9" w:rsidRDefault="000952B8" w:rsidP="000952B8">
      <w:pPr>
        <w:numPr>
          <w:ilvl w:val="0"/>
          <w:numId w:val="19"/>
        </w:numPr>
        <w:spacing w:after="0" w:line="276" w:lineRule="auto"/>
        <w:ind w:left="709"/>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El control de la ejecución de los contratos y la justificación de las subvenciones.</w:t>
      </w:r>
    </w:p>
    <w:p w14:paraId="486785FD" w14:textId="77777777" w:rsidR="000952B8" w:rsidRPr="00A07BE9" w:rsidRDefault="000952B8" w:rsidP="000952B8">
      <w:pPr>
        <w:numPr>
          <w:ilvl w:val="0"/>
          <w:numId w:val="19"/>
        </w:numPr>
        <w:spacing w:after="0" w:line="276" w:lineRule="auto"/>
        <w:ind w:left="709"/>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Los límites en la introducción de condiciones y exigencias en los pliegos y cláusulas administrativas. Relación con los programas de cumplimiento normativo (</w:t>
      </w:r>
      <w:r w:rsidRPr="00A07BE9">
        <w:rPr>
          <w:rFonts w:ascii="Open Sans" w:eastAsia="Times New Roman" w:hAnsi="Open Sans" w:cs="Open Sans"/>
          <w:i/>
          <w:sz w:val="20"/>
          <w:szCs w:val="20"/>
          <w:lang w:eastAsia="es-ES"/>
        </w:rPr>
        <w:t>Compliance</w:t>
      </w:r>
      <w:r w:rsidRPr="00A07BE9">
        <w:rPr>
          <w:rFonts w:ascii="Open Sans" w:eastAsia="Times New Roman" w:hAnsi="Open Sans" w:cs="Open Sans"/>
          <w:sz w:val="20"/>
          <w:szCs w:val="20"/>
          <w:lang w:eastAsia="es-ES"/>
        </w:rPr>
        <w:t>). Investigación, intercambio de experiencias y problemas comunes.</w:t>
      </w:r>
    </w:p>
    <w:p w14:paraId="468C1C8B" w14:textId="77777777" w:rsidR="000952B8" w:rsidRPr="00A07BE9" w:rsidRDefault="000952B8" w:rsidP="000952B8">
      <w:pPr>
        <w:spacing w:after="0" w:line="276" w:lineRule="auto"/>
        <w:ind w:left="709"/>
        <w:contextualSpacing/>
        <w:jc w:val="both"/>
        <w:rPr>
          <w:rFonts w:ascii="Open Sans" w:eastAsia="Times New Roman" w:hAnsi="Open Sans" w:cs="Open Sans"/>
          <w:sz w:val="21"/>
          <w:szCs w:val="21"/>
          <w:lang w:eastAsia="es-ES"/>
        </w:rPr>
      </w:pPr>
    </w:p>
    <w:p w14:paraId="082FCDFA" w14:textId="77777777" w:rsidR="000952B8" w:rsidRPr="00A07BE9" w:rsidRDefault="000952B8" w:rsidP="000952B8">
      <w:pPr>
        <w:spacing w:after="0" w:line="276" w:lineRule="auto"/>
        <w:jc w:val="both"/>
        <w:rPr>
          <w:rFonts w:ascii="Open Sans" w:eastAsia="Times New Roman" w:hAnsi="Open Sans" w:cs="Open Sans"/>
          <w:sz w:val="21"/>
          <w:szCs w:val="21"/>
          <w:lang w:eastAsia="es-ES"/>
        </w:rPr>
      </w:pPr>
      <w:r w:rsidRPr="00A07BE9">
        <w:rPr>
          <w:rFonts w:ascii="Calibri" w:eastAsia="Calibri" w:hAnsi="Calibri" w:cs="Calibri"/>
          <w:noProof/>
        </w:rPr>
        <w:lastRenderedPageBreak/>
        <w:drawing>
          <wp:inline distT="0" distB="0" distL="0" distR="0" wp14:anchorId="48E8460B" wp14:editId="11D3F9C0">
            <wp:extent cx="2516505" cy="1887220"/>
            <wp:effectExtent l="0" t="0" r="0" b="0"/>
            <wp:docPr id="95" name="Imagen 9" descr="https://oaib.es/storage/app/media/Fotos%20tercer%20encuentro%20agencias%20anticorrupcion/IMG_20190628_134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9" descr="https://oaib.es/storage/app/media/Fotos%20tercer%20encuentro%20agencias%20anticorrupcion/IMG_20190628_134435.jpg"/>
                    <pic:cNvPicPr>
                      <a:picLocks noChangeAspect="1" noChangeArrowheads="1"/>
                    </pic:cNvPicPr>
                  </pic:nvPicPr>
                  <pic:blipFill>
                    <a:blip r:embed="rId292" cstate="screen">
                      <a:extLst>
                        <a:ext uri="{28A0092B-C50C-407E-A947-70E740481C1C}">
                          <a14:useLocalDpi xmlns:a14="http://schemas.microsoft.com/office/drawing/2010/main"/>
                        </a:ext>
                      </a:extLst>
                    </a:blip>
                    <a:stretch>
                      <a:fillRect/>
                    </a:stretch>
                  </pic:blipFill>
                  <pic:spPr bwMode="auto">
                    <a:xfrm>
                      <a:off x="0" y="0"/>
                      <a:ext cx="2516505" cy="1887220"/>
                    </a:xfrm>
                    <a:prstGeom prst="rect">
                      <a:avLst/>
                    </a:prstGeom>
                  </pic:spPr>
                </pic:pic>
              </a:graphicData>
            </a:graphic>
          </wp:inline>
        </w:drawing>
      </w:r>
      <w:r w:rsidRPr="00A07BE9">
        <w:rPr>
          <w:rFonts w:ascii="Open Sans" w:eastAsia="Times New Roman" w:hAnsi="Open Sans" w:cs="Open Sans"/>
          <w:sz w:val="21"/>
          <w:szCs w:val="21"/>
          <w:lang w:eastAsia="es-ES"/>
        </w:rPr>
        <w:t xml:space="preserve">     </w:t>
      </w:r>
      <w:r w:rsidRPr="00A07BE9">
        <w:rPr>
          <w:rFonts w:ascii="Calibri" w:eastAsia="Calibri" w:hAnsi="Calibri" w:cs="Calibri"/>
          <w:noProof/>
        </w:rPr>
        <w:drawing>
          <wp:inline distT="0" distB="0" distL="0" distR="0" wp14:anchorId="0C2107DB" wp14:editId="6A370C83">
            <wp:extent cx="2508885" cy="1881505"/>
            <wp:effectExtent l="0" t="0" r="0" b="0"/>
            <wp:docPr id="96" name="Imagen 10" descr="https://oaib.es/storage/app/media/Fotos%20tercer%20encuentro%20agencias%20anticorrupcion/IMG_20190628_135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10" descr="https://oaib.es/storage/app/media/Fotos%20tercer%20encuentro%20agencias%20anticorrupcion/IMG_20190628_135458.jpg"/>
                    <pic:cNvPicPr>
                      <a:picLocks noChangeAspect="1" noChangeArrowheads="1"/>
                    </pic:cNvPicPr>
                  </pic:nvPicPr>
                  <pic:blipFill>
                    <a:blip r:embed="rId293" cstate="screen">
                      <a:extLst>
                        <a:ext uri="{28A0092B-C50C-407E-A947-70E740481C1C}">
                          <a14:useLocalDpi xmlns:a14="http://schemas.microsoft.com/office/drawing/2010/main"/>
                        </a:ext>
                      </a:extLst>
                    </a:blip>
                    <a:stretch>
                      <a:fillRect/>
                    </a:stretch>
                  </pic:blipFill>
                  <pic:spPr bwMode="auto">
                    <a:xfrm>
                      <a:off x="0" y="0"/>
                      <a:ext cx="2508885" cy="1881505"/>
                    </a:xfrm>
                    <a:prstGeom prst="rect">
                      <a:avLst/>
                    </a:prstGeom>
                  </pic:spPr>
                </pic:pic>
              </a:graphicData>
            </a:graphic>
          </wp:inline>
        </w:drawing>
      </w:r>
    </w:p>
    <w:p w14:paraId="18603871" w14:textId="77777777" w:rsidR="000952B8" w:rsidRPr="00A07BE9" w:rsidRDefault="000952B8" w:rsidP="000952B8">
      <w:pPr>
        <w:spacing w:after="0" w:line="276" w:lineRule="auto"/>
        <w:jc w:val="both"/>
        <w:rPr>
          <w:rFonts w:ascii="Open Sans" w:eastAsia="Times New Roman" w:hAnsi="Open Sans" w:cs="Open Sans"/>
          <w:b/>
          <w:color w:val="C00000"/>
          <w:sz w:val="20"/>
          <w:szCs w:val="20"/>
          <w:lang w:eastAsia="es-ES"/>
        </w:rPr>
      </w:pPr>
    </w:p>
    <w:p w14:paraId="3E61FDD3" w14:textId="77777777" w:rsidR="000952B8" w:rsidRPr="00A07BE9" w:rsidRDefault="000952B8" w:rsidP="000952B8">
      <w:pPr>
        <w:spacing w:after="0" w:line="276" w:lineRule="auto"/>
        <w:rPr>
          <w:rFonts w:ascii="Open Sans" w:eastAsia="Times New Roman" w:hAnsi="Open Sans" w:cs="Open Sans"/>
          <w:b/>
          <w:color w:val="C00000"/>
          <w:sz w:val="20"/>
          <w:szCs w:val="20"/>
          <w:lang w:eastAsia="es-ES"/>
        </w:rPr>
      </w:pPr>
      <w:r w:rsidRPr="00A07BE9">
        <w:rPr>
          <w:rFonts w:ascii="Open Sans" w:eastAsia="Times New Roman" w:hAnsi="Open Sans" w:cs="Open Sans"/>
          <w:b/>
          <w:color w:val="C00000"/>
          <w:sz w:val="20"/>
          <w:szCs w:val="20"/>
          <w:lang w:eastAsia="es-ES"/>
        </w:rPr>
        <w:t>IV Encuentro de la Red de Oficinas y Agencias Antifraude de España</w:t>
      </w:r>
      <w:r w:rsidRPr="00A07BE9">
        <w:rPr>
          <w:rFonts w:ascii="Open Sans" w:eastAsia="Times New Roman" w:hAnsi="Open Sans" w:cs="Open Sans"/>
          <w:b/>
          <w:color w:val="C00000"/>
          <w:sz w:val="20"/>
          <w:szCs w:val="20"/>
          <w:lang w:eastAsia="es-ES"/>
        </w:rPr>
        <w:tab/>
      </w:r>
    </w:p>
    <w:p w14:paraId="50535906" w14:textId="77777777" w:rsidR="000952B8" w:rsidRPr="00A07BE9" w:rsidRDefault="000952B8" w:rsidP="000952B8">
      <w:pPr>
        <w:spacing w:after="0" w:line="276" w:lineRule="auto"/>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Palma de Mallorca, 29 de noviembre de 2019</w:t>
      </w:r>
    </w:p>
    <w:p w14:paraId="288B1F10"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p>
    <w:p w14:paraId="7C336128"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 xml:space="preserve">Este segundo encuentro de 2019 tuvo los siguientes participantes: </w:t>
      </w:r>
    </w:p>
    <w:p w14:paraId="54C9F57A" w14:textId="77777777" w:rsidR="000E6355" w:rsidRPr="00A07BE9" w:rsidRDefault="000E6355" w:rsidP="000E6355">
      <w:pPr>
        <w:spacing w:after="0" w:line="276" w:lineRule="auto"/>
        <w:contextualSpacing/>
        <w:jc w:val="both"/>
        <w:rPr>
          <w:rFonts w:ascii="Open Sans" w:eastAsia="Calibri" w:hAnsi="Open Sans" w:cs="Open Sans"/>
          <w:kern w:val="2"/>
          <w:sz w:val="20"/>
          <w:szCs w:val="20"/>
          <w:lang w:eastAsia="zh-CN" w:bidi="hi-IN"/>
        </w:rPr>
      </w:pPr>
    </w:p>
    <w:p w14:paraId="035A8841" w14:textId="77777777" w:rsidR="000E6355" w:rsidRPr="00A07BE9" w:rsidRDefault="000952B8" w:rsidP="000E6355">
      <w:pPr>
        <w:numPr>
          <w:ilvl w:val="0"/>
          <w:numId w:val="6"/>
        </w:numPr>
        <w:spacing w:after="0" w:line="276" w:lineRule="auto"/>
        <w:ind w:left="714" w:hanging="357"/>
        <w:contextualSpacing/>
        <w:jc w:val="both"/>
        <w:rPr>
          <w:rFonts w:ascii="Open Sans" w:eastAsia="Calibri" w:hAnsi="Open Sans" w:cs="Open Sans"/>
          <w:sz w:val="20"/>
          <w:szCs w:val="20"/>
        </w:rPr>
      </w:pPr>
      <w:r w:rsidRPr="00A07BE9">
        <w:rPr>
          <w:rFonts w:ascii="Open Sans" w:eastAsia="Calibri" w:hAnsi="Open Sans" w:cs="Open Sans"/>
          <w:sz w:val="20"/>
          <w:szCs w:val="20"/>
        </w:rPr>
        <w:t>Sr. D. Vicenç Thomas i Mulet, presidente del Parlament de les Illes Balears</w:t>
      </w:r>
    </w:p>
    <w:p w14:paraId="13FBFC4D" w14:textId="77777777" w:rsidR="000E6355" w:rsidRPr="00A07BE9" w:rsidRDefault="000952B8" w:rsidP="000E6355">
      <w:pPr>
        <w:numPr>
          <w:ilvl w:val="0"/>
          <w:numId w:val="6"/>
        </w:numPr>
        <w:spacing w:after="0" w:line="276" w:lineRule="auto"/>
        <w:ind w:left="714" w:hanging="357"/>
        <w:contextualSpacing/>
        <w:jc w:val="both"/>
        <w:rPr>
          <w:rFonts w:ascii="Open Sans" w:eastAsia="Calibri" w:hAnsi="Open Sans" w:cs="Open Sans"/>
          <w:sz w:val="20"/>
          <w:szCs w:val="20"/>
        </w:rPr>
      </w:pPr>
      <w:r w:rsidRPr="00A07BE9">
        <w:rPr>
          <w:rFonts w:ascii="Open Sans" w:eastAsia="Times New Roman" w:hAnsi="Open Sans" w:cs="Open Sans"/>
          <w:sz w:val="20"/>
          <w:szCs w:val="20"/>
          <w:lang w:eastAsia="es-ES"/>
        </w:rPr>
        <w:t>Sra. Laura Valli y Sra. Nicoletta Parissi</w:t>
      </w:r>
      <w:r w:rsidRPr="00A07BE9">
        <w:rPr>
          <w:rFonts w:ascii="Open Sans" w:eastAsia="Calibri" w:hAnsi="Open Sans" w:cs="Open Sans"/>
          <w:sz w:val="20"/>
          <w:szCs w:val="20"/>
        </w:rPr>
        <w:t xml:space="preserve"> de la Autoridad Nacional Anticorrupción Italiana.</w:t>
      </w:r>
    </w:p>
    <w:p w14:paraId="68CEFDF7" w14:textId="77777777" w:rsidR="000E6355" w:rsidRPr="00A07BE9" w:rsidRDefault="000952B8" w:rsidP="000E6355">
      <w:pPr>
        <w:numPr>
          <w:ilvl w:val="0"/>
          <w:numId w:val="6"/>
        </w:numPr>
        <w:spacing w:after="0" w:line="276" w:lineRule="auto"/>
        <w:ind w:left="714" w:hanging="357"/>
        <w:contextualSpacing/>
        <w:jc w:val="both"/>
        <w:rPr>
          <w:rFonts w:ascii="Open Sans" w:eastAsia="Calibri" w:hAnsi="Open Sans" w:cs="Open Sans"/>
          <w:sz w:val="20"/>
          <w:szCs w:val="20"/>
        </w:rPr>
      </w:pPr>
      <w:r w:rsidRPr="00A07BE9">
        <w:rPr>
          <w:rFonts w:ascii="Open Sans" w:eastAsia="Calibri" w:hAnsi="Open Sans" w:cs="Open Sans"/>
          <w:sz w:val="20"/>
          <w:szCs w:val="20"/>
        </w:rPr>
        <w:t>Sra. Dª. María José Santiago Fernández, presidenta de la Oficina Independiente de Regulación y Supervisión de la Contratación.</w:t>
      </w:r>
    </w:p>
    <w:p w14:paraId="1B27AA52" w14:textId="77777777" w:rsidR="000E6355" w:rsidRPr="00A07BE9" w:rsidRDefault="000952B8" w:rsidP="000E6355">
      <w:pPr>
        <w:numPr>
          <w:ilvl w:val="0"/>
          <w:numId w:val="6"/>
        </w:numPr>
        <w:spacing w:after="0" w:line="276" w:lineRule="auto"/>
        <w:ind w:left="714" w:hanging="357"/>
        <w:contextualSpacing/>
        <w:jc w:val="both"/>
        <w:rPr>
          <w:rFonts w:ascii="Open Sans" w:eastAsia="Calibri" w:hAnsi="Open Sans" w:cs="Open Sans"/>
          <w:sz w:val="20"/>
          <w:szCs w:val="20"/>
        </w:rPr>
      </w:pPr>
      <w:r w:rsidRPr="00A07BE9">
        <w:rPr>
          <w:rFonts w:ascii="Open Sans" w:eastAsia="Calibri" w:hAnsi="Open Sans" w:cs="Open Sans"/>
          <w:sz w:val="20"/>
          <w:szCs w:val="20"/>
        </w:rPr>
        <w:t>Sr. D. Javier Salinas Jiménez, Catedrático de Economía y Hacienda Pública en la Universidad Autónoma de Madrid.</w:t>
      </w:r>
    </w:p>
    <w:p w14:paraId="392ACCE2" w14:textId="02CD5AF9" w:rsidR="000952B8" w:rsidRPr="00A07BE9" w:rsidRDefault="000952B8" w:rsidP="000E6355">
      <w:pPr>
        <w:numPr>
          <w:ilvl w:val="0"/>
          <w:numId w:val="6"/>
        </w:numPr>
        <w:spacing w:after="0" w:line="276" w:lineRule="auto"/>
        <w:ind w:left="714" w:hanging="357"/>
        <w:contextualSpacing/>
        <w:jc w:val="both"/>
        <w:rPr>
          <w:rFonts w:ascii="Open Sans" w:eastAsia="Calibri" w:hAnsi="Open Sans" w:cs="Open Sans"/>
          <w:sz w:val="20"/>
          <w:szCs w:val="20"/>
        </w:rPr>
      </w:pPr>
      <w:r w:rsidRPr="00A07BE9">
        <w:rPr>
          <w:rFonts w:ascii="Open Sans" w:eastAsia="Times New Roman" w:hAnsi="Open Sans" w:cs="Open Sans"/>
          <w:sz w:val="20"/>
          <w:szCs w:val="20"/>
          <w:lang w:eastAsia="es-ES"/>
        </w:rPr>
        <w:t>Y finalmente los responsables de las Agencias de lucha contra la corrupción de España.</w:t>
      </w:r>
    </w:p>
    <w:p w14:paraId="3A02C076"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169E37DA"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La reunión integró varias ponencias y una sesión de trabajo.</w:t>
      </w:r>
    </w:p>
    <w:p w14:paraId="4ED15686"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4FF13296" w14:textId="77777777" w:rsidR="000952B8" w:rsidRPr="00A07BE9" w:rsidRDefault="000952B8" w:rsidP="000952B8">
      <w:pPr>
        <w:spacing w:after="0" w:line="276" w:lineRule="auto"/>
        <w:jc w:val="both"/>
        <w:rPr>
          <w:rFonts w:ascii="Calibri" w:eastAsia="Calibri" w:hAnsi="Calibri" w:cs="Calibri"/>
          <w:sz w:val="20"/>
          <w:szCs w:val="20"/>
        </w:rPr>
      </w:pPr>
      <w:r w:rsidRPr="00A07BE9">
        <w:rPr>
          <w:rFonts w:ascii="Open Sans" w:eastAsia="Times New Roman" w:hAnsi="Open Sans" w:cs="Open Sans"/>
          <w:sz w:val="20"/>
          <w:szCs w:val="20"/>
          <w:lang w:eastAsia="es-ES"/>
        </w:rPr>
        <w:t>La primera ponencia, a cargo de la Sra. Laura Valli y la Sra. Nicoletta Parissi, miembros de la Autoridad Nacional Anticorrupción italiana (ANAC), versó sobre sus experiencias en la prevención de la corrupción y protección de las personas denunciantes.</w:t>
      </w:r>
    </w:p>
    <w:p w14:paraId="732E9183"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5C913371" w14:textId="76F28C30"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A continuación, intervino la Sra. María José Santiago Fernández, presidenta de la Oficina Independiente de Regulación y Supervisión de la Contratación (</w:t>
      </w:r>
      <w:r w:rsidR="00236910" w:rsidRPr="00A07BE9">
        <w:rPr>
          <w:rFonts w:ascii="Open Sans" w:eastAsia="Times New Roman" w:hAnsi="Open Sans" w:cs="Open Sans"/>
          <w:sz w:val="20"/>
          <w:szCs w:val="20"/>
          <w:lang w:eastAsia="es-ES"/>
        </w:rPr>
        <w:t>OIReScon</w:t>
      </w:r>
      <w:r w:rsidRPr="00A07BE9">
        <w:rPr>
          <w:rFonts w:ascii="Open Sans" w:eastAsia="Times New Roman" w:hAnsi="Open Sans" w:cs="Open Sans"/>
          <w:sz w:val="20"/>
          <w:szCs w:val="20"/>
          <w:lang w:eastAsia="es-ES"/>
        </w:rPr>
        <w:t>), que habló de la institución que preside y su papel en la lucha contra el fraude en la contratación pública, para seguir con un análisis económico de la corrupción del Sr. Javier Salinas Jiménez, catedrático de Economía y Hacienda Pública de la Universidad Autónoma de Madrid.</w:t>
      </w:r>
    </w:p>
    <w:p w14:paraId="496F62C5"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0E0EC686" w14:textId="001C1092" w:rsidR="00B5367E" w:rsidRPr="00A07BE9" w:rsidRDefault="000952B8" w:rsidP="000952B8">
      <w:pPr>
        <w:spacing w:after="0" w:line="276" w:lineRule="auto"/>
        <w:jc w:val="both"/>
        <w:rPr>
          <w:rFonts w:ascii="Open Sans" w:eastAsia="Times New Roman" w:hAnsi="Open Sans" w:cs="Open Sans"/>
          <w:b/>
          <w:color w:val="C00000"/>
          <w:sz w:val="20"/>
          <w:szCs w:val="20"/>
          <w:lang w:eastAsia="es-ES"/>
        </w:rPr>
      </w:pPr>
      <w:r w:rsidRPr="00A07BE9">
        <w:rPr>
          <w:rFonts w:ascii="Open Sans" w:eastAsia="Times New Roman" w:hAnsi="Open Sans" w:cs="Open Sans"/>
          <w:b/>
          <w:color w:val="C00000"/>
          <w:sz w:val="20"/>
          <w:szCs w:val="20"/>
          <w:lang w:eastAsia="es-ES"/>
        </w:rPr>
        <w:t>Seminario sobre Prevención y Lucha contra el Fraude organizado por el Servicio Nacional de Coordinación Antifraude de la Intervención General de la Administración del Estado</w:t>
      </w:r>
    </w:p>
    <w:p w14:paraId="48A1D756" w14:textId="77777777" w:rsidR="000952B8" w:rsidRPr="00A07BE9" w:rsidRDefault="000952B8" w:rsidP="000952B8">
      <w:pPr>
        <w:spacing w:after="0" w:line="276" w:lineRule="auto"/>
        <w:rPr>
          <w:rFonts w:ascii="Open Sans" w:eastAsia="Times New Roman" w:hAnsi="Open Sans" w:cs="Open Sans"/>
          <w:b/>
          <w:color w:val="000000"/>
          <w:sz w:val="20"/>
          <w:szCs w:val="20"/>
          <w:lang w:eastAsia="es-ES"/>
        </w:rPr>
      </w:pPr>
      <w:r w:rsidRPr="00A07BE9">
        <w:rPr>
          <w:rFonts w:ascii="Open Sans" w:eastAsia="Times New Roman" w:hAnsi="Open Sans" w:cs="Open Sans"/>
          <w:b/>
          <w:color w:val="000000"/>
          <w:sz w:val="20"/>
          <w:szCs w:val="20"/>
          <w:lang w:eastAsia="es-ES"/>
        </w:rPr>
        <w:t>Madrid, 8 de octubre de 2020</w:t>
      </w:r>
    </w:p>
    <w:p w14:paraId="03CEDE28"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p>
    <w:p w14:paraId="322D44D4"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lastRenderedPageBreak/>
        <w:t>El Servicio Nacional de Coordinación Antifraude, integrado en la Intervención General de la Administración del Estado del Ministerio de Hacienda, se constituye como el órgano de cooperación con la Oficina Europea de Lucha contra el Fraude (OLAF) y de coordinación general de las instituciones nacionales con competencia en materia de prevención y lucha contra el fraude a los intereses financieros de la Unión Europea.</w:t>
      </w:r>
    </w:p>
    <w:p w14:paraId="0DB63782"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227C3C70" w14:textId="478F15BE" w:rsidR="000952B8" w:rsidRPr="00A07BE9" w:rsidRDefault="000952B8" w:rsidP="000952B8">
      <w:pPr>
        <w:spacing w:after="0" w:line="276" w:lineRule="auto"/>
        <w:jc w:val="both"/>
        <w:rPr>
          <w:rFonts w:ascii="Calibri" w:eastAsia="Calibri" w:hAnsi="Calibri" w:cs="Calibri"/>
          <w:sz w:val="20"/>
          <w:szCs w:val="20"/>
        </w:rPr>
      </w:pPr>
      <w:r w:rsidRPr="00A07BE9">
        <w:rPr>
          <w:rFonts w:ascii="Open Sans" w:eastAsia="Times New Roman" w:hAnsi="Open Sans" w:cs="Open Sans"/>
          <w:sz w:val="20"/>
          <w:szCs w:val="20"/>
          <w:lang w:eastAsia="es-ES"/>
        </w:rPr>
        <w:t xml:space="preserve">Entre las funciones atribuidas legalmente, el Servicio Nacional de Coordinación Antifraude se encarga de “Dirigir la creación y puesta en marcha de las estrategias nacionales y promover los cambios legislativos y administrativos necesarios para proteger los intereses financieros de la Unión Europea” y “Promover la formación para la prevención y lucha contra el fraude” (apartados 2.a y 2.d, respectivamente, de la disposición adicional vigesimoquinta de la </w:t>
      </w:r>
      <w:hyperlink r:id="rId294" w:history="1">
        <w:r w:rsidRPr="00A07BE9">
          <w:rPr>
            <w:rStyle w:val="Hipervnculo"/>
            <w:rFonts w:ascii="Open Sans" w:eastAsia="Times New Roman" w:hAnsi="Open Sans" w:cs="Open Sans"/>
            <w:sz w:val="20"/>
            <w:szCs w:val="20"/>
            <w:lang w:eastAsia="es-ES"/>
          </w:rPr>
          <w:t>Ley 38/2003, de 17 de noviembre, General de Subvenciones</w:t>
        </w:r>
      </w:hyperlink>
      <w:r w:rsidRPr="00A07BE9">
        <w:rPr>
          <w:rFonts w:ascii="Open Sans" w:eastAsia="Times New Roman" w:hAnsi="Open Sans" w:cs="Open Sans"/>
          <w:sz w:val="20"/>
          <w:szCs w:val="20"/>
          <w:lang w:eastAsia="es-ES"/>
        </w:rPr>
        <w:t>).</w:t>
      </w:r>
    </w:p>
    <w:p w14:paraId="13274FBC"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662A97DE" w14:textId="65E5DDD6" w:rsidR="000952B8" w:rsidRPr="00A07BE9" w:rsidRDefault="000952B8" w:rsidP="000952B8">
      <w:pPr>
        <w:spacing w:after="0" w:line="276" w:lineRule="auto"/>
        <w:jc w:val="both"/>
        <w:rPr>
          <w:rFonts w:ascii="Calibri" w:eastAsia="Calibri" w:hAnsi="Calibri" w:cs="Calibri"/>
          <w:sz w:val="20"/>
          <w:szCs w:val="20"/>
        </w:rPr>
      </w:pPr>
      <w:r w:rsidRPr="00A07BE9">
        <w:rPr>
          <w:rFonts w:ascii="Open Sans" w:eastAsia="Times New Roman" w:hAnsi="Open Sans" w:cs="Open Sans"/>
          <w:sz w:val="20"/>
          <w:szCs w:val="20"/>
          <w:lang w:eastAsia="es-ES"/>
        </w:rPr>
        <w:t xml:space="preserve">En la sesión constitutiva del pasado 6 de junio, el Consejo Asesor de Prevención y Lucha contra el Fraude a los intereses financieros de la Unión Europea, órgano colegiado y de asesoramiento previsto en el apartado 4 de la disposición adicional vigesimoquinta de la citada </w:t>
      </w:r>
      <w:hyperlink r:id="rId295" w:history="1">
        <w:r w:rsidRPr="00A07BE9">
          <w:rPr>
            <w:rStyle w:val="Hipervnculo"/>
            <w:rFonts w:ascii="Open Sans" w:eastAsia="Times New Roman" w:hAnsi="Open Sans" w:cs="Open Sans"/>
            <w:sz w:val="20"/>
            <w:szCs w:val="20"/>
            <w:lang w:eastAsia="es-ES"/>
          </w:rPr>
          <w:t>Ley 38/2003</w:t>
        </w:r>
      </w:hyperlink>
      <w:r w:rsidRPr="00A07BE9">
        <w:rPr>
          <w:rFonts w:ascii="Open Sans" w:eastAsia="Times New Roman" w:hAnsi="Open Sans" w:cs="Open Sans"/>
          <w:sz w:val="20"/>
          <w:szCs w:val="20"/>
          <w:lang w:eastAsia="es-ES"/>
        </w:rPr>
        <w:t xml:space="preserve">, adoptó, entre otros acuerdos, la creación de una Comisión para la elaboración de la </w:t>
      </w:r>
      <w:r w:rsidRPr="00A07BE9">
        <w:rPr>
          <w:rFonts w:ascii="Open Sans" w:eastAsia="Times New Roman" w:hAnsi="Open Sans" w:cs="Open Sans"/>
          <w:b/>
          <w:sz w:val="20"/>
          <w:szCs w:val="20"/>
          <w:lang w:eastAsia="es-ES"/>
        </w:rPr>
        <w:t>Estrategia Nacional Antifraude</w:t>
      </w:r>
      <w:r w:rsidRPr="00A07BE9">
        <w:rPr>
          <w:rFonts w:ascii="Open Sans" w:eastAsia="Times New Roman" w:hAnsi="Open Sans" w:cs="Open Sans"/>
          <w:sz w:val="20"/>
          <w:szCs w:val="20"/>
          <w:lang w:eastAsia="es-ES"/>
        </w:rPr>
        <w:t>.</w:t>
      </w:r>
    </w:p>
    <w:p w14:paraId="0B10FED0"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260C18E7"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 xml:space="preserve">Conforme a los principios de buen gobierno y cooperación institucional anteriormente citados, incorporados al ordenamiento jurídico por el Instrumento de ratificación de la Convención de las Naciones Unidas contra la Corrupción, en la elaboración de la estrategia nacional debe sumarse la participación de todos los actores especializados. </w:t>
      </w:r>
    </w:p>
    <w:p w14:paraId="39241742"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389D0170"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Por ello, desde este organismo, se promovió una reunión en Madrid el día 8 de octubre de 2019 con las entidades, organismos y órganos de los distintos niveles administrativos que ejercen, en su ámbito territorial, las funciones especializadas en la prevención de la corrupción, con el fin de intercambiar opiniones y experiencias útiles en esta materia.</w:t>
      </w:r>
    </w:p>
    <w:p w14:paraId="7A4D03F2"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779D4815"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Los organismos convocados fueron:</w:t>
      </w:r>
    </w:p>
    <w:p w14:paraId="67E3407E" w14:textId="77777777" w:rsidR="000952B8" w:rsidRPr="00A07BE9" w:rsidRDefault="000952B8" w:rsidP="000952B8">
      <w:pPr>
        <w:numPr>
          <w:ilvl w:val="0"/>
          <w:numId w:val="24"/>
        </w:numPr>
        <w:spacing w:after="0" w:line="276" w:lineRule="auto"/>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Comunidad Autónoma de les Illes Balears. Oficina de Prevención y Lucha contra la Corrupción en las Illes Balears.</w:t>
      </w:r>
    </w:p>
    <w:p w14:paraId="142E0D26" w14:textId="77777777" w:rsidR="000952B8" w:rsidRPr="00A07BE9" w:rsidRDefault="000952B8" w:rsidP="000952B8">
      <w:pPr>
        <w:numPr>
          <w:ilvl w:val="0"/>
          <w:numId w:val="24"/>
        </w:numPr>
        <w:spacing w:after="0" w:line="276" w:lineRule="auto"/>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Comunidad Autónoma de Canarias. Audiencia de Cuentas de Canarias.</w:t>
      </w:r>
    </w:p>
    <w:p w14:paraId="45BB2972" w14:textId="77777777" w:rsidR="000952B8" w:rsidRPr="00A07BE9" w:rsidRDefault="000952B8" w:rsidP="000952B8">
      <w:pPr>
        <w:numPr>
          <w:ilvl w:val="0"/>
          <w:numId w:val="24"/>
        </w:numPr>
        <w:spacing w:after="0" w:line="276" w:lineRule="auto"/>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Comunidad Autónoma de Castilla y León. Inspección General de Servicios de la Junta de Castilla y León.</w:t>
      </w:r>
    </w:p>
    <w:p w14:paraId="3831CE8F" w14:textId="77777777" w:rsidR="000952B8" w:rsidRPr="00A07BE9" w:rsidRDefault="000952B8" w:rsidP="000952B8">
      <w:pPr>
        <w:numPr>
          <w:ilvl w:val="0"/>
          <w:numId w:val="24"/>
        </w:numPr>
        <w:spacing w:after="0" w:line="276" w:lineRule="auto"/>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Comunidad Autónoma de Cataluña. Oficina Antifraude de Cataluña.</w:t>
      </w:r>
    </w:p>
    <w:p w14:paraId="69CE1D1D" w14:textId="77777777" w:rsidR="000952B8" w:rsidRPr="00A07BE9" w:rsidRDefault="000952B8" w:rsidP="000952B8">
      <w:pPr>
        <w:numPr>
          <w:ilvl w:val="0"/>
          <w:numId w:val="24"/>
        </w:numPr>
        <w:spacing w:after="0" w:line="276" w:lineRule="auto"/>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Comunitat Valenciana. Agencia de Prevención y Lucha contra el Fraude y la Corrupción de la Comunitat Valenciana.</w:t>
      </w:r>
    </w:p>
    <w:p w14:paraId="233FC138" w14:textId="77777777" w:rsidR="000952B8" w:rsidRPr="00A07BE9" w:rsidRDefault="000952B8" w:rsidP="000952B8">
      <w:pPr>
        <w:numPr>
          <w:ilvl w:val="0"/>
          <w:numId w:val="24"/>
        </w:numPr>
        <w:spacing w:after="0" w:line="276" w:lineRule="auto"/>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Comunitat Valenciana. Conselleria de Transparencia de la Generalitat Valenciana e Inspección General de Servicios de Administración de la Generalitat Valenciana</w:t>
      </w:r>
    </w:p>
    <w:p w14:paraId="5FE45975" w14:textId="77777777" w:rsidR="000952B8" w:rsidRPr="00A07BE9" w:rsidRDefault="000952B8" w:rsidP="000952B8">
      <w:pPr>
        <w:numPr>
          <w:ilvl w:val="0"/>
          <w:numId w:val="24"/>
        </w:numPr>
        <w:spacing w:after="0" w:line="276" w:lineRule="auto"/>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Comunidad Autónoma de Galicia. Consejo de Cuentas de Galicia.</w:t>
      </w:r>
    </w:p>
    <w:p w14:paraId="5648CEB8" w14:textId="77777777" w:rsidR="000952B8" w:rsidRPr="00A07BE9" w:rsidRDefault="000952B8" w:rsidP="000952B8">
      <w:pPr>
        <w:numPr>
          <w:ilvl w:val="0"/>
          <w:numId w:val="24"/>
        </w:numPr>
        <w:spacing w:after="0" w:line="276" w:lineRule="auto"/>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Comunidad de Madrid. Cámara de Cuentas de Madrid.</w:t>
      </w:r>
    </w:p>
    <w:p w14:paraId="422F544B" w14:textId="77777777" w:rsidR="000952B8" w:rsidRPr="00A07BE9" w:rsidRDefault="000952B8" w:rsidP="000952B8">
      <w:pPr>
        <w:numPr>
          <w:ilvl w:val="0"/>
          <w:numId w:val="24"/>
        </w:numPr>
        <w:spacing w:after="0" w:line="276" w:lineRule="auto"/>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Municipio de Barcelona. Oficina para la Transparencia y las Buenas Prácticas del Ayuntamiento de Barcelona.</w:t>
      </w:r>
    </w:p>
    <w:p w14:paraId="175F4F96" w14:textId="1DD6D961" w:rsidR="000952B8" w:rsidRDefault="000952B8" w:rsidP="000952B8">
      <w:pPr>
        <w:numPr>
          <w:ilvl w:val="0"/>
          <w:numId w:val="24"/>
        </w:numPr>
        <w:spacing w:after="0" w:line="276" w:lineRule="auto"/>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lastRenderedPageBreak/>
        <w:t>Municipio de Madrid. Oficina Municipal contra el Fraude y la Corrupción del Ayuntamiento de Madrid.</w:t>
      </w:r>
    </w:p>
    <w:p w14:paraId="565E2053" w14:textId="77777777" w:rsidR="00533AD8" w:rsidRPr="00A07BE9" w:rsidRDefault="00533AD8" w:rsidP="00533AD8">
      <w:pPr>
        <w:spacing w:after="0" w:line="276" w:lineRule="auto"/>
        <w:ind w:left="720"/>
        <w:contextualSpacing/>
        <w:jc w:val="both"/>
        <w:rPr>
          <w:rFonts w:ascii="Open Sans" w:eastAsia="Times New Roman" w:hAnsi="Open Sans" w:cs="Open Sans"/>
          <w:sz w:val="20"/>
          <w:szCs w:val="20"/>
          <w:lang w:eastAsia="es-ES"/>
        </w:rPr>
      </w:pPr>
    </w:p>
    <w:p w14:paraId="3E7CE0AB" w14:textId="296D07D6" w:rsidR="000952B8" w:rsidRPr="00A07BE9" w:rsidRDefault="000952B8" w:rsidP="000952B8">
      <w:pPr>
        <w:spacing w:after="0" w:line="276" w:lineRule="auto"/>
        <w:jc w:val="both"/>
        <w:rPr>
          <w:rFonts w:ascii="Calibri" w:eastAsia="Calibri" w:hAnsi="Calibri" w:cs="Calibri"/>
          <w:sz w:val="20"/>
          <w:szCs w:val="20"/>
        </w:rPr>
      </w:pPr>
      <w:r w:rsidRPr="00A07BE9">
        <w:rPr>
          <w:rFonts w:ascii="Open Sans" w:eastAsia="Times New Roman" w:hAnsi="Open Sans" w:cs="Open Sans"/>
          <w:sz w:val="20"/>
          <w:szCs w:val="20"/>
          <w:lang w:eastAsia="es-ES"/>
        </w:rPr>
        <w:t xml:space="preserve">El programa del seminario se compuso de presentaciones por parte del Servicio Nacional de Coordinación Antifraude, que planteó la </w:t>
      </w:r>
      <w:r w:rsidR="00D0355F" w:rsidRPr="00A07BE9">
        <w:rPr>
          <w:rFonts w:ascii="Open Sans" w:eastAsia="Times New Roman" w:hAnsi="Open Sans" w:cs="Open Sans"/>
          <w:sz w:val="20"/>
          <w:szCs w:val="20"/>
          <w:lang w:eastAsia="es-ES"/>
        </w:rPr>
        <w:t>“</w:t>
      </w:r>
      <w:r w:rsidRPr="00A07BE9">
        <w:rPr>
          <w:rFonts w:ascii="Open Sans" w:eastAsia="Times New Roman" w:hAnsi="Open Sans" w:cs="Open Sans"/>
          <w:sz w:val="20"/>
          <w:szCs w:val="20"/>
          <w:lang w:eastAsia="es-ES"/>
        </w:rPr>
        <w:t>Estrategia Nacional Antifraude</w:t>
      </w:r>
      <w:r w:rsidR="00D0355F" w:rsidRPr="00A07BE9">
        <w:rPr>
          <w:rFonts w:ascii="Open Sans" w:eastAsia="Times New Roman" w:hAnsi="Open Sans" w:cs="Open Sans"/>
          <w:sz w:val="20"/>
          <w:szCs w:val="20"/>
          <w:lang w:eastAsia="es-ES"/>
        </w:rPr>
        <w:t>”</w:t>
      </w:r>
      <w:r w:rsidRPr="00A07BE9">
        <w:rPr>
          <w:rFonts w:ascii="Open Sans" w:eastAsia="Times New Roman" w:hAnsi="Open Sans" w:cs="Open Sans"/>
          <w:sz w:val="20"/>
          <w:szCs w:val="20"/>
          <w:lang w:eastAsia="es-ES"/>
        </w:rPr>
        <w:t>, así como intervenciones de cada una de las agencias y oficinas convocadas. Siguió con intervenciones de expertos de diferentes instituciones, como la de la Oficina Nacional de Auditoría, la de la Oficina Europea de Lucha contra el Fraude (OLAF), y la del Centro de Inteligencia contra el Terrorismo y el Crimen Organizado (CITCO).</w:t>
      </w:r>
    </w:p>
    <w:p w14:paraId="57C3DC48"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0FE6A008"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1D961FA3" w14:textId="77777777" w:rsidR="000952B8" w:rsidRPr="00A07BE9" w:rsidRDefault="000952B8" w:rsidP="000952B8">
      <w:pPr>
        <w:spacing w:after="0" w:line="276" w:lineRule="auto"/>
        <w:jc w:val="both"/>
        <w:rPr>
          <w:rFonts w:ascii="Open Sans" w:eastAsia="Times New Roman" w:hAnsi="Open Sans" w:cs="Open Sans"/>
          <w:b/>
          <w:bCs/>
          <w:smallCaps/>
          <w:color w:val="94070A"/>
          <w:sz w:val="32"/>
          <w:szCs w:val="32"/>
          <w:lang w:eastAsia="es-ES"/>
        </w:rPr>
      </w:pPr>
      <w:r w:rsidRPr="00A07BE9">
        <w:rPr>
          <w:rFonts w:ascii="Open Sans" w:eastAsia="Times New Roman" w:hAnsi="Open Sans" w:cs="Open Sans"/>
          <w:b/>
          <w:bCs/>
          <w:smallCaps/>
          <w:color w:val="94070A"/>
          <w:sz w:val="32"/>
          <w:szCs w:val="32"/>
          <w:lang w:eastAsia="es-ES"/>
        </w:rPr>
        <w:t>5.4. Actividad nacional e internacional</w:t>
      </w:r>
    </w:p>
    <w:p w14:paraId="234863B1"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2B254EF9" w14:textId="77777777" w:rsidR="000952B8" w:rsidRPr="00A07BE9" w:rsidRDefault="000952B8" w:rsidP="000952B8">
      <w:pPr>
        <w:spacing w:after="0" w:line="276" w:lineRule="auto"/>
        <w:jc w:val="both"/>
        <w:rPr>
          <w:rFonts w:ascii="Open Sans" w:eastAsia="Times New Roman" w:hAnsi="Open Sans" w:cs="Open Sans"/>
          <w:b/>
          <w:bCs/>
          <w:smallCaps/>
          <w:color w:val="94070A"/>
          <w:sz w:val="28"/>
          <w:szCs w:val="28"/>
          <w:lang w:eastAsia="es-ES"/>
        </w:rPr>
      </w:pPr>
      <w:r w:rsidRPr="00A07BE9">
        <w:rPr>
          <w:rFonts w:ascii="Open Sans" w:eastAsia="Times New Roman" w:hAnsi="Open Sans" w:cs="Open Sans"/>
          <w:b/>
          <w:bCs/>
          <w:smallCaps/>
          <w:color w:val="94070A"/>
          <w:sz w:val="28"/>
          <w:szCs w:val="28"/>
          <w:lang w:eastAsia="es-ES"/>
        </w:rPr>
        <w:t>5.4.1. Firma de convenios de colaboración</w:t>
      </w:r>
    </w:p>
    <w:p w14:paraId="51537FD9" w14:textId="77777777" w:rsidR="000952B8" w:rsidRPr="00A07BE9" w:rsidRDefault="000952B8" w:rsidP="000952B8">
      <w:pPr>
        <w:spacing w:after="0" w:line="276" w:lineRule="auto"/>
        <w:jc w:val="both"/>
        <w:rPr>
          <w:rFonts w:ascii="Open Sans" w:eastAsia="Times New Roman" w:hAnsi="Open Sans" w:cs="Open Sans"/>
          <w:b/>
          <w:bCs/>
          <w:smallCaps/>
          <w:color w:val="94070A"/>
          <w:sz w:val="20"/>
          <w:szCs w:val="20"/>
          <w:lang w:eastAsia="es-ES"/>
        </w:rPr>
      </w:pPr>
    </w:p>
    <w:p w14:paraId="0B5C7610"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Los convenios de colaboración firmados por la Agencia a lo largo del año 2019 han sido los siguientes:</w:t>
      </w:r>
    </w:p>
    <w:p w14:paraId="7529E933"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63E43BDE" w14:textId="77777777" w:rsidR="000952B8" w:rsidRPr="00A07BE9" w:rsidRDefault="000952B8" w:rsidP="000952B8">
      <w:pPr>
        <w:spacing w:after="0" w:line="276" w:lineRule="auto"/>
        <w:jc w:val="both"/>
        <w:rPr>
          <w:rFonts w:ascii="Open Sans" w:eastAsia="Times New Roman" w:hAnsi="Open Sans" w:cs="Open Sans"/>
          <w:b/>
          <w:sz w:val="20"/>
          <w:szCs w:val="20"/>
          <w:lang w:eastAsia="es-ES"/>
        </w:rPr>
      </w:pPr>
      <w:r w:rsidRPr="00A07BE9">
        <w:rPr>
          <w:rFonts w:ascii="Open Sans" w:eastAsia="Times New Roman" w:hAnsi="Open Sans" w:cs="Open Sans"/>
          <w:b/>
          <w:sz w:val="20"/>
          <w:szCs w:val="20"/>
          <w:lang w:eastAsia="es-ES"/>
        </w:rPr>
        <w:t xml:space="preserve">9 de julio </w:t>
      </w:r>
    </w:p>
    <w:p w14:paraId="4729B9AB" w14:textId="515635F6" w:rsidR="000952B8" w:rsidRPr="00A07BE9" w:rsidRDefault="002E2E83"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C</w:t>
      </w:r>
      <w:r w:rsidR="000952B8" w:rsidRPr="00A07BE9">
        <w:rPr>
          <w:rFonts w:ascii="Open Sans" w:eastAsia="Times New Roman" w:hAnsi="Open Sans" w:cs="Open Sans"/>
          <w:sz w:val="20"/>
          <w:szCs w:val="20"/>
          <w:lang w:eastAsia="es-ES"/>
        </w:rPr>
        <w:t xml:space="preserve">on </w:t>
      </w:r>
      <w:r w:rsidR="000952B8" w:rsidRPr="00A07BE9">
        <w:rPr>
          <w:rFonts w:ascii="Open Sans" w:eastAsia="Times New Roman" w:hAnsi="Open Sans" w:cs="Open Sans"/>
          <w:b/>
          <w:sz w:val="20"/>
          <w:szCs w:val="20"/>
          <w:lang w:eastAsia="es-ES"/>
        </w:rPr>
        <w:t>TACTICAL WHISTLEBLOWERS</w:t>
      </w:r>
      <w:r w:rsidR="000952B8" w:rsidRPr="00A07BE9">
        <w:rPr>
          <w:rFonts w:ascii="Open Sans" w:eastAsia="Times New Roman" w:hAnsi="Open Sans" w:cs="Open Sans"/>
          <w:sz w:val="20"/>
          <w:szCs w:val="20"/>
          <w:lang w:eastAsia="es-ES"/>
        </w:rPr>
        <w:t>, asociación presidida por el ingeniero de sistemas Sr. Hervé Falciani</w:t>
      </w:r>
      <w:r w:rsidRPr="00A07BE9">
        <w:rPr>
          <w:rFonts w:ascii="Open Sans" w:eastAsia="Times New Roman" w:hAnsi="Open Sans" w:cs="Open Sans"/>
          <w:sz w:val="20"/>
          <w:szCs w:val="20"/>
          <w:lang w:eastAsia="es-ES"/>
        </w:rPr>
        <w:t>.</w:t>
      </w:r>
    </w:p>
    <w:p w14:paraId="4687A9D3" w14:textId="501B63BC" w:rsidR="00F851FB" w:rsidRDefault="00000000" w:rsidP="000952B8">
      <w:pPr>
        <w:tabs>
          <w:tab w:val="left" w:pos="567"/>
        </w:tabs>
        <w:spacing w:after="0" w:line="276" w:lineRule="auto"/>
        <w:ind w:left="567" w:hanging="567"/>
        <w:jc w:val="both"/>
        <w:rPr>
          <w:rFonts w:ascii="Open Sans" w:eastAsia="Times New Roman" w:hAnsi="Open Sans" w:cs="Open Sans"/>
          <w:sz w:val="20"/>
          <w:szCs w:val="20"/>
          <w:lang w:eastAsia="es-ES"/>
        </w:rPr>
      </w:pPr>
      <w:hyperlink r:id="rId296" w:history="1">
        <w:r w:rsidR="00CE2D15" w:rsidRPr="00A07BE9">
          <w:rPr>
            <w:rStyle w:val="Hipervnculo"/>
            <w:rFonts w:ascii="Open Sans" w:eastAsia="Times New Roman" w:hAnsi="Open Sans" w:cs="Open Sans"/>
            <w:sz w:val="20"/>
            <w:szCs w:val="20"/>
            <w:lang w:eastAsia="es-ES"/>
          </w:rPr>
          <w:t>Texto del c</w:t>
        </w:r>
        <w:r w:rsidR="000952B8" w:rsidRPr="00A07BE9">
          <w:rPr>
            <w:rStyle w:val="Hipervnculo"/>
            <w:rFonts w:ascii="Open Sans" w:eastAsia="Times New Roman" w:hAnsi="Open Sans" w:cs="Open Sans"/>
            <w:sz w:val="20"/>
            <w:szCs w:val="20"/>
            <w:lang w:eastAsia="es-ES"/>
          </w:rPr>
          <w:t>onvenio</w:t>
        </w:r>
      </w:hyperlink>
      <w:r w:rsidR="00CF0D5C" w:rsidRPr="00A07BE9">
        <w:rPr>
          <w:rFonts w:ascii="Open Sans" w:eastAsia="Times New Roman" w:hAnsi="Open Sans" w:cs="Open Sans"/>
          <w:sz w:val="20"/>
          <w:szCs w:val="20"/>
          <w:lang w:eastAsia="es-ES"/>
        </w:rPr>
        <w:t xml:space="preserve"> disponible en la página web de la Agencia.</w:t>
      </w:r>
    </w:p>
    <w:p w14:paraId="45CE102B" w14:textId="77777777" w:rsidR="00533AD8" w:rsidRPr="00A07BE9" w:rsidRDefault="00533AD8" w:rsidP="000952B8">
      <w:pPr>
        <w:tabs>
          <w:tab w:val="left" w:pos="567"/>
        </w:tabs>
        <w:spacing w:after="0" w:line="276" w:lineRule="auto"/>
        <w:ind w:left="567" w:hanging="567"/>
        <w:jc w:val="both"/>
        <w:rPr>
          <w:rFonts w:ascii="Calibri" w:eastAsia="Calibri" w:hAnsi="Calibri" w:cs="Calibri"/>
          <w:noProof/>
        </w:rPr>
      </w:pPr>
    </w:p>
    <w:p w14:paraId="26C4A286" w14:textId="53D5A780" w:rsidR="000952B8" w:rsidRPr="00A07BE9" w:rsidRDefault="00F851FB" w:rsidP="000952B8">
      <w:pPr>
        <w:tabs>
          <w:tab w:val="left" w:pos="567"/>
        </w:tabs>
        <w:spacing w:after="0" w:line="276" w:lineRule="auto"/>
        <w:ind w:left="567" w:hanging="567"/>
        <w:jc w:val="both"/>
        <w:rPr>
          <w:rFonts w:ascii="Open Sans" w:eastAsia="Times New Roman" w:hAnsi="Open Sans" w:cs="Open Sans"/>
          <w:sz w:val="20"/>
          <w:szCs w:val="20"/>
          <w:lang w:eastAsia="es-ES"/>
        </w:rPr>
      </w:pPr>
      <w:r w:rsidRPr="00A07BE9">
        <w:rPr>
          <w:rFonts w:ascii="Calibri" w:eastAsia="Calibri" w:hAnsi="Calibri" w:cs="Calibri"/>
          <w:noProof/>
        </w:rPr>
        <w:drawing>
          <wp:inline distT="0" distB="0" distL="0" distR="0" wp14:anchorId="6F0B5A91" wp14:editId="02DCF357">
            <wp:extent cx="2848911" cy="1803631"/>
            <wp:effectExtent l="0" t="0" r="8890" b="6350"/>
            <wp:docPr id="97" name="Imagen 11" descr="Signatura conveni entre Táctical i l'Agèn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11" descr="Signatura conveni entre Táctical i l'Agència"/>
                    <pic:cNvPicPr>
                      <a:picLocks noChangeAspect="1" noChangeArrowheads="1"/>
                    </pic:cNvPicPr>
                  </pic:nvPicPr>
                  <pic:blipFill>
                    <a:blip r:embed="rId297" cstate="screen">
                      <a:extLst>
                        <a:ext uri="{28A0092B-C50C-407E-A947-70E740481C1C}">
                          <a14:useLocalDpi xmlns:a14="http://schemas.microsoft.com/office/drawing/2010/main"/>
                        </a:ext>
                      </a:extLst>
                    </a:blip>
                    <a:stretch>
                      <a:fillRect/>
                    </a:stretch>
                  </pic:blipFill>
                  <pic:spPr bwMode="auto">
                    <a:xfrm>
                      <a:off x="0" y="0"/>
                      <a:ext cx="2875820" cy="1820667"/>
                    </a:xfrm>
                    <a:prstGeom prst="rect">
                      <a:avLst/>
                    </a:prstGeom>
                  </pic:spPr>
                </pic:pic>
              </a:graphicData>
            </a:graphic>
          </wp:inline>
        </w:drawing>
      </w:r>
    </w:p>
    <w:p w14:paraId="59FAD4BF" w14:textId="569A3727" w:rsidR="000952B8" w:rsidRPr="00A07BE9" w:rsidRDefault="000952B8" w:rsidP="000952B8">
      <w:pPr>
        <w:spacing w:after="0" w:line="276" w:lineRule="auto"/>
        <w:jc w:val="both"/>
        <w:rPr>
          <w:rFonts w:ascii="Open Sans" w:eastAsia="Times New Roman" w:hAnsi="Open Sans" w:cs="Open Sans"/>
          <w:sz w:val="21"/>
          <w:szCs w:val="21"/>
          <w:lang w:eastAsia="es-ES"/>
        </w:rPr>
      </w:pPr>
    </w:p>
    <w:p w14:paraId="20D33448" w14:textId="77777777" w:rsidR="000952B8" w:rsidRPr="00A07BE9" w:rsidRDefault="000952B8" w:rsidP="000952B8">
      <w:pPr>
        <w:spacing w:after="0" w:line="276" w:lineRule="auto"/>
        <w:jc w:val="both"/>
        <w:rPr>
          <w:rFonts w:ascii="Open Sans" w:eastAsia="Times New Roman" w:hAnsi="Open Sans" w:cs="Open Sans"/>
          <w:b/>
          <w:bCs/>
          <w:smallCaps/>
          <w:color w:val="94070A"/>
          <w:sz w:val="20"/>
          <w:szCs w:val="20"/>
          <w:lang w:eastAsia="es-ES"/>
        </w:rPr>
      </w:pPr>
    </w:p>
    <w:p w14:paraId="618964A1" w14:textId="77777777" w:rsidR="000952B8" w:rsidRPr="00A07BE9" w:rsidRDefault="000952B8" w:rsidP="000952B8">
      <w:pPr>
        <w:spacing w:after="0" w:line="276" w:lineRule="auto"/>
        <w:jc w:val="both"/>
        <w:rPr>
          <w:rFonts w:ascii="Open Sans" w:eastAsia="Times New Roman" w:hAnsi="Open Sans" w:cs="Open Sans"/>
          <w:b/>
          <w:sz w:val="20"/>
          <w:szCs w:val="20"/>
          <w:lang w:eastAsia="es-ES"/>
        </w:rPr>
      </w:pPr>
      <w:r w:rsidRPr="00A07BE9">
        <w:rPr>
          <w:rFonts w:ascii="Open Sans" w:eastAsia="Times New Roman" w:hAnsi="Open Sans" w:cs="Open Sans"/>
          <w:b/>
          <w:sz w:val="20"/>
          <w:szCs w:val="20"/>
          <w:lang w:eastAsia="es-ES"/>
        </w:rPr>
        <w:t>14 de octubre</w:t>
      </w:r>
      <w:r w:rsidRPr="00A07BE9">
        <w:rPr>
          <w:rFonts w:ascii="Open Sans" w:eastAsia="Times New Roman" w:hAnsi="Open Sans" w:cs="Open Sans"/>
          <w:b/>
          <w:sz w:val="20"/>
          <w:szCs w:val="20"/>
          <w:lang w:eastAsia="es-ES"/>
        </w:rPr>
        <w:tab/>
      </w:r>
    </w:p>
    <w:p w14:paraId="6EE65059" w14:textId="0B84F485" w:rsidR="000952B8" w:rsidRPr="00A07BE9" w:rsidRDefault="002E2E83" w:rsidP="000952B8">
      <w:pPr>
        <w:spacing w:after="0" w:line="276" w:lineRule="auto"/>
        <w:jc w:val="both"/>
        <w:rPr>
          <w:rFonts w:ascii="Open Sans" w:eastAsia="Times New Roman" w:hAnsi="Open Sans" w:cs="Open Sans"/>
          <w:b/>
          <w:sz w:val="20"/>
          <w:szCs w:val="20"/>
          <w:lang w:eastAsia="es-ES"/>
        </w:rPr>
      </w:pPr>
      <w:r w:rsidRPr="00A07BE9">
        <w:rPr>
          <w:rFonts w:ascii="Open Sans" w:eastAsia="Times New Roman" w:hAnsi="Open Sans" w:cs="Open Sans"/>
          <w:sz w:val="20"/>
          <w:szCs w:val="20"/>
          <w:lang w:eastAsia="es-ES"/>
        </w:rPr>
        <w:t>C</w:t>
      </w:r>
      <w:r w:rsidR="000952B8" w:rsidRPr="00A07BE9">
        <w:rPr>
          <w:rFonts w:ascii="Open Sans" w:eastAsia="Times New Roman" w:hAnsi="Open Sans" w:cs="Open Sans"/>
          <w:sz w:val="20"/>
          <w:szCs w:val="20"/>
          <w:lang w:eastAsia="es-ES"/>
        </w:rPr>
        <w:t xml:space="preserve">on la </w:t>
      </w:r>
      <w:r w:rsidR="000952B8" w:rsidRPr="00A07BE9">
        <w:rPr>
          <w:rFonts w:ascii="Open Sans" w:eastAsia="Times New Roman" w:hAnsi="Open Sans" w:cs="Open Sans"/>
          <w:b/>
          <w:sz w:val="20"/>
          <w:szCs w:val="20"/>
          <w:lang w:eastAsia="es-ES"/>
        </w:rPr>
        <w:t>UNIVERSITAT DE VALÈNCIA</w:t>
      </w:r>
    </w:p>
    <w:p w14:paraId="5F1E3EA0" w14:textId="08A26936" w:rsidR="00CF0D5C" w:rsidRPr="00A07BE9" w:rsidRDefault="00000000" w:rsidP="00CF0D5C">
      <w:pPr>
        <w:tabs>
          <w:tab w:val="left" w:pos="567"/>
        </w:tabs>
        <w:spacing w:after="0" w:line="276" w:lineRule="auto"/>
        <w:ind w:left="567" w:hanging="567"/>
        <w:jc w:val="both"/>
        <w:rPr>
          <w:rFonts w:ascii="Open Sans" w:eastAsia="Times New Roman" w:hAnsi="Open Sans" w:cs="Open Sans"/>
          <w:sz w:val="20"/>
          <w:szCs w:val="20"/>
          <w:lang w:eastAsia="es-ES"/>
        </w:rPr>
      </w:pPr>
      <w:hyperlink r:id="rId298" w:anchor="boc/iniciativa/clau/189925353097232" w:history="1">
        <w:r w:rsidR="00CD255F" w:rsidRPr="00A07BE9">
          <w:rPr>
            <w:rStyle w:val="Hipervnculo"/>
            <w:rFonts w:ascii="Open Sans" w:eastAsia="Times New Roman" w:hAnsi="Open Sans" w:cs="Open Sans"/>
            <w:sz w:val="20"/>
            <w:szCs w:val="20"/>
            <w:lang w:eastAsia="es-ES"/>
          </w:rPr>
          <w:t xml:space="preserve">Texto del </w:t>
        </w:r>
        <w:r w:rsidR="00CF0D5C" w:rsidRPr="00A07BE9">
          <w:rPr>
            <w:rStyle w:val="Hipervnculo"/>
            <w:rFonts w:ascii="Open Sans" w:eastAsia="Times New Roman" w:hAnsi="Open Sans" w:cs="Open Sans"/>
            <w:sz w:val="20"/>
            <w:szCs w:val="20"/>
            <w:lang w:eastAsia="es-ES"/>
          </w:rPr>
          <w:t>Convenio</w:t>
        </w:r>
      </w:hyperlink>
      <w:r w:rsidR="00CF0D5C" w:rsidRPr="00A07BE9">
        <w:rPr>
          <w:rFonts w:ascii="Open Sans" w:eastAsia="Times New Roman" w:hAnsi="Open Sans" w:cs="Open Sans"/>
          <w:sz w:val="20"/>
          <w:szCs w:val="20"/>
          <w:lang w:eastAsia="es-ES"/>
        </w:rPr>
        <w:t xml:space="preserve"> disponible en la página web de la Agencia.</w:t>
      </w:r>
    </w:p>
    <w:p w14:paraId="26953BF4" w14:textId="570B147F" w:rsidR="000952B8" w:rsidRPr="00A07BE9" w:rsidRDefault="000952B8" w:rsidP="00CF0D5C">
      <w:pPr>
        <w:tabs>
          <w:tab w:val="left" w:pos="0"/>
        </w:tabs>
        <w:spacing w:after="0" w:line="276" w:lineRule="auto"/>
        <w:jc w:val="both"/>
        <w:rPr>
          <w:rFonts w:ascii="Open Sans" w:eastAsia="Times New Roman" w:hAnsi="Open Sans" w:cs="Open Sans"/>
          <w:b/>
          <w:bCs/>
          <w:smallCaps/>
          <w:color w:val="94070A"/>
          <w:sz w:val="20"/>
          <w:szCs w:val="20"/>
          <w:lang w:eastAsia="es-ES"/>
        </w:rPr>
      </w:pPr>
    </w:p>
    <w:p w14:paraId="4629B896" w14:textId="740AF1EE" w:rsidR="000952B8" w:rsidRDefault="000952B8" w:rsidP="000952B8">
      <w:pPr>
        <w:spacing w:after="0" w:line="276" w:lineRule="auto"/>
        <w:jc w:val="both"/>
        <w:rPr>
          <w:rFonts w:ascii="Open Sans" w:eastAsia="Times New Roman" w:hAnsi="Open Sans" w:cs="Open Sans"/>
          <w:b/>
          <w:bCs/>
          <w:smallCaps/>
          <w:color w:val="94070A"/>
          <w:sz w:val="20"/>
          <w:szCs w:val="20"/>
          <w:lang w:eastAsia="es-ES"/>
        </w:rPr>
      </w:pPr>
    </w:p>
    <w:p w14:paraId="62F0393C" w14:textId="34D0A3B7" w:rsidR="00533AD8" w:rsidRDefault="00533AD8" w:rsidP="000952B8">
      <w:pPr>
        <w:spacing w:after="0" w:line="276" w:lineRule="auto"/>
        <w:jc w:val="both"/>
        <w:rPr>
          <w:rFonts w:ascii="Open Sans" w:eastAsia="Times New Roman" w:hAnsi="Open Sans" w:cs="Open Sans"/>
          <w:b/>
          <w:bCs/>
          <w:smallCaps/>
          <w:color w:val="94070A"/>
          <w:sz w:val="20"/>
          <w:szCs w:val="20"/>
          <w:lang w:eastAsia="es-ES"/>
        </w:rPr>
      </w:pPr>
    </w:p>
    <w:p w14:paraId="4325730E" w14:textId="0EBBB62F" w:rsidR="00533AD8" w:rsidRDefault="00533AD8" w:rsidP="000952B8">
      <w:pPr>
        <w:spacing w:after="0" w:line="276" w:lineRule="auto"/>
        <w:jc w:val="both"/>
        <w:rPr>
          <w:rFonts w:ascii="Open Sans" w:eastAsia="Times New Roman" w:hAnsi="Open Sans" w:cs="Open Sans"/>
          <w:b/>
          <w:bCs/>
          <w:smallCaps/>
          <w:color w:val="94070A"/>
          <w:sz w:val="20"/>
          <w:szCs w:val="20"/>
          <w:lang w:eastAsia="es-ES"/>
        </w:rPr>
      </w:pPr>
    </w:p>
    <w:p w14:paraId="7E885B16" w14:textId="77777777" w:rsidR="00533AD8" w:rsidRPr="00A07BE9" w:rsidRDefault="00533AD8" w:rsidP="000952B8">
      <w:pPr>
        <w:spacing w:after="0" w:line="276" w:lineRule="auto"/>
        <w:jc w:val="both"/>
        <w:rPr>
          <w:rFonts w:ascii="Open Sans" w:eastAsia="Times New Roman" w:hAnsi="Open Sans" w:cs="Open Sans"/>
          <w:b/>
          <w:bCs/>
          <w:smallCaps/>
          <w:color w:val="94070A"/>
          <w:sz w:val="20"/>
          <w:szCs w:val="20"/>
          <w:lang w:eastAsia="es-ES"/>
        </w:rPr>
      </w:pPr>
    </w:p>
    <w:p w14:paraId="499B2E21" w14:textId="77777777" w:rsidR="000952B8" w:rsidRPr="00A07BE9" w:rsidRDefault="000952B8" w:rsidP="000952B8">
      <w:pPr>
        <w:spacing w:after="0" w:line="276" w:lineRule="auto"/>
        <w:jc w:val="both"/>
        <w:rPr>
          <w:rFonts w:ascii="Open Sans" w:eastAsia="Times New Roman" w:hAnsi="Open Sans" w:cs="Open Sans"/>
          <w:b/>
          <w:bCs/>
          <w:smallCaps/>
          <w:color w:val="94070A"/>
          <w:sz w:val="28"/>
          <w:szCs w:val="28"/>
          <w:lang w:eastAsia="es-ES"/>
        </w:rPr>
      </w:pPr>
      <w:r w:rsidRPr="00A07BE9">
        <w:rPr>
          <w:rFonts w:ascii="Open Sans" w:eastAsia="Times New Roman" w:hAnsi="Open Sans" w:cs="Open Sans"/>
          <w:b/>
          <w:bCs/>
          <w:smallCaps/>
          <w:color w:val="94070A"/>
          <w:sz w:val="28"/>
          <w:szCs w:val="28"/>
          <w:lang w:eastAsia="es-ES"/>
        </w:rPr>
        <w:lastRenderedPageBreak/>
        <w:t>5.4.2. Comisión Nacional de los Mercados y de la Competencia</w:t>
      </w:r>
    </w:p>
    <w:p w14:paraId="61458772" w14:textId="77777777" w:rsidR="000952B8" w:rsidRPr="00A07BE9" w:rsidRDefault="000952B8" w:rsidP="000952B8">
      <w:pPr>
        <w:spacing w:after="0" w:line="276" w:lineRule="auto"/>
        <w:jc w:val="both"/>
        <w:rPr>
          <w:rFonts w:ascii="Open Sans" w:eastAsia="Times New Roman" w:hAnsi="Open Sans" w:cs="Open Sans"/>
          <w:b/>
          <w:bCs/>
          <w:smallCaps/>
          <w:color w:val="94070A"/>
          <w:sz w:val="20"/>
          <w:szCs w:val="20"/>
          <w:lang w:eastAsia="es-ES"/>
        </w:rPr>
      </w:pPr>
    </w:p>
    <w:p w14:paraId="436A09FD"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En 2019, se inician relaciones con la Comisión Nacional de los Mercados y de la Competencia (CNMC) para coordinar proyectos y actuaciones.</w:t>
      </w:r>
    </w:p>
    <w:p w14:paraId="560E0620"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76EEB173" w14:textId="3E485813" w:rsidR="000952B8"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 xml:space="preserve">Una de estas actuaciones fue la </w:t>
      </w:r>
      <w:r w:rsidRPr="00A07BE9">
        <w:rPr>
          <w:rFonts w:ascii="Open Sans" w:eastAsia="Times New Roman" w:hAnsi="Open Sans" w:cs="Open Sans"/>
          <w:b/>
          <w:sz w:val="20"/>
          <w:szCs w:val="20"/>
          <w:lang w:eastAsia="es-ES"/>
        </w:rPr>
        <w:t>jornada en torno a la protección de los denunciantes</w:t>
      </w:r>
      <w:r w:rsidRPr="00A07BE9">
        <w:rPr>
          <w:rFonts w:ascii="Open Sans" w:eastAsia="Times New Roman" w:hAnsi="Open Sans" w:cs="Open Sans"/>
          <w:sz w:val="20"/>
          <w:szCs w:val="20"/>
          <w:lang w:eastAsia="es-ES"/>
        </w:rPr>
        <w:t xml:space="preserve">, titulada </w:t>
      </w:r>
      <w:hyperlink r:id="rId299">
        <w:r w:rsidRPr="00A07BE9">
          <w:rPr>
            <w:rFonts w:ascii="Open Sans" w:eastAsia="Times New Roman" w:hAnsi="Open Sans" w:cs="Open Sans"/>
            <w:color w:val="000080"/>
            <w:sz w:val="20"/>
            <w:szCs w:val="20"/>
            <w:u w:val="single"/>
            <w:lang w:eastAsia="es-ES"/>
          </w:rPr>
          <w:t>“El denunciante desamparado”</w:t>
        </w:r>
      </w:hyperlink>
      <w:r w:rsidRPr="00A07BE9">
        <w:rPr>
          <w:rFonts w:ascii="Open Sans" w:eastAsia="Times New Roman" w:hAnsi="Open Sans" w:cs="Open Sans"/>
          <w:sz w:val="20"/>
          <w:szCs w:val="20"/>
          <w:lang w:eastAsia="es-ES"/>
        </w:rPr>
        <w:t>, que se celebró en Madrid el día 13 de marzo.</w:t>
      </w:r>
    </w:p>
    <w:p w14:paraId="7867A6C4" w14:textId="77777777" w:rsidR="00E62BD1" w:rsidRPr="00A07BE9" w:rsidRDefault="00E62BD1" w:rsidP="000952B8">
      <w:pPr>
        <w:spacing w:after="0" w:line="276" w:lineRule="auto"/>
        <w:jc w:val="both"/>
        <w:rPr>
          <w:rFonts w:ascii="Calibri" w:eastAsia="Calibri" w:hAnsi="Calibri" w:cs="Calibri"/>
          <w:sz w:val="20"/>
          <w:szCs w:val="20"/>
        </w:rPr>
      </w:pPr>
    </w:p>
    <w:p w14:paraId="3E1A7067" w14:textId="77777777" w:rsidR="000952B8" w:rsidRPr="00A07BE9" w:rsidRDefault="000952B8" w:rsidP="000952B8">
      <w:pPr>
        <w:spacing w:after="0" w:line="276" w:lineRule="auto"/>
        <w:jc w:val="both"/>
        <w:rPr>
          <w:rFonts w:ascii="Calibri" w:eastAsia="Calibri" w:hAnsi="Calibri" w:cs="Calibri"/>
          <w:sz w:val="20"/>
          <w:szCs w:val="20"/>
        </w:rPr>
      </w:pPr>
      <w:r w:rsidRPr="00A07BE9">
        <w:rPr>
          <w:rFonts w:ascii="Open Sans" w:eastAsia="Times New Roman" w:hAnsi="Open Sans" w:cs="Open Sans"/>
          <w:sz w:val="20"/>
          <w:szCs w:val="20"/>
          <w:lang w:eastAsia="es-ES"/>
        </w:rPr>
        <w:t xml:space="preserve">Esta jornada se dividió en dos partes: una conferencia, "Confesiones de un denunciante", en la que el Sr. Hervé Falciani y la Sra. Ana Garrido dieron su testimonio público, manifestando sus vivencias personales; y una mesa redonda seguida de un debate, "En busca de la protección del denunciante", moderado por la periodista María Ramírez Fernández, directora de Estrategia de </w:t>
      </w:r>
      <w:r w:rsidRPr="00A07BE9">
        <w:rPr>
          <w:rFonts w:ascii="Open Sans" w:eastAsia="Times New Roman" w:hAnsi="Open Sans" w:cs="Open Sans"/>
          <w:sz w:val="20"/>
          <w:szCs w:val="20"/>
          <w:u w:val="single"/>
          <w:lang w:eastAsia="es-ES"/>
        </w:rPr>
        <w:t>eldiario.es</w:t>
      </w:r>
      <w:r w:rsidRPr="00A07BE9">
        <w:rPr>
          <w:rFonts w:ascii="Open Sans" w:eastAsia="Times New Roman" w:hAnsi="Open Sans" w:cs="Open Sans"/>
          <w:sz w:val="20"/>
          <w:szCs w:val="20"/>
          <w:lang w:eastAsia="es-ES"/>
        </w:rPr>
        <w:t xml:space="preserve"> y en la que intervinieron, junto con el director de la Agencia, Sr. Llinares, las siguientes personas:</w:t>
      </w:r>
    </w:p>
    <w:p w14:paraId="1C3251A7" w14:textId="77777777" w:rsidR="000E6355" w:rsidRPr="00A07BE9" w:rsidRDefault="000E6355" w:rsidP="000E6355">
      <w:pPr>
        <w:spacing w:after="0" w:line="276" w:lineRule="auto"/>
        <w:contextualSpacing/>
        <w:jc w:val="both"/>
        <w:rPr>
          <w:rFonts w:ascii="Open Sans" w:eastAsia="Calibri" w:hAnsi="Open Sans" w:cs="Open Sans"/>
          <w:kern w:val="2"/>
          <w:sz w:val="20"/>
          <w:szCs w:val="20"/>
          <w:lang w:eastAsia="zh-CN" w:bidi="hi-IN"/>
        </w:rPr>
      </w:pPr>
    </w:p>
    <w:p w14:paraId="010955E7" w14:textId="77777777" w:rsidR="000E6355" w:rsidRPr="00A07BE9" w:rsidRDefault="000952B8" w:rsidP="000E6355">
      <w:pPr>
        <w:numPr>
          <w:ilvl w:val="0"/>
          <w:numId w:val="6"/>
        </w:numPr>
        <w:spacing w:after="0" w:line="276" w:lineRule="auto"/>
        <w:ind w:left="714" w:hanging="357"/>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Sra. Mar España Martí, directora de la Agencia Española de Protección de Datos</w:t>
      </w:r>
    </w:p>
    <w:p w14:paraId="439D22CF" w14:textId="77777777" w:rsidR="000E6355" w:rsidRPr="00A07BE9" w:rsidRDefault="000952B8" w:rsidP="000E6355">
      <w:pPr>
        <w:numPr>
          <w:ilvl w:val="0"/>
          <w:numId w:val="6"/>
        </w:numPr>
        <w:spacing w:after="0" w:line="276" w:lineRule="auto"/>
        <w:ind w:left="714" w:hanging="357"/>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Sr. Manuel Villoria Mendieta, miembro del Comité Directivo de Transparencia Internacional España</w:t>
      </w:r>
    </w:p>
    <w:p w14:paraId="306C3624" w14:textId="77777777" w:rsidR="000E6355" w:rsidRPr="00A07BE9" w:rsidRDefault="000952B8" w:rsidP="000E6355">
      <w:pPr>
        <w:numPr>
          <w:ilvl w:val="0"/>
          <w:numId w:val="6"/>
        </w:numPr>
        <w:spacing w:after="0" w:line="276" w:lineRule="auto"/>
        <w:ind w:left="714" w:hanging="357"/>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Sra. Simona Levi, fundadora de XNet</w:t>
      </w:r>
    </w:p>
    <w:p w14:paraId="7ADCF871" w14:textId="77777777" w:rsidR="000E6355" w:rsidRPr="00A07BE9" w:rsidRDefault="000952B8" w:rsidP="000E6355">
      <w:pPr>
        <w:numPr>
          <w:ilvl w:val="0"/>
          <w:numId w:val="6"/>
        </w:numPr>
        <w:spacing w:after="0" w:line="276" w:lineRule="auto"/>
        <w:ind w:left="714" w:hanging="357"/>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 xml:space="preserve">Sra. Alba Lema Dapena, presidenta del "Comité de imparcialidad, independencia e integridad" de la World Compliance Association </w:t>
      </w:r>
    </w:p>
    <w:p w14:paraId="1F7380BC" w14:textId="77777777" w:rsidR="000E6355" w:rsidRPr="00A07BE9" w:rsidRDefault="000952B8" w:rsidP="000E6355">
      <w:pPr>
        <w:numPr>
          <w:ilvl w:val="0"/>
          <w:numId w:val="6"/>
        </w:numPr>
        <w:spacing w:after="0" w:line="276" w:lineRule="auto"/>
        <w:ind w:left="714" w:hanging="357"/>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 xml:space="preserve">Sra. María de la Torre Rodríguez, </w:t>
      </w:r>
      <w:r w:rsidRPr="00A07BE9">
        <w:rPr>
          <w:rFonts w:ascii="Open Sans" w:eastAsia="Times New Roman" w:hAnsi="Open Sans" w:cs="Open Sans"/>
          <w:i/>
          <w:sz w:val="20"/>
          <w:szCs w:val="20"/>
          <w:lang w:eastAsia="es-ES"/>
        </w:rPr>
        <w:t>Compliance Officer</w:t>
      </w:r>
      <w:r w:rsidRPr="00A07BE9">
        <w:rPr>
          <w:rFonts w:ascii="Open Sans" w:eastAsia="Times New Roman" w:hAnsi="Open Sans" w:cs="Open Sans"/>
          <w:sz w:val="20"/>
          <w:szCs w:val="20"/>
          <w:lang w:eastAsia="es-ES"/>
        </w:rPr>
        <w:t xml:space="preserve"> y DPO en Grupo MÁSmovil, y miembro de la Junta Directiva de CUMPLEN</w:t>
      </w:r>
    </w:p>
    <w:p w14:paraId="21DFB5C4" w14:textId="6DAAF454" w:rsidR="000952B8" w:rsidRPr="00A07BE9" w:rsidRDefault="000952B8" w:rsidP="000952B8">
      <w:pPr>
        <w:numPr>
          <w:ilvl w:val="0"/>
          <w:numId w:val="6"/>
        </w:numPr>
        <w:spacing w:after="0" w:line="276" w:lineRule="auto"/>
        <w:ind w:left="714" w:hanging="357"/>
        <w:contextualSpacing/>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 xml:space="preserve">Sr. Juan Ignacio Ruiz Zorrilla, secretario general del Instituto Oficiales Cumplimiento </w:t>
      </w:r>
      <w:r w:rsidR="00BD7FC3" w:rsidRPr="00A07BE9">
        <w:rPr>
          <w:rFonts w:ascii="Open Sans" w:eastAsia="Times New Roman" w:hAnsi="Open Sans" w:cs="Open Sans"/>
          <w:sz w:val="20"/>
          <w:szCs w:val="20"/>
          <w:lang w:eastAsia="es-ES"/>
        </w:rPr>
        <w:t>–</w:t>
      </w:r>
      <w:r w:rsidRPr="00A07BE9">
        <w:rPr>
          <w:rFonts w:ascii="Open Sans" w:eastAsia="Times New Roman" w:hAnsi="Open Sans" w:cs="Open Sans"/>
          <w:sz w:val="20"/>
          <w:szCs w:val="20"/>
          <w:lang w:eastAsia="es-ES"/>
        </w:rPr>
        <w:t xml:space="preserve"> IOC</w:t>
      </w:r>
    </w:p>
    <w:p w14:paraId="2F273C95" w14:textId="526C28A9" w:rsidR="00BD7FC3" w:rsidRPr="00A07BE9" w:rsidRDefault="00BD7FC3" w:rsidP="00BD7FC3">
      <w:pPr>
        <w:spacing w:after="0" w:line="276" w:lineRule="auto"/>
        <w:contextualSpacing/>
        <w:jc w:val="both"/>
        <w:rPr>
          <w:rFonts w:ascii="Open Sans" w:eastAsia="Times New Roman" w:hAnsi="Open Sans" w:cs="Open Sans"/>
          <w:sz w:val="20"/>
          <w:szCs w:val="20"/>
          <w:lang w:eastAsia="es-ES"/>
        </w:rPr>
      </w:pPr>
    </w:p>
    <w:p w14:paraId="1A60B5D6" w14:textId="77777777" w:rsidR="00BD7FC3" w:rsidRPr="00A07BE9" w:rsidRDefault="00BD7FC3" w:rsidP="00BD7FC3">
      <w:pPr>
        <w:spacing w:after="0" w:line="276" w:lineRule="auto"/>
        <w:contextualSpacing/>
        <w:jc w:val="both"/>
        <w:rPr>
          <w:rFonts w:ascii="Open Sans" w:eastAsia="Times New Roman" w:hAnsi="Open Sans" w:cs="Open Sans"/>
          <w:sz w:val="20"/>
          <w:szCs w:val="20"/>
          <w:lang w:eastAsia="es-ES"/>
        </w:rPr>
      </w:pPr>
    </w:p>
    <w:p w14:paraId="1E4CF7A6" w14:textId="77777777" w:rsidR="000952B8" w:rsidRPr="00A07BE9" w:rsidRDefault="000952B8" w:rsidP="000952B8">
      <w:pPr>
        <w:spacing w:after="0" w:line="276" w:lineRule="auto"/>
        <w:jc w:val="both"/>
        <w:rPr>
          <w:rFonts w:ascii="Calibri" w:eastAsia="Calibri" w:hAnsi="Calibri" w:cs="Calibri"/>
        </w:rPr>
      </w:pPr>
      <w:r w:rsidRPr="00A07BE9">
        <w:rPr>
          <w:rFonts w:ascii="Open Sans" w:eastAsia="Times New Roman" w:hAnsi="Open Sans" w:cs="Open Sans"/>
          <w:b/>
          <w:bCs/>
          <w:smallCaps/>
          <w:color w:val="94070A"/>
          <w:sz w:val="28"/>
          <w:szCs w:val="28"/>
          <w:lang w:eastAsia="es-ES"/>
        </w:rPr>
        <w:t>5.4.3. Organización Internacional EPAC/EACN</w:t>
      </w:r>
    </w:p>
    <w:p w14:paraId="09C54DCF" w14:textId="77777777" w:rsidR="000952B8" w:rsidRPr="00A07BE9" w:rsidRDefault="000952B8" w:rsidP="000952B8">
      <w:pPr>
        <w:spacing w:after="0" w:line="276" w:lineRule="auto"/>
        <w:jc w:val="both"/>
        <w:rPr>
          <w:rFonts w:ascii="Open Sans" w:eastAsia="Times New Roman" w:hAnsi="Open Sans" w:cs="Open Sans"/>
          <w:smallCaps/>
          <w:sz w:val="20"/>
          <w:szCs w:val="20"/>
          <w:lang w:eastAsia="es-ES"/>
        </w:rPr>
      </w:pPr>
    </w:p>
    <w:p w14:paraId="7146C202" w14:textId="77777777" w:rsidR="000952B8" w:rsidRPr="00A07BE9" w:rsidRDefault="000952B8" w:rsidP="000952B8">
      <w:pPr>
        <w:spacing w:after="0" w:line="276" w:lineRule="auto"/>
        <w:jc w:val="both"/>
        <w:rPr>
          <w:rFonts w:ascii="Calibri" w:eastAsia="Calibri" w:hAnsi="Calibri" w:cs="Calibri"/>
          <w:sz w:val="20"/>
          <w:szCs w:val="20"/>
        </w:rPr>
      </w:pPr>
      <w:r w:rsidRPr="00A07BE9">
        <w:rPr>
          <w:rFonts w:ascii="Open Sans" w:eastAsia="Times New Roman" w:hAnsi="Open Sans" w:cs="Open Sans"/>
          <w:color w:val="000000"/>
          <w:sz w:val="20"/>
          <w:szCs w:val="20"/>
          <w:lang w:eastAsia="es-ES"/>
        </w:rPr>
        <w:t xml:space="preserve">En 2018 la Agencia pasó a formar parte </w:t>
      </w:r>
      <w:r w:rsidRPr="00A07BE9">
        <w:rPr>
          <w:rFonts w:ascii="Open Sans" w:eastAsia="Times New Roman" w:hAnsi="Open Sans" w:cs="Open Sans"/>
          <w:sz w:val="20"/>
          <w:szCs w:val="20"/>
          <w:lang w:eastAsia="es-ES"/>
        </w:rPr>
        <w:t xml:space="preserve">de la </w:t>
      </w:r>
      <w:hyperlink r:id="rId300">
        <w:r w:rsidRPr="00A07BE9">
          <w:rPr>
            <w:rFonts w:ascii="Open Sans" w:eastAsia="Times New Roman" w:hAnsi="Open Sans" w:cs="Open Sans"/>
            <w:color w:val="000080"/>
            <w:sz w:val="20"/>
            <w:szCs w:val="20"/>
            <w:u w:val="single"/>
            <w:lang w:eastAsia="es-ES"/>
          </w:rPr>
          <w:t>EPAC/EACN</w:t>
        </w:r>
      </w:hyperlink>
      <w:r w:rsidRPr="00A07BE9">
        <w:rPr>
          <w:rFonts w:ascii="Open Sans" w:eastAsia="Times New Roman" w:hAnsi="Open Sans" w:cs="Open Sans"/>
          <w:sz w:val="20"/>
          <w:szCs w:val="20"/>
          <w:lang w:eastAsia="es-ES"/>
        </w:rPr>
        <w:t xml:space="preserve">, Red </w:t>
      </w:r>
      <w:r w:rsidRPr="00A07BE9">
        <w:rPr>
          <w:rFonts w:ascii="Open Sans" w:eastAsia="Times New Roman" w:hAnsi="Open Sans" w:cs="Open Sans"/>
          <w:color w:val="000000"/>
          <w:sz w:val="20"/>
          <w:szCs w:val="20"/>
          <w:lang w:eastAsia="es-ES"/>
        </w:rPr>
        <w:t xml:space="preserve">europea de agencias de lucha contra el fraude y la corrupción (EPAC </w:t>
      </w:r>
      <w:r w:rsidRPr="00A07BE9">
        <w:rPr>
          <w:rFonts w:ascii="Open Sans" w:eastAsia="Times New Roman" w:hAnsi="Open Sans" w:cs="Open Sans"/>
          <w:i/>
          <w:iCs/>
          <w:color w:val="000000"/>
          <w:sz w:val="20"/>
          <w:szCs w:val="20"/>
          <w:lang w:eastAsia="es-ES"/>
        </w:rPr>
        <w:t>The European Partners against Corruption</w:t>
      </w:r>
      <w:r w:rsidRPr="00A07BE9">
        <w:rPr>
          <w:rFonts w:ascii="Open Sans" w:eastAsia="Times New Roman" w:hAnsi="Open Sans" w:cs="Open Sans"/>
          <w:color w:val="000000"/>
          <w:sz w:val="20"/>
          <w:szCs w:val="20"/>
          <w:lang w:eastAsia="es-ES"/>
        </w:rPr>
        <w:t xml:space="preserve">, Socios europeos contra la corrupción - EACN </w:t>
      </w:r>
      <w:r w:rsidRPr="00A07BE9">
        <w:rPr>
          <w:rFonts w:ascii="Open Sans" w:eastAsia="Times New Roman" w:hAnsi="Open Sans" w:cs="Open Sans"/>
          <w:i/>
          <w:iCs/>
          <w:color w:val="000000"/>
          <w:sz w:val="20"/>
          <w:szCs w:val="20"/>
          <w:lang w:eastAsia="es-ES"/>
        </w:rPr>
        <w:t>European contact-point network against corruption</w:t>
      </w:r>
      <w:r w:rsidRPr="00A07BE9">
        <w:rPr>
          <w:rFonts w:ascii="Open Sans" w:eastAsia="Times New Roman" w:hAnsi="Open Sans" w:cs="Open Sans"/>
          <w:color w:val="000000"/>
          <w:sz w:val="20"/>
          <w:szCs w:val="20"/>
          <w:lang w:eastAsia="es-ES"/>
        </w:rPr>
        <w:t>, Red europea de puntos de contacto contra la corrupción).</w:t>
      </w:r>
    </w:p>
    <w:p w14:paraId="428DAF54"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p>
    <w:p w14:paraId="508BF2DF" w14:textId="77777777" w:rsidR="000952B8" w:rsidRPr="00A07BE9" w:rsidRDefault="000952B8" w:rsidP="000952B8">
      <w:pPr>
        <w:spacing w:after="0" w:line="276" w:lineRule="auto"/>
        <w:jc w:val="both"/>
        <w:rPr>
          <w:rFonts w:ascii="Open Sans" w:eastAsia="Times New Roman" w:hAnsi="Open Sans" w:cs="Open Sans"/>
          <w:b/>
          <w:bCs/>
          <w:smallCaps/>
          <w:color w:val="94070A"/>
          <w:sz w:val="20"/>
          <w:szCs w:val="20"/>
          <w:lang w:eastAsia="es-ES"/>
        </w:rPr>
      </w:pPr>
      <w:r w:rsidRPr="00A07BE9">
        <w:rPr>
          <w:rFonts w:ascii="Open Sans" w:eastAsia="Times New Roman" w:hAnsi="Open Sans" w:cs="Open Sans"/>
          <w:b/>
          <w:bCs/>
          <w:smallCaps/>
          <w:color w:val="94070A"/>
          <w:sz w:val="20"/>
          <w:szCs w:val="20"/>
          <w:lang w:eastAsia="es-ES"/>
        </w:rPr>
        <w:t>Grupo de trabajo “EU-Integridad”</w:t>
      </w:r>
    </w:p>
    <w:p w14:paraId="759F5E60" w14:textId="77777777" w:rsidR="000952B8" w:rsidRPr="00A07BE9" w:rsidRDefault="000952B8" w:rsidP="000952B8">
      <w:pPr>
        <w:spacing w:after="0" w:line="276" w:lineRule="auto"/>
        <w:jc w:val="both"/>
        <w:rPr>
          <w:rFonts w:ascii="Calibri" w:eastAsia="Calibri" w:hAnsi="Calibri" w:cs="Calibri"/>
          <w:sz w:val="20"/>
          <w:szCs w:val="20"/>
        </w:rPr>
      </w:pPr>
      <w:r w:rsidRPr="00A07BE9">
        <w:rPr>
          <w:rFonts w:ascii="Open Sans" w:eastAsia="Times New Roman" w:hAnsi="Open Sans" w:cs="Open Sans"/>
          <w:color w:val="000000"/>
          <w:sz w:val="20"/>
          <w:szCs w:val="20"/>
          <w:lang w:eastAsia="es-ES"/>
        </w:rPr>
        <w:t xml:space="preserve">En </w:t>
      </w:r>
      <w:r w:rsidRPr="00A07BE9">
        <w:rPr>
          <w:rFonts w:ascii="Open Sans" w:eastAsia="Times New Roman" w:hAnsi="Open Sans" w:cs="Open Sans"/>
          <w:sz w:val="20"/>
          <w:szCs w:val="20"/>
          <w:lang w:eastAsia="es-ES"/>
        </w:rPr>
        <w:t xml:space="preserve">la </w:t>
      </w:r>
      <w:hyperlink r:id="rId301">
        <w:r w:rsidRPr="00A07BE9">
          <w:rPr>
            <w:rFonts w:ascii="Open Sans" w:eastAsia="Times New Roman" w:hAnsi="Open Sans" w:cs="Open Sans"/>
            <w:color w:val="000080"/>
            <w:sz w:val="20"/>
            <w:szCs w:val="20"/>
            <w:u w:val="single"/>
            <w:lang w:eastAsia="es-ES"/>
          </w:rPr>
          <w:t>18ª Asamblea General EPAC/ENAC</w:t>
        </w:r>
      </w:hyperlink>
      <w:r w:rsidRPr="00A07BE9">
        <w:rPr>
          <w:rFonts w:ascii="Open Sans" w:eastAsia="Times New Roman" w:hAnsi="Open Sans" w:cs="Open Sans"/>
          <w:sz w:val="20"/>
          <w:szCs w:val="20"/>
          <w:lang w:eastAsia="es-ES"/>
        </w:rPr>
        <w:t xml:space="preserve">, celebrada el 24 de octubre de 2018 en Rust, Austria, se acordó la constitución de un </w:t>
      </w:r>
      <w:r w:rsidRPr="00A07BE9">
        <w:rPr>
          <w:rFonts w:ascii="Open Sans" w:eastAsia="Times New Roman" w:hAnsi="Open Sans" w:cs="Open Sans"/>
          <w:b/>
          <w:sz w:val="20"/>
          <w:szCs w:val="20"/>
          <w:lang w:eastAsia="es-ES"/>
        </w:rPr>
        <w:t xml:space="preserve">grupo de trabajo </w:t>
      </w:r>
      <w:r w:rsidRPr="00A07BE9">
        <w:rPr>
          <w:rFonts w:ascii="Open Sans" w:eastAsia="Times New Roman" w:hAnsi="Open Sans" w:cs="Open Sans"/>
          <w:b/>
          <w:iCs/>
          <w:sz w:val="20"/>
          <w:szCs w:val="20"/>
          <w:lang w:eastAsia="es-ES"/>
        </w:rPr>
        <w:t>“EU-Integridad”</w:t>
      </w:r>
      <w:r w:rsidRPr="00A07BE9">
        <w:rPr>
          <w:rFonts w:ascii="Open Sans" w:eastAsia="Times New Roman" w:hAnsi="Open Sans" w:cs="Open Sans"/>
          <w:sz w:val="20"/>
          <w:szCs w:val="20"/>
          <w:lang w:eastAsia="es-ES"/>
        </w:rPr>
        <w:t xml:space="preserve"> con el objetivo general de garantizar un valor añadido </w:t>
      </w:r>
      <w:r w:rsidRPr="00A07BE9">
        <w:rPr>
          <w:rFonts w:ascii="Open Sans" w:eastAsia="Times New Roman" w:hAnsi="Open Sans" w:cs="Open Sans"/>
          <w:color w:val="000000"/>
          <w:sz w:val="20"/>
          <w:szCs w:val="20"/>
          <w:lang w:eastAsia="es-ES"/>
        </w:rPr>
        <w:t>que genere la creación de una postura positiva en la promoción de la integridad en todos los sectores de la Unión Europea y el específico de compartir puntos de vista y experiencias, desarrollar y acordar estándares y estrategias comunes, así como promover las mejores prácticas, crear sinergias y adoptar enfoques diversificados para promover la integridad desde varias temáticas, a cuyo efecto se crearon los siguientes grupos:</w:t>
      </w:r>
    </w:p>
    <w:p w14:paraId="64032474" w14:textId="77777777" w:rsidR="000E6355" w:rsidRPr="00A07BE9" w:rsidRDefault="000E6355" w:rsidP="000E6355">
      <w:pPr>
        <w:spacing w:after="0" w:line="276" w:lineRule="auto"/>
        <w:contextualSpacing/>
        <w:jc w:val="both"/>
        <w:rPr>
          <w:rFonts w:ascii="Open Sans" w:eastAsia="Calibri" w:hAnsi="Open Sans" w:cs="Open Sans"/>
          <w:kern w:val="2"/>
          <w:sz w:val="20"/>
          <w:szCs w:val="20"/>
          <w:lang w:eastAsia="zh-CN" w:bidi="hi-IN"/>
        </w:rPr>
      </w:pPr>
    </w:p>
    <w:p w14:paraId="74D8138A" w14:textId="77777777" w:rsidR="000E6355" w:rsidRPr="00A07BE9" w:rsidRDefault="000952B8" w:rsidP="000E6355">
      <w:pPr>
        <w:numPr>
          <w:ilvl w:val="0"/>
          <w:numId w:val="6"/>
        </w:numPr>
        <w:spacing w:after="0" w:line="276" w:lineRule="auto"/>
        <w:ind w:left="714" w:hanging="357"/>
        <w:contextualSpacing/>
        <w:jc w:val="both"/>
        <w:rPr>
          <w:rFonts w:ascii="Calibri" w:eastAsia="Calibri" w:hAnsi="Calibri" w:cs="Calibri"/>
          <w:sz w:val="20"/>
          <w:szCs w:val="20"/>
        </w:rPr>
      </w:pPr>
      <w:r w:rsidRPr="00A07BE9">
        <w:rPr>
          <w:rFonts w:ascii="Open Sans" w:eastAsia="Times New Roman" w:hAnsi="Open Sans" w:cs="Open Sans"/>
          <w:color w:val="000000"/>
          <w:sz w:val="20"/>
          <w:szCs w:val="20"/>
          <w:lang w:eastAsia="es-ES"/>
        </w:rPr>
        <w:t>Subgrupo 1: Apoyo y protección a los alertadores.</w:t>
      </w:r>
    </w:p>
    <w:p w14:paraId="16BF894F" w14:textId="77777777" w:rsidR="000E6355" w:rsidRPr="00A07BE9" w:rsidRDefault="000952B8" w:rsidP="000E6355">
      <w:pPr>
        <w:numPr>
          <w:ilvl w:val="0"/>
          <w:numId w:val="6"/>
        </w:numPr>
        <w:spacing w:after="0" w:line="276" w:lineRule="auto"/>
        <w:ind w:left="714" w:hanging="357"/>
        <w:contextualSpacing/>
        <w:jc w:val="both"/>
        <w:rPr>
          <w:rFonts w:ascii="Calibri" w:eastAsia="Calibri" w:hAnsi="Calibri" w:cs="Calibri"/>
          <w:sz w:val="20"/>
          <w:szCs w:val="20"/>
        </w:rPr>
      </w:pPr>
      <w:r w:rsidRPr="00A07BE9">
        <w:rPr>
          <w:rFonts w:ascii="Open Sans" w:eastAsia="Times New Roman" w:hAnsi="Open Sans" w:cs="Open Sans"/>
          <w:color w:val="000000"/>
          <w:sz w:val="20"/>
          <w:szCs w:val="20"/>
          <w:lang w:eastAsia="es-ES"/>
        </w:rPr>
        <w:t xml:space="preserve">Subgrupo 2: </w:t>
      </w:r>
      <w:bookmarkStart w:id="21" w:name="_Hlk31303148"/>
      <w:r w:rsidRPr="00A07BE9">
        <w:rPr>
          <w:rFonts w:ascii="Open Sans" w:eastAsia="Times New Roman" w:hAnsi="Open Sans" w:cs="Open Sans"/>
          <w:color w:val="000000"/>
          <w:sz w:val="20"/>
          <w:szCs w:val="20"/>
          <w:lang w:eastAsia="es-ES"/>
        </w:rPr>
        <w:t>Cooperación interinstitucional y estándares comunes para su mejora</w:t>
      </w:r>
      <w:bookmarkEnd w:id="21"/>
      <w:r w:rsidRPr="00A07BE9">
        <w:rPr>
          <w:rFonts w:ascii="Open Sans" w:eastAsia="Times New Roman" w:hAnsi="Open Sans" w:cs="Open Sans"/>
          <w:color w:val="000000"/>
          <w:sz w:val="20"/>
          <w:szCs w:val="20"/>
          <w:lang w:eastAsia="es-ES"/>
        </w:rPr>
        <w:t>.</w:t>
      </w:r>
    </w:p>
    <w:p w14:paraId="48ACD71A" w14:textId="77777777" w:rsidR="000E6355" w:rsidRPr="00A07BE9" w:rsidRDefault="000952B8" w:rsidP="000E6355">
      <w:pPr>
        <w:numPr>
          <w:ilvl w:val="0"/>
          <w:numId w:val="6"/>
        </w:numPr>
        <w:spacing w:after="0" w:line="276" w:lineRule="auto"/>
        <w:ind w:left="714" w:hanging="357"/>
        <w:contextualSpacing/>
        <w:jc w:val="both"/>
        <w:rPr>
          <w:rFonts w:ascii="Calibri" w:eastAsia="Calibri" w:hAnsi="Calibri" w:cs="Calibri"/>
          <w:sz w:val="20"/>
          <w:szCs w:val="20"/>
        </w:rPr>
      </w:pPr>
      <w:r w:rsidRPr="00A07BE9">
        <w:rPr>
          <w:rFonts w:ascii="Open Sans" w:eastAsia="Times New Roman" w:hAnsi="Open Sans" w:cs="Open Sans"/>
          <w:color w:val="000000"/>
          <w:sz w:val="20"/>
          <w:szCs w:val="20"/>
          <w:lang w:eastAsia="es-ES"/>
        </w:rPr>
        <w:t>Subgrupo 3: Medidas para la gestión educativas y de valores.</w:t>
      </w:r>
    </w:p>
    <w:p w14:paraId="7C0D3D13" w14:textId="20551C23" w:rsidR="000952B8" w:rsidRPr="00A07BE9" w:rsidRDefault="000952B8" w:rsidP="000952B8">
      <w:pPr>
        <w:numPr>
          <w:ilvl w:val="0"/>
          <w:numId w:val="6"/>
        </w:numPr>
        <w:spacing w:after="0" w:line="276" w:lineRule="auto"/>
        <w:ind w:left="714" w:hanging="357"/>
        <w:contextualSpacing/>
        <w:jc w:val="both"/>
        <w:rPr>
          <w:rFonts w:ascii="Calibri" w:eastAsia="Calibri" w:hAnsi="Calibri" w:cs="Calibri"/>
          <w:sz w:val="20"/>
          <w:szCs w:val="20"/>
        </w:rPr>
      </w:pPr>
      <w:r w:rsidRPr="00A07BE9">
        <w:rPr>
          <w:rFonts w:ascii="Open Sans" w:eastAsia="Times New Roman" w:hAnsi="Open Sans" w:cs="Open Sans"/>
          <w:color w:val="000000"/>
          <w:sz w:val="20"/>
          <w:szCs w:val="20"/>
          <w:lang w:eastAsia="es-ES"/>
        </w:rPr>
        <w:t>Subgrupo 4: Estándares de integridad y anticorrupción.</w:t>
      </w:r>
    </w:p>
    <w:p w14:paraId="7C2532F1" w14:textId="77777777" w:rsidR="00E83D86" w:rsidRPr="00A07BE9" w:rsidRDefault="00E83D86" w:rsidP="00E83D86">
      <w:pPr>
        <w:spacing w:after="0" w:line="276" w:lineRule="auto"/>
        <w:ind w:left="357"/>
        <w:contextualSpacing/>
        <w:jc w:val="both"/>
        <w:rPr>
          <w:rFonts w:ascii="Calibri" w:eastAsia="Calibri" w:hAnsi="Calibri" w:cs="Calibri"/>
          <w:sz w:val="20"/>
          <w:szCs w:val="20"/>
        </w:rPr>
      </w:pPr>
    </w:p>
    <w:p w14:paraId="77267232" w14:textId="0D4F188B" w:rsidR="000952B8" w:rsidRDefault="000952B8" w:rsidP="000952B8">
      <w:pPr>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La Agencia Valenciana Antifraude ha participado en todos estos subgrupos con la asistencia de sus directores de departamento durante 2019.</w:t>
      </w:r>
    </w:p>
    <w:p w14:paraId="2E6D3496" w14:textId="77777777" w:rsidR="00533AD8" w:rsidRPr="00A07BE9" w:rsidRDefault="00533AD8" w:rsidP="000952B8">
      <w:pPr>
        <w:spacing w:after="0" w:line="276" w:lineRule="auto"/>
        <w:jc w:val="both"/>
        <w:rPr>
          <w:rFonts w:ascii="Calibri" w:eastAsia="Calibri" w:hAnsi="Calibri" w:cs="Calibri"/>
          <w:sz w:val="20"/>
          <w:szCs w:val="20"/>
        </w:rPr>
      </w:pPr>
    </w:p>
    <w:p w14:paraId="18F7CD78" w14:textId="77777777" w:rsidR="000952B8" w:rsidRPr="00A07BE9" w:rsidRDefault="000952B8" w:rsidP="000952B8">
      <w:pPr>
        <w:spacing w:after="0" w:line="276" w:lineRule="auto"/>
        <w:jc w:val="both"/>
        <w:rPr>
          <w:rFonts w:ascii="Open Sans" w:eastAsia="Times New Roman" w:hAnsi="Open Sans" w:cs="Open Sans"/>
          <w:b/>
          <w:bCs/>
          <w:color w:val="94070A"/>
          <w:sz w:val="20"/>
          <w:szCs w:val="20"/>
          <w:lang w:eastAsia="es-ES"/>
        </w:rPr>
      </w:pPr>
      <w:r w:rsidRPr="00A07BE9">
        <w:rPr>
          <w:rFonts w:ascii="Open Sans" w:eastAsia="Times New Roman" w:hAnsi="Open Sans" w:cs="Open Sans"/>
          <w:b/>
          <w:bCs/>
          <w:color w:val="94070A"/>
          <w:sz w:val="20"/>
          <w:szCs w:val="20"/>
          <w:lang w:eastAsia="es-ES"/>
        </w:rPr>
        <w:t>Subgrupo 1: Apoyo y protección a los alertadores</w:t>
      </w:r>
      <w:r w:rsidRPr="00A07BE9">
        <w:rPr>
          <w:rFonts w:ascii="Open Sans" w:eastAsia="Times New Roman" w:hAnsi="Open Sans" w:cs="Open Sans"/>
          <w:b/>
          <w:bCs/>
          <w:color w:val="94070A"/>
          <w:sz w:val="20"/>
          <w:szCs w:val="20"/>
          <w:lang w:eastAsia="es-ES"/>
        </w:rPr>
        <w:tab/>
      </w:r>
    </w:p>
    <w:p w14:paraId="75923E3F" w14:textId="77777777" w:rsidR="000952B8" w:rsidRPr="00A07BE9" w:rsidRDefault="000952B8" w:rsidP="000952B8">
      <w:pPr>
        <w:spacing w:after="0" w:line="276" w:lineRule="auto"/>
        <w:jc w:val="both"/>
        <w:rPr>
          <w:rFonts w:ascii="Open Sans" w:eastAsia="Calibri" w:hAnsi="Open Sans" w:cs="Open Sans"/>
          <w:sz w:val="20"/>
          <w:szCs w:val="20"/>
        </w:rPr>
      </w:pPr>
      <w:r w:rsidRPr="00A07BE9">
        <w:rPr>
          <w:rFonts w:ascii="Open Sans" w:eastAsia="Calibri" w:hAnsi="Open Sans" w:cs="Open Sans"/>
          <w:sz w:val="20"/>
          <w:szCs w:val="20"/>
        </w:rPr>
        <w:t xml:space="preserve">Oficina Estatal de Policía Criminal de Renania del Norte -Westfalia (LKA NRW), Alemania </w:t>
      </w:r>
    </w:p>
    <w:p w14:paraId="066AE5EF" w14:textId="77777777" w:rsidR="000952B8" w:rsidRPr="00A07BE9" w:rsidRDefault="000952B8" w:rsidP="000952B8">
      <w:pPr>
        <w:spacing w:after="0" w:line="276" w:lineRule="auto"/>
        <w:jc w:val="both"/>
        <w:rPr>
          <w:rFonts w:ascii="Open Sans" w:eastAsia="Calibri" w:hAnsi="Open Sans" w:cs="Open Sans"/>
          <w:sz w:val="20"/>
          <w:szCs w:val="20"/>
        </w:rPr>
      </w:pPr>
      <w:r w:rsidRPr="00A07BE9">
        <w:rPr>
          <w:rFonts w:ascii="Open Sans" w:eastAsia="Calibri" w:hAnsi="Open Sans" w:cs="Open Sans"/>
          <w:sz w:val="20"/>
          <w:szCs w:val="20"/>
        </w:rPr>
        <w:t xml:space="preserve">Düsseldorf, 12-13 de noviembre </w:t>
      </w:r>
      <w:r w:rsidRPr="00A07BE9">
        <w:rPr>
          <w:rFonts w:ascii="Open Sans" w:eastAsia="Calibri" w:hAnsi="Open Sans" w:cs="Open Sans"/>
          <w:sz w:val="20"/>
          <w:szCs w:val="20"/>
        </w:rPr>
        <w:tab/>
      </w:r>
    </w:p>
    <w:p w14:paraId="4E03BCCB" w14:textId="77777777" w:rsidR="000952B8" w:rsidRPr="00A07BE9" w:rsidRDefault="000952B8" w:rsidP="000952B8">
      <w:pPr>
        <w:spacing w:after="0" w:line="276" w:lineRule="auto"/>
        <w:jc w:val="both"/>
        <w:rPr>
          <w:rFonts w:ascii="Open Sans" w:eastAsia="Calibri" w:hAnsi="Open Sans" w:cs="Open Sans"/>
          <w:sz w:val="20"/>
          <w:szCs w:val="20"/>
        </w:rPr>
      </w:pPr>
      <w:r w:rsidRPr="00A07BE9">
        <w:rPr>
          <w:rFonts w:ascii="Open Sans" w:eastAsia="Calibri" w:hAnsi="Open Sans" w:cs="Open Sans"/>
          <w:sz w:val="20"/>
          <w:szCs w:val="20"/>
        </w:rPr>
        <w:t>Participación de la directora de Asuntos Jurídicos, Sra. Teresa Clemente.</w:t>
      </w:r>
      <w:r w:rsidRPr="00A07BE9">
        <w:rPr>
          <w:rFonts w:ascii="Open Sans" w:eastAsia="Calibri" w:hAnsi="Open Sans" w:cs="Open Sans"/>
          <w:sz w:val="20"/>
          <w:szCs w:val="20"/>
        </w:rPr>
        <w:tab/>
      </w:r>
    </w:p>
    <w:p w14:paraId="006E8FB7" w14:textId="77777777" w:rsidR="000952B8" w:rsidRPr="00A07BE9" w:rsidRDefault="000952B8" w:rsidP="000952B8">
      <w:pPr>
        <w:spacing w:after="0" w:line="276" w:lineRule="auto"/>
        <w:jc w:val="both"/>
        <w:rPr>
          <w:rFonts w:ascii="Calibri" w:eastAsia="Calibri" w:hAnsi="Calibri" w:cs="Calibri"/>
          <w:sz w:val="20"/>
          <w:szCs w:val="20"/>
        </w:rPr>
      </w:pPr>
      <w:r w:rsidRPr="00A07BE9">
        <w:rPr>
          <w:rFonts w:ascii="Open Sans" w:eastAsia="Calibri" w:hAnsi="Open Sans" w:cs="Open Sans"/>
          <w:sz w:val="20"/>
          <w:szCs w:val="20"/>
        </w:rPr>
        <w:t>Objetivos: Apoyo y protección a los denunciantes, implementación de la Directiva de la Unión Europea sobre protección de alertadores en el sector empresarial y en el sector estatal. Canales de denuncia. Situación legal de los diferentes Estados y experiencias.</w:t>
      </w:r>
    </w:p>
    <w:p w14:paraId="2C8C1C66" w14:textId="77777777" w:rsidR="000952B8" w:rsidRPr="00A07BE9" w:rsidRDefault="000952B8" w:rsidP="000952B8">
      <w:pPr>
        <w:spacing w:after="0" w:line="276" w:lineRule="auto"/>
        <w:jc w:val="both"/>
        <w:rPr>
          <w:rFonts w:ascii="Open Sans" w:eastAsia="Calibri" w:hAnsi="Open Sans" w:cs="Open Sans"/>
          <w:sz w:val="20"/>
          <w:szCs w:val="20"/>
        </w:rPr>
      </w:pPr>
      <w:r w:rsidRPr="00A07BE9">
        <w:rPr>
          <w:rFonts w:ascii="Open Sans" w:eastAsia="Calibri" w:hAnsi="Open Sans" w:cs="Open Sans"/>
          <w:sz w:val="20"/>
          <w:szCs w:val="20"/>
        </w:rPr>
        <w:br/>
      </w:r>
      <w:r w:rsidRPr="00A07BE9">
        <w:rPr>
          <w:rFonts w:ascii="Open Sans" w:eastAsia="Times New Roman" w:hAnsi="Open Sans" w:cs="Open Sans"/>
          <w:b/>
          <w:bCs/>
          <w:color w:val="94070A"/>
          <w:sz w:val="20"/>
          <w:szCs w:val="20"/>
          <w:lang w:eastAsia="es-ES"/>
        </w:rPr>
        <w:t xml:space="preserve">Subgrupo 2: Cooperación interinstitucional y estándares comunes para su mejora </w:t>
      </w:r>
      <w:r w:rsidRPr="00A07BE9">
        <w:rPr>
          <w:rFonts w:ascii="Open Sans" w:eastAsia="Calibri" w:hAnsi="Open Sans" w:cs="Open Sans"/>
          <w:sz w:val="20"/>
          <w:szCs w:val="20"/>
        </w:rPr>
        <w:t>Agencia Francesa Anticorrupción (AFA), Francia</w:t>
      </w:r>
    </w:p>
    <w:p w14:paraId="162A4262" w14:textId="77777777" w:rsidR="000952B8" w:rsidRPr="00A07BE9" w:rsidRDefault="000952B8" w:rsidP="000952B8">
      <w:pPr>
        <w:spacing w:after="0" w:line="276" w:lineRule="auto"/>
        <w:jc w:val="both"/>
        <w:rPr>
          <w:rFonts w:ascii="Open Sans" w:eastAsia="Calibri" w:hAnsi="Open Sans" w:cs="Open Sans"/>
          <w:sz w:val="20"/>
          <w:szCs w:val="20"/>
        </w:rPr>
      </w:pPr>
      <w:r w:rsidRPr="00A07BE9">
        <w:rPr>
          <w:rFonts w:ascii="Open Sans" w:eastAsia="Calibri" w:hAnsi="Open Sans" w:cs="Open Sans"/>
          <w:sz w:val="20"/>
          <w:szCs w:val="20"/>
        </w:rPr>
        <w:t>París, 7 de octubre</w:t>
      </w:r>
      <w:r w:rsidRPr="00A07BE9">
        <w:rPr>
          <w:rFonts w:ascii="Open Sans" w:eastAsia="Calibri" w:hAnsi="Open Sans" w:cs="Open Sans"/>
          <w:sz w:val="20"/>
          <w:szCs w:val="20"/>
        </w:rPr>
        <w:tab/>
      </w:r>
    </w:p>
    <w:p w14:paraId="6E4179F6" w14:textId="77777777" w:rsidR="000952B8" w:rsidRPr="00A07BE9" w:rsidRDefault="000952B8" w:rsidP="000952B8">
      <w:pPr>
        <w:spacing w:after="0" w:line="276" w:lineRule="auto"/>
        <w:jc w:val="both"/>
        <w:rPr>
          <w:rFonts w:ascii="Open Sans" w:eastAsia="Calibri" w:hAnsi="Open Sans" w:cs="Open Sans"/>
          <w:sz w:val="20"/>
          <w:szCs w:val="20"/>
        </w:rPr>
      </w:pPr>
      <w:r w:rsidRPr="00A07BE9">
        <w:rPr>
          <w:rFonts w:ascii="Open Sans" w:eastAsia="Calibri" w:hAnsi="Open Sans" w:cs="Open Sans"/>
          <w:sz w:val="20"/>
          <w:szCs w:val="20"/>
        </w:rPr>
        <w:t>Participación del director de Análisis e Investigación, Sr. Marcial González.</w:t>
      </w:r>
    </w:p>
    <w:p w14:paraId="0DD2DA78" w14:textId="0B2C8F70" w:rsidR="000952B8" w:rsidRPr="00A07BE9" w:rsidRDefault="000952B8" w:rsidP="000952B8">
      <w:pPr>
        <w:spacing w:after="0" w:line="276" w:lineRule="auto"/>
        <w:jc w:val="both"/>
        <w:rPr>
          <w:rFonts w:ascii="Open Sans" w:eastAsia="Calibri" w:hAnsi="Open Sans" w:cs="Open Sans"/>
          <w:sz w:val="20"/>
          <w:szCs w:val="20"/>
        </w:rPr>
      </w:pPr>
      <w:r w:rsidRPr="00A07BE9">
        <w:rPr>
          <w:rFonts w:ascii="Open Sans" w:eastAsia="Calibri" w:hAnsi="Open Sans" w:cs="Open Sans"/>
          <w:sz w:val="20"/>
          <w:szCs w:val="20"/>
        </w:rPr>
        <w:t>Objetivos: Puesta en común de los proyectos de cooperación interinstitucional, evaluación de los resultados y necesidades, determinación de los retos con que se enfrentan y exploración de estándares comunes para su mejora.</w:t>
      </w:r>
    </w:p>
    <w:p w14:paraId="4787741C" w14:textId="77777777" w:rsidR="00BD7FC3" w:rsidRPr="00A07BE9" w:rsidRDefault="00BD7FC3" w:rsidP="000952B8">
      <w:pPr>
        <w:spacing w:after="0" w:line="276" w:lineRule="auto"/>
        <w:jc w:val="both"/>
        <w:rPr>
          <w:rFonts w:ascii="Open Sans" w:eastAsia="Calibri" w:hAnsi="Open Sans" w:cs="Open Sans"/>
          <w:sz w:val="20"/>
          <w:szCs w:val="20"/>
        </w:rPr>
      </w:pPr>
    </w:p>
    <w:p w14:paraId="6D13E317" w14:textId="77777777" w:rsidR="000952B8" w:rsidRPr="00A07BE9" w:rsidRDefault="000952B8" w:rsidP="000952B8">
      <w:pPr>
        <w:spacing w:after="0" w:line="276" w:lineRule="auto"/>
        <w:jc w:val="both"/>
        <w:rPr>
          <w:rFonts w:ascii="Open Sans" w:eastAsia="Times New Roman" w:hAnsi="Open Sans" w:cs="Open Sans"/>
          <w:b/>
          <w:bCs/>
          <w:color w:val="94070A"/>
          <w:sz w:val="20"/>
          <w:szCs w:val="20"/>
          <w:lang w:eastAsia="es-ES"/>
        </w:rPr>
      </w:pPr>
      <w:r w:rsidRPr="00A07BE9">
        <w:rPr>
          <w:rFonts w:ascii="Open Sans" w:eastAsia="Times New Roman" w:hAnsi="Open Sans" w:cs="Open Sans"/>
          <w:b/>
          <w:bCs/>
          <w:color w:val="94070A"/>
          <w:sz w:val="20"/>
          <w:szCs w:val="20"/>
          <w:lang w:eastAsia="es-ES"/>
        </w:rPr>
        <w:t>Subgrupo 3: Medidas para la gestión educativas y de valores</w:t>
      </w:r>
      <w:r w:rsidRPr="00A07BE9">
        <w:rPr>
          <w:rFonts w:ascii="Open Sans" w:eastAsia="Times New Roman" w:hAnsi="Open Sans" w:cs="Open Sans"/>
          <w:b/>
          <w:bCs/>
          <w:color w:val="94070A"/>
          <w:sz w:val="20"/>
          <w:szCs w:val="20"/>
          <w:lang w:eastAsia="es-ES"/>
        </w:rPr>
        <w:tab/>
      </w:r>
    </w:p>
    <w:p w14:paraId="2EFBDDB8" w14:textId="77777777" w:rsidR="000952B8" w:rsidRPr="00A07BE9" w:rsidRDefault="000952B8" w:rsidP="000952B8">
      <w:pPr>
        <w:spacing w:after="0" w:line="276" w:lineRule="auto"/>
        <w:jc w:val="both"/>
        <w:rPr>
          <w:rFonts w:ascii="Open Sans" w:eastAsia="Calibri" w:hAnsi="Open Sans" w:cs="Open Sans"/>
          <w:sz w:val="20"/>
          <w:szCs w:val="20"/>
        </w:rPr>
      </w:pPr>
      <w:r w:rsidRPr="00A07BE9">
        <w:rPr>
          <w:rFonts w:ascii="Open Sans" w:eastAsia="Calibri" w:hAnsi="Open Sans" w:cs="Open Sans"/>
          <w:sz w:val="20"/>
          <w:szCs w:val="20"/>
        </w:rPr>
        <w:t>Dirección General Anticorrupción del Ministerio del Interior (DGA), Rumanía</w:t>
      </w:r>
    </w:p>
    <w:p w14:paraId="0F75B922" w14:textId="77777777" w:rsidR="000952B8" w:rsidRPr="00A07BE9" w:rsidRDefault="000952B8" w:rsidP="000952B8">
      <w:pPr>
        <w:spacing w:after="0" w:line="276" w:lineRule="auto"/>
        <w:jc w:val="both"/>
        <w:rPr>
          <w:rFonts w:ascii="Open Sans" w:eastAsia="Calibri" w:hAnsi="Open Sans" w:cs="Open Sans"/>
          <w:sz w:val="20"/>
          <w:szCs w:val="20"/>
        </w:rPr>
      </w:pPr>
      <w:r w:rsidRPr="00A07BE9">
        <w:rPr>
          <w:rFonts w:ascii="Open Sans" w:eastAsia="Calibri" w:hAnsi="Open Sans" w:cs="Open Sans"/>
          <w:sz w:val="20"/>
          <w:szCs w:val="20"/>
        </w:rPr>
        <w:t>Bucarest, 14-15 de octubre</w:t>
      </w:r>
      <w:r w:rsidRPr="00A07BE9">
        <w:rPr>
          <w:rFonts w:ascii="Open Sans" w:eastAsia="Calibri" w:hAnsi="Open Sans" w:cs="Open Sans"/>
          <w:sz w:val="20"/>
          <w:szCs w:val="20"/>
        </w:rPr>
        <w:tab/>
      </w:r>
    </w:p>
    <w:p w14:paraId="324C064C" w14:textId="77777777" w:rsidR="000952B8" w:rsidRPr="00A07BE9" w:rsidRDefault="000952B8" w:rsidP="000952B8">
      <w:pPr>
        <w:spacing w:after="0" w:line="276" w:lineRule="auto"/>
        <w:jc w:val="both"/>
        <w:rPr>
          <w:rFonts w:ascii="Open Sans" w:eastAsia="Calibri" w:hAnsi="Open Sans" w:cs="Open Sans"/>
          <w:sz w:val="20"/>
          <w:szCs w:val="20"/>
        </w:rPr>
      </w:pPr>
      <w:r w:rsidRPr="00A07BE9">
        <w:rPr>
          <w:rFonts w:ascii="Open Sans" w:eastAsia="Calibri" w:hAnsi="Open Sans" w:cs="Open Sans"/>
          <w:sz w:val="20"/>
          <w:szCs w:val="20"/>
        </w:rPr>
        <w:t>Participación de la directora de Prevención, Formación y Documentación, Sra. Silvia Vèrnia.</w:t>
      </w:r>
      <w:r w:rsidRPr="00A07BE9">
        <w:rPr>
          <w:rFonts w:ascii="Open Sans" w:eastAsia="Calibri" w:hAnsi="Open Sans" w:cs="Open Sans"/>
          <w:sz w:val="20"/>
          <w:szCs w:val="20"/>
        </w:rPr>
        <w:br/>
        <w:t>Objetivos: Medidas institucionales preventivas (herramientas de evaluación, estudios e investigaciones, encuesta de percepción de corrupción) e implementación de campañas de sensibilización relacionadas con la promoción de la integridad y la prevención de la formación / educación de corrupción para los funcionarios públicos y ciudadanos.</w:t>
      </w:r>
    </w:p>
    <w:p w14:paraId="299A6D40" w14:textId="77777777" w:rsidR="000952B8" w:rsidRPr="00A07BE9" w:rsidRDefault="000952B8" w:rsidP="000952B8">
      <w:pPr>
        <w:spacing w:after="0" w:line="276" w:lineRule="auto"/>
        <w:jc w:val="both"/>
        <w:rPr>
          <w:rFonts w:ascii="Open Sans" w:eastAsia="Calibri" w:hAnsi="Open Sans" w:cs="Open Sans"/>
          <w:sz w:val="20"/>
          <w:szCs w:val="20"/>
        </w:rPr>
      </w:pPr>
    </w:p>
    <w:p w14:paraId="245DE959" w14:textId="77777777" w:rsidR="000952B8" w:rsidRPr="00A07BE9" w:rsidRDefault="000952B8" w:rsidP="000952B8">
      <w:pPr>
        <w:spacing w:after="0" w:line="276" w:lineRule="auto"/>
        <w:jc w:val="both"/>
        <w:rPr>
          <w:rFonts w:ascii="Open Sans" w:eastAsia="Times New Roman" w:hAnsi="Open Sans" w:cs="Open Sans"/>
          <w:b/>
          <w:bCs/>
          <w:color w:val="94070A"/>
          <w:sz w:val="20"/>
          <w:szCs w:val="20"/>
          <w:lang w:eastAsia="es-ES"/>
        </w:rPr>
      </w:pPr>
      <w:r w:rsidRPr="00A07BE9">
        <w:rPr>
          <w:rFonts w:ascii="Open Sans" w:eastAsia="Times New Roman" w:hAnsi="Open Sans" w:cs="Open Sans"/>
          <w:b/>
          <w:bCs/>
          <w:color w:val="94070A"/>
          <w:sz w:val="20"/>
          <w:szCs w:val="20"/>
          <w:lang w:eastAsia="es-ES"/>
        </w:rPr>
        <w:t>Subgrupo 4: Estándares de integridad y anticorrupción</w:t>
      </w:r>
      <w:r w:rsidRPr="00A07BE9">
        <w:rPr>
          <w:rFonts w:ascii="Open Sans" w:eastAsia="Times New Roman" w:hAnsi="Open Sans" w:cs="Open Sans"/>
          <w:b/>
          <w:bCs/>
          <w:color w:val="94070A"/>
          <w:sz w:val="20"/>
          <w:szCs w:val="20"/>
          <w:lang w:eastAsia="es-ES"/>
        </w:rPr>
        <w:tab/>
      </w:r>
    </w:p>
    <w:p w14:paraId="41CDBE8B" w14:textId="77777777" w:rsidR="000952B8" w:rsidRPr="00A07BE9" w:rsidRDefault="000952B8" w:rsidP="000952B8">
      <w:pPr>
        <w:spacing w:after="0" w:line="276" w:lineRule="auto"/>
        <w:jc w:val="both"/>
        <w:rPr>
          <w:rFonts w:ascii="Open Sans" w:eastAsia="Calibri" w:hAnsi="Open Sans" w:cs="Open Sans"/>
          <w:sz w:val="20"/>
          <w:szCs w:val="20"/>
        </w:rPr>
      </w:pPr>
      <w:r w:rsidRPr="00A07BE9">
        <w:rPr>
          <w:rFonts w:ascii="Open Sans" w:eastAsia="Calibri" w:hAnsi="Open Sans" w:cs="Open Sans"/>
          <w:sz w:val="20"/>
          <w:szCs w:val="20"/>
        </w:rPr>
        <w:t>Oficina Federal de Lucha contra la Corrupción (BAK), Austria</w:t>
      </w:r>
      <w:r w:rsidRPr="00A07BE9">
        <w:rPr>
          <w:rFonts w:ascii="Open Sans" w:eastAsia="Calibri" w:hAnsi="Open Sans" w:cs="Open Sans"/>
          <w:sz w:val="20"/>
          <w:szCs w:val="20"/>
        </w:rPr>
        <w:tab/>
      </w:r>
    </w:p>
    <w:p w14:paraId="0D13B1B7" w14:textId="77777777" w:rsidR="000952B8" w:rsidRPr="00A07BE9" w:rsidRDefault="000952B8" w:rsidP="000952B8">
      <w:pPr>
        <w:spacing w:after="0" w:line="276" w:lineRule="auto"/>
        <w:jc w:val="both"/>
        <w:rPr>
          <w:rFonts w:ascii="Open Sans" w:eastAsia="Calibri" w:hAnsi="Open Sans" w:cs="Open Sans"/>
          <w:sz w:val="20"/>
          <w:szCs w:val="20"/>
        </w:rPr>
      </w:pPr>
      <w:r w:rsidRPr="00A07BE9">
        <w:rPr>
          <w:rFonts w:ascii="Open Sans" w:eastAsia="Calibri" w:hAnsi="Open Sans" w:cs="Open Sans"/>
          <w:sz w:val="20"/>
          <w:szCs w:val="20"/>
        </w:rPr>
        <w:t>Viena, 28-29 de mayo</w:t>
      </w:r>
      <w:r w:rsidRPr="00A07BE9">
        <w:rPr>
          <w:rFonts w:ascii="Open Sans" w:eastAsia="Calibri" w:hAnsi="Open Sans" w:cs="Open Sans"/>
          <w:sz w:val="20"/>
          <w:szCs w:val="20"/>
        </w:rPr>
        <w:tab/>
      </w:r>
    </w:p>
    <w:p w14:paraId="47957D71" w14:textId="77777777" w:rsidR="000952B8" w:rsidRPr="00A07BE9" w:rsidRDefault="000952B8" w:rsidP="000952B8">
      <w:pPr>
        <w:spacing w:after="0" w:line="276" w:lineRule="auto"/>
        <w:jc w:val="both"/>
        <w:rPr>
          <w:rFonts w:ascii="Open Sans" w:eastAsia="Calibri" w:hAnsi="Open Sans" w:cs="Open Sans"/>
          <w:sz w:val="20"/>
          <w:szCs w:val="20"/>
        </w:rPr>
      </w:pPr>
      <w:r w:rsidRPr="00A07BE9">
        <w:rPr>
          <w:rFonts w:ascii="Open Sans" w:eastAsia="Calibri" w:hAnsi="Open Sans" w:cs="Open Sans"/>
          <w:sz w:val="20"/>
          <w:szCs w:val="20"/>
        </w:rPr>
        <w:t>Participación de la directora de Prevención, Formación y Documentación, Sra. Silvia Vèrnia.</w:t>
      </w:r>
      <w:r w:rsidRPr="00A07BE9">
        <w:rPr>
          <w:rFonts w:ascii="Open Sans" w:eastAsia="Calibri" w:hAnsi="Open Sans" w:cs="Open Sans"/>
          <w:sz w:val="20"/>
          <w:szCs w:val="20"/>
        </w:rPr>
        <w:br/>
        <w:t>Objetivos: Definir cuáles son "buenas prácticas", en qué temas se deben recoger y cómo se deben presentar.</w:t>
      </w:r>
    </w:p>
    <w:p w14:paraId="4CFA2839" w14:textId="77777777" w:rsidR="000952B8" w:rsidRPr="00A07BE9" w:rsidRDefault="000952B8" w:rsidP="000952B8">
      <w:pPr>
        <w:spacing w:after="0" w:line="276" w:lineRule="auto"/>
        <w:jc w:val="both"/>
        <w:rPr>
          <w:rFonts w:ascii="Open Sans" w:eastAsia="Calibri" w:hAnsi="Open Sans" w:cs="Open Sans"/>
          <w:sz w:val="20"/>
          <w:szCs w:val="20"/>
        </w:rPr>
      </w:pPr>
    </w:p>
    <w:p w14:paraId="33E5FA2F" w14:textId="77777777" w:rsidR="000952B8" w:rsidRPr="00A07BE9" w:rsidRDefault="000952B8" w:rsidP="000952B8">
      <w:pPr>
        <w:spacing w:after="0" w:line="276" w:lineRule="auto"/>
        <w:jc w:val="both"/>
        <w:rPr>
          <w:rFonts w:ascii="Calibri" w:eastAsia="Calibri" w:hAnsi="Calibri" w:cs="Calibri"/>
          <w:sz w:val="20"/>
          <w:szCs w:val="20"/>
        </w:rPr>
      </w:pPr>
      <w:r w:rsidRPr="00A07BE9">
        <w:rPr>
          <w:rFonts w:ascii="Open Sans" w:eastAsia="Calibri" w:hAnsi="Open Sans" w:cs="Open Sans"/>
          <w:sz w:val="20"/>
          <w:szCs w:val="20"/>
        </w:rPr>
        <w:t>La fase de trabajo de cada uno de estos subgrupos se prolongará hasta marzo de 2021, debiendo de presentar sus conclusiones en la Asamblea General de la EPAC de dicho año.</w:t>
      </w:r>
    </w:p>
    <w:p w14:paraId="7381EAE5" w14:textId="1D4B6C1C" w:rsidR="000952B8" w:rsidRDefault="000952B8" w:rsidP="000952B8">
      <w:pPr>
        <w:spacing w:after="0" w:line="276" w:lineRule="auto"/>
        <w:jc w:val="both"/>
        <w:rPr>
          <w:rFonts w:ascii="Open Sans" w:eastAsia="Calibri" w:hAnsi="Open Sans" w:cs="Open Sans"/>
          <w:sz w:val="20"/>
          <w:szCs w:val="20"/>
        </w:rPr>
      </w:pPr>
    </w:p>
    <w:p w14:paraId="717F356D" w14:textId="77777777" w:rsidR="00E70006" w:rsidRPr="00A07BE9" w:rsidRDefault="00E70006" w:rsidP="000952B8">
      <w:pPr>
        <w:spacing w:after="0" w:line="276" w:lineRule="auto"/>
        <w:jc w:val="both"/>
        <w:rPr>
          <w:rFonts w:ascii="Open Sans" w:eastAsia="Calibri" w:hAnsi="Open Sans" w:cs="Open Sans"/>
          <w:sz w:val="20"/>
          <w:szCs w:val="20"/>
        </w:rPr>
      </w:pPr>
    </w:p>
    <w:p w14:paraId="5A1D3F3D" w14:textId="77777777" w:rsidR="000952B8" w:rsidRPr="00A07BE9" w:rsidRDefault="000952B8" w:rsidP="000952B8">
      <w:pPr>
        <w:spacing w:after="0" w:line="276" w:lineRule="auto"/>
        <w:jc w:val="both"/>
        <w:rPr>
          <w:rFonts w:ascii="Open Sans" w:eastAsia="Times New Roman" w:hAnsi="Open Sans" w:cs="Open Sans"/>
          <w:b/>
          <w:bCs/>
          <w:smallCaps/>
          <w:color w:val="94070A"/>
          <w:sz w:val="20"/>
          <w:szCs w:val="20"/>
          <w:lang w:eastAsia="es-ES"/>
        </w:rPr>
      </w:pPr>
      <w:r w:rsidRPr="00A07BE9">
        <w:rPr>
          <w:rFonts w:ascii="Open Sans" w:eastAsia="Times New Roman" w:hAnsi="Open Sans" w:cs="Open Sans"/>
          <w:b/>
          <w:bCs/>
          <w:smallCaps/>
          <w:color w:val="94070A"/>
          <w:sz w:val="20"/>
          <w:szCs w:val="20"/>
          <w:lang w:eastAsia="es-ES"/>
        </w:rPr>
        <w:t>19ª EPAC/EACN Conferencia Profesional anual y asamblea general</w:t>
      </w:r>
      <w:r w:rsidRPr="00A07BE9">
        <w:rPr>
          <w:rFonts w:ascii="Open Sans" w:eastAsia="Times New Roman" w:hAnsi="Open Sans" w:cs="Open Sans"/>
          <w:b/>
          <w:bCs/>
          <w:smallCaps/>
          <w:color w:val="94070A"/>
          <w:sz w:val="20"/>
          <w:szCs w:val="20"/>
          <w:lang w:eastAsia="es-ES"/>
        </w:rPr>
        <w:tab/>
      </w:r>
    </w:p>
    <w:p w14:paraId="2F0FDE4E" w14:textId="77777777" w:rsidR="000952B8" w:rsidRPr="00A07BE9" w:rsidRDefault="000952B8" w:rsidP="000952B8">
      <w:pPr>
        <w:spacing w:after="0" w:line="276" w:lineRule="auto"/>
        <w:jc w:val="both"/>
        <w:rPr>
          <w:rFonts w:ascii="Open Sans" w:eastAsia="Times New Roman" w:hAnsi="Open Sans" w:cs="Open Sans"/>
          <w:b/>
          <w:bCs/>
          <w:color w:val="94070A"/>
          <w:sz w:val="20"/>
          <w:szCs w:val="20"/>
          <w:lang w:eastAsia="es-ES"/>
        </w:rPr>
      </w:pPr>
      <w:r w:rsidRPr="00A07BE9">
        <w:rPr>
          <w:rFonts w:ascii="Open Sans" w:eastAsia="Times New Roman" w:hAnsi="Open Sans" w:cs="Open Sans"/>
          <w:b/>
          <w:bCs/>
          <w:color w:val="94070A"/>
          <w:sz w:val="20"/>
          <w:szCs w:val="20"/>
          <w:lang w:eastAsia="es-ES"/>
        </w:rPr>
        <w:t>"Entender los mecanismos subyacentes de la corrupción – Retos globales y medidas preventivas”</w:t>
      </w:r>
    </w:p>
    <w:p w14:paraId="0ED01355" w14:textId="77777777" w:rsidR="000952B8" w:rsidRPr="00A07BE9" w:rsidRDefault="000952B8" w:rsidP="000952B8">
      <w:pPr>
        <w:spacing w:after="0" w:line="276" w:lineRule="auto"/>
        <w:jc w:val="both"/>
        <w:rPr>
          <w:rFonts w:ascii="Open Sans" w:eastAsia="Times New Roman" w:hAnsi="Open Sans" w:cs="Open Sans"/>
          <w:b/>
          <w:bCs/>
          <w:smallCaps/>
          <w:color w:val="94070A"/>
          <w:sz w:val="20"/>
          <w:szCs w:val="20"/>
          <w:lang w:eastAsia="es-ES"/>
        </w:rPr>
      </w:pPr>
    </w:p>
    <w:p w14:paraId="5F8251CF" w14:textId="77777777" w:rsidR="000952B8" w:rsidRPr="00A07BE9" w:rsidRDefault="000952B8" w:rsidP="000952B8">
      <w:pPr>
        <w:spacing w:after="0" w:line="276" w:lineRule="auto"/>
        <w:jc w:val="both"/>
        <w:rPr>
          <w:rFonts w:ascii="Calibri" w:eastAsia="Calibri" w:hAnsi="Calibri" w:cs="Calibri"/>
          <w:sz w:val="20"/>
          <w:szCs w:val="20"/>
        </w:rPr>
      </w:pPr>
      <w:r w:rsidRPr="00A07BE9">
        <w:rPr>
          <w:rFonts w:ascii="Open Sans" w:eastAsia="Times New Roman" w:hAnsi="Open Sans" w:cs="Open Sans"/>
          <w:color w:val="000000"/>
          <w:sz w:val="20"/>
          <w:szCs w:val="20"/>
          <w:lang w:eastAsia="es-ES"/>
        </w:rPr>
        <w:t xml:space="preserve">La Agencia, junto a 136 delegados, representando a 36 países miembros y organizaciones internacionales, asistieron a la </w:t>
      </w:r>
      <w:hyperlink r:id="rId302">
        <w:r w:rsidRPr="00A07BE9">
          <w:rPr>
            <w:rFonts w:ascii="Open Sans" w:eastAsia="Times New Roman" w:hAnsi="Open Sans" w:cs="Open Sans"/>
            <w:color w:val="000080"/>
            <w:sz w:val="20"/>
            <w:szCs w:val="20"/>
            <w:u w:val="single"/>
            <w:lang w:eastAsia="es-ES"/>
          </w:rPr>
          <w:t>19a Conferencia Profesional Anual EPAC/EACN</w:t>
        </w:r>
      </w:hyperlink>
      <w:r w:rsidRPr="00A07BE9">
        <w:rPr>
          <w:rFonts w:ascii="Open Sans" w:eastAsia="Times New Roman" w:hAnsi="Open Sans" w:cs="Open Sans"/>
          <w:sz w:val="20"/>
          <w:szCs w:val="20"/>
          <w:lang w:eastAsia="es-ES"/>
        </w:rPr>
        <w:t>, celebrada del 10 al 12 de diciembre de 2019 en Estocolmo, Suecia.</w:t>
      </w:r>
    </w:p>
    <w:p w14:paraId="2589594D"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p>
    <w:p w14:paraId="2133B66B" w14:textId="72E71310" w:rsidR="000952B8" w:rsidRPr="00A07BE9" w:rsidRDefault="000952B8" w:rsidP="000952B8">
      <w:pPr>
        <w:spacing w:after="0" w:line="276" w:lineRule="auto"/>
        <w:jc w:val="both"/>
        <w:rPr>
          <w:rFonts w:ascii="Calibri" w:eastAsia="Calibri" w:hAnsi="Calibri" w:cs="Calibri"/>
          <w:sz w:val="20"/>
          <w:szCs w:val="20"/>
        </w:rPr>
      </w:pPr>
      <w:r w:rsidRPr="00A07BE9">
        <w:rPr>
          <w:rFonts w:ascii="Open Sans" w:eastAsia="Calibri" w:hAnsi="Open Sans" w:cs="Open Sans"/>
          <w:sz w:val="20"/>
          <w:szCs w:val="20"/>
        </w:rPr>
        <w:t xml:space="preserve">Cada año, los miembros de las redes europeas EPAC, Socios europeos contra la corrupción, y EACN, Red de puntos de contacto europea contra la corrupción, intercambian opiniones sobre los desarrollos actuales en el campo de la prevención y la lucha contra la corrupción. Esta vez, los representantes de los cuerpos de supervisión de la policía y de las autoridades anticorrupción se reunieron, a invitación de la policía sueca (departamento especial de investigaciones), los días 10 a 12 de diciembre en Estocolmo, bajo el tema </w:t>
      </w:r>
      <w:r w:rsidR="009A0558" w:rsidRPr="00A07BE9">
        <w:rPr>
          <w:rFonts w:ascii="Open Sans" w:eastAsia="Calibri" w:hAnsi="Open Sans" w:cs="Open Sans"/>
          <w:sz w:val="20"/>
          <w:szCs w:val="20"/>
        </w:rPr>
        <w:t>“</w:t>
      </w:r>
      <w:r w:rsidRPr="00A07BE9">
        <w:rPr>
          <w:rFonts w:ascii="Open Sans" w:eastAsia="Calibri" w:hAnsi="Open Sans" w:cs="Open Sans"/>
          <w:b/>
          <w:sz w:val="20"/>
          <w:szCs w:val="20"/>
        </w:rPr>
        <w:t>Comprender los mecanismos subyacentes de la corrupción: retos globales y medidas preventivas</w:t>
      </w:r>
      <w:r w:rsidR="009A0558" w:rsidRPr="00A07BE9">
        <w:rPr>
          <w:rFonts w:ascii="Open Sans" w:eastAsia="Calibri" w:hAnsi="Open Sans" w:cs="Open Sans"/>
          <w:b/>
          <w:sz w:val="20"/>
          <w:szCs w:val="20"/>
        </w:rPr>
        <w:t>”</w:t>
      </w:r>
      <w:r w:rsidRPr="00A07BE9">
        <w:rPr>
          <w:rFonts w:ascii="Open Sans" w:eastAsia="Calibri" w:hAnsi="Open Sans" w:cs="Open Sans"/>
          <w:sz w:val="20"/>
          <w:szCs w:val="20"/>
        </w:rPr>
        <w:t>.</w:t>
      </w:r>
    </w:p>
    <w:p w14:paraId="57E9D95F" w14:textId="77777777" w:rsidR="000952B8" w:rsidRPr="00A07BE9" w:rsidRDefault="000952B8" w:rsidP="000952B8">
      <w:pPr>
        <w:spacing w:after="0" w:line="276" w:lineRule="auto"/>
        <w:jc w:val="both"/>
        <w:rPr>
          <w:rFonts w:ascii="Open Sans" w:eastAsia="Calibri" w:hAnsi="Open Sans" w:cs="Open Sans"/>
          <w:sz w:val="20"/>
          <w:szCs w:val="20"/>
        </w:rPr>
      </w:pPr>
    </w:p>
    <w:p w14:paraId="4144FBAF" w14:textId="77777777" w:rsidR="000952B8" w:rsidRPr="00A07BE9" w:rsidRDefault="000952B8" w:rsidP="000952B8">
      <w:pPr>
        <w:spacing w:after="0" w:line="276" w:lineRule="auto"/>
        <w:jc w:val="both"/>
        <w:rPr>
          <w:rFonts w:ascii="Calibri" w:eastAsia="Calibri" w:hAnsi="Calibri" w:cs="Calibri"/>
          <w:sz w:val="20"/>
          <w:szCs w:val="20"/>
        </w:rPr>
      </w:pPr>
      <w:r w:rsidRPr="00A07BE9">
        <w:rPr>
          <w:rFonts w:ascii="Open Sans" w:eastAsia="Calibri" w:hAnsi="Open Sans" w:cs="Open Sans"/>
          <w:sz w:val="20"/>
          <w:szCs w:val="20"/>
        </w:rPr>
        <w:t>El ministro del Interior sueco, Sr. Mikael Damberg, el comisario general de la policía sueca, Sr. Anders Thornberg, el presidente del EPAC/EACN, y el director de BAK, Sr. Andreas Wieselthaler, dieron la bienvenida a más de 120 participantes de 30 países europeos y regiones y de organizaciones internacionales.</w:t>
      </w:r>
    </w:p>
    <w:p w14:paraId="0E78512D" w14:textId="77777777" w:rsidR="000952B8" w:rsidRPr="00A07BE9" w:rsidRDefault="000952B8" w:rsidP="000952B8">
      <w:pPr>
        <w:spacing w:after="0" w:line="276" w:lineRule="auto"/>
        <w:jc w:val="both"/>
        <w:rPr>
          <w:rFonts w:ascii="Open Sans" w:eastAsia="Calibri" w:hAnsi="Open Sans" w:cs="Open Sans"/>
          <w:sz w:val="20"/>
          <w:szCs w:val="20"/>
        </w:rPr>
      </w:pPr>
    </w:p>
    <w:p w14:paraId="38CEF4B4" w14:textId="5D0AE874" w:rsidR="000952B8" w:rsidRDefault="000952B8" w:rsidP="000952B8">
      <w:pPr>
        <w:spacing w:after="0" w:line="276" w:lineRule="auto"/>
        <w:jc w:val="both"/>
        <w:rPr>
          <w:rFonts w:ascii="Open Sans" w:eastAsia="Calibri" w:hAnsi="Open Sans" w:cs="Open Sans"/>
          <w:sz w:val="20"/>
          <w:szCs w:val="20"/>
        </w:rPr>
      </w:pPr>
      <w:r w:rsidRPr="00A07BE9">
        <w:rPr>
          <w:rFonts w:ascii="Open Sans" w:eastAsia="Calibri" w:hAnsi="Open Sans" w:cs="Open Sans"/>
          <w:sz w:val="20"/>
          <w:szCs w:val="20"/>
        </w:rPr>
        <w:t>En el transcurso de la conferencia, temas como los enfoques internacionales y europeos actuales para prevenir y combatir la corrupción, el papel de los denunciantes, los últimos requisitos en materia de formación anticorrupción, riesgos de corrupción en relación con la emisión de visados y los permisos, así como los retos de la revolución digital y su influencia directa en el trabajo de los cuerpos de supervisión policial, se discutieron en varios paneles y talleres.</w:t>
      </w:r>
    </w:p>
    <w:p w14:paraId="06848F73" w14:textId="267FD212" w:rsidR="00E70006" w:rsidRDefault="00E70006" w:rsidP="000952B8">
      <w:pPr>
        <w:spacing w:after="0" w:line="276" w:lineRule="auto"/>
        <w:jc w:val="both"/>
        <w:rPr>
          <w:rFonts w:ascii="Open Sans" w:eastAsia="Calibri" w:hAnsi="Open Sans" w:cs="Open Sans"/>
          <w:sz w:val="20"/>
          <w:szCs w:val="20"/>
        </w:rPr>
      </w:pPr>
    </w:p>
    <w:p w14:paraId="10AAC539" w14:textId="3E9EC313" w:rsidR="00E70006" w:rsidRDefault="00E70006" w:rsidP="000952B8">
      <w:pPr>
        <w:spacing w:after="0" w:line="276" w:lineRule="auto"/>
        <w:jc w:val="both"/>
        <w:rPr>
          <w:rFonts w:ascii="Open Sans" w:eastAsia="Calibri" w:hAnsi="Open Sans" w:cs="Open Sans"/>
          <w:sz w:val="20"/>
          <w:szCs w:val="20"/>
        </w:rPr>
      </w:pPr>
      <w:r w:rsidRPr="00A07BE9">
        <w:rPr>
          <w:rFonts w:ascii="Open Sans" w:eastAsia="Calibri" w:hAnsi="Open Sans" w:cs="Open Sans"/>
          <w:sz w:val="20"/>
          <w:szCs w:val="20"/>
        </w:rPr>
        <w:t xml:space="preserve">Además, en la primera jornada de la conferencia se expuso un informe sobre los resultados del </w:t>
      </w:r>
      <w:r w:rsidRPr="00A07BE9">
        <w:rPr>
          <w:rFonts w:ascii="Open Sans" w:eastAsia="Calibri" w:hAnsi="Open Sans" w:cs="Open Sans"/>
          <w:i/>
          <w:sz w:val="20"/>
          <w:szCs w:val="20"/>
        </w:rPr>
        <w:t>World Café</w:t>
      </w:r>
      <w:r w:rsidRPr="00A07BE9">
        <w:rPr>
          <w:rFonts w:ascii="Open Sans" w:eastAsia="Calibri" w:hAnsi="Open Sans" w:cs="Open Sans"/>
          <w:sz w:val="20"/>
          <w:szCs w:val="20"/>
        </w:rPr>
        <w:t xml:space="preserve"> celebrado en Austria durante la 18ª Conferencia Profesional Anual EPAC/EACN, centrada en las expectativas e inquietudes de sus miembros, y el segundo día se realizó una presentación de la Organización británica </w:t>
      </w:r>
      <w:r w:rsidRPr="00A07BE9">
        <w:rPr>
          <w:rFonts w:ascii="Open Sans" w:eastAsia="Calibri" w:hAnsi="Open Sans" w:cs="Open Sans"/>
          <w:i/>
          <w:sz w:val="20"/>
          <w:szCs w:val="20"/>
        </w:rPr>
        <w:t>Curbing Corruption</w:t>
      </w:r>
      <w:r w:rsidRPr="00A07BE9">
        <w:rPr>
          <w:rFonts w:ascii="Open Sans" w:eastAsia="Calibri" w:hAnsi="Open Sans" w:cs="Open Sans"/>
          <w:sz w:val="20"/>
          <w:szCs w:val="20"/>
        </w:rPr>
        <w:t>, de sus herramientas y actividades de investigación</w:t>
      </w:r>
      <w:r>
        <w:rPr>
          <w:rFonts w:ascii="Open Sans" w:eastAsia="Calibri" w:hAnsi="Open Sans" w:cs="Open Sans"/>
          <w:sz w:val="20"/>
          <w:szCs w:val="20"/>
        </w:rPr>
        <w:t>.</w:t>
      </w:r>
    </w:p>
    <w:p w14:paraId="5F40E901" w14:textId="21D5441D" w:rsidR="000952B8" w:rsidRPr="00E70006" w:rsidRDefault="00E70006" w:rsidP="000952B8">
      <w:pPr>
        <w:spacing w:after="0" w:line="276" w:lineRule="auto"/>
        <w:jc w:val="both"/>
        <w:rPr>
          <w:rFonts w:ascii="Calibri" w:eastAsia="Calibri" w:hAnsi="Calibri" w:cs="Calibri"/>
          <w:sz w:val="20"/>
          <w:szCs w:val="20"/>
        </w:rPr>
      </w:pPr>
      <w:r w:rsidRPr="00A07BE9">
        <w:rPr>
          <w:rFonts w:ascii="Calibri" w:eastAsia="Calibri" w:hAnsi="Calibri" w:cs="Calibri"/>
          <w:noProof/>
        </w:rPr>
        <w:lastRenderedPageBreak/>
        <w:drawing>
          <wp:anchor distT="0" distB="0" distL="114300" distR="114300" simplePos="0" relativeHeight="251888640" behindDoc="1" locked="0" layoutInCell="1" allowOverlap="1" wp14:anchorId="762FDA3E" wp14:editId="06556C56">
            <wp:simplePos x="0" y="0"/>
            <wp:positionH relativeFrom="margin">
              <wp:align>center</wp:align>
            </wp:positionH>
            <wp:positionV relativeFrom="paragraph">
              <wp:posOffset>219919</wp:posOffset>
            </wp:positionV>
            <wp:extent cx="4885690" cy="3283363"/>
            <wp:effectExtent l="0" t="0" r="0" b="0"/>
            <wp:wrapTight wrapText="bothSides">
              <wp:wrapPolygon edited="0">
                <wp:start x="0" y="0"/>
                <wp:lineTo x="0" y="21433"/>
                <wp:lineTo x="21476" y="21433"/>
                <wp:lineTo x="21476" y="0"/>
                <wp:lineTo x="0" y="0"/>
              </wp:wrapPolygon>
            </wp:wrapTight>
            <wp:docPr id="9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14"/>
                    <pic:cNvPicPr>
                      <a:picLocks noChangeAspect="1" noChangeArrowheads="1"/>
                    </pic:cNvPicPr>
                  </pic:nvPicPr>
                  <pic:blipFill>
                    <a:blip r:embed="rId303" cstate="screen">
                      <a:extLst>
                        <a:ext uri="{28A0092B-C50C-407E-A947-70E740481C1C}">
                          <a14:useLocalDpi xmlns:a14="http://schemas.microsoft.com/office/drawing/2010/main"/>
                        </a:ext>
                      </a:extLst>
                    </a:blip>
                    <a:stretch>
                      <a:fillRect/>
                    </a:stretch>
                  </pic:blipFill>
                  <pic:spPr bwMode="auto">
                    <a:xfrm>
                      <a:off x="0" y="0"/>
                      <a:ext cx="4885690" cy="3283363"/>
                    </a:xfrm>
                    <a:prstGeom prst="rect">
                      <a:avLst/>
                    </a:prstGeom>
                  </pic:spPr>
                </pic:pic>
              </a:graphicData>
            </a:graphic>
          </wp:anchor>
        </w:drawing>
      </w:r>
    </w:p>
    <w:p w14:paraId="5837A593" w14:textId="2522BB4E" w:rsidR="000952B8" w:rsidRPr="00A07BE9" w:rsidRDefault="000952B8" w:rsidP="000952B8">
      <w:pPr>
        <w:spacing w:after="0" w:line="276" w:lineRule="auto"/>
        <w:jc w:val="both"/>
        <w:rPr>
          <w:rFonts w:ascii="Calibri" w:eastAsia="Calibri" w:hAnsi="Calibri" w:cs="Calibri"/>
          <w:sz w:val="20"/>
          <w:szCs w:val="20"/>
        </w:rPr>
      </w:pPr>
      <w:r w:rsidRPr="00A07BE9">
        <w:rPr>
          <w:rFonts w:ascii="Open Sans" w:eastAsia="Times New Roman" w:hAnsi="Open Sans" w:cs="Open Sans"/>
          <w:color w:val="000000"/>
          <w:sz w:val="20"/>
          <w:szCs w:val="20"/>
          <w:lang w:eastAsia="es-ES"/>
        </w:rPr>
        <w:t xml:space="preserve">El 12 de diciembre de 2019, la </w:t>
      </w:r>
      <w:r w:rsidRPr="00A07BE9">
        <w:rPr>
          <w:rFonts w:ascii="Open Sans" w:eastAsia="Times New Roman" w:hAnsi="Open Sans" w:cs="Open Sans"/>
          <w:b/>
          <w:color w:val="000000"/>
          <w:sz w:val="20"/>
          <w:szCs w:val="20"/>
          <w:lang w:eastAsia="es-ES"/>
        </w:rPr>
        <w:t>Asamblea General</w:t>
      </w:r>
      <w:r w:rsidRPr="00A07BE9">
        <w:rPr>
          <w:rFonts w:ascii="Open Sans" w:eastAsia="Times New Roman" w:hAnsi="Open Sans" w:cs="Open Sans"/>
          <w:color w:val="000000"/>
          <w:sz w:val="20"/>
          <w:szCs w:val="20"/>
          <w:lang w:eastAsia="es-ES"/>
        </w:rPr>
        <w:t>, el órgano decisorio de la EPAC/EACN, aprobó las solicitudes de adhesión recibidas en 2019 (Autoridad Holandesa de alertadores, Unidad Nacional de Policía Anticorrupción de Suecia y Dirección general de Seguridad Interior rumana), acogiéndoles como nuevos miembros.</w:t>
      </w:r>
    </w:p>
    <w:p w14:paraId="69D7ECEA"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p>
    <w:p w14:paraId="1BA8B828" w14:textId="77777777" w:rsidR="000952B8" w:rsidRPr="00A07BE9" w:rsidRDefault="000952B8" w:rsidP="000952B8">
      <w:pPr>
        <w:spacing w:after="0" w:line="276" w:lineRule="auto"/>
        <w:jc w:val="both"/>
        <w:rPr>
          <w:rFonts w:ascii="Calibri" w:eastAsia="Calibri" w:hAnsi="Calibri" w:cs="Calibri"/>
          <w:sz w:val="20"/>
          <w:szCs w:val="20"/>
        </w:rPr>
      </w:pPr>
      <w:r w:rsidRPr="00A07BE9">
        <w:rPr>
          <w:rFonts w:ascii="Open Sans" w:eastAsia="Times New Roman" w:hAnsi="Open Sans" w:cs="Open Sans"/>
          <w:color w:val="000000"/>
          <w:sz w:val="20"/>
          <w:szCs w:val="20"/>
          <w:lang w:eastAsia="es-ES"/>
        </w:rPr>
        <w:t>El vicepresidente del EPAC/EACN, para el gobierno de las autoridades anticorrupción, Sr. Mate Ombler, de Estonia, se confirmó en el cargo, y la Sra. Monique Stirn, de Luxemburgo, fue elegida vicepresidenta de EPAC/EACN para los órganos de supervisión policial. Su adjunto durante los próximos dos años será Thierry Gillis, de la Inspección General belga de la Policía Federal y Local (AIG).</w:t>
      </w:r>
    </w:p>
    <w:p w14:paraId="32ADA6A1"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p>
    <w:p w14:paraId="4ADE4EFF" w14:textId="77777777" w:rsidR="000952B8" w:rsidRPr="00A07BE9" w:rsidRDefault="000952B8" w:rsidP="000952B8">
      <w:pPr>
        <w:spacing w:after="0" w:line="276" w:lineRule="auto"/>
        <w:jc w:val="both"/>
        <w:rPr>
          <w:rFonts w:ascii="Calibri" w:eastAsia="Calibri" w:hAnsi="Calibri" w:cs="Calibri"/>
          <w:sz w:val="20"/>
          <w:szCs w:val="20"/>
        </w:rPr>
      </w:pPr>
      <w:r w:rsidRPr="00A07BE9">
        <w:rPr>
          <w:rFonts w:ascii="Open Sans" w:eastAsia="Times New Roman" w:hAnsi="Open Sans" w:cs="Open Sans"/>
          <w:color w:val="000000"/>
          <w:sz w:val="20"/>
          <w:szCs w:val="20"/>
          <w:lang w:eastAsia="es-ES"/>
        </w:rPr>
        <w:t>También se presentaron los resultados provisionales de los grupos de trabajo EPAC/EACN durante la sesión de la Asamblea General, como la creación de un marco de integridad.</w:t>
      </w:r>
    </w:p>
    <w:p w14:paraId="4D8964AD"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p>
    <w:p w14:paraId="2AE82B19" w14:textId="77777777" w:rsidR="000952B8" w:rsidRPr="00A07BE9" w:rsidRDefault="000952B8" w:rsidP="000952B8">
      <w:pPr>
        <w:spacing w:after="0" w:line="276" w:lineRule="auto"/>
        <w:jc w:val="both"/>
        <w:rPr>
          <w:rFonts w:ascii="Calibri" w:eastAsia="Calibri" w:hAnsi="Calibri" w:cs="Calibri"/>
          <w:sz w:val="20"/>
          <w:szCs w:val="20"/>
        </w:rPr>
      </w:pPr>
      <w:r w:rsidRPr="00A07BE9">
        <w:rPr>
          <w:rFonts w:ascii="Open Sans" w:eastAsia="Times New Roman" w:hAnsi="Open Sans" w:cs="Open Sans"/>
          <w:color w:val="000000"/>
          <w:sz w:val="20"/>
          <w:szCs w:val="20"/>
          <w:lang w:eastAsia="es-ES"/>
        </w:rPr>
        <w:t xml:space="preserve">Además, a iniciativa del Servicio especial de investigación lituano, el grupo de trabajo EPAC/EACN "Big Data", que se suspendió en 2019, retomará sus actividades en 2020 gracias a la financiación de la Unión Europea en el marco del programa </w:t>
      </w:r>
      <w:r w:rsidRPr="00A07BE9">
        <w:rPr>
          <w:rFonts w:ascii="Open Sans" w:eastAsia="Times New Roman" w:hAnsi="Open Sans" w:cs="Open Sans"/>
          <w:i/>
          <w:color w:val="000000"/>
          <w:sz w:val="20"/>
          <w:szCs w:val="20"/>
          <w:lang w:eastAsia="es-ES"/>
        </w:rPr>
        <w:t>Hercule</w:t>
      </w:r>
      <w:r w:rsidRPr="00A07BE9">
        <w:rPr>
          <w:rFonts w:ascii="Open Sans" w:eastAsia="Times New Roman" w:hAnsi="Open Sans" w:cs="Open Sans"/>
          <w:color w:val="000000"/>
          <w:sz w:val="20"/>
          <w:szCs w:val="20"/>
          <w:lang w:eastAsia="es-ES"/>
        </w:rPr>
        <w:t>.</w:t>
      </w:r>
    </w:p>
    <w:p w14:paraId="27CA274A"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p>
    <w:p w14:paraId="1152071F"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El objetivo principal de la Asamblea General fue la adopción de la Declaración de Estocolmo 2019, que se hará circular entre los miembros y entre las organizaciones nacionales e internacionales más relevantes.</w:t>
      </w:r>
    </w:p>
    <w:p w14:paraId="12E7DD72" w14:textId="0DA2DEE2" w:rsidR="000952B8" w:rsidRDefault="000952B8" w:rsidP="000952B8">
      <w:pPr>
        <w:spacing w:after="0" w:line="276" w:lineRule="auto"/>
        <w:jc w:val="both"/>
        <w:rPr>
          <w:rFonts w:ascii="Open Sans" w:eastAsia="Times New Roman" w:hAnsi="Open Sans" w:cs="Open Sans"/>
          <w:color w:val="000000"/>
          <w:sz w:val="20"/>
          <w:szCs w:val="20"/>
          <w:lang w:eastAsia="es-ES"/>
        </w:rPr>
      </w:pPr>
    </w:p>
    <w:p w14:paraId="3C4D4F7B" w14:textId="7CEEF12E" w:rsidR="00E70006" w:rsidRDefault="00E70006" w:rsidP="000952B8">
      <w:pPr>
        <w:spacing w:after="0" w:line="276" w:lineRule="auto"/>
        <w:jc w:val="both"/>
        <w:rPr>
          <w:rFonts w:ascii="Open Sans" w:eastAsia="Times New Roman" w:hAnsi="Open Sans" w:cs="Open Sans"/>
          <w:color w:val="000000"/>
          <w:sz w:val="20"/>
          <w:szCs w:val="20"/>
          <w:lang w:eastAsia="es-ES"/>
        </w:rPr>
      </w:pPr>
    </w:p>
    <w:p w14:paraId="75A76732" w14:textId="322EE22D" w:rsidR="00E70006" w:rsidRDefault="00E70006" w:rsidP="000952B8">
      <w:pPr>
        <w:spacing w:after="0" w:line="276" w:lineRule="auto"/>
        <w:jc w:val="both"/>
        <w:rPr>
          <w:rFonts w:ascii="Open Sans" w:eastAsia="Times New Roman" w:hAnsi="Open Sans" w:cs="Open Sans"/>
          <w:color w:val="000000"/>
          <w:sz w:val="20"/>
          <w:szCs w:val="20"/>
          <w:lang w:eastAsia="es-ES"/>
        </w:rPr>
      </w:pPr>
    </w:p>
    <w:p w14:paraId="4BA7994F" w14:textId="77777777" w:rsidR="00E70006" w:rsidRPr="00A07BE9" w:rsidRDefault="00E70006" w:rsidP="000952B8">
      <w:pPr>
        <w:spacing w:after="0" w:line="276" w:lineRule="auto"/>
        <w:jc w:val="both"/>
        <w:rPr>
          <w:rFonts w:ascii="Open Sans" w:eastAsia="Times New Roman" w:hAnsi="Open Sans" w:cs="Open Sans"/>
          <w:color w:val="000000"/>
          <w:sz w:val="20"/>
          <w:szCs w:val="20"/>
          <w:lang w:eastAsia="es-ES"/>
        </w:rPr>
      </w:pPr>
    </w:p>
    <w:p w14:paraId="64272632" w14:textId="77777777" w:rsidR="000952B8" w:rsidRPr="00A07BE9" w:rsidRDefault="000952B8" w:rsidP="000952B8">
      <w:pPr>
        <w:spacing w:after="0" w:line="276" w:lineRule="auto"/>
        <w:jc w:val="both"/>
        <w:rPr>
          <w:rFonts w:ascii="Calibri" w:eastAsia="Calibri" w:hAnsi="Calibri" w:cs="Calibri"/>
        </w:rPr>
      </w:pPr>
      <w:r w:rsidRPr="00A07BE9">
        <w:rPr>
          <w:rFonts w:ascii="Open Sans" w:eastAsia="Times New Roman" w:hAnsi="Open Sans" w:cs="Open Sans"/>
          <w:b/>
          <w:bCs/>
          <w:smallCaps/>
          <w:color w:val="94070A"/>
          <w:sz w:val="24"/>
          <w:szCs w:val="20"/>
          <w:lang w:eastAsia="es-ES"/>
        </w:rPr>
        <w:lastRenderedPageBreak/>
        <w:t>Declaración de Estocolmo 2019</w:t>
      </w:r>
    </w:p>
    <w:p w14:paraId="4CF12674" w14:textId="77777777" w:rsidR="000952B8" w:rsidRPr="00A07BE9" w:rsidRDefault="000952B8" w:rsidP="000952B8">
      <w:pPr>
        <w:spacing w:after="0" w:line="276" w:lineRule="auto"/>
        <w:jc w:val="both"/>
        <w:rPr>
          <w:rFonts w:ascii="Open Sans" w:eastAsia="Times New Roman" w:hAnsi="Open Sans" w:cs="Open Sans"/>
          <w:sz w:val="24"/>
          <w:szCs w:val="24"/>
          <w:lang w:eastAsia="es-ES"/>
        </w:rPr>
      </w:pPr>
    </w:p>
    <w:p w14:paraId="3D9F9C01" w14:textId="1629E59A" w:rsidR="000952B8" w:rsidRPr="00A07BE9" w:rsidRDefault="000952B8" w:rsidP="00E70006">
      <w:pPr>
        <w:spacing w:after="0" w:line="276" w:lineRule="auto"/>
        <w:jc w:val="center"/>
        <w:rPr>
          <w:rFonts w:ascii="Open Sans" w:eastAsia="Times New Roman" w:hAnsi="Open Sans" w:cs="Open Sans"/>
          <w:sz w:val="24"/>
          <w:szCs w:val="24"/>
          <w:lang w:eastAsia="es-ES"/>
        </w:rPr>
      </w:pPr>
      <w:r w:rsidRPr="00A07BE9">
        <w:rPr>
          <w:rFonts w:ascii="Calibri" w:eastAsia="Calibri" w:hAnsi="Calibri" w:cs="Calibri"/>
          <w:noProof/>
        </w:rPr>
        <w:drawing>
          <wp:inline distT="0" distB="0" distL="0" distR="0" wp14:anchorId="067420BD" wp14:editId="3018A1DE">
            <wp:extent cx="4274185" cy="3037205"/>
            <wp:effectExtent l="0" t="0" r="0" b="0"/>
            <wp:docPr id="99" name="Imag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1"/>
                    <pic:cNvPicPr>
                      <a:picLocks noChangeAspect="1" noChangeArrowheads="1"/>
                    </pic:cNvPicPr>
                  </pic:nvPicPr>
                  <pic:blipFill>
                    <a:blip r:embed="rId304"/>
                    <a:stretch>
                      <a:fillRect/>
                    </a:stretch>
                  </pic:blipFill>
                  <pic:spPr bwMode="auto">
                    <a:xfrm>
                      <a:off x="0" y="0"/>
                      <a:ext cx="4274185" cy="3037205"/>
                    </a:xfrm>
                    <a:prstGeom prst="rect">
                      <a:avLst/>
                    </a:prstGeom>
                    <a:ln w="12700">
                      <a:solidFill>
                        <a:srgbClr val="C00000"/>
                      </a:solidFill>
                    </a:ln>
                  </pic:spPr>
                </pic:pic>
              </a:graphicData>
            </a:graphic>
          </wp:inline>
        </w:drawing>
      </w:r>
    </w:p>
    <w:p w14:paraId="314DC5B6" w14:textId="637D6013" w:rsidR="000952B8" w:rsidRPr="00A07BE9" w:rsidRDefault="00000000" w:rsidP="000952B8">
      <w:pPr>
        <w:spacing w:after="0" w:line="276" w:lineRule="auto"/>
        <w:jc w:val="both"/>
        <w:rPr>
          <w:rFonts w:ascii="Open Sans" w:eastAsia="Times New Roman" w:hAnsi="Open Sans" w:cs="Open Sans"/>
          <w:color w:val="000080"/>
          <w:sz w:val="20"/>
          <w:szCs w:val="20"/>
          <w:u w:val="single"/>
          <w:lang w:eastAsia="es-ES"/>
        </w:rPr>
      </w:pPr>
      <w:hyperlink r:id="rId305">
        <w:r w:rsidR="000952B8" w:rsidRPr="00A07BE9">
          <w:rPr>
            <w:rFonts w:ascii="Open Sans" w:eastAsia="Times New Roman" w:hAnsi="Open Sans" w:cs="Open Sans"/>
            <w:color w:val="000080"/>
            <w:sz w:val="20"/>
            <w:szCs w:val="20"/>
            <w:u w:val="single"/>
            <w:lang w:eastAsia="es-ES"/>
          </w:rPr>
          <w:t>https://www.antifraucv.es/es/declaracion-de-estocolmo-19th-annual-professional-conference-and-general-assembly-2/</w:t>
        </w:r>
      </w:hyperlink>
    </w:p>
    <w:p w14:paraId="384B7E5A" w14:textId="605A0DEC" w:rsidR="00D01BCD" w:rsidRDefault="00D01BCD" w:rsidP="000952B8">
      <w:pPr>
        <w:spacing w:after="0" w:line="276" w:lineRule="auto"/>
        <w:jc w:val="both"/>
        <w:rPr>
          <w:rFonts w:ascii="Open Sans" w:eastAsia="Calibri" w:hAnsi="Open Sans" w:cs="Open Sans"/>
          <w:sz w:val="20"/>
          <w:szCs w:val="20"/>
        </w:rPr>
      </w:pPr>
    </w:p>
    <w:p w14:paraId="79D513C9" w14:textId="77777777" w:rsidR="00E70006" w:rsidRPr="00A07BE9" w:rsidRDefault="00E70006" w:rsidP="000952B8">
      <w:pPr>
        <w:spacing w:after="0" w:line="276" w:lineRule="auto"/>
        <w:jc w:val="both"/>
        <w:rPr>
          <w:rFonts w:ascii="Open Sans" w:eastAsia="Calibri" w:hAnsi="Open Sans" w:cs="Open Sans"/>
          <w:sz w:val="20"/>
          <w:szCs w:val="20"/>
        </w:rPr>
      </w:pPr>
    </w:p>
    <w:p w14:paraId="0FA6AFE9" w14:textId="77777777" w:rsidR="000952B8" w:rsidRPr="00A07BE9" w:rsidRDefault="000952B8" w:rsidP="000952B8">
      <w:pPr>
        <w:spacing w:after="0" w:line="276" w:lineRule="auto"/>
        <w:jc w:val="both"/>
        <w:rPr>
          <w:rFonts w:ascii="Open Sans" w:eastAsia="Times New Roman" w:hAnsi="Open Sans" w:cs="Open Sans"/>
          <w:b/>
          <w:bCs/>
          <w:smallCaps/>
          <w:color w:val="94070A"/>
          <w:sz w:val="28"/>
          <w:szCs w:val="28"/>
          <w:lang w:eastAsia="es-ES"/>
        </w:rPr>
      </w:pPr>
      <w:r w:rsidRPr="00A07BE9">
        <w:rPr>
          <w:rFonts w:ascii="Open Sans" w:eastAsia="Times New Roman" w:hAnsi="Open Sans" w:cs="Open Sans"/>
          <w:b/>
          <w:bCs/>
          <w:smallCaps/>
          <w:color w:val="94070A"/>
          <w:sz w:val="28"/>
          <w:szCs w:val="28"/>
          <w:lang w:eastAsia="es-ES"/>
        </w:rPr>
        <w:t>5.4.4. Organización Internacional NEIWA</w:t>
      </w:r>
    </w:p>
    <w:p w14:paraId="08B748E0" w14:textId="77777777" w:rsidR="000952B8" w:rsidRPr="00A07BE9" w:rsidRDefault="000952B8" w:rsidP="000952B8">
      <w:pPr>
        <w:spacing w:after="0" w:line="276" w:lineRule="auto"/>
        <w:jc w:val="both"/>
        <w:rPr>
          <w:rFonts w:ascii="Open Sans" w:eastAsia="Times New Roman" w:hAnsi="Open Sans" w:cs="Open Sans"/>
          <w:b/>
          <w:bCs/>
          <w:smallCaps/>
          <w:color w:val="94070A"/>
          <w:sz w:val="20"/>
          <w:szCs w:val="20"/>
          <w:lang w:eastAsia="es-ES"/>
        </w:rPr>
      </w:pPr>
    </w:p>
    <w:p w14:paraId="7A737AEF" w14:textId="5251840C" w:rsidR="000952B8" w:rsidRPr="00A07BE9" w:rsidRDefault="000952B8" w:rsidP="000952B8">
      <w:pPr>
        <w:spacing w:after="0" w:line="276" w:lineRule="auto"/>
        <w:jc w:val="both"/>
        <w:rPr>
          <w:rFonts w:ascii="Calibri" w:eastAsia="Calibri" w:hAnsi="Calibri" w:cs="Calibri"/>
          <w:sz w:val="20"/>
          <w:szCs w:val="20"/>
        </w:rPr>
      </w:pPr>
      <w:r w:rsidRPr="00A07BE9">
        <w:rPr>
          <w:rFonts w:ascii="Open Sans" w:eastAsia="Times New Roman" w:hAnsi="Open Sans" w:cs="Open Sans"/>
          <w:color w:val="000000"/>
          <w:sz w:val="20"/>
          <w:szCs w:val="20"/>
          <w:lang w:eastAsia="es-ES"/>
        </w:rPr>
        <w:t xml:space="preserve">El 2019, la Unión Europea ha adoptado la </w:t>
      </w:r>
      <w:hyperlink r:id="rId306" w:history="1">
        <w:r w:rsidRPr="00A07BE9">
          <w:rPr>
            <w:rStyle w:val="Hipervnculo"/>
            <w:rFonts w:ascii="Open Sans" w:eastAsia="Times New Roman" w:hAnsi="Open Sans" w:cs="Open Sans"/>
            <w:sz w:val="20"/>
            <w:szCs w:val="20"/>
            <w:lang w:eastAsia="es-ES"/>
          </w:rPr>
          <w:t xml:space="preserve">Directiva </w:t>
        </w:r>
        <w:r w:rsidR="00D0355F" w:rsidRPr="00A07BE9">
          <w:rPr>
            <w:rStyle w:val="Hipervnculo"/>
            <w:rFonts w:ascii="Open Sans" w:eastAsia="Times New Roman" w:hAnsi="Open Sans" w:cs="Open Sans"/>
            <w:sz w:val="20"/>
            <w:szCs w:val="20"/>
            <w:lang w:eastAsia="es-ES"/>
          </w:rPr>
          <w:t xml:space="preserve">(UE) </w:t>
        </w:r>
        <w:r w:rsidRPr="00A07BE9">
          <w:rPr>
            <w:rStyle w:val="Hipervnculo"/>
            <w:rFonts w:ascii="Open Sans" w:eastAsia="Times New Roman" w:hAnsi="Open Sans" w:cs="Open Sans"/>
            <w:sz w:val="20"/>
            <w:szCs w:val="20"/>
            <w:lang w:eastAsia="es-ES"/>
          </w:rPr>
          <w:t>2019/1937</w:t>
        </w:r>
      </w:hyperlink>
      <w:r w:rsidRPr="00A07BE9">
        <w:rPr>
          <w:rFonts w:ascii="Open Sans" w:eastAsia="Times New Roman" w:hAnsi="Open Sans" w:cs="Open Sans"/>
          <w:color w:val="000000"/>
          <w:sz w:val="20"/>
          <w:szCs w:val="20"/>
          <w:lang w:eastAsia="es-ES"/>
        </w:rPr>
        <w:t xml:space="preserve"> sobre protección de las personas alertadoras de las infracciones del derecho de la Unión.</w:t>
      </w:r>
    </w:p>
    <w:p w14:paraId="3B40208E"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p>
    <w:p w14:paraId="262DB9A2" w14:textId="77777777" w:rsidR="000952B8" w:rsidRPr="00A07BE9" w:rsidRDefault="000952B8" w:rsidP="000952B8">
      <w:pPr>
        <w:spacing w:after="0" w:line="276" w:lineRule="auto"/>
        <w:jc w:val="both"/>
        <w:rPr>
          <w:rFonts w:ascii="Calibri" w:eastAsia="Calibri" w:hAnsi="Calibri" w:cs="Calibri"/>
          <w:sz w:val="20"/>
          <w:szCs w:val="20"/>
        </w:rPr>
      </w:pPr>
      <w:r w:rsidRPr="00A07BE9">
        <w:rPr>
          <w:rFonts w:ascii="Open Sans" w:eastAsia="Times New Roman" w:hAnsi="Open Sans" w:cs="Open Sans"/>
          <w:color w:val="000000"/>
          <w:sz w:val="20"/>
          <w:szCs w:val="20"/>
          <w:lang w:eastAsia="es-ES"/>
        </w:rPr>
        <w:t>Los Estados miembros de la Unión Europea deben designar las autoridades competentes para recibir e investigar denuncias (artículo 11). Estas autoridades están obligadas a tener en cuenta también las experiencias de otras autoridades competentes (artículo 14).</w:t>
      </w:r>
    </w:p>
    <w:p w14:paraId="433751B8"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p>
    <w:p w14:paraId="3C46DFD4" w14:textId="77777777" w:rsidR="000952B8" w:rsidRPr="00A07BE9" w:rsidRDefault="00000000" w:rsidP="000952B8">
      <w:pPr>
        <w:spacing w:after="0" w:line="276" w:lineRule="auto"/>
        <w:jc w:val="both"/>
        <w:rPr>
          <w:rFonts w:ascii="Calibri" w:eastAsia="Calibri" w:hAnsi="Calibri" w:cs="Calibri"/>
          <w:sz w:val="20"/>
          <w:szCs w:val="20"/>
        </w:rPr>
      </w:pPr>
      <w:hyperlink r:id="rId307">
        <w:r w:rsidR="000952B8" w:rsidRPr="00A07BE9">
          <w:rPr>
            <w:rFonts w:ascii="Open Sans" w:eastAsia="Times New Roman" w:hAnsi="Open Sans" w:cs="Open Sans"/>
            <w:color w:val="000080"/>
            <w:sz w:val="20"/>
            <w:szCs w:val="20"/>
            <w:u w:val="single"/>
            <w:lang w:eastAsia="es-ES"/>
          </w:rPr>
          <w:t>NEIWA</w:t>
        </w:r>
      </w:hyperlink>
      <w:r w:rsidR="000952B8" w:rsidRPr="00A07BE9">
        <w:rPr>
          <w:rFonts w:ascii="Open Sans" w:eastAsia="Times New Roman" w:hAnsi="Open Sans" w:cs="Open Sans"/>
          <w:sz w:val="20"/>
          <w:szCs w:val="20"/>
          <w:lang w:eastAsia="es-ES"/>
        </w:rPr>
        <w:t>, Red</w:t>
      </w:r>
      <w:r w:rsidR="000952B8" w:rsidRPr="00A07BE9">
        <w:rPr>
          <w:rFonts w:ascii="Open Sans" w:eastAsia="Times New Roman" w:hAnsi="Open Sans" w:cs="Open Sans"/>
          <w:color w:val="000000"/>
          <w:sz w:val="20"/>
          <w:szCs w:val="20"/>
          <w:lang w:eastAsia="es-ES"/>
        </w:rPr>
        <w:t xml:space="preserve"> de autoridades europeas de integridad y alertadores (</w:t>
      </w:r>
      <w:r w:rsidR="000952B8" w:rsidRPr="00A07BE9">
        <w:rPr>
          <w:rFonts w:ascii="Open Sans" w:eastAsia="Times New Roman" w:hAnsi="Open Sans" w:cs="Open Sans"/>
          <w:i/>
          <w:color w:val="000000"/>
          <w:sz w:val="20"/>
          <w:szCs w:val="20"/>
          <w:lang w:eastAsia="es-ES"/>
        </w:rPr>
        <w:t>Network of European Integrity and whistleblowing Authorities</w:t>
      </w:r>
      <w:r w:rsidR="000952B8" w:rsidRPr="00A07BE9">
        <w:rPr>
          <w:rFonts w:ascii="Open Sans" w:eastAsia="Times New Roman" w:hAnsi="Open Sans" w:cs="Open Sans"/>
          <w:color w:val="000000"/>
          <w:sz w:val="20"/>
          <w:szCs w:val="20"/>
          <w:lang w:eastAsia="es-ES"/>
        </w:rPr>
        <w:t>), fue fundada en mayo de 2019 en La Haya. Constituye una plataforma en la que las autoridades pueden intercambiar conocimientos, experiencias e ideas, tanto a nivel práctico como a nivel estratégico.</w:t>
      </w:r>
    </w:p>
    <w:p w14:paraId="0C838017" w14:textId="77777777" w:rsidR="00533AD8" w:rsidRPr="00A07BE9" w:rsidRDefault="00533AD8" w:rsidP="000952B8">
      <w:pPr>
        <w:spacing w:after="0" w:line="276" w:lineRule="auto"/>
        <w:jc w:val="both"/>
        <w:rPr>
          <w:rFonts w:ascii="Open Sans" w:eastAsia="Times New Roman" w:hAnsi="Open Sans" w:cs="Open Sans"/>
          <w:color w:val="000000"/>
          <w:sz w:val="20"/>
          <w:szCs w:val="20"/>
          <w:lang w:eastAsia="es-ES"/>
        </w:rPr>
      </w:pPr>
    </w:p>
    <w:p w14:paraId="1F4A9550"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NEIWA tiene como objetivo proveer a las autoridades competentes herramientas para:</w:t>
      </w:r>
    </w:p>
    <w:p w14:paraId="666B1512" w14:textId="77777777" w:rsidR="00071C02" w:rsidRPr="00A07BE9" w:rsidRDefault="00071C02" w:rsidP="00071C02">
      <w:pPr>
        <w:spacing w:after="0" w:line="276" w:lineRule="auto"/>
        <w:contextualSpacing/>
        <w:jc w:val="both"/>
        <w:rPr>
          <w:rFonts w:ascii="Open Sans" w:eastAsia="Calibri" w:hAnsi="Open Sans" w:cs="Open Sans"/>
          <w:kern w:val="2"/>
          <w:sz w:val="20"/>
          <w:szCs w:val="20"/>
          <w:lang w:eastAsia="zh-CN" w:bidi="hi-IN"/>
        </w:rPr>
      </w:pPr>
    </w:p>
    <w:p w14:paraId="6CA66BD3" w14:textId="2CB726C6" w:rsidR="000952B8" w:rsidRPr="00A07BE9" w:rsidRDefault="000952B8" w:rsidP="00D731CE">
      <w:pPr>
        <w:numPr>
          <w:ilvl w:val="0"/>
          <w:numId w:val="6"/>
        </w:numPr>
        <w:spacing w:after="0" w:line="276" w:lineRule="auto"/>
        <w:ind w:left="714" w:hanging="357"/>
        <w:contextualSpacing/>
        <w:jc w:val="both"/>
        <w:rPr>
          <w:rFonts w:ascii="Calibri" w:eastAsia="Calibri" w:hAnsi="Calibri" w:cs="Calibri"/>
          <w:sz w:val="20"/>
          <w:szCs w:val="20"/>
        </w:rPr>
      </w:pPr>
      <w:r w:rsidRPr="00A07BE9">
        <w:rPr>
          <w:rFonts w:ascii="Open Sans" w:eastAsia="Times New Roman" w:hAnsi="Open Sans" w:cs="Open Sans"/>
          <w:sz w:val="20"/>
          <w:szCs w:val="20"/>
          <w:lang w:eastAsia="es-ES"/>
        </w:rPr>
        <w:t>Tener acceso a una red de autoridades similares de la Unión Europea.</w:t>
      </w:r>
    </w:p>
    <w:p w14:paraId="0BB1A16E" w14:textId="77777777" w:rsidR="00D731CE" w:rsidRPr="00A07BE9" w:rsidRDefault="000952B8" w:rsidP="00D731CE">
      <w:pPr>
        <w:numPr>
          <w:ilvl w:val="0"/>
          <w:numId w:val="6"/>
        </w:numPr>
        <w:spacing w:after="0" w:line="276" w:lineRule="auto"/>
        <w:ind w:left="714" w:hanging="357"/>
        <w:contextualSpacing/>
        <w:jc w:val="both"/>
        <w:rPr>
          <w:rFonts w:ascii="Calibri" w:eastAsia="Calibri" w:hAnsi="Calibri" w:cs="Calibri"/>
          <w:sz w:val="20"/>
          <w:szCs w:val="20"/>
        </w:rPr>
      </w:pPr>
      <w:r w:rsidRPr="00A07BE9">
        <w:rPr>
          <w:rFonts w:ascii="Open Sans" w:eastAsia="Times New Roman" w:hAnsi="Open Sans" w:cs="Open Sans"/>
          <w:sz w:val="20"/>
          <w:szCs w:val="20"/>
          <w:lang w:eastAsia="es-ES"/>
        </w:rPr>
        <w:t>Intercambiar conocimientos y experiencias prácticas sobre integridad y gestión de denuncias externas.</w:t>
      </w:r>
    </w:p>
    <w:p w14:paraId="3F778171" w14:textId="77777777" w:rsidR="00D731CE" w:rsidRPr="00A07BE9" w:rsidRDefault="000952B8" w:rsidP="00D731CE">
      <w:pPr>
        <w:numPr>
          <w:ilvl w:val="0"/>
          <w:numId w:val="6"/>
        </w:numPr>
        <w:spacing w:after="0" w:line="276" w:lineRule="auto"/>
        <w:ind w:left="714" w:hanging="357"/>
        <w:contextualSpacing/>
        <w:jc w:val="both"/>
        <w:rPr>
          <w:rFonts w:ascii="Calibri" w:eastAsia="Calibri" w:hAnsi="Calibri" w:cs="Calibri"/>
          <w:sz w:val="20"/>
          <w:szCs w:val="20"/>
        </w:rPr>
      </w:pPr>
      <w:r w:rsidRPr="00A07BE9">
        <w:rPr>
          <w:rFonts w:ascii="Open Sans" w:eastAsia="Times New Roman" w:hAnsi="Open Sans" w:cs="Open Sans"/>
          <w:sz w:val="20"/>
          <w:szCs w:val="20"/>
          <w:lang w:eastAsia="es-ES"/>
        </w:rPr>
        <w:t>Desarrollar conjuntamente instrumentos, programas u opiniones compartidas.</w:t>
      </w:r>
    </w:p>
    <w:p w14:paraId="4ADDEEE8" w14:textId="388D97B1" w:rsidR="000952B8" w:rsidRPr="00E70006" w:rsidRDefault="000952B8" w:rsidP="00E70006">
      <w:pPr>
        <w:numPr>
          <w:ilvl w:val="0"/>
          <w:numId w:val="6"/>
        </w:numPr>
        <w:spacing w:after="0" w:line="276" w:lineRule="auto"/>
        <w:ind w:left="714" w:hanging="357"/>
        <w:contextualSpacing/>
        <w:jc w:val="both"/>
        <w:rPr>
          <w:rFonts w:ascii="Calibri" w:eastAsia="Calibri" w:hAnsi="Calibri" w:cs="Calibri"/>
          <w:sz w:val="20"/>
          <w:szCs w:val="20"/>
        </w:rPr>
      </w:pPr>
      <w:r w:rsidRPr="00A07BE9">
        <w:rPr>
          <w:rFonts w:ascii="Open Sans" w:eastAsia="Times New Roman" w:hAnsi="Open Sans" w:cs="Open Sans"/>
          <w:color w:val="000000"/>
          <w:sz w:val="20"/>
          <w:szCs w:val="20"/>
          <w:lang w:eastAsia="es-ES"/>
        </w:rPr>
        <w:t>Encontrar socios que participen en las revisiones trienales de los otros miembros.</w:t>
      </w:r>
    </w:p>
    <w:p w14:paraId="3F23061C" w14:textId="77777777" w:rsidR="000952B8" w:rsidRPr="00A07BE9" w:rsidRDefault="000952B8" w:rsidP="000952B8">
      <w:pPr>
        <w:spacing w:after="0" w:line="276" w:lineRule="auto"/>
        <w:jc w:val="both"/>
        <w:rPr>
          <w:rFonts w:ascii="Calibri" w:eastAsia="Calibri" w:hAnsi="Calibri" w:cs="Calibri"/>
          <w:sz w:val="20"/>
          <w:szCs w:val="20"/>
        </w:rPr>
      </w:pPr>
      <w:r w:rsidRPr="00A07BE9">
        <w:rPr>
          <w:rFonts w:ascii="Open Sans" w:eastAsia="Times New Roman" w:hAnsi="Open Sans" w:cs="Open Sans"/>
          <w:color w:val="000000"/>
          <w:sz w:val="20"/>
          <w:szCs w:val="20"/>
          <w:lang w:eastAsia="es-ES"/>
        </w:rPr>
        <w:lastRenderedPageBreak/>
        <w:t xml:space="preserve">Los participantes de NEIWA son </w:t>
      </w:r>
      <w:r w:rsidRPr="00A07BE9">
        <w:rPr>
          <w:rFonts w:ascii="Open Sans" w:eastAsia="Times New Roman" w:hAnsi="Open Sans" w:cs="Open Sans"/>
          <w:i/>
          <w:color w:val="000000"/>
          <w:sz w:val="20"/>
          <w:szCs w:val="20"/>
          <w:lang w:eastAsia="es-ES"/>
        </w:rPr>
        <w:t>autoridades competentes</w:t>
      </w:r>
      <w:r w:rsidRPr="00A07BE9">
        <w:rPr>
          <w:rFonts w:ascii="Open Sans" w:eastAsia="Times New Roman" w:hAnsi="Open Sans" w:cs="Open Sans"/>
          <w:color w:val="000000"/>
          <w:sz w:val="20"/>
          <w:szCs w:val="20"/>
          <w:lang w:eastAsia="es-ES"/>
        </w:rPr>
        <w:t xml:space="preserve">, tal como indica la Directiva de la Unión Europea: </w:t>
      </w:r>
      <w:r w:rsidRPr="00A07BE9">
        <w:rPr>
          <w:rFonts w:ascii="Open Sans" w:eastAsia="Times New Roman" w:hAnsi="Open Sans" w:cs="Open Sans"/>
          <w:i/>
          <w:iCs/>
          <w:color w:val="000000"/>
          <w:sz w:val="20"/>
          <w:szCs w:val="20"/>
          <w:lang w:eastAsia="es-ES"/>
        </w:rPr>
        <w:t xml:space="preserve">Autoridades estatales que promueven y/o protegen la integridad en su Estado mediante la gestión e investigación externa de denuncias y el asesoramiento y protección a denunciantes y periodistas. </w:t>
      </w:r>
    </w:p>
    <w:p w14:paraId="3DAE331E"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p>
    <w:p w14:paraId="5EEBE2A8" w14:textId="77777777" w:rsidR="000952B8" w:rsidRPr="00A07BE9" w:rsidRDefault="000952B8" w:rsidP="000952B8">
      <w:pPr>
        <w:spacing w:after="0" w:line="276" w:lineRule="auto"/>
        <w:jc w:val="both"/>
        <w:rPr>
          <w:rFonts w:ascii="Calibri" w:eastAsia="Calibri" w:hAnsi="Calibri" w:cs="Calibri"/>
          <w:sz w:val="20"/>
          <w:szCs w:val="20"/>
        </w:rPr>
      </w:pPr>
      <w:r w:rsidRPr="00A07BE9">
        <w:rPr>
          <w:rFonts w:ascii="Open Sans" w:eastAsia="Times New Roman" w:hAnsi="Open Sans" w:cs="Open Sans"/>
          <w:color w:val="000000"/>
          <w:sz w:val="20"/>
          <w:szCs w:val="20"/>
          <w:lang w:eastAsia="es-ES"/>
        </w:rPr>
        <w:t xml:space="preserve">NEIWA tiene como objetivo conseguir que se involucren a participar en esta red todas las autoridades competentes, presentes y futuras, de la Unión Europea. </w:t>
      </w:r>
    </w:p>
    <w:p w14:paraId="1A63424A"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p>
    <w:p w14:paraId="6CF2E300" w14:textId="77777777" w:rsidR="000952B8" w:rsidRPr="00A07BE9" w:rsidRDefault="000952B8" w:rsidP="000952B8">
      <w:pPr>
        <w:spacing w:after="0" w:line="276" w:lineRule="auto"/>
        <w:jc w:val="both"/>
        <w:rPr>
          <w:rFonts w:ascii="Calibri" w:eastAsia="Calibri" w:hAnsi="Calibri" w:cs="Calibri"/>
          <w:sz w:val="20"/>
          <w:szCs w:val="20"/>
        </w:rPr>
      </w:pPr>
      <w:r w:rsidRPr="00A07BE9">
        <w:rPr>
          <w:rFonts w:ascii="Open Sans" w:eastAsia="Times New Roman" w:hAnsi="Open Sans" w:cs="Open Sans"/>
          <w:color w:val="000000"/>
          <w:sz w:val="20"/>
          <w:szCs w:val="20"/>
          <w:lang w:eastAsia="es-ES"/>
        </w:rPr>
        <w:t>La Agencia Valenciana Antifraude ha sido admitida en esta organización y participará en la próxima reunión de la red que se celebrará en abril de 2020 en Roma.</w:t>
      </w:r>
    </w:p>
    <w:p w14:paraId="3CFB7A33" w14:textId="2BD59785" w:rsidR="000952B8" w:rsidRDefault="000952B8" w:rsidP="000952B8">
      <w:pPr>
        <w:spacing w:after="0" w:line="276" w:lineRule="auto"/>
        <w:jc w:val="both"/>
        <w:rPr>
          <w:rFonts w:ascii="Open Sans" w:eastAsia="Times New Roman" w:hAnsi="Open Sans" w:cs="Open Sans"/>
          <w:color w:val="000000"/>
          <w:sz w:val="20"/>
          <w:szCs w:val="20"/>
          <w:lang w:eastAsia="es-ES"/>
        </w:rPr>
      </w:pPr>
    </w:p>
    <w:p w14:paraId="3C22A6C1" w14:textId="77777777" w:rsidR="00533AD8" w:rsidRPr="00A07BE9" w:rsidRDefault="00533AD8" w:rsidP="000952B8">
      <w:pPr>
        <w:spacing w:after="0" w:line="276" w:lineRule="auto"/>
        <w:jc w:val="both"/>
        <w:rPr>
          <w:rFonts w:ascii="Open Sans" w:eastAsia="Times New Roman" w:hAnsi="Open Sans" w:cs="Open Sans"/>
          <w:color w:val="000000"/>
          <w:sz w:val="20"/>
          <w:szCs w:val="20"/>
          <w:lang w:eastAsia="es-ES"/>
        </w:rPr>
      </w:pPr>
    </w:p>
    <w:p w14:paraId="168BD278" w14:textId="77777777" w:rsidR="000952B8" w:rsidRPr="00A07BE9" w:rsidRDefault="000952B8" w:rsidP="000952B8">
      <w:pPr>
        <w:spacing w:after="0" w:line="276" w:lineRule="auto"/>
        <w:jc w:val="both"/>
        <w:rPr>
          <w:rFonts w:ascii="Open Sans" w:eastAsia="Times New Roman" w:hAnsi="Open Sans" w:cs="Open Sans"/>
          <w:b/>
          <w:bCs/>
          <w:smallCaps/>
          <w:color w:val="94070A"/>
          <w:sz w:val="28"/>
          <w:szCs w:val="28"/>
          <w:lang w:eastAsia="es-ES"/>
        </w:rPr>
      </w:pPr>
      <w:r w:rsidRPr="00A07BE9">
        <w:rPr>
          <w:rFonts w:ascii="Open Sans" w:eastAsia="Times New Roman" w:hAnsi="Open Sans" w:cs="Open Sans"/>
          <w:b/>
          <w:bCs/>
          <w:smallCaps/>
          <w:color w:val="94070A"/>
          <w:sz w:val="28"/>
          <w:szCs w:val="28"/>
          <w:lang w:eastAsia="es-ES"/>
        </w:rPr>
        <w:t>5.4.5. Relaciones con autoridades gubernamentales de México</w:t>
      </w:r>
    </w:p>
    <w:p w14:paraId="0D15F434" w14:textId="77777777" w:rsidR="000952B8" w:rsidRPr="00A07BE9" w:rsidRDefault="000952B8" w:rsidP="000952B8">
      <w:pPr>
        <w:spacing w:after="0" w:line="276" w:lineRule="auto"/>
        <w:jc w:val="both"/>
        <w:rPr>
          <w:rFonts w:ascii="Open Sans" w:eastAsia="Times New Roman" w:hAnsi="Open Sans" w:cs="Open Sans"/>
          <w:b/>
          <w:bCs/>
          <w:smallCaps/>
          <w:color w:val="94070A"/>
          <w:sz w:val="20"/>
          <w:szCs w:val="20"/>
          <w:lang w:eastAsia="es-ES"/>
        </w:rPr>
      </w:pPr>
    </w:p>
    <w:p w14:paraId="1E46219F" w14:textId="25D34453"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A lo largo del año 2019, se han establecido relaciones con </w:t>
      </w:r>
      <w:r w:rsidRPr="00A07BE9">
        <w:rPr>
          <w:rFonts w:ascii="Open Sans" w:eastAsia="Times New Roman" w:hAnsi="Open Sans" w:cs="Open Sans"/>
          <w:b/>
          <w:color w:val="000000"/>
          <w:sz w:val="20"/>
          <w:szCs w:val="20"/>
          <w:lang w:eastAsia="es-ES"/>
        </w:rPr>
        <w:t>la Secretaría de Función Pública del Gobierno Federal de México</w:t>
      </w:r>
      <w:r w:rsidRPr="00A07BE9">
        <w:rPr>
          <w:rFonts w:ascii="Open Sans" w:eastAsia="Times New Roman" w:hAnsi="Open Sans" w:cs="Open Sans"/>
          <w:color w:val="000000"/>
          <w:sz w:val="20"/>
          <w:szCs w:val="20"/>
          <w:lang w:eastAsia="es-ES"/>
        </w:rPr>
        <w:t xml:space="preserve">. Fruto de estos intercambios ha sido la creación, por esta autoridad, de un </w:t>
      </w:r>
      <w:r w:rsidR="008447AD" w:rsidRPr="00A07BE9">
        <w:rPr>
          <w:rFonts w:ascii="Open Sans" w:eastAsia="Times New Roman" w:hAnsi="Open Sans" w:cs="Open Sans"/>
          <w:color w:val="000000"/>
          <w:sz w:val="20"/>
          <w:szCs w:val="20"/>
          <w:lang w:eastAsia="es-ES"/>
        </w:rPr>
        <w:t>b</w:t>
      </w:r>
      <w:r w:rsidRPr="00A07BE9">
        <w:rPr>
          <w:rFonts w:ascii="Open Sans" w:eastAsia="Times New Roman" w:hAnsi="Open Sans" w:cs="Open Sans"/>
          <w:color w:val="000000"/>
          <w:sz w:val="20"/>
          <w:szCs w:val="20"/>
          <w:lang w:eastAsia="es-ES"/>
        </w:rPr>
        <w:t>uzón de denuncias siguiendo el ejemplo del implantado por la Agencia, que a su vez reprodujo el buzón de la Oficina de Transparencia y Buenas Prácticas del Ayuntamiento de Barcelona y de la organización ciudadana XNet.</w:t>
      </w:r>
    </w:p>
    <w:p w14:paraId="34F0F334" w14:textId="77777777" w:rsidR="009A0558" w:rsidRPr="00A07BE9" w:rsidRDefault="009A0558" w:rsidP="000952B8">
      <w:pPr>
        <w:spacing w:after="0" w:line="276" w:lineRule="auto"/>
        <w:jc w:val="both"/>
        <w:rPr>
          <w:rFonts w:ascii="Calibri" w:eastAsia="Calibri" w:hAnsi="Calibri" w:cs="Calibri"/>
          <w:sz w:val="20"/>
          <w:szCs w:val="20"/>
        </w:rPr>
      </w:pPr>
    </w:p>
    <w:p w14:paraId="0DA6CBC6" w14:textId="0461D095"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El 25 </w:t>
      </w:r>
      <w:r w:rsidRPr="00A07BE9">
        <w:rPr>
          <w:rFonts w:ascii="Open Sans" w:eastAsia="Times New Roman" w:hAnsi="Open Sans" w:cs="Open Sans"/>
          <w:sz w:val="20"/>
          <w:szCs w:val="20"/>
          <w:lang w:eastAsia="es-ES"/>
        </w:rPr>
        <w:t>de julio la Secretaría de Función Pública celebró un acto para la presentación del programa</w:t>
      </w:r>
      <w:r w:rsidR="00F71B93" w:rsidRPr="00A07BE9">
        <w:rPr>
          <w:rFonts w:ascii="Open Sans" w:eastAsia="Times New Roman" w:hAnsi="Open Sans" w:cs="Open Sans"/>
          <w:sz w:val="20"/>
          <w:szCs w:val="20"/>
          <w:lang w:eastAsia="es-ES"/>
        </w:rPr>
        <w:t xml:space="preserve"> </w:t>
      </w:r>
      <w:r w:rsidRPr="00A07BE9">
        <w:rPr>
          <w:rFonts w:ascii="Open Sans" w:eastAsia="Times New Roman" w:hAnsi="Open Sans" w:cs="Open Sans"/>
          <w:i/>
          <w:iCs/>
          <w:sz w:val="20"/>
          <w:szCs w:val="20"/>
          <w:lang w:eastAsia="es-ES"/>
        </w:rPr>
        <w:t>Alertadores contra la Corrupción</w:t>
      </w:r>
      <w:r w:rsidRPr="00A07BE9">
        <w:rPr>
          <w:rFonts w:ascii="Open Sans" w:eastAsia="Times New Roman" w:hAnsi="Open Sans" w:cs="Open Sans"/>
          <w:sz w:val="20"/>
          <w:szCs w:val="20"/>
          <w:lang w:eastAsia="es-ES"/>
        </w:rPr>
        <w:t xml:space="preserve"> con la puesta en marcha del </w:t>
      </w:r>
      <w:hyperlink r:id="rId308">
        <w:r w:rsidRPr="00A07BE9">
          <w:rPr>
            <w:rFonts w:ascii="Open Sans" w:eastAsia="Times New Roman" w:hAnsi="Open Sans" w:cs="Open Sans"/>
            <w:color w:val="000080"/>
            <w:sz w:val="20"/>
            <w:szCs w:val="20"/>
            <w:u w:val="single"/>
            <w:lang w:eastAsia="es-ES"/>
          </w:rPr>
          <w:t>Buzón de alertadores de corrupción</w:t>
        </w:r>
      </w:hyperlink>
      <w:r w:rsidRPr="00A07BE9">
        <w:rPr>
          <w:rFonts w:ascii="Open Sans" w:eastAsia="Times New Roman" w:hAnsi="Open Sans" w:cs="Open Sans"/>
          <w:sz w:val="20"/>
          <w:szCs w:val="20"/>
          <w:lang w:eastAsia="es-ES"/>
        </w:rPr>
        <w:t xml:space="preserve">. A este acto </w:t>
      </w:r>
      <w:r w:rsidRPr="00A07BE9">
        <w:rPr>
          <w:rFonts w:ascii="Open Sans" w:eastAsia="Times New Roman" w:hAnsi="Open Sans" w:cs="Open Sans"/>
          <w:color w:val="000000"/>
          <w:sz w:val="20"/>
          <w:szCs w:val="20"/>
          <w:lang w:eastAsia="es-ES"/>
        </w:rPr>
        <w:t>fue invitado el director de la Agencia, quien debido a temas logísticos no pudo viajar, pero no obstante registró una alocución que fue difundida en dicho acto.</w:t>
      </w:r>
    </w:p>
    <w:p w14:paraId="378B894B" w14:textId="77777777" w:rsidR="004C06FF" w:rsidRPr="00A07BE9" w:rsidRDefault="004C06FF" w:rsidP="000952B8">
      <w:pPr>
        <w:spacing w:after="0" w:line="276" w:lineRule="auto"/>
        <w:jc w:val="both"/>
        <w:rPr>
          <w:rFonts w:ascii="Open Sans" w:eastAsia="Calibri" w:hAnsi="Open Sans" w:cs="Open Sans"/>
          <w:sz w:val="20"/>
          <w:szCs w:val="20"/>
        </w:rPr>
      </w:pPr>
    </w:p>
    <w:p w14:paraId="17E1C5C1"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Por otro lado, el </w:t>
      </w:r>
      <w:r w:rsidRPr="00A07BE9">
        <w:rPr>
          <w:rFonts w:ascii="Open Sans" w:eastAsia="Times New Roman" w:hAnsi="Open Sans" w:cs="Open Sans"/>
          <w:b/>
          <w:color w:val="000000"/>
          <w:sz w:val="20"/>
          <w:szCs w:val="20"/>
          <w:lang w:eastAsia="es-ES"/>
        </w:rPr>
        <w:t>Sistema Estatal Anticorrupción del Estado de Puebla (México)</w:t>
      </w:r>
      <w:r w:rsidRPr="00A07BE9">
        <w:rPr>
          <w:rFonts w:ascii="Open Sans" w:eastAsia="Times New Roman" w:hAnsi="Open Sans" w:cs="Open Sans"/>
          <w:color w:val="000000"/>
          <w:sz w:val="20"/>
          <w:szCs w:val="20"/>
          <w:lang w:eastAsia="es-ES"/>
        </w:rPr>
        <w:t xml:space="preserve"> contactó con la Agencia para interesarse por nuestra experiencia y analizar los posibles mecanismos de cooperación internacional en la lucha contra la corrupción, así como compartir las mejores prácticas internacionales, metodologías, indicadores e intercambio de información, incluyendo los sistemas de evaluación de las políticas en la materia.</w:t>
      </w:r>
    </w:p>
    <w:p w14:paraId="4B6C30F7"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p>
    <w:p w14:paraId="109F41E2" w14:textId="77777777"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Con esta institución se ha iniciado un expediente de convenio interinstitucional de colaboración.</w:t>
      </w:r>
    </w:p>
    <w:p w14:paraId="0632B791"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62B8EFD1" w14:textId="77777777" w:rsidR="000952B8" w:rsidRPr="00A07BE9" w:rsidRDefault="000952B8" w:rsidP="000952B8">
      <w:pPr>
        <w:spacing w:after="0" w:line="276" w:lineRule="auto"/>
        <w:jc w:val="both"/>
        <w:rPr>
          <w:rFonts w:ascii="Open Sans" w:eastAsia="Times New Roman" w:hAnsi="Open Sans" w:cs="Open Sans"/>
          <w:b/>
          <w:bCs/>
          <w:smallCaps/>
          <w:color w:val="94070A"/>
          <w:sz w:val="32"/>
          <w:szCs w:val="32"/>
          <w:lang w:eastAsia="es-ES"/>
        </w:rPr>
      </w:pPr>
      <w:r w:rsidRPr="00A07BE9">
        <w:rPr>
          <w:rFonts w:ascii="Open Sans" w:eastAsia="Times New Roman" w:hAnsi="Open Sans" w:cs="Open Sans"/>
          <w:b/>
          <w:bCs/>
          <w:smallCaps/>
          <w:color w:val="94070A"/>
          <w:sz w:val="32"/>
          <w:szCs w:val="32"/>
          <w:lang w:eastAsia="es-ES"/>
        </w:rPr>
        <w:t>5.5. Asistencia a actos</w:t>
      </w:r>
    </w:p>
    <w:p w14:paraId="6BD52354"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6AB937C3"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El director, como representante de la Agencia, ha asistido, a lo largo del año 2019, a los siguientes actos:</w:t>
      </w:r>
    </w:p>
    <w:p w14:paraId="5E9D238E" w14:textId="2B0140C3" w:rsidR="000952B8" w:rsidRDefault="000952B8" w:rsidP="000952B8">
      <w:pPr>
        <w:spacing w:after="0" w:line="276" w:lineRule="auto"/>
        <w:jc w:val="both"/>
        <w:rPr>
          <w:rFonts w:ascii="Open Sans" w:eastAsia="Times New Roman" w:hAnsi="Open Sans" w:cs="Open Sans"/>
          <w:sz w:val="20"/>
          <w:szCs w:val="20"/>
          <w:lang w:eastAsia="es-ES"/>
        </w:rPr>
      </w:pPr>
    </w:p>
    <w:p w14:paraId="6A1E3C0C" w14:textId="24F295F1" w:rsidR="00E70006" w:rsidRDefault="00E70006" w:rsidP="000952B8">
      <w:pPr>
        <w:spacing w:after="0" w:line="276" w:lineRule="auto"/>
        <w:jc w:val="both"/>
        <w:rPr>
          <w:rFonts w:ascii="Open Sans" w:eastAsia="Times New Roman" w:hAnsi="Open Sans" w:cs="Open Sans"/>
          <w:sz w:val="20"/>
          <w:szCs w:val="20"/>
          <w:lang w:eastAsia="es-ES"/>
        </w:rPr>
      </w:pPr>
    </w:p>
    <w:p w14:paraId="096F0284" w14:textId="02C02BC4" w:rsidR="00E70006" w:rsidRDefault="00E70006" w:rsidP="000952B8">
      <w:pPr>
        <w:spacing w:after="0" w:line="276" w:lineRule="auto"/>
        <w:jc w:val="both"/>
        <w:rPr>
          <w:rFonts w:ascii="Open Sans" w:eastAsia="Times New Roman" w:hAnsi="Open Sans" w:cs="Open Sans"/>
          <w:sz w:val="20"/>
          <w:szCs w:val="20"/>
          <w:lang w:eastAsia="es-ES"/>
        </w:rPr>
      </w:pPr>
    </w:p>
    <w:p w14:paraId="215BBF51" w14:textId="77777777" w:rsidR="00E70006" w:rsidRPr="00A07BE9" w:rsidRDefault="00E70006" w:rsidP="000952B8">
      <w:pPr>
        <w:spacing w:after="0" w:line="276" w:lineRule="auto"/>
        <w:jc w:val="both"/>
        <w:rPr>
          <w:rFonts w:ascii="Open Sans" w:eastAsia="Times New Roman" w:hAnsi="Open Sans" w:cs="Open Sans"/>
          <w:sz w:val="20"/>
          <w:szCs w:val="20"/>
          <w:lang w:eastAsia="es-ES"/>
        </w:rPr>
      </w:pPr>
    </w:p>
    <w:p w14:paraId="4D69F81E" w14:textId="231AF4C8" w:rsidR="000952B8" w:rsidRPr="00A07BE9" w:rsidRDefault="000952B8" w:rsidP="000952B8">
      <w:pPr>
        <w:spacing w:after="0" w:line="276" w:lineRule="auto"/>
        <w:jc w:val="both"/>
        <w:rPr>
          <w:rFonts w:ascii="Open Sans" w:eastAsia="Times New Roman" w:hAnsi="Open Sans" w:cs="Open Sans"/>
          <w:b/>
          <w:bCs/>
          <w:sz w:val="20"/>
          <w:szCs w:val="20"/>
          <w:lang w:eastAsia="es-ES"/>
        </w:rPr>
      </w:pPr>
      <w:r w:rsidRPr="00A07BE9">
        <w:rPr>
          <w:rFonts w:ascii="Open Sans" w:eastAsia="Times New Roman" w:hAnsi="Open Sans" w:cs="Open Sans"/>
          <w:b/>
          <w:bCs/>
          <w:color w:val="993333"/>
          <w:sz w:val="20"/>
          <w:szCs w:val="20"/>
          <w:lang w:eastAsia="es-ES"/>
        </w:rPr>
        <w:lastRenderedPageBreak/>
        <w:t>Ta</w:t>
      </w:r>
      <w:r w:rsidR="00655953" w:rsidRPr="00A07BE9">
        <w:rPr>
          <w:rFonts w:ascii="Open Sans" w:eastAsia="Times New Roman" w:hAnsi="Open Sans" w:cs="Open Sans"/>
          <w:b/>
          <w:bCs/>
          <w:color w:val="993333"/>
          <w:sz w:val="20"/>
          <w:szCs w:val="20"/>
          <w:lang w:eastAsia="es-ES"/>
        </w:rPr>
        <w:t>b</w:t>
      </w:r>
      <w:r w:rsidRPr="00A07BE9">
        <w:rPr>
          <w:rFonts w:ascii="Open Sans" w:eastAsia="Times New Roman" w:hAnsi="Open Sans" w:cs="Open Sans"/>
          <w:b/>
          <w:bCs/>
          <w:color w:val="993333"/>
          <w:sz w:val="20"/>
          <w:szCs w:val="20"/>
          <w:lang w:eastAsia="es-ES"/>
        </w:rPr>
        <w:t xml:space="preserve">la </w:t>
      </w:r>
      <w:r w:rsidR="00E671DC" w:rsidRPr="00A07BE9">
        <w:rPr>
          <w:rFonts w:ascii="Open Sans" w:eastAsia="Times New Roman" w:hAnsi="Open Sans" w:cs="Open Sans"/>
          <w:b/>
          <w:bCs/>
          <w:color w:val="993333"/>
          <w:sz w:val="20"/>
          <w:szCs w:val="20"/>
          <w:lang w:eastAsia="es-ES"/>
        </w:rPr>
        <w:t>1</w:t>
      </w:r>
      <w:r w:rsidR="00640AAC" w:rsidRPr="00A07BE9">
        <w:rPr>
          <w:rFonts w:ascii="Open Sans" w:eastAsia="Times New Roman" w:hAnsi="Open Sans" w:cs="Open Sans"/>
          <w:b/>
          <w:bCs/>
          <w:color w:val="993333"/>
          <w:sz w:val="20"/>
          <w:szCs w:val="20"/>
          <w:lang w:eastAsia="es-ES"/>
        </w:rPr>
        <w:t>3</w:t>
      </w:r>
      <w:r w:rsidRPr="00A07BE9">
        <w:rPr>
          <w:rFonts w:ascii="Open Sans" w:eastAsia="Times New Roman" w:hAnsi="Open Sans" w:cs="Open Sans"/>
          <w:b/>
          <w:bCs/>
          <w:color w:val="993333"/>
          <w:sz w:val="20"/>
          <w:szCs w:val="20"/>
          <w:lang w:eastAsia="es-ES"/>
        </w:rPr>
        <w:t>.</w:t>
      </w:r>
      <w:r w:rsidRPr="00A07BE9">
        <w:rPr>
          <w:rFonts w:ascii="Open Sans" w:eastAsia="Times New Roman" w:hAnsi="Open Sans" w:cs="Open Sans"/>
          <w:sz w:val="20"/>
          <w:szCs w:val="20"/>
          <w:lang w:eastAsia="es-ES"/>
        </w:rPr>
        <w:t xml:space="preserve"> </w:t>
      </w:r>
      <w:bookmarkStart w:id="22" w:name="__DdeLink__1181_1565670590"/>
      <w:r w:rsidRPr="00A07BE9">
        <w:rPr>
          <w:rFonts w:ascii="Open Sans" w:eastAsia="Times New Roman" w:hAnsi="Open Sans" w:cs="Open Sans"/>
          <w:b/>
          <w:bCs/>
          <w:sz w:val="20"/>
          <w:szCs w:val="20"/>
          <w:lang w:eastAsia="es-ES"/>
        </w:rPr>
        <w:t>Actos con participación de la Agencia</w:t>
      </w:r>
      <w:bookmarkEnd w:id="22"/>
    </w:p>
    <w:tbl>
      <w:tblPr>
        <w:tblW w:w="8565" w:type="dxa"/>
        <w:tblCellMar>
          <w:top w:w="28" w:type="dxa"/>
          <w:left w:w="0" w:type="dxa"/>
          <w:bottom w:w="28" w:type="dxa"/>
          <w:right w:w="0" w:type="dxa"/>
        </w:tblCellMar>
        <w:tblLook w:val="04A0" w:firstRow="1" w:lastRow="0" w:firstColumn="1" w:lastColumn="0" w:noHBand="0" w:noVBand="1"/>
      </w:tblPr>
      <w:tblGrid>
        <w:gridCol w:w="1844"/>
        <w:gridCol w:w="6613"/>
        <w:gridCol w:w="108"/>
      </w:tblGrid>
      <w:tr w:rsidR="000952B8" w:rsidRPr="00A07BE9" w14:paraId="59B5B7C5" w14:textId="77777777" w:rsidTr="000952B8">
        <w:trPr>
          <w:tblHeader/>
        </w:trPr>
        <w:tc>
          <w:tcPr>
            <w:tcW w:w="1844" w:type="dxa"/>
            <w:tcBorders>
              <w:top w:val="single" w:sz="6" w:space="0" w:color="993333"/>
              <w:bottom w:val="single" w:sz="6" w:space="0" w:color="993333"/>
            </w:tcBorders>
            <w:shd w:val="clear" w:color="auto" w:fill="993333"/>
          </w:tcPr>
          <w:p w14:paraId="1363EB36" w14:textId="77777777" w:rsidR="000952B8" w:rsidRPr="00A07BE9" w:rsidRDefault="000952B8" w:rsidP="000952B8">
            <w:pPr>
              <w:spacing w:after="0" w:line="288" w:lineRule="auto"/>
              <w:jc w:val="both"/>
              <w:rPr>
                <w:rFonts w:ascii="Open Sans" w:eastAsia="Calibri" w:hAnsi="Open Sans" w:cs="Open Sans"/>
                <w:sz w:val="20"/>
                <w:szCs w:val="20"/>
              </w:rPr>
            </w:pPr>
            <w:r w:rsidRPr="00A07BE9">
              <w:rPr>
                <w:rFonts w:ascii="Open Sans" w:eastAsia="Times New Roman" w:hAnsi="Open Sans" w:cs="Open Sans"/>
                <w:b/>
                <w:bCs/>
                <w:color w:val="FFFFFF"/>
                <w:sz w:val="20"/>
                <w:szCs w:val="20"/>
                <w:lang w:eastAsia="es-ES"/>
              </w:rPr>
              <w:t>Fecha</w:t>
            </w:r>
          </w:p>
        </w:tc>
        <w:tc>
          <w:tcPr>
            <w:tcW w:w="6721" w:type="dxa"/>
            <w:gridSpan w:val="2"/>
            <w:tcBorders>
              <w:top w:val="single" w:sz="6" w:space="0" w:color="993333"/>
              <w:left w:val="single" w:sz="8" w:space="0" w:color="993333"/>
              <w:bottom w:val="single" w:sz="6" w:space="0" w:color="993333"/>
            </w:tcBorders>
            <w:shd w:val="clear" w:color="auto" w:fill="993333"/>
            <w:tcMar>
              <w:left w:w="28" w:type="dxa"/>
            </w:tcMar>
          </w:tcPr>
          <w:p w14:paraId="7B43237F" w14:textId="77777777" w:rsidR="000952B8" w:rsidRPr="00A07BE9" w:rsidRDefault="000952B8" w:rsidP="000952B8">
            <w:pPr>
              <w:spacing w:after="0" w:line="288" w:lineRule="auto"/>
              <w:jc w:val="both"/>
              <w:rPr>
                <w:rFonts w:ascii="Open Sans" w:eastAsia="Times New Roman" w:hAnsi="Open Sans" w:cs="Open Sans"/>
                <w:b/>
                <w:bCs/>
                <w:color w:val="FFFFFF"/>
                <w:sz w:val="20"/>
                <w:szCs w:val="20"/>
                <w:lang w:eastAsia="es-ES"/>
              </w:rPr>
            </w:pPr>
            <w:r w:rsidRPr="00A07BE9">
              <w:rPr>
                <w:rFonts w:ascii="Open Sans" w:eastAsia="Times New Roman" w:hAnsi="Open Sans" w:cs="Open Sans"/>
                <w:b/>
                <w:bCs/>
                <w:color w:val="FFFFFF"/>
                <w:sz w:val="20"/>
                <w:szCs w:val="20"/>
                <w:lang w:eastAsia="es-ES"/>
              </w:rPr>
              <w:t xml:space="preserve">ACTIVIDAD/ </w:t>
            </w:r>
            <w:r w:rsidRPr="00A07BE9">
              <w:rPr>
                <w:rFonts w:ascii="Open Sans" w:eastAsia="Calibri" w:hAnsi="Open Sans" w:cs="Open Sans"/>
                <w:b/>
                <w:i/>
                <w:color w:val="FFFFFF"/>
                <w:sz w:val="20"/>
                <w:szCs w:val="20"/>
              </w:rPr>
              <w:t>Lugar</w:t>
            </w:r>
          </w:p>
        </w:tc>
      </w:tr>
      <w:tr w:rsidR="000952B8" w:rsidRPr="00A07BE9" w14:paraId="042D45BD" w14:textId="77777777" w:rsidTr="000952B8">
        <w:tc>
          <w:tcPr>
            <w:tcW w:w="1844" w:type="dxa"/>
            <w:tcBorders>
              <w:bottom w:val="single" w:sz="6" w:space="0" w:color="993333"/>
            </w:tcBorders>
            <w:shd w:val="clear" w:color="auto" w:fill="FFFFFF"/>
            <w:vAlign w:val="center"/>
          </w:tcPr>
          <w:p w14:paraId="2B57EB7E" w14:textId="77777777" w:rsidR="000952B8" w:rsidRPr="00A07BE9" w:rsidRDefault="000952B8" w:rsidP="000952B8">
            <w:pPr>
              <w:spacing w:after="0" w:line="288" w:lineRule="auto"/>
              <w:jc w:val="both"/>
              <w:rPr>
                <w:rFonts w:ascii="Open Sans" w:eastAsia="Times New Roman" w:hAnsi="Open Sans" w:cs="Open Sans"/>
                <w:sz w:val="20"/>
                <w:szCs w:val="20"/>
                <w:lang w:eastAsia="es-ES"/>
              </w:rPr>
            </w:pPr>
            <w:r w:rsidRPr="00A07BE9">
              <w:rPr>
                <w:rFonts w:ascii="Open Sans" w:eastAsia="Times New Roman" w:hAnsi="Open Sans" w:cs="Open Sans"/>
                <w:color w:val="000000"/>
                <w:sz w:val="20"/>
                <w:szCs w:val="20"/>
                <w:lang w:eastAsia="es-ES"/>
              </w:rPr>
              <w:t>13 de febrero</w:t>
            </w:r>
          </w:p>
        </w:tc>
        <w:tc>
          <w:tcPr>
            <w:tcW w:w="6613" w:type="dxa"/>
            <w:tcBorders>
              <w:bottom w:val="single" w:sz="6" w:space="0" w:color="993333"/>
            </w:tcBorders>
            <w:shd w:val="clear" w:color="auto" w:fill="FFFFFF"/>
          </w:tcPr>
          <w:p w14:paraId="66F1FBF7" w14:textId="77777777" w:rsidR="000952B8" w:rsidRPr="00A07BE9" w:rsidRDefault="000952B8" w:rsidP="000952B8">
            <w:pPr>
              <w:spacing w:before="40" w:after="4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Fundación Etnor.</w:t>
            </w:r>
            <w:r w:rsidRPr="00A07BE9">
              <w:rPr>
                <w:rFonts w:ascii="Open Sans" w:eastAsia="Times New Roman" w:hAnsi="Open Sans" w:cs="Open Sans"/>
                <w:i/>
                <w:sz w:val="20"/>
                <w:szCs w:val="20"/>
                <w:lang w:eastAsia="es-ES"/>
              </w:rPr>
              <w:t xml:space="preserve"> </w:t>
            </w:r>
            <w:r w:rsidRPr="00A07BE9">
              <w:rPr>
                <w:rFonts w:ascii="Open Sans" w:eastAsia="Times New Roman" w:hAnsi="Open Sans" w:cs="Open Sans"/>
                <w:sz w:val="20"/>
                <w:szCs w:val="20"/>
                <w:lang w:eastAsia="es-ES"/>
              </w:rPr>
              <w:t>València</w:t>
            </w:r>
          </w:p>
          <w:p w14:paraId="6C5C1F99" w14:textId="10345803" w:rsidR="000952B8" w:rsidRPr="00A07BE9" w:rsidRDefault="000952B8" w:rsidP="000952B8">
            <w:pPr>
              <w:spacing w:before="40" w:after="4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XXVIII Seminario de Ética Económica y Empresarial, conferencia del ingeniero de sistemas Hervé Falciani con la ponencia </w:t>
            </w:r>
            <w:r w:rsidRPr="00A07BE9">
              <w:rPr>
                <w:rFonts w:ascii="Open Sans" w:eastAsia="Times New Roman" w:hAnsi="Open Sans" w:cs="Open Sans"/>
                <w:i/>
                <w:iCs/>
                <w:color w:val="000000"/>
                <w:sz w:val="20"/>
                <w:szCs w:val="20"/>
                <w:lang w:eastAsia="es-ES"/>
              </w:rPr>
              <w:t>Tecnología de la Triangulación de los pagos: el mejor aliado contra el fraude</w:t>
            </w:r>
            <w:r w:rsidRPr="00A07BE9">
              <w:rPr>
                <w:rFonts w:ascii="Open Sans" w:eastAsia="Times New Roman" w:hAnsi="Open Sans" w:cs="Open Sans"/>
                <w:color w:val="000000"/>
                <w:sz w:val="20"/>
                <w:szCs w:val="20"/>
                <w:lang w:eastAsia="es-ES"/>
              </w:rPr>
              <w:t>.</w:t>
            </w:r>
          </w:p>
        </w:tc>
        <w:tc>
          <w:tcPr>
            <w:tcW w:w="108" w:type="dxa"/>
            <w:shd w:val="clear" w:color="auto" w:fill="auto"/>
          </w:tcPr>
          <w:p w14:paraId="25352DDD" w14:textId="77777777" w:rsidR="000952B8" w:rsidRPr="00A07BE9" w:rsidRDefault="000952B8" w:rsidP="000952B8">
            <w:pPr>
              <w:spacing w:before="40" w:after="40" w:line="276" w:lineRule="auto"/>
              <w:rPr>
                <w:rFonts w:ascii="Open Sans" w:eastAsia="Calibri" w:hAnsi="Open Sans" w:cs="Open Sans"/>
                <w:sz w:val="20"/>
                <w:szCs w:val="20"/>
              </w:rPr>
            </w:pPr>
          </w:p>
        </w:tc>
      </w:tr>
      <w:tr w:rsidR="000952B8" w:rsidRPr="00A07BE9" w14:paraId="097789BD" w14:textId="77777777" w:rsidTr="000952B8">
        <w:tc>
          <w:tcPr>
            <w:tcW w:w="1844" w:type="dxa"/>
            <w:tcBorders>
              <w:bottom w:val="single" w:sz="6" w:space="0" w:color="993333"/>
            </w:tcBorders>
            <w:shd w:val="clear" w:color="auto" w:fill="FFFFFF"/>
            <w:tcMar>
              <w:top w:w="0" w:type="dxa"/>
            </w:tcMar>
            <w:vAlign w:val="center"/>
          </w:tcPr>
          <w:p w14:paraId="57D91DF4" w14:textId="77777777" w:rsidR="000952B8" w:rsidRPr="00A07BE9" w:rsidRDefault="000952B8" w:rsidP="000952B8">
            <w:pPr>
              <w:spacing w:after="0" w:line="288" w:lineRule="auto"/>
              <w:jc w:val="both"/>
              <w:rPr>
                <w:rFonts w:ascii="Open Sans" w:eastAsia="Times New Roman" w:hAnsi="Open Sans" w:cs="Open Sans"/>
                <w:sz w:val="20"/>
                <w:szCs w:val="20"/>
                <w:lang w:eastAsia="es-ES"/>
              </w:rPr>
            </w:pPr>
            <w:r w:rsidRPr="00A07BE9">
              <w:rPr>
                <w:rFonts w:ascii="Open Sans" w:eastAsia="Times New Roman" w:hAnsi="Open Sans" w:cs="Open Sans"/>
                <w:color w:val="000000"/>
                <w:sz w:val="20"/>
                <w:szCs w:val="20"/>
                <w:lang w:eastAsia="es-ES"/>
              </w:rPr>
              <w:t>8 de abril</w:t>
            </w:r>
          </w:p>
        </w:tc>
        <w:tc>
          <w:tcPr>
            <w:tcW w:w="6721" w:type="dxa"/>
            <w:gridSpan w:val="2"/>
            <w:tcBorders>
              <w:bottom w:val="single" w:sz="6" w:space="0" w:color="993333"/>
            </w:tcBorders>
            <w:shd w:val="clear" w:color="auto" w:fill="auto"/>
            <w:tcMar>
              <w:top w:w="0" w:type="dxa"/>
            </w:tcMar>
          </w:tcPr>
          <w:p w14:paraId="3F5EFF9E" w14:textId="77777777" w:rsidR="000952B8" w:rsidRPr="00A07BE9" w:rsidRDefault="000952B8" w:rsidP="000952B8">
            <w:pPr>
              <w:spacing w:before="40" w:after="4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Observatorio Ciudadano Contra la Corrupción. </w:t>
            </w:r>
            <w:r w:rsidRPr="00A07BE9">
              <w:rPr>
                <w:rFonts w:ascii="Open Sans" w:eastAsia="Times New Roman" w:hAnsi="Open Sans" w:cs="Open Sans"/>
                <w:i/>
                <w:sz w:val="20"/>
                <w:szCs w:val="20"/>
                <w:lang w:eastAsia="es-ES"/>
              </w:rPr>
              <w:t>València</w:t>
            </w:r>
          </w:p>
          <w:p w14:paraId="3A813268" w14:textId="0A285189" w:rsidR="000952B8" w:rsidRPr="00A07BE9" w:rsidRDefault="000952B8" w:rsidP="000952B8">
            <w:pPr>
              <w:spacing w:before="40" w:after="4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Presentación del nuevo cuaderno de la asociación titulado </w:t>
            </w:r>
            <w:r w:rsidRPr="00A07BE9">
              <w:rPr>
                <w:rFonts w:ascii="Open Sans" w:eastAsia="Times New Roman" w:hAnsi="Open Sans" w:cs="Open Sans"/>
                <w:i/>
                <w:iCs/>
                <w:color w:val="000000"/>
                <w:sz w:val="20"/>
                <w:szCs w:val="20"/>
                <w:lang w:eastAsia="es-ES"/>
              </w:rPr>
              <w:t>Caso Blasco: la ciudadanía contra la corrupción.</w:t>
            </w:r>
          </w:p>
        </w:tc>
      </w:tr>
      <w:tr w:rsidR="000952B8" w:rsidRPr="00A07BE9" w14:paraId="67F55847" w14:textId="77777777" w:rsidTr="000952B8">
        <w:tc>
          <w:tcPr>
            <w:tcW w:w="1844" w:type="dxa"/>
            <w:tcBorders>
              <w:bottom w:val="single" w:sz="6" w:space="0" w:color="993333"/>
            </w:tcBorders>
            <w:shd w:val="clear" w:color="auto" w:fill="FFFFFF"/>
            <w:tcMar>
              <w:top w:w="0" w:type="dxa"/>
            </w:tcMar>
            <w:vAlign w:val="center"/>
          </w:tcPr>
          <w:p w14:paraId="49EBD5DA" w14:textId="77777777" w:rsidR="000952B8" w:rsidRPr="00A07BE9" w:rsidRDefault="000952B8" w:rsidP="000952B8">
            <w:pPr>
              <w:spacing w:after="0" w:line="288"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12 de abril</w:t>
            </w:r>
          </w:p>
        </w:tc>
        <w:tc>
          <w:tcPr>
            <w:tcW w:w="6721" w:type="dxa"/>
            <w:gridSpan w:val="2"/>
            <w:tcBorders>
              <w:bottom w:val="single" w:sz="6" w:space="0" w:color="993333"/>
            </w:tcBorders>
            <w:shd w:val="clear" w:color="auto" w:fill="auto"/>
            <w:tcMar>
              <w:top w:w="0" w:type="dxa"/>
            </w:tcMar>
          </w:tcPr>
          <w:p w14:paraId="7777DCE4" w14:textId="77777777" w:rsidR="000952B8" w:rsidRPr="00A07BE9" w:rsidRDefault="000952B8" w:rsidP="000952B8">
            <w:pPr>
              <w:spacing w:before="40" w:after="40" w:line="276" w:lineRule="auto"/>
              <w:jc w:val="both"/>
              <w:rPr>
                <w:rFonts w:ascii="Calibri" w:eastAsia="Calibri" w:hAnsi="Calibri" w:cs="Calibri"/>
                <w:sz w:val="20"/>
                <w:szCs w:val="20"/>
              </w:rPr>
            </w:pPr>
            <w:r w:rsidRPr="00A07BE9">
              <w:rPr>
                <w:rFonts w:ascii="Open Sans" w:eastAsia="Times New Roman" w:hAnsi="Open Sans" w:cs="Open Sans"/>
                <w:sz w:val="20"/>
                <w:szCs w:val="20"/>
                <w:lang w:eastAsia="es-ES"/>
              </w:rPr>
              <w:t>Universidad CEU-Cardenal Herrera.</w:t>
            </w:r>
            <w:r w:rsidRPr="00A07BE9">
              <w:rPr>
                <w:rFonts w:ascii="Open Sans" w:eastAsia="Times New Roman" w:hAnsi="Open Sans" w:cs="Open Sans"/>
                <w:i/>
                <w:sz w:val="20"/>
                <w:szCs w:val="20"/>
                <w:lang w:eastAsia="es-ES"/>
              </w:rPr>
              <w:t xml:space="preserve"> </w:t>
            </w:r>
            <w:r w:rsidRPr="00A07BE9">
              <w:rPr>
                <w:rFonts w:ascii="Open Sans" w:eastAsia="Times New Roman" w:hAnsi="Open Sans" w:cs="Open Sans"/>
                <w:sz w:val="20"/>
                <w:szCs w:val="20"/>
                <w:lang w:eastAsia="es-ES"/>
              </w:rPr>
              <w:t>València</w:t>
            </w:r>
          </w:p>
          <w:p w14:paraId="4C6208B8" w14:textId="77777777" w:rsidR="000952B8" w:rsidRPr="00A07BE9" w:rsidRDefault="000952B8" w:rsidP="000952B8">
            <w:pPr>
              <w:spacing w:before="40" w:after="40" w:line="276" w:lineRule="auto"/>
              <w:jc w:val="both"/>
              <w:rPr>
                <w:rFonts w:ascii="Calibri" w:eastAsia="Calibri" w:hAnsi="Calibri" w:cs="Calibri"/>
                <w:sz w:val="20"/>
                <w:szCs w:val="20"/>
              </w:rPr>
            </w:pPr>
            <w:r w:rsidRPr="00A07BE9">
              <w:rPr>
                <w:rFonts w:ascii="Open Sans" w:eastAsia="Times New Roman" w:hAnsi="Open Sans" w:cs="Open Sans"/>
                <w:sz w:val="20"/>
                <w:szCs w:val="20"/>
                <w:lang w:eastAsia="es-ES"/>
              </w:rPr>
              <w:t xml:space="preserve">Acto de Entrega del Sello Infoparticipa a los Ayuntamientos de la Comunitat Valenciana merecedores en 2018. Este sello se otorga por el </w:t>
            </w:r>
            <w:hyperlink r:id="rId309">
              <w:r w:rsidRPr="00A07BE9">
                <w:rPr>
                  <w:rFonts w:ascii="Open Sans" w:eastAsia="Times New Roman" w:hAnsi="Open Sans" w:cs="Open Sans"/>
                  <w:color w:val="000080"/>
                  <w:sz w:val="20"/>
                  <w:szCs w:val="20"/>
                  <w:u w:val="single"/>
                  <w:lang w:eastAsia="es-ES"/>
                </w:rPr>
                <w:t>Mapa Infoparticipa</w:t>
              </w:r>
            </w:hyperlink>
            <w:r w:rsidRPr="00A07BE9">
              <w:rPr>
                <w:rFonts w:ascii="Open Sans" w:eastAsia="Times New Roman" w:hAnsi="Open Sans" w:cs="Open Sans"/>
                <w:color w:val="000080"/>
                <w:sz w:val="20"/>
                <w:szCs w:val="20"/>
                <w:lang w:eastAsia="es-ES"/>
              </w:rPr>
              <w:t xml:space="preserve"> </w:t>
            </w:r>
            <w:r w:rsidRPr="00A07BE9">
              <w:rPr>
                <w:rFonts w:ascii="Open Sans" w:eastAsia="Times New Roman" w:hAnsi="Open Sans" w:cs="Open Sans"/>
                <w:sz w:val="20"/>
                <w:szCs w:val="20"/>
                <w:lang w:eastAsia="es-ES"/>
              </w:rPr>
              <w:t>de la Universidad Autónoma de Barcelona, en colaboración con el Observatorio de Gobernanza, Transparencia y Responsabilidad Social Corporativa de la Universidad CEU-Cardenal Herrera.</w:t>
            </w:r>
          </w:p>
        </w:tc>
      </w:tr>
      <w:tr w:rsidR="000952B8" w:rsidRPr="00A07BE9" w14:paraId="48393C48" w14:textId="77777777" w:rsidTr="000952B8">
        <w:tc>
          <w:tcPr>
            <w:tcW w:w="1844" w:type="dxa"/>
            <w:tcBorders>
              <w:bottom w:val="single" w:sz="6" w:space="0" w:color="993333"/>
            </w:tcBorders>
            <w:shd w:val="clear" w:color="auto" w:fill="FFFFFF"/>
            <w:tcMar>
              <w:top w:w="0" w:type="dxa"/>
            </w:tcMar>
            <w:vAlign w:val="center"/>
          </w:tcPr>
          <w:p w14:paraId="4A48890A" w14:textId="77777777" w:rsidR="000952B8" w:rsidRPr="00A07BE9" w:rsidRDefault="000952B8" w:rsidP="000952B8">
            <w:pPr>
              <w:spacing w:after="0" w:line="288" w:lineRule="auto"/>
              <w:jc w:val="both"/>
              <w:rPr>
                <w:rFonts w:ascii="Open Sans" w:eastAsia="Times New Roman" w:hAnsi="Open Sans" w:cs="Open Sans"/>
                <w:sz w:val="20"/>
                <w:szCs w:val="20"/>
                <w:lang w:eastAsia="es-ES"/>
              </w:rPr>
            </w:pPr>
            <w:r w:rsidRPr="00A07BE9">
              <w:rPr>
                <w:rFonts w:ascii="Open Sans" w:eastAsia="Times New Roman" w:hAnsi="Open Sans" w:cs="Open Sans"/>
                <w:color w:val="000000"/>
                <w:sz w:val="20"/>
                <w:szCs w:val="20"/>
                <w:lang w:eastAsia="es-ES"/>
              </w:rPr>
              <w:t>4 de junio</w:t>
            </w:r>
          </w:p>
        </w:tc>
        <w:tc>
          <w:tcPr>
            <w:tcW w:w="6721" w:type="dxa"/>
            <w:gridSpan w:val="2"/>
            <w:tcBorders>
              <w:bottom w:val="single" w:sz="6" w:space="0" w:color="993333"/>
            </w:tcBorders>
            <w:shd w:val="clear" w:color="auto" w:fill="auto"/>
            <w:tcMar>
              <w:top w:w="0" w:type="dxa"/>
            </w:tcMar>
          </w:tcPr>
          <w:p w14:paraId="5BBE1807" w14:textId="77777777" w:rsidR="000952B8" w:rsidRPr="00A07BE9" w:rsidRDefault="000952B8" w:rsidP="000952B8">
            <w:pPr>
              <w:spacing w:before="40" w:after="4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Observatorio Ciudadano Contra la Corrupción. </w:t>
            </w:r>
            <w:r w:rsidRPr="00A07BE9">
              <w:rPr>
                <w:rFonts w:ascii="Open Sans" w:eastAsia="Times New Roman" w:hAnsi="Open Sans" w:cs="Open Sans"/>
                <w:sz w:val="20"/>
                <w:szCs w:val="20"/>
                <w:lang w:eastAsia="es-ES"/>
              </w:rPr>
              <w:t>València</w:t>
            </w:r>
          </w:p>
          <w:p w14:paraId="26ACA4C1" w14:textId="61C801F5" w:rsidR="000952B8" w:rsidRPr="00A07BE9" w:rsidRDefault="000952B8" w:rsidP="000952B8">
            <w:pPr>
              <w:spacing w:before="40" w:after="4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Acto en torno al cuaderno </w:t>
            </w:r>
            <w:r w:rsidRPr="00A07BE9">
              <w:rPr>
                <w:rFonts w:ascii="Open Sans" w:eastAsia="Times New Roman" w:hAnsi="Open Sans" w:cs="Open Sans"/>
                <w:i/>
                <w:color w:val="000000"/>
                <w:sz w:val="20"/>
                <w:szCs w:val="20"/>
                <w:lang w:eastAsia="es-ES"/>
              </w:rPr>
              <w:t>Caso Blasco: la ciudadanía contra la corrupción</w:t>
            </w:r>
          </w:p>
        </w:tc>
      </w:tr>
      <w:tr w:rsidR="000952B8" w:rsidRPr="00A07BE9" w14:paraId="020AC4C8" w14:textId="77777777" w:rsidTr="000952B8">
        <w:tc>
          <w:tcPr>
            <w:tcW w:w="1844" w:type="dxa"/>
            <w:tcBorders>
              <w:bottom w:val="single" w:sz="6" w:space="0" w:color="993333"/>
            </w:tcBorders>
            <w:shd w:val="clear" w:color="auto" w:fill="FFFFFF"/>
            <w:tcMar>
              <w:top w:w="0" w:type="dxa"/>
            </w:tcMar>
            <w:vAlign w:val="center"/>
          </w:tcPr>
          <w:p w14:paraId="56CA6A86" w14:textId="77777777" w:rsidR="000952B8" w:rsidRPr="00A07BE9" w:rsidRDefault="000952B8" w:rsidP="000952B8">
            <w:pPr>
              <w:spacing w:after="0" w:line="288"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26 de septiembre</w:t>
            </w:r>
          </w:p>
        </w:tc>
        <w:tc>
          <w:tcPr>
            <w:tcW w:w="6721" w:type="dxa"/>
            <w:gridSpan w:val="2"/>
            <w:tcBorders>
              <w:bottom w:val="single" w:sz="6" w:space="0" w:color="993333"/>
            </w:tcBorders>
            <w:shd w:val="clear" w:color="auto" w:fill="auto"/>
            <w:tcMar>
              <w:top w:w="0" w:type="dxa"/>
            </w:tcMar>
          </w:tcPr>
          <w:p w14:paraId="2E6584C0" w14:textId="77777777" w:rsidR="000952B8" w:rsidRPr="00A07BE9" w:rsidRDefault="000952B8" w:rsidP="000952B8">
            <w:pPr>
              <w:spacing w:before="40" w:after="4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Universitat de València, Cátedra DEBLANC. València</w:t>
            </w:r>
          </w:p>
          <w:p w14:paraId="07A28D13" w14:textId="77777777" w:rsidR="000952B8" w:rsidRPr="00A07BE9" w:rsidRDefault="00000000" w:rsidP="000952B8">
            <w:pPr>
              <w:spacing w:before="40" w:after="40" w:line="276" w:lineRule="auto"/>
              <w:jc w:val="both"/>
              <w:rPr>
                <w:rFonts w:ascii="Calibri" w:eastAsia="Calibri" w:hAnsi="Calibri" w:cs="Calibri"/>
                <w:sz w:val="20"/>
                <w:szCs w:val="20"/>
              </w:rPr>
            </w:pPr>
            <w:hyperlink r:id="rId310">
              <w:r w:rsidR="000952B8" w:rsidRPr="00A07BE9">
                <w:rPr>
                  <w:rFonts w:ascii="Open Sans" w:eastAsia="Times New Roman" w:hAnsi="Open Sans" w:cs="Open Sans"/>
                  <w:color w:val="000080"/>
                  <w:sz w:val="20"/>
                  <w:szCs w:val="20"/>
                  <w:u w:val="single"/>
                  <w:lang w:eastAsia="es-ES"/>
                </w:rPr>
                <w:t>II Jornadas sobre Delitos económicos y blanqueo de capitales</w:t>
              </w:r>
            </w:hyperlink>
            <w:r w:rsidR="000952B8" w:rsidRPr="00A07BE9">
              <w:rPr>
                <w:rFonts w:ascii="Open Sans" w:eastAsia="Times New Roman" w:hAnsi="Open Sans" w:cs="Open Sans"/>
                <w:color w:val="000080"/>
                <w:sz w:val="20"/>
                <w:szCs w:val="20"/>
                <w:u w:val="single"/>
                <w:lang w:eastAsia="es-ES"/>
              </w:rPr>
              <w:t>.</w:t>
            </w:r>
          </w:p>
        </w:tc>
      </w:tr>
    </w:tbl>
    <w:p w14:paraId="45665743" w14:textId="57C75A59" w:rsidR="00655953" w:rsidRDefault="00655953" w:rsidP="000952B8">
      <w:pPr>
        <w:spacing w:after="0" w:line="276" w:lineRule="auto"/>
        <w:jc w:val="both"/>
        <w:rPr>
          <w:rFonts w:ascii="Open Sans" w:eastAsia="Times New Roman" w:hAnsi="Open Sans" w:cs="Open Sans"/>
          <w:smallCaps/>
          <w:sz w:val="20"/>
          <w:szCs w:val="20"/>
          <w:lang w:eastAsia="es-ES"/>
        </w:rPr>
      </w:pPr>
    </w:p>
    <w:p w14:paraId="15E1E399" w14:textId="77777777" w:rsidR="00E70006" w:rsidRPr="00A07BE9" w:rsidRDefault="00E70006" w:rsidP="000952B8">
      <w:pPr>
        <w:spacing w:after="0" w:line="276" w:lineRule="auto"/>
        <w:jc w:val="both"/>
        <w:rPr>
          <w:rFonts w:ascii="Open Sans" w:eastAsia="Times New Roman" w:hAnsi="Open Sans" w:cs="Open Sans"/>
          <w:smallCaps/>
          <w:sz w:val="20"/>
          <w:szCs w:val="20"/>
          <w:lang w:eastAsia="es-ES"/>
        </w:rPr>
      </w:pPr>
    </w:p>
    <w:p w14:paraId="1A2DD3EA" w14:textId="77777777" w:rsidR="000952B8" w:rsidRPr="00A07BE9" w:rsidRDefault="000952B8" w:rsidP="000952B8">
      <w:pPr>
        <w:spacing w:after="0" w:line="276" w:lineRule="auto"/>
        <w:jc w:val="both"/>
        <w:rPr>
          <w:rFonts w:ascii="Open Sans" w:eastAsia="Times New Roman" w:hAnsi="Open Sans" w:cs="Open Sans"/>
          <w:b/>
          <w:bCs/>
          <w:smallCaps/>
          <w:color w:val="94070A"/>
          <w:sz w:val="32"/>
          <w:szCs w:val="32"/>
          <w:lang w:eastAsia="es-ES"/>
        </w:rPr>
      </w:pPr>
      <w:r w:rsidRPr="00A07BE9">
        <w:rPr>
          <w:rFonts w:ascii="Open Sans" w:eastAsia="Times New Roman" w:hAnsi="Open Sans" w:cs="Open Sans"/>
          <w:b/>
          <w:bCs/>
          <w:smallCaps/>
          <w:color w:val="94070A"/>
          <w:sz w:val="32"/>
          <w:szCs w:val="32"/>
          <w:lang w:eastAsia="es-ES"/>
        </w:rPr>
        <w:t>5.6. Conferencias impartidas</w:t>
      </w:r>
    </w:p>
    <w:p w14:paraId="6B2773E0" w14:textId="77777777" w:rsidR="000952B8" w:rsidRPr="00A07BE9" w:rsidRDefault="000952B8" w:rsidP="000952B8">
      <w:pPr>
        <w:spacing w:after="0" w:line="276" w:lineRule="auto"/>
        <w:jc w:val="both"/>
        <w:rPr>
          <w:rFonts w:ascii="Open Sans" w:eastAsia="Times New Roman" w:hAnsi="Open Sans" w:cs="Open Sans"/>
          <w:smallCaps/>
          <w:sz w:val="20"/>
          <w:szCs w:val="20"/>
          <w:lang w:eastAsia="es-ES"/>
        </w:rPr>
      </w:pPr>
    </w:p>
    <w:p w14:paraId="6395373B" w14:textId="77777777" w:rsidR="000952B8" w:rsidRPr="00A07BE9" w:rsidRDefault="000952B8" w:rsidP="000952B8">
      <w:pPr>
        <w:spacing w:after="0" w:line="276" w:lineRule="auto"/>
        <w:jc w:val="both"/>
        <w:rPr>
          <w:rFonts w:ascii="Calibri" w:eastAsia="Calibri" w:hAnsi="Calibri" w:cs="Calibri"/>
          <w:sz w:val="20"/>
          <w:szCs w:val="20"/>
        </w:rPr>
      </w:pPr>
      <w:r w:rsidRPr="00A07BE9">
        <w:rPr>
          <w:rFonts w:ascii="Open Sans" w:eastAsia="Times New Roman" w:hAnsi="Open Sans" w:cs="Open Sans"/>
          <w:sz w:val="20"/>
          <w:szCs w:val="20"/>
          <w:lang w:eastAsia="es-ES"/>
        </w:rPr>
        <w:t>Asimismo, el director de la Agencia ha pronunciado numerosas conferencias a lo largo de 2019. Las conferencias han tenido lugar tanto en la Comunitat Valenciana como en el resto de España, todas ellas referidas a la prevención y erradicación del fraude y la corrupción, el impulso de la integridad y la ética pública, el fomento de una cultura de buenas prácticas en el diseño, y la ejecución y la evaluación de políticas públicas y de la gestión de recursos públicos, que son los ejes fundamentales de la actuación de esta Agencia.</w:t>
      </w:r>
    </w:p>
    <w:p w14:paraId="6E74D123"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12880B7A"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Todas estas actividades las ha llevado a cabo el director de la Agencia en ejercicio de su cargo y, por tanto, sin recibir ningún tipo de contraprestación económica.</w:t>
      </w:r>
    </w:p>
    <w:p w14:paraId="082D0032"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416D2C78" w14:textId="74511260" w:rsidR="000952B8" w:rsidRPr="00A07BE9" w:rsidRDefault="000952B8" w:rsidP="000952B8">
      <w:pPr>
        <w:spacing w:after="0" w:line="276" w:lineRule="auto"/>
        <w:jc w:val="both"/>
        <w:rPr>
          <w:rFonts w:ascii="Open Sans" w:eastAsia="Times New Roman" w:hAnsi="Open Sans" w:cs="Open Sans"/>
          <w:b/>
          <w:bCs/>
          <w:sz w:val="20"/>
          <w:szCs w:val="20"/>
          <w:lang w:eastAsia="es-ES"/>
        </w:rPr>
      </w:pPr>
      <w:r w:rsidRPr="00A07BE9">
        <w:rPr>
          <w:rFonts w:ascii="Open Sans" w:eastAsia="Times New Roman" w:hAnsi="Open Sans" w:cs="Open Sans"/>
          <w:b/>
          <w:bCs/>
          <w:color w:val="993333"/>
          <w:sz w:val="20"/>
          <w:szCs w:val="20"/>
          <w:lang w:eastAsia="es-ES"/>
        </w:rPr>
        <w:t xml:space="preserve">Taula </w:t>
      </w:r>
      <w:r w:rsidR="00E671DC" w:rsidRPr="00A07BE9">
        <w:rPr>
          <w:rFonts w:ascii="Open Sans" w:eastAsia="Times New Roman" w:hAnsi="Open Sans" w:cs="Open Sans"/>
          <w:b/>
          <w:bCs/>
          <w:color w:val="993333"/>
          <w:sz w:val="20"/>
          <w:szCs w:val="20"/>
          <w:lang w:eastAsia="es-ES"/>
        </w:rPr>
        <w:t>1</w:t>
      </w:r>
      <w:r w:rsidR="00640AAC" w:rsidRPr="00A07BE9">
        <w:rPr>
          <w:rFonts w:ascii="Open Sans" w:eastAsia="Times New Roman" w:hAnsi="Open Sans" w:cs="Open Sans"/>
          <w:b/>
          <w:bCs/>
          <w:color w:val="993333"/>
          <w:sz w:val="20"/>
          <w:szCs w:val="20"/>
          <w:lang w:eastAsia="es-ES"/>
        </w:rPr>
        <w:t>4</w:t>
      </w:r>
      <w:r w:rsidRPr="00A07BE9">
        <w:rPr>
          <w:rFonts w:ascii="Open Sans" w:eastAsia="Times New Roman" w:hAnsi="Open Sans" w:cs="Open Sans"/>
          <w:b/>
          <w:bCs/>
          <w:color w:val="993333"/>
          <w:sz w:val="20"/>
          <w:szCs w:val="20"/>
          <w:lang w:eastAsia="es-ES"/>
        </w:rPr>
        <w:t>.</w:t>
      </w:r>
      <w:r w:rsidRPr="00A07BE9">
        <w:rPr>
          <w:rFonts w:ascii="Open Sans" w:eastAsia="Times New Roman" w:hAnsi="Open Sans" w:cs="Open Sans"/>
          <w:sz w:val="20"/>
          <w:szCs w:val="20"/>
          <w:lang w:eastAsia="es-ES"/>
        </w:rPr>
        <w:t xml:space="preserve"> </w:t>
      </w:r>
      <w:r w:rsidRPr="00A07BE9">
        <w:rPr>
          <w:rFonts w:ascii="Open Sans" w:eastAsia="Times New Roman" w:hAnsi="Open Sans" w:cs="Open Sans"/>
          <w:b/>
          <w:bCs/>
          <w:sz w:val="20"/>
          <w:szCs w:val="20"/>
          <w:lang w:eastAsia="es-ES"/>
        </w:rPr>
        <w:t>Conferencias impartidas por la Agencia</w:t>
      </w:r>
    </w:p>
    <w:tbl>
      <w:tblPr>
        <w:tblW w:w="8460" w:type="dxa"/>
        <w:tblCellMar>
          <w:left w:w="0" w:type="dxa"/>
          <w:bottom w:w="28" w:type="dxa"/>
          <w:right w:w="0" w:type="dxa"/>
        </w:tblCellMar>
        <w:tblLook w:val="04A0" w:firstRow="1" w:lastRow="0" w:firstColumn="1" w:lastColumn="0" w:noHBand="0" w:noVBand="1"/>
      </w:tblPr>
      <w:tblGrid>
        <w:gridCol w:w="1843"/>
        <w:gridCol w:w="6617"/>
      </w:tblGrid>
      <w:tr w:rsidR="000952B8" w:rsidRPr="00A07BE9" w14:paraId="1698C521" w14:textId="77777777" w:rsidTr="00F851FB">
        <w:trPr>
          <w:tblHeader/>
        </w:trPr>
        <w:tc>
          <w:tcPr>
            <w:tcW w:w="1843" w:type="dxa"/>
            <w:tcBorders>
              <w:bottom w:val="single" w:sz="6" w:space="0" w:color="993333"/>
            </w:tcBorders>
            <w:shd w:val="clear" w:color="auto" w:fill="993333"/>
            <w:vAlign w:val="center"/>
          </w:tcPr>
          <w:p w14:paraId="5698102F" w14:textId="77777777" w:rsidR="000952B8" w:rsidRPr="00A07BE9" w:rsidRDefault="000952B8" w:rsidP="000952B8">
            <w:pPr>
              <w:spacing w:after="0" w:line="288" w:lineRule="auto"/>
              <w:jc w:val="both"/>
              <w:rPr>
                <w:rFonts w:ascii="Open Sans" w:eastAsia="Times New Roman" w:hAnsi="Open Sans" w:cs="Open Sans"/>
                <w:sz w:val="19"/>
                <w:szCs w:val="19"/>
                <w:lang w:eastAsia="es-ES"/>
              </w:rPr>
            </w:pPr>
            <w:r w:rsidRPr="00A07BE9">
              <w:rPr>
                <w:rFonts w:ascii="Open Sans" w:eastAsia="Times New Roman" w:hAnsi="Open Sans" w:cs="Open Sans"/>
                <w:b/>
                <w:bCs/>
                <w:color w:val="FFFFFF"/>
                <w:sz w:val="19"/>
                <w:szCs w:val="19"/>
                <w:lang w:eastAsia="es-ES"/>
              </w:rPr>
              <w:t>Fecha</w:t>
            </w:r>
          </w:p>
        </w:tc>
        <w:tc>
          <w:tcPr>
            <w:tcW w:w="6617" w:type="dxa"/>
            <w:tcBorders>
              <w:bottom w:val="single" w:sz="6" w:space="0" w:color="993333"/>
            </w:tcBorders>
            <w:shd w:val="clear" w:color="auto" w:fill="993333"/>
          </w:tcPr>
          <w:p w14:paraId="22B1B5D1" w14:textId="77777777" w:rsidR="000952B8" w:rsidRPr="00A07BE9" w:rsidRDefault="000952B8" w:rsidP="000952B8">
            <w:pPr>
              <w:spacing w:after="0" w:line="288" w:lineRule="auto"/>
              <w:jc w:val="both"/>
              <w:rPr>
                <w:rFonts w:ascii="Open Sans" w:eastAsia="Times New Roman" w:hAnsi="Open Sans" w:cs="Open Sans"/>
                <w:b/>
                <w:bCs/>
                <w:color w:val="FFFFFF"/>
                <w:sz w:val="19"/>
                <w:szCs w:val="19"/>
                <w:lang w:eastAsia="es-ES"/>
              </w:rPr>
            </w:pPr>
            <w:r w:rsidRPr="00A07BE9">
              <w:rPr>
                <w:rFonts w:ascii="Open Sans" w:eastAsia="Times New Roman" w:hAnsi="Open Sans" w:cs="Open Sans"/>
                <w:b/>
                <w:bCs/>
                <w:color w:val="FFFFFF"/>
                <w:sz w:val="19"/>
                <w:szCs w:val="19"/>
                <w:lang w:eastAsia="es-ES"/>
              </w:rPr>
              <w:t>ACTIVIDAD/</w:t>
            </w:r>
            <w:r w:rsidRPr="00A07BE9">
              <w:rPr>
                <w:rFonts w:ascii="Open Sans" w:eastAsia="Times New Roman" w:hAnsi="Open Sans" w:cs="Open Sans"/>
                <w:b/>
                <w:i/>
                <w:color w:val="FFFFFF"/>
                <w:sz w:val="19"/>
                <w:szCs w:val="19"/>
                <w:lang w:eastAsia="es-ES"/>
              </w:rPr>
              <w:t>Lugar</w:t>
            </w:r>
          </w:p>
        </w:tc>
      </w:tr>
      <w:tr w:rsidR="000952B8" w:rsidRPr="00A07BE9" w14:paraId="2CB6D4F4" w14:textId="77777777" w:rsidTr="00F851FB">
        <w:tc>
          <w:tcPr>
            <w:tcW w:w="1843" w:type="dxa"/>
            <w:tcBorders>
              <w:bottom w:val="single" w:sz="6" w:space="0" w:color="993333"/>
            </w:tcBorders>
            <w:shd w:val="clear" w:color="auto" w:fill="FFFFFF"/>
            <w:vAlign w:val="center"/>
          </w:tcPr>
          <w:p w14:paraId="7DCF5149" w14:textId="77777777" w:rsidR="000952B8" w:rsidRPr="00A07BE9" w:rsidRDefault="000952B8" w:rsidP="000952B8">
            <w:pPr>
              <w:spacing w:after="0" w:line="288" w:lineRule="auto"/>
              <w:jc w:val="both"/>
              <w:rPr>
                <w:rFonts w:ascii="Open Sans" w:eastAsia="Times New Roman" w:hAnsi="Open Sans" w:cs="Open Sans"/>
                <w:sz w:val="19"/>
                <w:szCs w:val="19"/>
                <w:lang w:eastAsia="es-ES"/>
              </w:rPr>
            </w:pPr>
            <w:r w:rsidRPr="00A07BE9">
              <w:rPr>
                <w:rFonts w:ascii="Open Sans" w:eastAsia="Times New Roman" w:hAnsi="Open Sans" w:cs="Open Sans"/>
                <w:color w:val="000000"/>
                <w:sz w:val="19"/>
                <w:szCs w:val="19"/>
                <w:lang w:eastAsia="es-ES"/>
              </w:rPr>
              <w:t>25 de enero</w:t>
            </w:r>
          </w:p>
        </w:tc>
        <w:tc>
          <w:tcPr>
            <w:tcW w:w="6617" w:type="dxa"/>
            <w:tcBorders>
              <w:bottom w:val="single" w:sz="6" w:space="0" w:color="993333"/>
            </w:tcBorders>
            <w:shd w:val="clear" w:color="auto" w:fill="FFFFFF"/>
          </w:tcPr>
          <w:p w14:paraId="156E569B" w14:textId="77777777" w:rsidR="000952B8" w:rsidRPr="00A07BE9" w:rsidRDefault="000952B8" w:rsidP="000952B8">
            <w:pPr>
              <w:spacing w:after="0" w:line="276" w:lineRule="auto"/>
              <w:jc w:val="both"/>
              <w:rPr>
                <w:rFonts w:ascii="Calibri" w:eastAsia="Calibri" w:hAnsi="Calibri" w:cs="Calibri"/>
                <w:sz w:val="19"/>
                <w:szCs w:val="19"/>
              </w:rPr>
            </w:pPr>
            <w:r w:rsidRPr="00A07BE9">
              <w:rPr>
                <w:rFonts w:ascii="Open Sans" w:eastAsia="Times New Roman" w:hAnsi="Open Sans" w:cs="Open Sans"/>
                <w:sz w:val="19"/>
                <w:szCs w:val="19"/>
                <w:lang w:eastAsia="es-ES"/>
              </w:rPr>
              <w:t>Universidad CEU – Cardenal Herrera (València)</w:t>
            </w:r>
          </w:p>
          <w:p w14:paraId="44FD402A" w14:textId="77777777" w:rsidR="000952B8" w:rsidRPr="00A07BE9" w:rsidRDefault="000952B8" w:rsidP="000952B8">
            <w:pPr>
              <w:spacing w:after="0" w:line="276" w:lineRule="auto"/>
              <w:jc w:val="both"/>
              <w:rPr>
                <w:rFonts w:ascii="Open Sans" w:eastAsia="Times New Roman" w:hAnsi="Open Sans" w:cs="Open Sans"/>
                <w:sz w:val="19"/>
                <w:szCs w:val="19"/>
                <w:lang w:eastAsia="es-ES"/>
              </w:rPr>
            </w:pPr>
            <w:r w:rsidRPr="00A07BE9">
              <w:rPr>
                <w:rFonts w:ascii="Open Sans" w:eastAsia="Times New Roman" w:hAnsi="Open Sans" w:cs="Open Sans"/>
                <w:b/>
                <w:bCs/>
                <w:sz w:val="19"/>
                <w:szCs w:val="19"/>
                <w:lang w:eastAsia="es-ES"/>
              </w:rPr>
              <w:t>La prevención de la corrupción. Algunos aspectos de interés</w:t>
            </w:r>
          </w:p>
          <w:p w14:paraId="42936C84" w14:textId="08A1F61E" w:rsidR="000952B8" w:rsidRPr="00A07BE9" w:rsidRDefault="000952B8" w:rsidP="000952B8">
            <w:pPr>
              <w:spacing w:after="0" w:line="276" w:lineRule="auto"/>
              <w:jc w:val="both"/>
              <w:rPr>
                <w:rFonts w:ascii="Calibri" w:eastAsia="Calibri" w:hAnsi="Calibri" w:cs="Calibri"/>
                <w:sz w:val="19"/>
                <w:szCs w:val="19"/>
              </w:rPr>
            </w:pPr>
            <w:r w:rsidRPr="00A07BE9">
              <w:rPr>
                <w:rFonts w:ascii="Open Sans" w:eastAsia="Times New Roman" w:hAnsi="Open Sans" w:cs="Open Sans"/>
                <w:sz w:val="19"/>
                <w:szCs w:val="19"/>
                <w:lang w:eastAsia="es-ES"/>
              </w:rPr>
              <w:t xml:space="preserve">En el marco del </w:t>
            </w:r>
            <w:hyperlink r:id="rId311">
              <w:r w:rsidRPr="00A07BE9">
                <w:rPr>
                  <w:rFonts w:ascii="Open Sans" w:eastAsia="Times New Roman" w:hAnsi="Open Sans" w:cs="Open Sans"/>
                  <w:color w:val="000080"/>
                  <w:sz w:val="19"/>
                  <w:szCs w:val="19"/>
                  <w:u w:val="single"/>
                  <w:lang w:eastAsia="es-ES"/>
                </w:rPr>
                <w:t>III Congreso Internacional sobre calidad democrática, buen gobierno y lucha contra la corrupción</w:t>
              </w:r>
            </w:hyperlink>
            <w:r w:rsidRPr="00A07BE9">
              <w:rPr>
                <w:rFonts w:ascii="Open Sans" w:eastAsia="Times New Roman" w:hAnsi="Open Sans" w:cs="Open Sans"/>
                <w:sz w:val="19"/>
                <w:szCs w:val="19"/>
                <w:lang w:eastAsia="es-ES"/>
              </w:rPr>
              <w:t xml:space="preserve">, el director de la Agencia intervino en </w:t>
            </w:r>
            <w:r w:rsidRPr="00A07BE9">
              <w:rPr>
                <w:rFonts w:ascii="Open Sans" w:eastAsia="Times New Roman" w:hAnsi="Open Sans" w:cs="Open Sans"/>
                <w:sz w:val="19"/>
                <w:szCs w:val="19"/>
                <w:lang w:eastAsia="es-ES"/>
              </w:rPr>
              <w:lastRenderedPageBreak/>
              <w:t xml:space="preserve">la mesa redonda del día 25, titulada </w:t>
            </w:r>
            <w:r w:rsidRPr="00A07BE9">
              <w:rPr>
                <w:rFonts w:ascii="Open Sans" w:eastAsia="Times New Roman" w:hAnsi="Open Sans" w:cs="Open Sans"/>
                <w:i/>
                <w:sz w:val="19"/>
                <w:szCs w:val="19"/>
                <w:lang w:eastAsia="es-ES"/>
              </w:rPr>
              <w:t>La prevención de la corrupción. Algunos aspectos de interés</w:t>
            </w:r>
            <w:r w:rsidRPr="00A07BE9">
              <w:rPr>
                <w:rFonts w:ascii="Open Sans" w:eastAsia="Times New Roman" w:hAnsi="Open Sans" w:cs="Open Sans"/>
                <w:sz w:val="19"/>
                <w:szCs w:val="19"/>
                <w:lang w:eastAsia="es-ES"/>
              </w:rPr>
              <w:t>, moderada por Juan Carlos Galindo (presidente de ASEBLAC), con la participación de Beatriz Larriba (Abogada penalista en Public Compliance. Despacho Navarrés Larriba) y Adolfo Latorre (Inspector Jefe de la Policía Nacional).</w:t>
            </w:r>
          </w:p>
        </w:tc>
      </w:tr>
      <w:tr w:rsidR="000952B8" w:rsidRPr="00A07BE9" w14:paraId="67A5F0DE" w14:textId="77777777" w:rsidTr="00F851FB">
        <w:tc>
          <w:tcPr>
            <w:tcW w:w="1843" w:type="dxa"/>
            <w:tcBorders>
              <w:bottom w:val="single" w:sz="8" w:space="0" w:color="993333"/>
            </w:tcBorders>
            <w:shd w:val="clear" w:color="auto" w:fill="FFFFFF"/>
            <w:vAlign w:val="center"/>
          </w:tcPr>
          <w:p w14:paraId="7D1455AD" w14:textId="77777777" w:rsidR="000952B8" w:rsidRPr="00A07BE9" w:rsidRDefault="000952B8" w:rsidP="000952B8">
            <w:pPr>
              <w:spacing w:after="0" w:line="288" w:lineRule="auto"/>
              <w:jc w:val="both"/>
              <w:rPr>
                <w:rFonts w:ascii="Calibri" w:eastAsia="Calibri" w:hAnsi="Calibri" w:cs="Calibri"/>
                <w:sz w:val="19"/>
                <w:szCs w:val="19"/>
              </w:rPr>
            </w:pPr>
            <w:r w:rsidRPr="00A07BE9">
              <w:rPr>
                <w:rFonts w:ascii="Open Sans" w:eastAsia="Times New Roman" w:hAnsi="Open Sans" w:cs="Open Sans"/>
                <w:color w:val="000000"/>
                <w:sz w:val="19"/>
                <w:szCs w:val="19"/>
                <w:lang w:eastAsia="es-ES"/>
              </w:rPr>
              <w:lastRenderedPageBreak/>
              <w:t>13 de marzo</w:t>
            </w:r>
          </w:p>
        </w:tc>
        <w:tc>
          <w:tcPr>
            <w:tcW w:w="6617" w:type="dxa"/>
            <w:tcBorders>
              <w:bottom w:val="single" w:sz="8" w:space="0" w:color="993333"/>
            </w:tcBorders>
            <w:shd w:val="clear" w:color="auto" w:fill="FFFFFF"/>
          </w:tcPr>
          <w:p w14:paraId="1027C12A" w14:textId="77777777" w:rsidR="000952B8" w:rsidRPr="00A07BE9" w:rsidRDefault="000952B8" w:rsidP="000952B8">
            <w:pPr>
              <w:spacing w:after="0" w:line="276" w:lineRule="auto"/>
              <w:jc w:val="both"/>
              <w:rPr>
                <w:rFonts w:ascii="Calibri" w:eastAsia="Calibri" w:hAnsi="Calibri" w:cs="Calibri"/>
                <w:sz w:val="19"/>
                <w:szCs w:val="19"/>
              </w:rPr>
            </w:pPr>
            <w:r w:rsidRPr="00A07BE9">
              <w:rPr>
                <w:rFonts w:ascii="Open Sans" w:eastAsia="Times New Roman" w:hAnsi="Open Sans" w:cs="Open Sans"/>
                <w:sz w:val="19"/>
                <w:szCs w:val="19"/>
                <w:lang w:eastAsia="es-ES"/>
              </w:rPr>
              <w:t>Comisión Nacional de los Mercados y de la Competencia (Madrid)</w:t>
            </w:r>
          </w:p>
          <w:p w14:paraId="602A30B6" w14:textId="77777777" w:rsidR="000952B8" w:rsidRPr="00A07BE9" w:rsidRDefault="000952B8" w:rsidP="000952B8">
            <w:pPr>
              <w:spacing w:after="0" w:line="276" w:lineRule="auto"/>
              <w:jc w:val="both"/>
              <w:rPr>
                <w:rFonts w:ascii="Open Sans" w:eastAsia="Times New Roman" w:hAnsi="Open Sans" w:cs="Open Sans"/>
                <w:b/>
                <w:bCs/>
                <w:sz w:val="19"/>
                <w:szCs w:val="19"/>
                <w:lang w:eastAsia="es-ES"/>
              </w:rPr>
            </w:pPr>
            <w:r w:rsidRPr="00A07BE9">
              <w:rPr>
                <w:rFonts w:ascii="Open Sans" w:eastAsia="Times New Roman" w:hAnsi="Open Sans" w:cs="Open Sans"/>
                <w:b/>
                <w:bCs/>
                <w:sz w:val="19"/>
                <w:szCs w:val="19"/>
                <w:lang w:eastAsia="es-ES"/>
              </w:rPr>
              <w:t>En busca de la protección del denunciante</w:t>
            </w:r>
          </w:p>
          <w:p w14:paraId="4D9BA8C2" w14:textId="275AADA9" w:rsidR="000952B8" w:rsidRPr="00A07BE9" w:rsidRDefault="00000000" w:rsidP="000952B8">
            <w:pPr>
              <w:spacing w:after="0" w:line="276" w:lineRule="auto"/>
              <w:jc w:val="both"/>
              <w:rPr>
                <w:rFonts w:ascii="Calibri" w:eastAsia="Calibri" w:hAnsi="Calibri" w:cs="Calibri"/>
                <w:sz w:val="19"/>
                <w:szCs w:val="19"/>
              </w:rPr>
            </w:pPr>
            <w:hyperlink r:id="rId312">
              <w:r w:rsidR="000952B8" w:rsidRPr="00A07BE9">
                <w:rPr>
                  <w:rFonts w:ascii="Open Sans" w:eastAsia="Times New Roman" w:hAnsi="Open Sans" w:cs="Open Sans"/>
                  <w:color w:val="000080"/>
                  <w:sz w:val="19"/>
                  <w:szCs w:val="19"/>
                  <w:u w:val="single"/>
                  <w:lang w:eastAsia="es-ES"/>
                </w:rPr>
                <w:t>“Espacio Compliance: El denunciante desamparado“</w:t>
              </w:r>
            </w:hyperlink>
            <w:r w:rsidR="000952B8" w:rsidRPr="00A07BE9">
              <w:rPr>
                <w:rFonts w:ascii="Open Sans" w:eastAsia="Calibri" w:hAnsi="Open Sans" w:cs="Open Sans"/>
                <w:sz w:val="19"/>
                <w:szCs w:val="19"/>
              </w:rPr>
              <w:t>,</w:t>
            </w:r>
            <w:r w:rsidR="000952B8" w:rsidRPr="00A07BE9">
              <w:rPr>
                <w:rFonts w:ascii="Open Sans" w:eastAsia="Times New Roman" w:hAnsi="Open Sans" w:cs="Open Sans"/>
                <w:sz w:val="19"/>
                <w:szCs w:val="19"/>
                <w:lang w:eastAsia="es-ES"/>
              </w:rPr>
              <w:t xml:space="preserve"> jornada organizada por la CNMC, acogió una mesa redonda en la que el director participó junto con otros expertos, titulada </w:t>
            </w:r>
            <w:r w:rsidR="000952B8" w:rsidRPr="00A07BE9">
              <w:rPr>
                <w:rFonts w:ascii="Open Sans" w:eastAsia="Times New Roman" w:hAnsi="Open Sans" w:cs="Open Sans"/>
                <w:i/>
                <w:sz w:val="19"/>
                <w:szCs w:val="19"/>
                <w:lang w:eastAsia="es-ES"/>
              </w:rPr>
              <w:t>En busca de la protección del denunciante</w:t>
            </w:r>
            <w:r w:rsidR="000952B8" w:rsidRPr="00A07BE9">
              <w:rPr>
                <w:rFonts w:ascii="Open Sans" w:eastAsia="Times New Roman" w:hAnsi="Open Sans" w:cs="Open Sans"/>
                <w:sz w:val="19"/>
                <w:szCs w:val="19"/>
                <w:lang w:eastAsia="es-ES"/>
              </w:rPr>
              <w:t>.</w:t>
            </w:r>
          </w:p>
        </w:tc>
      </w:tr>
      <w:tr w:rsidR="000952B8" w:rsidRPr="00A07BE9" w14:paraId="4F189A4C" w14:textId="77777777" w:rsidTr="00F851FB">
        <w:tc>
          <w:tcPr>
            <w:tcW w:w="1843" w:type="dxa"/>
            <w:tcBorders>
              <w:bottom w:val="single" w:sz="8" w:space="0" w:color="993333"/>
            </w:tcBorders>
            <w:shd w:val="clear" w:color="auto" w:fill="FFFFFF"/>
            <w:vAlign w:val="center"/>
          </w:tcPr>
          <w:p w14:paraId="64165F0B" w14:textId="77777777" w:rsidR="000952B8" w:rsidRPr="00A07BE9" w:rsidRDefault="000952B8" w:rsidP="000952B8">
            <w:pPr>
              <w:spacing w:after="0" w:line="288" w:lineRule="auto"/>
              <w:jc w:val="both"/>
              <w:rPr>
                <w:rFonts w:ascii="Open Sans" w:eastAsia="Times New Roman" w:hAnsi="Open Sans" w:cs="Open Sans"/>
                <w:sz w:val="19"/>
                <w:szCs w:val="19"/>
                <w:lang w:eastAsia="es-ES"/>
              </w:rPr>
            </w:pPr>
            <w:r w:rsidRPr="00A07BE9">
              <w:rPr>
                <w:rFonts w:ascii="Open Sans" w:eastAsia="Times New Roman" w:hAnsi="Open Sans" w:cs="Open Sans"/>
                <w:color w:val="000000"/>
                <w:sz w:val="19"/>
                <w:szCs w:val="19"/>
                <w:lang w:eastAsia="es-ES"/>
              </w:rPr>
              <w:t>1 de abril</w:t>
            </w:r>
          </w:p>
        </w:tc>
        <w:tc>
          <w:tcPr>
            <w:tcW w:w="6617" w:type="dxa"/>
            <w:tcBorders>
              <w:bottom w:val="single" w:sz="8" w:space="0" w:color="993333"/>
            </w:tcBorders>
            <w:shd w:val="clear" w:color="auto" w:fill="FFFFFF"/>
          </w:tcPr>
          <w:p w14:paraId="49492680" w14:textId="77777777" w:rsidR="000952B8" w:rsidRPr="00A07BE9" w:rsidRDefault="000952B8" w:rsidP="000952B8">
            <w:pPr>
              <w:spacing w:after="0" w:line="276" w:lineRule="auto"/>
              <w:jc w:val="both"/>
              <w:rPr>
                <w:rFonts w:ascii="Calibri" w:eastAsia="Calibri" w:hAnsi="Calibri" w:cs="Calibri"/>
                <w:sz w:val="19"/>
                <w:szCs w:val="19"/>
              </w:rPr>
            </w:pPr>
            <w:r w:rsidRPr="00A07BE9">
              <w:rPr>
                <w:rFonts w:ascii="Open Sans" w:eastAsia="Times New Roman" w:hAnsi="Open Sans" w:cs="Open Sans"/>
                <w:sz w:val="19"/>
                <w:szCs w:val="19"/>
                <w:lang w:eastAsia="es-ES"/>
              </w:rPr>
              <w:t>Universitat Politècnica de València, Cátedra de Transparencia (València)</w:t>
            </w:r>
          </w:p>
          <w:p w14:paraId="1656DFDC" w14:textId="77777777" w:rsidR="000952B8" w:rsidRPr="00A07BE9" w:rsidRDefault="000952B8" w:rsidP="000952B8">
            <w:pPr>
              <w:spacing w:after="0" w:line="276" w:lineRule="auto"/>
              <w:jc w:val="both"/>
              <w:rPr>
                <w:rFonts w:ascii="Open Sans" w:eastAsia="Times New Roman" w:hAnsi="Open Sans" w:cs="Open Sans"/>
                <w:b/>
                <w:bCs/>
                <w:sz w:val="19"/>
                <w:szCs w:val="19"/>
                <w:lang w:eastAsia="es-ES"/>
              </w:rPr>
            </w:pPr>
            <w:r w:rsidRPr="00A07BE9">
              <w:rPr>
                <w:rFonts w:ascii="Open Sans" w:eastAsia="Times New Roman" w:hAnsi="Open Sans" w:cs="Open Sans"/>
                <w:b/>
                <w:bCs/>
                <w:sz w:val="19"/>
                <w:szCs w:val="19"/>
                <w:lang w:eastAsia="es-ES"/>
              </w:rPr>
              <w:t>Jornada whistleblowing sobre alertadores y denunciantes de irregularidades, tecnologías, procedimientos y experiencias para su protección</w:t>
            </w:r>
          </w:p>
          <w:p w14:paraId="1DD6A8DB" w14:textId="49CD09F4" w:rsidR="000952B8" w:rsidRPr="00A07BE9" w:rsidRDefault="000952B8" w:rsidP="000952B8">
            <w:pPr>
              <w:spacing w:after="0" w:line="276" w:lineRule="auto"/>
              <w:jc w:val="both"/>
              <w:rPr>
                <w:rFonts w:ascii="Calibri" w:eastAsia="Calibri" w:hAnsi="Calibri" w:cs="Calibri"/>
                <w:sz w:val="19"/>
                <w:szCs w:val="19"/>
              </w:rPr>
            </w:pPr>
            <w:r w:rsidRPr="00A07BE9">
              <w:rPr>
                <w:rFonts w:ascii="Open Sans" w:eastAsia="Times New Roman" w:hAnsi="Open Sans" w:cs="Open Sans"/>
                <w:sz w:val="19"/>
                <w:szCs w:val="19"/>
                <w:lang w:eastAsia="es-ES"/>
              </w:rPr>
              <w:t xml:space="preserve">En el marco de la jornada organizada por la Cátedra de Transparencia y Gestión de Datos de la Universitat Politècnica de València, titulada </w:t>
            </w:r>
            <w:hyperlink r:id="rId313">
              <w:r w:rsidRPr="00A07BE9">
                <w:rPr>
                  <w:rFonts w:ascii="Open Sans" w:eastAsia="Times New Roman" w:hAnsi="Open Sans" w:cs="Open Sans"/>
                  <w:color w:val="000080"/>
                  <w:sz w:val="19"/>
                  <w:szCs w:val="19"/>
                  <w:u w:val="single"/>
                  <w:lang w:eastAsia="es-ES"/>
                </w:rPr>
                <w:t>“Jornada whistleblowing sobre alertadores y denunciantes de irregularidades, tecnologías, procedimiento y experiencias para su protección”</w:t>
              </w:r>
            </w:hyperlink>
            <w:r w:rsidRPr="00A07BE9">
              <w:rPr>
                <w:rFonts w:ascii="Open Sans" w:eastAsia="Times New Roman" w:hAnsi="Open Sans" w:cs="Open Sans"/>
                <w:sz w:val="19"/>
                <w:szCs w:val="19"/>
                <w:lang w:eastAsia="es-ES"/>
              </w:rPr>
              <w:t xml:space="preserve">, el </w:t>
            </w:r>
            <w:r w:rsidR="004E2065" w:rsidRPr="00A07BE9">
              <w:rPr>
                <w:rFonts w:ascii="Open Sans" w:eastAsia="Times New Roman" w:hAnsi="Open Sans" w:cs="Open Sans"/>
                <w:sz w:val="19"/>
                <w:szCs w:val="19"/>
                <w:lang w:eastAsia="es-ES"/>
              </w:rPr>
              <w:t>d</w:t>
            </w:r>
            <w:r w:rsidRPr="00A07BE9">
              <w:rPr>
                <w:rFonts w:ascii="Open Sans" w:eastAsia="Times New Roman" w:hAnsi="Open Sans" w:cs="Open Sans"/>
                <w:sz w:val="19"/>
                <w:szCs w:val="19"/>
                <w:lang w:eastAsia="es-ES"/>
              </w:rPr>
              <w:t>irector participó en la c</w:t>
            </w:r>
            <w:r w:rsidRPr="00A07BE9">
              <w:rPr>
                <w:rFonts w:ascii="Open Sans" w:eastAsia="Calibri" w:hAnsi="Open Sans" w:cs="Open Sans"/>
                <w:sz w:val="19"/>
                <w:szCs w:val="19"/>
              </w:rPr>
              <w:t>eremonia</w:t>
            </w:r>
            <w:r w:rsidRPr="00A07BE9">
              <w:rPr>
                <w:rFonts w:ascii="Open Sans" w:eastAsia="Times New Roman" w:hAnsi="Open Sans" w:cs="Open Sans"/>
                <w:sz w:val="19"/>
                <w:szCs w:val="19"/>
                <w:lang w:eastAsia="es-ES"/>
              </w:rPr>
              <w:t xml:space="preserve"> de clausura j</w:t>
            </w:r>
            <w:r w:rsidRPr="00A07BE9">
              <w:rPr>
                <w:rFonts w:ascii="Open Sans" w:eastAsia="Calibri" w:hAnsi="Open Sans" w:cs="Open Sans"/>
                <w:sz w:val="19"/>
                <w:szCs w:val="19"/>
              </w:rPr>
              <w:t xml:space="preserve">unto con el </w:t>
            </w:r>
            <w:r w:rsidR="004E2065" w:rsidRPr="00A07BE9">
              <w:rPr>
                <w:rFonts w:ascii="Open Sans" w:eastAsia="Calibri" w:hAnsi="Open Sans" w:cs="Open Sans"/>
                <w:sz w:val="19"/>
                <w:szCs w:val="19"/>
              </w:rPr>
              <w:t>c</w:t>
            </w:r>
            <w:r w:rsidRPr="00A07BE9">
              <w:rPr>
                <w:rFonts w:ascii="Open Sans" w:eastAsia="Times New Roman" w:hAnsi="Open Sans" w:cs="Open Sans"/>
                <w:sz w:val="19"/>
                <w:szCs w:val="19"/>
                <w:lang w:eastAsia="es-ES"/>
              </w:rPr>
              <w:t>onseller de Transparencia, Responsabilidad Social, Participación y Cooperación, Sr. Manuel Alcaraz.</w:t>
            </w:r>
          </w:p>
        </w:tc>
      </w:tr>
      <w:tr w:rsidR="000952B8" w:rsidRPr="00A07BE9" w14:paraId="2F083890" w14:textId="77777777" w:rsidTr="00F851FB">
        <w:tc>
          <w:tcPr>
            <w:tcW w:w="1843" w:type="dxa"/>
            <w:tcBorders>
              <w:bottom w:val="single" w:sz="8" w:space="0" w:color="993333"/>
            </w:tcBorders>
            <w:shd w:val="clear" w:color="auto" w:fill="FFFFFF"/>
            <w:vAlign w:val="center"/>
          </w:tcPr>
          <w:p w14:paraId="7DE42D0C" w14:textId="77777777" w:rsidR="000952B8" w:rsidRPr="00A07BE9" w:rsidRDefault="000952B8" w:rsidP="000952B8">
            <w:pPr>
              <w:spacing w:after="0" w:line="288" w:lineRule="auto"/>
              <w:jc w:val="both"/>
              <w:rPr>
                <w:rFonts w:ascii="Open Sans" w:eastAsia="Times New Roman" w:hAnsi="Open Sans" w:cs="Open Sans"/>
                <w:sz w:val="19"/>
                <w:szCs w:val="19"/>
                <w:lang w:eastAsia="es-ES"/>
              </w:rPr>
            </w:pPr>
            <w:r w:rsidRPr="00A07BE9">
              <w:rPr>
                <w:rFonts w:ascii="Open Sans" w:eastAsia="Times New Roman" w:hAnsi="Open Sans" w:cs="Open Sans"/>
                <w:color w:val="000000"/>
                <w:sz w:val="19"/>
                <w:szCs w:val="19"/>
                <w:lang w:eastAsia="es-ES"/>
              </w:rPr>
              <w:t>2 de abril</w:t>
            </w:r>
          </w:p>
        </w:tc>
        <w:tc>
          <w:tcPr>
            <w:tcW w:w="6617" w:type="dxa"/>
            <w:tcBorders>
              <w:bottom w:val="single" w:sz="8" w:space="0" w:color="993333"/>
            </w:tcBorders>
            <w:shd w:val="clear" w:color="auto" w:fill="FFFFFF"/>
          </w:tcPr>
          <w:p w14:paraId="35A12497" w14:textId="77777777" w:rsidR="000952B8" w:rsidRPr="00A07BE9" w:rsidRDefault="000952B8" w:rsidP="000952B8">
            <w:pPr>
              <w:spacing w:after="0" w:line="276" w:lineRule="auto"/>
              <w:jc w:val="both"/>
              <w:rPr>
                <w:rFonts w:ascii="Calibri" w:eastAsia="Calibri" w:hAnsi="Calibri" w:cs="Calibri"/>
                <w:sz w:val="19"/>
                <w:szCs w:val="19"/>
              </w:rPr>
            </w:pPr>
            <w:r w:rsidRPr="00A07BE9">
              <w:rPr>
                <w:rFonts w:ascii="Open Sans" w:eastAsia="Times New Roman" w:hAnsi="Open Sans" w:cs="Open Sans"/>
                <w:sz w:val="19"/>
                <w:szCs w:val="19"/>
                <w:lang w:eastAsia="es-ES"/>
              </w:rPr>
              <w:t>Universitat de València, Fundación ADEIT (València)</w:t>
            </w:r>
          </w:p>
          <w:p w14:paraId="020578D2" w14:textId="77777777" w:rsidR="000952B8" w:rsidRPr="00A07BE9" w:rsidRDefault="000952B8" w:rsidP="000952B8">
            <w:pPr>
              <w:spacing w:after="0" w:line="276" w:lineRule="auto"/>
              <w:jc w:val="both"/>
              <w:rPr>
                <w:rFonts w:ascii="Open Sans" w:eastAsia="Times New Roman" w:hAnsi="Open Sans" w:cs="Open Sans"/>
                <w:b/>
                <w:bCs/>
                <w:sz w:val="19"/>
                <w:szCs w:val="19"/>
                <w:lang w:eastAsia="es-ES"/>
              </w:rPr>
            </w:pPr>
            <w:r w:rsidRPr="00A07BE9">
              <w:rPr>
                <w:rFonts w:ascii="Open Sans" w:eastAsia="Times New Roman" w:hAnsi="Open Sans" w:cs="Open Sans"/>
                <w:b/>
                <w:bCs/>
                <w:sz w:val="19"/>
                <w:szCs w:val="19"/>
                <w:lang w:eastAsia="es-ES"/>
              </w:rPr>
              <w:t>Las prácticas colusorias y el procedimiento ante la CNMC del artículo 150, el Sistema de Detección de Alertas Tempranas. El Papel de la Agencia Antifraude Valenciana</w:t>
            </w:r>
          </w:p>
          <w:p w14:paraId="26F8BA1A" w14:textId="4BFB694C" w:rsidR="000952B8" w:rsidRPr="00A07BE9" w:rsidRDefault="000952B8" w:rsidP="000952B8">
            <w:pPr>
              <w:spacing w:after="0" w:line="276" w:lineRule="auto"/>
              <w:jc w:val="both"/>
              <w:rPr>
                <w:rFonts w:ascii="Calibri" w:eastAsia="Calibri" w:hAnsi="Calibri" w:cs="Calibri"/>
                <w:sz w:val="19"/>
                <w:szCs w:val="19"/>
              </w:rPr>
            </w:pPr>
            <w:r w:rsidRPr="00A07BE9">
              <w:rPr>
                <w:rFonts w:ascii="Open Sans" w:eastAsia="Times New Roman" w:hAnsi="Open Sans" w:cs="Open Sans"/>
                <w:sz w:val="19"/>
                <w:szCs w:val="19"/>
                <w:lang w:eastAsia="es-ES"/>
              </w:rPr>
              <w:t xml:space="preserve">El </w:t>
            </w:r>
            <w:r w:rsidR="004E2065" w:rsidRPr="00A07BE9">
              <w:rPr>
                <w:rFonts w:ascii="Open Sans" w:eastAsia="Times New Roman" w:hAnsi="Open Sans" w:cs="Open Sans"/>
                <w:sz w:val="19"/>
                <w:szCs w:val="19"/>
                <w:lang w:eastAsia="es-ES"/>
              </w:rPr>
              <w:t>d</w:t>
            </w:r>
            <w:r w:rsidRPr="00A07BE9">
              <w:rPr>
                <w:rFonts w:ascii="Open Sans" w:eastAsia="Times New Roman" w:hAnsi="Open Sans" w:cs="Open Sans"/>
                <w:sz w:val="19"/>
                <w:szCs w:val="19"/>
                <w:lang w:eastAsia="es-ES"/>
              </w:rPr>
              <w:t xml:space="preserve">irector participó en la segunda jornada del curso </w:t>
            </w:r>
            <w:hyperlink r:id="rId314">
              <w:r w:rsidRPr="00A07BE9">
                <w:rPr>
                  <w:rFonts w:ascii="Open Sans" w:eastAsia="Times New Roman" w:hAnsi="Open Sans" w:cs="Open Sans"/>
                  <w:color w:val="000080"/>
                  <w:sz w:val="19"/>
                  <w:szCs w:val="19"/>
                  <w:u w:val="single"/>
                  <w:lang w:eastAsia="es-ES"/>
                </w:rPr>
                <w:t>“Contratación Pública y Compliance... un año después”</w:t>
              </w:r>
            </w:hyperlink>
            <w:r w:rsidRPr="00A07BE9">
              <w:rPr>
                <w:rFonts w:ascii="Open Sans" w:eastAsia="Times New Roman" w:hAnsi="Open Sans" w:cs="Open Sans"/>
                <w:sz w:val="19"/>
                <w:szCs w:val="19"/>
                <w:lang w:eastAsia="es-ES"/>
              </w:rPr>
              <w:t xml:space="preserve">, dentro de la mesa redonda </w:t>
            </w:r>
            <w:r w:rsidRPr="00A07BE9">
              <w:rPr>
                <w:rFonts w:ascii="Open Sans" w:eastAsia="Times New Roman" w:hAnsi="Open Sans" w:cs="Open Sans"/>
                <w:i/>
                <w:sz w:val="19"/>
                <w:szCs w:val="19"/>
                <w:lang w:eastAsia="es-ES"/>
              </w:rPr>
              <w:t>Las prácticas colusorias y el procedimiento ante la CNMC del artículo 150, el Sistema de Detección de Alertas Tempranas. El Papel de la Agencia Antifraude Valenciana</w:t>
            </w:r>
            <w:r w:rsidRPr="00A07BE9">
              <w:rPr>
                <w:rFonts w:ascii="Open Sans" w:eastAsia="Times New Roman" w:hAnsi="Open Sans" w:cs="Open Sans"/>
                <w:sz w:val="19"/>
                <w:szCs w:val="19"/>
                <w:lang w:eastAsia="es-ES"/>
              </w:rPr>
              <w:t xml:space="preserve"> junto con el </w:t>
            </w:r>
            <w:r w:rsidR="00F97FB5" w:rsidRPr="00A07BE9">
              <w:rPr>
                <w:rFonts w:ascii="Open Sans" w:eastAsia="Times New Roman" w:hAnsi="Open Sans" w:cs="Open Sans"/>
                <w:sz w:val="19"/>
                <w:szCs w:val="19"/>
                <w:lang w:eastAsia="es-ES"/>
              </w:rPr>
              <w:t>d</w:t>
            </w:r>
            <w:r w:rsidRPr="00A07BE9">
              <w:rPr>
                <w:rFonts w:ascii="Open Sans" w:eastAsia="Times New Roman" w:hAnsi="Open Sans" w:cs="Open Sans"/>
                <w:sz w:val="19"/>
                <w:szCs w:val="19"/>
                <w:lang w:eastAsia="es-ES"/>
              </w:rPr>
              <w:t xml:space="preserve">irector de Control Interno de la Comisión Nacional del Mercado de Valores y de la Competencia, Sr. Carlos Balmisa García-Serrano, y el Sr. Andrés Gomis Fondo, </w:t>
            </w:r>
            <w:r w:rsidR="00F97FB5" w:rsidRPr="00A07BE9">
              <w:rPr>
                <w:rFonts w:ascii="Open Sans" w:eastAsia="Times New Roman" w:hAnsi="Open Sans" w:cs="Open Sans"/>
                <w:sz w:val="19"/>
                <w:szCs w:val="19"/>
                <w:lang w:eastAsia="es-ES"/>
              </w:rPr>
              <w:t>d</w:t>
            </w:r>
            <w:r w:rsidRPr="00A07BE9">
              <w:rPr>
                <w:rFonts w:ascii="Open Sans" w:eastAsia="Times New Roman" w:hAnsi="Open Sans" w:cs="Open Sans"/>
                <w:sz w:val="19"/>
                <w:szCs w:val="19"/>
                <w:lang w:eastAsia="es-ES"/>
              </w:rPr>
              <w:t>irector General de Transparencia y Participación de la Generalitat Valenciana.</w:t>
            </w:r>
          </w:p>
        </w:tc>
      </w:tr>
      <w:tr w:rsidR="000952B8" w:rsidRPr="00A07BE9" w14:paraId="6B6ED8BE" w14:textId="77777777" w:rsidTr="00F851FB">
        <w:tc>
          <w:tcPr>
            <w:tcW w:w="1843" w:type="dxa"/>
            <w:tcBorders>
              <w:bottom w:val="single" w:sz="8" w:space="0" w:color="993333"/>
            </w:tcBorders>
            <w:shd w:val="clear" w:color="auto" w:fill="FFFFFF"/>
            <w:vAlign w:val="center"/>
          </w:tcPr>
          <w:p w14:paraId="696EB0DF" w14:textId="77777777" w:rsidR="000952B8" w:rsidRPr="00A07BE9" w:rsidRDefault="000952B8" w:rsidP="000952B8">
            <w:pPr>
              <w:spacing w:after="0" w:line="288" w:lineRule="auto"/>
              <w:jc w:val="both"/>
              <w:rPr>
                <w:rFonts w:ascii="Open Sans" w:eastAsia="Times New Roman" w:hAnsi="Open Sans" w:cs="Open Sans"/>
                <w:sz w:val="19"/>
                <w:szCs w:val="19"/>
                <w:lang w:eastAsia="es-ES"/>
              </w:rPr>
            </w:pPr>
            <w:r w:rsidRPr="00A07BE9">
              <w:rPr>
                <w:rFonts w:ascii="Open Sans" w:eastAsia="Times New Roman" w:hAnsi="Open Sans" w:cs="Open Sans"/>
                <w:color w:val="000000"/>
                <w:sz w:val="19"/>
                <w:szCs w:val="19"/>
                <w:lang w:eastAsia="es-ES"/>
              </w:rPr>
              <w:t>9 de abril</w:t>
            </w:r>
          </w:p>
        </w:tc>
        <w:tc>
          <w:tcPr>
            <w:tcW w:w="6617" w:type="dxa"/>
            <w:tcBorders>
              <w:bottom w:val="single" w:sz="8" w:space="0" w:color="993333"/>
            </w:tcBorders>
            <w:shd w:val="clear" w:color="auto" w:fill="FFFFFF"/>
          </w:tcPr>
          <w:p w14:paraId="56843C91" w14:textId="77777777" w:rsidR="000952B8" w:rsidRPr="00A07BE9" w:rsidRDefault="000952B8" w:rsidP="000952B8">
            <w:pPr>
              <w:spacing w:after="0" w:line="276" w:lineRule="auto"/>
              <w:jc w:val="both"/>
              <w:rPr>
                <w:rFonts w:ascii="Calibri" w:eastAsia="Calibri" w:hAnsi="Calibri" w:cs="Calibri"/>
                <w:sz w:val="19"/>
                <w:szCs w:val="19"/>
              </w:rPr>
            </w:pPr>
            <w:r w:rsidRPr="00A07BE9">
              <w:rPr>
                <w:rFonts w:ascii="Open Sans" w:eastAsia="Times New Roman" w:hAnsi="Open Sans" w:cs="Open Sans"/>
                <w:sz w:val="19"/>
                <w:szCs w:val="19"/>
                <w:lang w:eastAsia="es-ES"/>
              </w:rPr>
              <w:t>Universidad Católica de València, Facultad de Derecho (València)</w:t>
            </w:r>
          </w:p>
          <w:p w14:paraId="2A14738C" w14:textId="77777777" w:rsidR="000952B8" w:rsidRPr="00A07BE9" w:rsidRDefault="000952B8" w:rsidP="000952B8">
            <w:pPr>
              <w:spacing w:after="0" w:line="276" w:lineRule="auto"/>
              <w:jc w:val="both"/>
              <w:rPr>
                <w:rFonts w:ascii="Open Sans" w:eastAsia="Times New Roman" w:hAnsi="Open Sans" w:cs="Open Sans"/>
                <w:sz w:val="19"/>
                <w:szCs w:val="19"/>
                <w:lang w:eastAsia="es-ES"/>
              </w:rPr>
            </w:pPr>
            <w:r w:rsidRPr="00A07BE9">
              <w:rPr>
                <w:rFonts w:ascii="Open Sans" w:eastAsia="Times New Roman" w:hAnsi="Open Sans" w:cs="Open Sans"/>
                <w:b/>
                <w:bCs/>
                <w:sz w:val="19"/>
                <w:szCs w:val="19"/>
                <w:lang w:eastAsia="es-ES"/>
              </w:rPr>
              <w:t>Los delitos de corrupción</w:t>
            </w:r>
          </w:p>
          <w:p w14:paraId="6DA198C6" w14:textId="3425DF77" w:rsidR="000952B8" w:rsidRPr="00A07BE9" w:rsidRDefault="000952B8" w:rsidP="000952B8">
            <w:pPr>
              <w:spacing w:after="0" w:line="276" w:lineRule="auto"/>
              <w:jc w:val="both"/>
              <w:rPr>
                <w:rFonts w:ascii="Open Sans" w:eastAsia="Times New Roman" w:hAnsi="Open Sans" w:cs="Open Sans"/>
                <w:sz w:val="19"/>
                <w:szCs w:val="19"/>
                <w:lang w:eastAsia="es-ES"/>
              </w:rPr>
            </w:pPr>
            <w:r w:rsidRPr="00A07BE9">
              <w:rPr>
                <w:rFonts w:ascii="Open Sans" w:eastAsia="Times New Roman" w:hAnsi="Open Sans" w:cs="Open Sans"/>
                <w:sz w:val="19"/>
                <w:szCs w:val="19"/>
                <w:lang w:eastAsia="es-ES"/>
              </w:rPr>
              <w:t xml:space="preserve">Dentro del curso de criminología, el director de la Agencia y la directora de Prevención, Formación y Documentación, invitados por el profesor Jesús de Salvador, imparten una clase titulada </w:t>
            </w:r>
            <w:r w:rsidRPr="00A07BE9">
              <w:rPr>
                <w:rFonts w:ascii="Open Sans" w:eastAsia="Times New Roman" w:hAnsi="Open Sans" w:cs="Open Sans"/>
                <w:i/>
                <w:sz w:val="19"/>
                <w:szCs w:val="19"/>
                <w:lang w:eastAsia="es-ES"/>
              </w:rPr>
              <w:t>Los delitos de corrupción</w:t>
            </w:r>
            <w:r w:rsidRPr="00A07BE9">
              <w:rPr>
                <w:rFonts w:ascii="Open Sans" w:eastAsia="Times New Roman" w:hAnsi="Open Sans" w:cs="Open Sans"/>
                <w:sz w:val="19"/>
                <w:szCs w:val="19"/>
                <w:lang w:eastAsia="es-ES"/>
              </w:rPr>
              <w:t>.</w:t>
            </w:r>
          </w:p>
        </w:tc>
      </w:tr>
      <w:tr w:rsidR="000952B8" w:rsidRPr="00A07BE9" w14:paraId="00E54E05" w14:textId="77777777" w:rsidTr="00F851FB">
        <w:tc>
          <w:tcPr>
            <w:tcW w:w="1843" w:type="dxa"/>
            <w:tcBorders>
              <w:bottom w:val="single" w:sz="8" w:space="0" w:color="993333"/>
            </w:tcBorders>
            <w:shd w:val="clear" w:color="auto" w:fill="FFFFFF"/>
            <w:vAlign w:val="center"/>
          </w:tcPr>
          <w:p w14:paraId="167DD1C2" w14:textId="77777777" w:rsidR="000952B8" w:rsidRPr="00A07BE9" w:rsidRDefault="000952B8" w:rsidP="000952B8">
            <w:pPr>
              <w:spacing w:after="0" w:line="288" w:lineRule="auto"/>
              <w:jc w:val="both"/>
              <w:rPr>
                <w:rFonts w:ascii="Open Sans" w:eastAsia="Times New Roman" w:hAnsi="Open Sans" w:cs="Open Sans"/>
                <w:sz w:val="19"/>
                <w:szCs w:val="19"/>
                <w:lang w:eastAsia="es-ES"/>
              </w:rPr>
            </w:pPr>
            <w:r w:rsidRPr="00A07BE9">
              <w:rPr>
                <w:rFonts w:ascii="Open Sans" w:eastAsia="Times New Roman" w:hAnsi="Open Sans" w:cs="Open Sans"/>
                <w:color w:val="000000"/>
                <w:sz w:val="19"/>
                <w:szCs w:val="19"/>
                <w:lang w:eastAsia="es-ES"/>
              </w:rPr>
              <w:t>13 de junio</w:t>
            </w:r>
          </w:p>
        </w:tc>
        <w:tc>
          <w:tcPr>
            <w:tcW w:w="6617" w:type="dxa"/>
            <w:tcBorders>
              <w:bottom w:val="single" w:sz="8" w:space="0" w:color="993333"/>
            </w:tcBorders>
            <w:shd w:val="clear" w:color="auto" w:fill="FFFFFF"/>
          </w:tcPr>
          <w:p w14:paraId="73E4C622" w14:textId="77777777" w:rsidR="000952B8" w:rsidRPr="00A07BE9" w:rsidRDefault="000952B8" w:rsidP="000952B8">
            <w:pPr>
              <w:spacing w:after="0" w:line="288" w:lineRule="auto"/>
              <w:jc w:val="both"/>
              <w:rPr>
                <w:rFonts w:ascii="Calibri" w:eastAsia="Calibri" w:hAnsi="Calibri" w:cs="Calibri"/>
                <w:sz w:val="19"/>
                <w:szCs w:val="19"/>
              </w:rPr>
            </w:pPr>
            <w:r w:rsidRPr="00A07BE9">
              <w:rPr>
                <w:rFonts w:ascii="Open Sans" w:eastAsia="Times New Roman" w:hAnsi="Open Sans" w:cs="Open Sans"/>
                <w:sz w:val="19"/>
                <w:szCs w:val="19"/>
                <w:lang w:eastAsia="es-ES"/>
              </w:rPr>
              <w:t>Universitat de Barcelona, Facultad de Derecho (Barcelona)</w:t>
            </w:r>
          </w:p>
          <w:p w14:paraId="2A91EB35" w14:textId="77777777" w:rsidR="000952B8" w:rsidRPr="00A07BE9" w:rsidRDefault="000952B8" w:rsidP="000952B8">
            <w:pPr>
              <w:spacing w:after="0" w:line="288" w:lineRule="auto"/>
              <w:jc w:val="both"/>
              <w:rPr>
                <w:rFonts w:ascii="Open Sans" w:eastAsia="Times New Roman" w:hAnsi="Open Sans" w:cs="Open Sans"/>
                <w:b/>
                <w:bCs/>
                <w:sz w:val="19"/>
                <w:szCs w:val="19"/>
                <w:lang w:eastAsia="es-ES"/>
              </w:rPr>
            </w:pPr>
            <w:r w:rsidRPr="00A07BE9">
              <w:rPr>
                <w:rFonts w:ascii="Open Sans" w:eastAsia="Times New Roman" w:hAnsi="Open Sans" w:cs="Open Sans"/>
                <w:b/>
                <w:bCs/>
                <w:sz w:val="19"/>
                <w:szCs w:val="19"/>
                <w:lang w:eastAsia="es-ES"/>
              </w:rPr>
              <w:t>El papel de la participación ciudadana en la prevención y lucha contra la corrupción. Instrumentos jurídicos y tecnológicos</w:t>
            </w:r>
          </w:p>
          <w:p w14:paraId="3AF9169D" w14:textId="34ECA2DB" w:rsidR="000952B8" w:rsidRPr="00A07BE9" w:rsidRDefault="000952B8" w:rsidP="000952B8">
            <w:pPr>
              <w:spacing w:after="0" w:line="288" w:lineRule="auto"/>
              <w:jc w:val="both"/>
              <w:rPr>
                <w:rFonts w:ascii="Calibri" w:eastAsia="Calibri" w:hAnsi="Calibri" w:cs="Calibri"/>
                <w:sz w:val="19"/>
                <w:szCs w:val="19"/>
              </w:rPr>
            </w:pPr>
            <w:r w:rsidRPr="00A07BE9">
              <w:rPr>
                <w:rFonts w:ascii="Open Sans" w:eastAsia="Times New Roman" w:hAnsi="Open Sans" w:cs="Open Sans"/>
                <w:sz w:val="19"/>
                <w:szCs w:val="19"/>
                <w:lang w:eastAsia="es-ES"/>
              </w:rPr>
              <w:t>Imparte la conferencia de clausura de la Primera Edición del</w:t>
            </w:r>
            <w:hyperlink r:id="rId315">
              <w:r w:rsidRPr="00A07BE9">
                <w:rPr>
                  <w:rFonts w:ascii="Open Sans" w:eastAsia="Calibri" w:hAnsi="Open Sans" w:cs="Open Sans"/>
                  <w:sz w:val="19"/>
                  <w:szCs w:val="19"/>
                  <w:lang w:eastAsia="es-ES"/>
                </w:rPr>
                <w:t xml:space="preserve"> </w:t>
              </w:r>
              <w:r w:rsidR="00AA02EA" w:rsidRPr="00A07BE9">
                <w:rPr>
                  <w:rFonts w:ascii="Open Sans" w:eastAsia="Calibri" w:hAnsi="Open Sans" w:cs="Open Sans"/>
                  <w:sz w:val="19"/>
                  <w:szCs w:val="19"/>
                  <w:lang w:eastAsia="es-ES"/>
                </w:rPr>
                <w:t>“</w:t>
              </w:r>
              <w:r w:rsidRPr="00A07BE9">
                <w:rPr>
                  <w:rFonts w:ascii="Open Sans" w:eastAsia="Times New Roman" w:hAnsi="Open Sans" w:cs="Open Sans"/>
                  <w:color w:val="000080"/>
                  <w:sz w:val="19"/>
                  <w:szCs w:val="19"/>
                  <w:u w:val="single"/>
                  <w:lang w:eastAsia="es-ES"/>
                </w:rPr>
                <w:t>Máster en prevención, control y reacción ante la corrupción</w:t>
              </w:r>
              <w:r w:rsidRPr="00A07BE9">
                <w:rPr>
                  <w:rFonts w:ascii="Open Sans" w:eastAsia="Times New Roman" w:hAnsi="Open Sans" w:cs="Open Sans"/>
                  <w:color w:val="000080"/>
                  <w:sz w:val="19"/>
                  <w:szCs w:val="19"/>
                  <w:lang w:eastAsia="es-ES"/>
                </w:rPr>
                <w:t>.</w:t>
              </w:r>
              <w:r w:rsidRPr="00A07BE9">
                <w:rPr>
                  <w:rFonts w:ascii="Open Sans" w:eastAsia="Times New Roman" w:hAnsi="Open Sans" w:cs="Open Sans"/>
                  <w:color w:val="000080"/>
                  <w:sz w:val="19"/>
                  <w:szCs w:val="19"/>
                  <w:u w:val="single"/>
                  <w:lang w:eastAsia="es-ES"/>
                </w:rPr>
                <w:t xml:space="preserve"> Public compliance, buen </w:t>
              </w:r>
              <w:r w:rsidRPr="00A07BE9">
                <w:rPr>
                  <w:rFonts w:ascii="Open Sans" w:eastAsia="Times New Roman" w:hAnsi="Open Sans" w:cs="Open Sans"/>
                  <w:color w:val="000080"/>
                  <w:sz w:val="19"/>
                  <w:szCs w:val="19"/>
                  <w:u w:val="single"/>
                  <w:lang w:eastAsia="es-ES"/>
                </w:rPr>
                <w:lastRenderedPageBreak/>
                <w:t>gobierno y buena administración</w:t>
              </w:r>
              <w:r w:rsidRPr="00A07BE9">
                <w:rPr>
                  <w:rFonts w:ascii="Open Sans" w:eastAsia="Times New Roman" w:hAnsi="Open Sans" w:cs="Open Sans"/>
                  <w:sz w:val="19"/>
                  <w:szCs w:val="19"/>
                  <w:lang w:eastAsia="es-ES"/>
                </w:rPr>
                <w:t>”</w:t>
              </w:r>
            </w:hyperlink>
            <w:r w:rsidRPr="00A07BE9">
              <w:rPr>
                <w:rFonts w:ascii="Open Sans" w:eastAsia="Times New Roman" w:hAnsi="Open Sans" w:cs="Open Sans"/>
                <w:sz w:val="19"/>
                <w:szCs w:val="19"/>
                <w:lang w:eastAsia="es-ES"/>
              </w:rPr>
              <w:t xml:space="preserve"> de la Universitat de Barcelona, bajo el título </w:t>
            </w:r>
            <w:r w:rsidRPr="00A07BE9">
              <w:rPr>
                <w:rFonts w:ascii="Open Sans" w:eastAsia="Times New Roman" w:hAnsi="Open Sans" w:cs="Open Sans"/>
                <w:i/>
                <w:sz w:val="19"/>
                <w:szCs w:val="19"/>
                <w:lang w:eastAsia="es-ES"/>
              </w:rPr>
              <w:t>El papel de la participación ciudadana en la prevención y lucha contra la corrupción. Instrumentos jurídicos y tecnológicos</w:t>
            </w:r>
            <w:r w:rsidRPr="00A07BE9">
              <w:rPr>
                <w:rFonts w:ascii="Open Sans" w:eastAsia="Times New Roman" w:hAnsi="Open Sans" w:cs="Open Sans"/>
                <w:sz w:val="19"/>
                <w:szCs w:val="19"/>
                <w:lang w:eastAsia="es-ES"/>
              </w:rPr>
              <w:t>.</w:t>
            </w:r>
          </w:p>
        </w:tc>
      </w:tr>
      <w:tr w:rsidR="000952B8" w:rsidRPr="00A07BE9" w14:paraId="341C2F98" w14:textId="77777777" w:rsidTr="00F851FB">
        <w:tc>
          <w:tcPr>
            <w:tcW w:w="1843" w:type="dxa"/>
            <w:tcBorders>
              <w:bottom w:val="single" w:sz="8" w:space="0" w:color="993333"/>
            </w:tcBorders>
            <w:shd w:val="clear" w:color="auto" w:fill="FFFFFF"/>
            <w:vAlign w:val="center"/>
          </w:tcPr>
          <w:p w14:paraId="77EEC624" w14:textId="77777777" w:rsidR="000952B8" w:rsidRPr="00A07BE9" w:rsidRDefault="000952B8" w:rsidP="000952B8">
            <w:pPr>
              <w:spacing w:after="0" w:line="288" w:lineRule="auto"/>
              <w:jc w:val="both"/>
              <w:rPr>
                <w:rFonts w:ascii="Open Sans" w:eastAsia="Times New Roman" w:hAnsi="Open Sans" w:cs="Open Sans"/>
                <w:sz w:val="19"/>
                <w:szCs w:val="19"/>
                <w:lang w:eastAsia="es-ES"/>
              </w:rPr>
            </w:pPr>
            <w:r w:rsidRPr="00A07BE9">
              <w:rPr>
                <w:rFonts w:ascii="Open Sans" w:eastAsia="Times New Roman" w:hAnsi="Open Sans" w:cs="Open Sans"/>
                <w:color w:val="000000"/>
                <w:sz w:val="19"/>
                <w:szCs w:val="19"/>
                <w:lang w:eastAsia="es-ES"/>
              </w:rPr>
              <w:lastRenderedPageBreak/>
              <w:t>27 de septiembre</w:t>
            </w:r>
          </w:p>
        </w:tc>
        <w:tc>
          <w:tcPr>
            <w:tcW w:w="6617" w:type="dxa"/>
            <w:tcBorders>
              <w:bottom w:val="single" w:sz="8" w:space="0" w:color="993333"/>
            </w:tcBorders>
            <w:shd w:val="clear" w:color="auto" w:fill="FFFFFF"/>
          </w:tcPr>
          <w:p w14:paraId="1E34595A" w14:textId="77777777" w:rsidR="000952B8" w:rsidRPr="00A07BE9" w:rsidRDefault="000952B8" w:rsidP="000952B8">
            <w:pPr>
              <w:spacing w:after="0" w:line="288" w:lineRule="auto"/>
              <w:jc w:val="both"/>
              <w:rPr>
                <w:rFonts w:ascii="Calibri" w:eastAsia="Calibri" w:hAnsi="Calibri" w:cs="Calibri"/>
                <w:sz w:val="19"/>
                <w:szCs w:val="19"/>
              </w:rPr>
            </w:pPr>
            <w:r w:rsidRPr="00A07BE9">
              <w:rPr>
                <w:rFonts w:ascii="Open Sans" w:eastAsia="Times New Roman" w:hAnsi="Open Sans" w:cs="Open Sans"/>
                <w:color w:val="666666"/>
                <w:sz w:val="19"/>
                <w:szCs w:val="19"/>
                <w:lang w:eastAsia="es-ES"/>
              </w:rPr>
              <w:t>Consejo de Transparencia y Buen Gobierno (</w:t>
            </w:r>
            <w:r w:rsidRPr="00A07BE9">
              <w:rPr>
                <w:rFonts w:ascii="Open Sans" w:eastAsia="Times New Roman" w:hAnsi="Open Sans" w:cs="Open Sans"/>
                <w:sz w:val="19"/>
                <w:szCs w:val="19"/>
                <w:lang w:eastAsia="es-ES"/>
              </w:rPr>
              <w:t>Madrid)</w:t>
            </w:r>
          </w:p>
          <w:p w14:paraId="5954A3E4" w14:textId="77777777" w:rsidR="000952B8" w:rsidRPr="00A07BE9" w:rsidRDefault="000952B8" w:rsidP="000952B8">
            <w:pPr>
              <w:spacing w:after="0" w:line="288" w:lineRule="auto"/>
              <w:jc w:val="both"/>
              <w:rPr>
                <w:rFonts w:ascii="Open Sans" w:eastAsia="Times New Roman" w:hAnsi="Open Sans" w:cs="Open Sans"/>
                <w:sz w:val="19"/>
                <w:szCs w:val="19"/>
                <w:lang w:eastAsia="es-ES"/>
              </w:rPr>
            </w:pPr>
            <w:r w:rsidRPr="00A07BE9">
              <w:rPr>
                <w:rFonts w:ascii="Open Sans" w:eastAsia="Times New Roman" w:hAnsi="Open Sans" w:cs="Open Sans"/>
                <w:b/>
                <w:bCs/>
                <w:sz w:val="19"/>
                <w:szCs w:val="19"/>
                <w:lang w:eastAsia="es-ES"/>
              </w:rPr>
              <w:t>Big Data y tecnologías: oportunidades y amenazas para la rendición de cuentas</w:t>
            </w:r>
          </w:p>
          <w:p w14:paraId="1F2045A3" w14:textId="54AE1B88" w:rsidR="000952B8" w:rsidRPr="00A07BE9" w:rsidRDefault="000952B8" w:rsidP="000952B8">
            <w:pPr>
              <w:spacing w:after="0" w:line="288" w:lineRule="auto"/>
              <w:jc w:val="both"/>
              <w:rPr>
                <w:rFonts w:ascii="Calibri" w:eastAsia="Calibri" w:hAnsi="Calibri" w:cs="Calibri"/>
                <w:sz w:val="19"/>
                <w:szCs w:val="19"/>
              </w:rPr>
            </w:pPr>
            <w:r w:rsidRPr="00A07BE9">
              <w:rPr>
                <w:rFonts w:ascii="Open Sans" w:eastAsia="Times New Roman" w:hAnsi="Open Sans" w:cs="Open Sans"/>
                <w:sz w:val="19"/>
                <w:szCs w:val="19"/>
                <w:lang w:eastAsia="es-ES"/>
              </w:rPr>
              <w:t xml:space="preserve">El director participó en la mesa redonda en conmemoración del Día Internacional del Derecho a Saber, organizada por el Consejo de Transparencia y Buen Gobierno, con el título </w:t>
            </w:r>
            <w:hyperlink r:id="rId316" w:anchor=".XjBiHOTsaUn" w:history="1">
              <w:r w:rsidRPr="00A07BE9">
                <w:rPr>
                  <w:rFonts w:ascii="Open Sans" w:eastAsia="Times New Roman" w:hAnsi="Open Sans" w:cs="Open Sans"/>
                  <w:color w:val="000080"/>
                  <w:sz w:val="19"/>
                  <w:szCs w:val="19"/>
                  <w:u w:val="single"/>
                  <w:lang w:eastAsia="es-ES"/>
                </w:rPr>
                <w:t>“</w:t>
              </w:r>
            </w:hyperlink>
            <w:hyperlink r:id="rId317" w:anchor=".XnhxIm5FyuU" w:history="1">
              <w:r w:rsidRPr="00A07BE9">
                <w:rPr>
                  <w:rStyle w:val="Hipervnculo"/>
                  <w:rFonts w:ascii="Open Sans" w:eastAsia="Times New Roman" w:hAnsi="Open Sans" w:cs="Open Sans"/>
                  <w:sz w:val="19"/>
                  <w:szCs w:val="19"/>
                  <w:lang w:eastAsia="es-ES"/>
                </w:rPr>
                <w:t>Big Data y tecnologías: oportunidades y amenazas para la rendición de cuentas</w:t>
              </w:r>
            </w:hyperlink>
            <w:r w:rsidRPr="00A07BE9">
              <w:rPr>
                <w:rFonts w:ascii="Open Sans" w:eastAsia="Times New Roman" w:hAnsi="Open Sans" w:cs="Open Sans"/>
                <w:color w:val="000080"/>
                <w:sz w:val="19"/>
                <w:szCs w:val="19"/>
                <w:u w:val="single"/>
                <w:lang w:eastAsia="es-ES"/>
              </w:rPr>
              <w:t>”.</w:t>
            </w:r>
          </w:p>
        </w:tc>
      </w:tr>
      <w:tr w:rsidR="000952B8" w:rsidRPr="00A07BE9" w14:paraId="11A3AE5C" w14:textId="77777777" w:rsidTr="00F851FB">
        <w:tc>
          <w:tcPr>
            <w:tcW w:w="1843" w:type="dxa"/>
            <w:tcBorders>
              <w:bottom w:val="single" w:sz="8" w:space="0" w:color="993333"/>
            </w:tcBorders>
            <w:shd w:val="clear" w:color="auto" w:fill="FFFFFF"/>
            <w:vAlign w:val="center"/>
          </w:tcPr>
          <w:p w14:paraId="385AA898" w14:textId="77777777" w:rsidR="000952B8" w:rsidRPr="00A07BE9" w:rsidRDefault="000952B8" w:rsidP="000952B8">
            <w:pPr>
              <w:spacing w:after="0" w:line="288" w:lineRule="auto"/>
              <w:jc w:val="both"/>
              <w:rPr>
                <w:rFonts w:ascii="Open Sans" w:eastAsia="Times New Roman" w:hAnsi="Open Sans" w:cs="Open Sans"/>
                <w:sz w:val="19"/>
                <w:szCs w:val="19"/>
                <w:lang w:eastAsia="es-ES"/>
              </w:rPr>
            </w:pPr>
            <w:r w:rsidRPr="00A07BE9">
              <w:rPr>
                <w:rFonts w:ascii="Open Sans" w:eastAsia="Times New Roman" w:hAnsi="Open Sans" w:cs="Open Sans"/>
                <w:color w:val="000000"/>
                <w:sz w:val="19"/>
                <w:szCs w:val="19"/>
                <w:lang w:eastAsia="es-ES"/>
              </w:rPr>
              <w:t>9 de octubre</w:t>
            </w:r>
          </w:p>
        </w:tc>
        <w:tc>
          <w:tcPr>
            <w:tcW w:w="6617" w:type="dxa"/>
            <w:tcBorders>
              <w:bottom w:val="single" w:sz="8" w:space="0" w:color="993333"/>
            </w:tcBorders>
            <w:shd w:val="clear" w:color="auto" w:fill="FFFFFF"/>
          </w:tcPr>
          <w:p w14:paraId="0902A8E9" w14:textId="77777777" w:rsidR="000952B8" w:rsidRPr="00A07BE9" w:rsidRDefault="000952B8" w:rsidP="000952B8">
            <w:pPr>
              <w:spacing w:after="0" w:line="288" w:lineRule="auto"/>
              <w:jc w:val="both"/>
              <w:rPr>
                <w:rFonts w:ascii="Calibri" w:eastAsia="Calibri" w:hAnsi="Calibri" w:cs="Calibri"/>
                <w:sz w:val="19"/>
                <w:szCs w:val="19"/>
              </w:rPr>
            </w:pPr>
            <w:r w:rsidRPr="00A07BE9">
              <w:rPr>
                <w:rFonts w:ascii="Open Sans" w:eastAsia="Times New Roman" w:hAnsi="Open Sans" w:cs="Open Sans"/>
                <w:color w:val="666666"/>
                <w:sz w:val="19"/>
                <w:szCs w:val="19"/>
                <w:lang w:eastAsia="es-ES"/>
              </w:rPr>
              <w:t>Comisión Nacional de los Mercados y de la Competencia, Espacio Compliance (</w:t>
            </w:r>
            <w:r w:rsidRPr="00A07BE9">
              <w:rPr>
                <w:rFonts w:ascii="Open Sans" w:eastAsia="Times New Roman" w:hAnsi="Open Sans" w:cs="Open Sans"/>
                <w:sz w:val="19"/>
                <w:szCs w:val="19"/>
                <w:lang w:eastAsia="es-ES"/>
              </w:rPr>
              <w:t>Madrid</w:t>
            </w:r>
            <w:r w:rsidRPr="00A07BE9">
              <w:rPr>
                <w:rFonts w:ascii="Open Sans" w:eastAsia="Times New Roman" w:hAnsi="Open Sans" w:cs="Open Sans"/>
                <w:color w:val="666666"/>
                <w:sz w:val="19"/>
                <w:szCs w:val="19"/>
                <w:lang w:eastAsia="es-ES"/>
              </w:rPr>
              <w:t>)</w:t>
            </w:r>
          </w:p>
          <w:p w14:paraId="4616B661" w14:textId="77777777" w:rsidR="000952B8" w:rsidRPr="00A07BE9" w:rsidRDefault="000952B8" w:rsidP="000952B8">
            <w:pPr>
              <w:spacing w:after="0" w:line="288" w:lineRule="auto"/>
              <w:jc w:val="both"/>
              <w:rPr>
                <w:rFonts w:ascii="Open Sans" w:eastAsia="Times New Roman" w:hAnsi="Open Sans" w:cs="Open Sans"/>
                <w:b/>
                <w:bCs/>
                <w:sz w:val="19"/>
                <w:szCs w:val="19"/>
                <w:lang w:eastAsia="es-ES"/>
              </w:rPr>
            </w:pPr>
            <w:r w:rsidRPr="00A07BE9">
              <w:rPr>
                <w:rFonts w:ascii="Open Sans" w:eastAsia="Times New Roman" w:hAnsi="Open Sans" w:cs="Open Sans"/>
                <w:b/>
                <w:bCs/>
                <w:sz w:val="19"/>
                <w:szCs w:val="19"/>
                <w:lang w:eastAsia="es-ES"/>
              </w:rPr>
              <w:t>Cuidando los Whistleblowers: un asunto de integridad</w:t>
            </w:r>
          </w:p>
          <w:p w14:paraId="705F88DE" w14:textId="77777777" w:rsidR="000952B8" w:rsidRPr="00A07BE9" w:rsidRDefault="000952B8" w:rsidP="000952B8">
            <w:pPr>
              <w:spacing w:after="0" w:line="288" w:lineRule="auto"/>
              <w:jc w:val="both"/>
              <w:rPr>
                <w:rFonts w:ascii="Calibri" w:eastAsia="Calibri" w:hAnsi="Calibri" w:cs="Calibri"/>
                <w:sz w:val="19"/>
                <w:szCs w:val="19"/>
              </w:rPr>
            </w:pPr>
            <w:r w:rsidRPr="00A07BE9">
              <w:rPr>
                <w:rFonts w:ascii="Open Sans" w:eastAsia="Times New Roman" w:hAnsi="Open Sans" w:cs="Open Sans"/>
                <w:sz w:val="19"/>
                <w:szCs w:val="19"/>
                <w:lang w:eastAsia="es-ES"/>
              </w:rPr>
              <w:t>Jornada organizada por la Comisión Nacional de los Mercados y de la Competencia, bajo el título</w:t>
            </w:r>
            <w:r w:rsidRPr="00A07BE9">
              <w:rPr>
                <w:rFonts w:ascii="Open Sans" w:eastAsia="Times New Roman" w:hAnsi="Open Sans" w:cs="Open Sans"/>
                <w:color w:val="000080"/>
                <w:sz w:val="19"/>
                <w:szCs w:val="19"/>
                <w:lang w:eastAsia="es-ES"/>
              </w:rPr>
              <w:t xml:space="preserve">, </w:t>
            </w:r>
            <w:hyperlink r:id="rId318">
              <w:r w:rsidRPr="00A07BE9">
                <w:rPr>
                  <w:rFonts w:ascii="Open Sans" w:eastAsia="Times New Roman" w:hAnsi="Open Sans" w:cs="Open Sans"/>
                  <w:color w:val="000080"/>
                  <w:sz w:val="19"/>
                  <w:szCs w:val="19"/>
                  <w:u w:val="single"/>
                  <w:lang w:eastAsia="es-ES"/>
                </w:rPr>
                <w:t>“To Kill a Mockingbird “Taking care of the Whistleblowers (1): A matter of Integrity”</w:t>
              </w:r>
            </w:hyperlink>
            <w:r w:rsidRPr="00A07BE9">
              <w:rPr>
                <w:rFonts w:ascii="Open Sans" w:eastAsia="Times New Roman" w:hAnsi="Open Sans" w:cs="Open Sans"/>
                <w:sz w:val="19"/>
                <w:szCs w:val="19"/>
                <w:lang w:eastAsia="es-ES"/>
              </w:rPr>
              <w:t xml:space="preserve">, dedicada a la protección de los denunciantes o alertadores de corrupción. La jornada, que tuvo su origen en la reciente aprobación de la Directiva Europea y en las novedades que se están suscitando tanto a nivel nacional como europeo, contó con la intervención de algunas personalidades relevantes dentro de este ámbito, como Mar Uriarte y Simona Levi. El director participó en la mesa redonda acompañado de Rosa María Sánchez, directora de Servicios de Análisis de Oficina para la Transparencia y las Buenas Prácticas del Ayuntamiento de Barcelona; Pedro Montoya, director de Cumplimiento y Riesgos de Ferrovial; y Lidón Safont Sánchez, </w:t>
            </w:r>
            <w:r w:rsidRPr="00A07BE9">
              <w:rPr>
                <w:rFonts w:ascii="Open Sans" w:eastAsia="Times New Roman" w:hAnsi="Open Sans" w:cs="Open Sans"/>
                <w:i/>
                <w:sz w:val="19"/>
                <w:szCs w:val="19"/>
                <w:lang w:eastAsia="es-ES"/>
              </w:rPr>
              <w:t>Compliance Officer</w:t>
            </w:r>
            <w:r w:rsidRPr="00A07BE9">
              <w:rPr>
                <w:rFonts w:ascii="Open Sans" w:eastAsia="Times New Roman" w:hAnsi="Open Sans" w:cs="Open Sans"/>
                <w:sz w:val="19"/>
                <w:szCs w:val="19"/>
                <w:lang w:eastAsia="es-ES"/>
              </w:rPr>
              <w:t xml:space="preserve"> de Telefónica.</w:t>
            </w:r>
          </w:p>
          <w:p w14:paraId="1C12A07D" w14:textId="77777777" w:rsidR="000952B8" w:rsidRPr="00A07BE9" w:rsidRDefault="000952B8" w:rsidP="000952B8">
            <w:pPr>
              <w:spacing w:after="0" w:line="288" w:lineRule="auto"/>
              <w:jc w:val="both"/>
              <w:rPr>
                <w:rFonts w:ascii="Open Sans" w:eastAsia="Times New Roman" w:hAnsi="Open Sans" w:cs="Open Sans"/>
                <w:sz w:val="19"/>
                <w:szCs w:val="19"/>
                <w:lang w:eastAsia="es-ES"/>
              </w:rPr>
            </w:pPr>
            <w:r w:rsidRPr="00A07BE9">
              <w:rPr>
                <w:rFonts w:ascii="Open Sans" w:eastAsia="Times New Roman" w:hAnsi="Open Sans" w:cs="Open Sans"/>
                <w:sz w:val="19"/>
                <w:szCs w:val="19"/>
                <w:lang w:eastAsia="es-ES"/>
              </w:rPr>
              <w:t>En este acto, la CNMC presentó y anunció la inminente puesta en funcionamiento de sus buzones de colaboración anonimizados para la lucha contra las prácticas anticompetitivas, irregularidades en la contratación pública y brechas o rupturas del propio código de conducta de la CNMC.</w:t>
            </w:r>
          </w:p>
        </w:tc>
      </w:tr>
      <w:tr w:rsidR="000952B8" w:rsidRPr="00A07BE9" w14:paraId="57C5B5DC" w14:textId="77777777" w:rsidTr="00F851FB">
        <w:tc>
          <w:tcPr>
            <w:tcW w:w="1843" w:type="dxa"/>
            <w:tcBorders>
              <w:bottom w:val="single" w:sz="8" w:space="0" w:color="993333"/>
            </w:tcBorders>
            <w:shd w:val="clear" w:color="auto" w:fill="FFFFFF"/>
            <w:vAlign w:val="center"/>
          </w:tcPr>
          <w:p w14:paraId="4F64B5D2" w14:textId="77777777" w:rsidR="000952B8" w:rsidRPr="00A07BE9" w:rsidRDefault="000952B8" w:rsidP="000952B8">
            <w:pPr>
              <w:spacing w:after="0" w:line="288" w:lineRule="auto"/>
              <w:jc w:val="both"/>
              <w:rPr>
                <w:rFonts w:ascii="Open Sans" w:eastAsia="Times New Roman" w:hAnsi="Open Sans" w:cs="Open Sans"/>
                <w:sz w:val="19"/>
                <w:szCs w:val="19"/>
                <w:lang w:eastAsia="es-ES"/>
              </w:rPr>
            </w:pPr>
            <w:r w:rsidRPr="00A07BE9">
              <w:rPr>
                <w:rFonts w:ascii="Open Sans" w:eastAsia="Times New Roman" w:hAnsi="Open Sans" w:cs="Open Sans"/>
                <w:color w:val="000000"/>
                <w:sz w:val="19"/>
                <w:szCs w:val="19"/>
                <w:lang w:eastAsia="es-ES"/>
              </w:rPr>
              <w:t>10 de octubre</w:t>
            </w:r>
          </w:p>
        </w:tc>
        <w:tc>
          <w:tcPr>
            <w:tcW w:w="6617" w:type="dxa"/>
            <w:tcBorders>
              <w:bottom w:val="single" w:sz="8" w:space="0" w:color="993333"/>
            </w:tcBorders>
            <w:shd w:val="clear" w:color="auto" w:fill="FFFFFF"/>
          </w:tcPr>
          <w:p w14:paraId="65A00E2E" w14:textId="77777777" w:rsidR="000952B8" w:rsidRPr="00A07BE9" w:rsidRDefault="000952B8" w:rsidP="000952B8">
            <w:pPr>
              <w:spacing w:after="0" w:line="288" w:lineRule="auto"/>
              <w:jc w:val="both"/>
              <w:rPr>
                <w:rFonts w:ascii="Calibri" w:eastAsia="Calibri" w:hAnsi="Calibri" w:cs="Calibri"/>
                <w:sz w:val="19"/>
                <w:szCs w:val="19"/>
              </w:rPr>
            </w:pPr>
            <w:r w:rsidRPr="00A07BE9">
              <w:rPr>
                <w:rFonts w:ascii="Open Sans" w:eastAsia="Times New Roman" w:hAnsi="Open Sans" w:cs="Open Sans"/>
                <w:color w:val="666666"/>
                <w:sz w:val="19"/>
                <w:szCs w:val="19"/>
                <w:lang w:eastAsia="es-ES"/>
              </w:rPr>
              <w:t>Área Metropolitana de Barcelona (</w:t>
            </w:r>
            <w:r w:rsidRPr="00A07BE9">
              <w:rPr>
                <w:rFonts w:ascii="Open Sans" w:eastAsia="Times New Roman" w:hAnsi="Open Sans" w:cs="Open Sans"/>
                <w:sz w:val="19"/>
                <w:szCs w:val="19"/>
                <w:lang w:eastAsia="es-ES"/>
              </w:rPr>
              <w:t>Barcelona)</w:t>
            </w:r>
          </w:p>
          <w:p w14:paraId="484CF332" w14:textId="77777777" w:rsidR="000952B8" w:rsidRPr="00A07BE9" w:rsidRDefault="000952B8" w:rsidP="000952B8">
            <w:pPr>
              <w:spacing w:after="0" w:line="288" w:lineRule="auto"/>
              <w:jc w:val="both"/>
              <w:rPr>
                <w:rFonts w:ascii="Open Sans" w:eastAsia="Times New Roman" w:hAnsi="Open Sans" w:cs="Open Sans"/>
                <w:b/>
                <w:bCs/>
                <w:sz w:val="19"/>
                <w:szCs w:val="19"/>
                <w:lang w:eastAsia="es-ES"/>
              </w:rPr>
            </w:pPr>
            <w:r w:rsidRPr="00A07BE9">
              <w:rPr>
                <w:rFonts w:ascii="Open Sans" w:eastAsia="Times New Roman" w:hAnsi="Open Sans" w:cs="Open Sans"/>
                <w:b/>
                <w:bCs/>
                <w:sz w:val="19"/>
                <w:szCs w:val="19"/>
                <w:lang w:eastAsia="es-ES"/>
              </w:rPr>
              <w:t>El papel de las instituciones en el liderazgo de las políticas de integridad</w:t>
            </w:r>
          </w:p>
          <w:p w14:paraId="4B1AA200" w14:textId="6BAEA971" w:rsidR="000952B8" w:rsidRPr="00A07BE9" w:rsidRDefault="000952B8" w:rsidP="000952B8">
            <w:pPr>
              <w:spacing w:after="0" w:line="288" w:lineRule="auto"/>
              <w:jc w:val="both"/>
              <w:rPr>
                <w:rFonts w:ascii="Calibri" w:eastAsia="Calibri" w:hAnsi="Calibri" w:cs="Calibri"/>
                <w:sz w:val="19"/>
                <w:szCs w:val="19"/>
              </w:rPr>
            </w:pPr>
            <w:r w:rsidRPr="00A07BE9">
              <w:rPr>
                <w:rFonts w:ascii="Open Sans" w:eastAsia="Times New Roman" w:hAnsi="Open Sans" w:cs="Open Sans"/>
                <w:sz w:val="19"/>
                <w:szCs w:val="19"/>
                <w:lang w:eastAsia="es-ES"/>
              </w:rPr>
              <w:t>El 4º Seminario Internacional de Transparencia del Área Metropolitana de Barcelona, con el títul</w:t>
            </w:r>
            <w:r w:rsidR="00937ED4" w:rsidRPr="00A07BE9">
              <w:rPr>
                <w:rFonts w:ascii="Open Sans" w:eastAsia="Times New Roman" w:hAnsi="Open Sans" w:cs="Open Sans"/>
                <w:sz w:val="19"/>
                <w:szCs w:val="19"/>
                <w:lang w:eastAsia="es-ES"/>
              </w:rPr>
              <w:t xml:space="preserve">o </w:t>
            </w:r>
            <w:r w:rsidR="00937ED4" w:rsidRPr="00A07BE9">
              <w:rPr>
                <w:sz w:val="19"/>
                <w:szCs w:val="19"/>
              </w:rPr>
              <w:t>“</w:t>
            </w:r>
            <w:r w:rsidRPr="00A07BE9">
              <w:rPr>
                <w:rFonts w:ascii="Open Sans" w:eastAsia="Times New Roman" w:hAnsi="Open Sans" w:cs="Open Sans"/>
                <w:color w:val="000080"/>
                <w:sz w:val="19"/>
                <w:szCs w:val="19"/>
                <w:u w:val="single"/>
                <w:lang w:eastAsia="es-ES"/>
              </w:rPr>
              <w:t>Los guardianes de la integridad efectiva: las relaciones entre el sector público y el privado</w:t>
            </w:r>
            <w:r w:rsidR="00937ED4" w:rsidRPr="00A07BE9">
              <w:rPr>
                <w:rFonts w:ascii="Open Sans" w:eastAsia="Times New Roman" w:hAnsi="Open Sans" w:cs="Open Sans"/>
                <w:color w:val="000080"/>
                <w:sz w:val="19"/>
                <w:szCs w:val="19"/>
                <w:u w:val="single"/>
                <w:lang w:eastAsia="es-ES"/>
              </w:rPr>
              <w:t>”</w:t>
            </w:r>
            <w:r w:rsidR="00937ED4" w:rsidRPr="00A07BE9">
              <w:rPr>
                <w:rFonts w:ascii="Open Sans" w:eastAsia="Times New Roman" w:hAnsi="Open Sans" w:cs="Open Sans"/>
                <w:sz w:val="19"/>
                <w:szCs w:val="19"/>
                <w:lang w:eastAsia="es-ES"/>
              </w:rPr>
              <w:t xml:space="preserve">, </w:t>
            </w:r>
            <w:r w:rsidRPr="00A07BE9">
              <w:rPr>
                <w:rFonts w:ascii="Open Sans" w:eastAsia="Times New Roman" w:hAnsi="Open Sans" w:cs="Open Sans"/>
                <w:sz w:val="19"/>
                <w:szCs w:val="19"/>
                <w:lang w:eastAsia="es-ES"/>
              </w:rPr>
              <w:t xml:space="preserve">se celebró en Barcelona los días 10 y 11 de octubre y contó con la participación del </w:t>
            </w:r>
            <w:r w:rsidR="00F97FB5" w:rsidRPr="00A07BE9">
              <w:rPr>
                <w:rFonts w:ascii="Open Sans" w:eastAsia="Times New Roman" w:hAnsi="Open Sans" w:cs="Open Sans"/>
                <w:sz w:val="19"/>
                <w:szCs w:val="19"/>
                <w:lang w:eastAsia="es-ES"/>
              </w:rPr>
              <w:t>d</w:t>
            </w:r>
            <w:r w:rsidRPr="00A07BE9">
              <w:rPr>
                <w:rFonts w:ascii="Open Sans" w:eastAsia="Times New Roman" w:hAnsi="Open Sans" w:cs="Open Sans"/>
                <w:sz w:val="19"/>
                <w:szCs w:val="19"/>
                <w:lang w:eastAsia="es-ES"/>
              </w:rPr>
              <w:t xml:space="preserve">irector de la Agencia en la mesa redonda del día 10 titulada </w:t>
            </w:r>
            <w:r w:rsidRPr="00A07BE9">
              <w:rPr>
                <w:rFonts w:ascii="Open Sans" w:eastAsia="Times New Roman" w:hAnsi="Open Sans" w:cs="Open Sans"/>
                <w:i/>
                <w:sz w:val="19"/>
                <w:szCs w:val="19"/>
                <w:lang w:eastAsia="es-ES"/>
              </w:rPr>
              <w:t>El papel de las instituciones en el liderazgo de las políticas de integridad</w:t>
            </w:r>
            <w:r w:rsidRPr="00A07BE9">
              <w:rPr>
                <w:rFonts w:ascii="Open Sans" w:eastAsia="Times New Roman" w:hAnsi="Open Sans" w:cs="Open Sans"/>
                <w:sz w:val="19"/>
                <w:szCs w:val="19"/>
                <w:lang w:eastAsia="es-ES"/>
              </w:rPr>
              <w:t>.</w:t>
            </w:r>
          </w:p>
        </w:tc>
      </w:tr>
      <w:tr w:rsidR="000952B8" w:rsidRPr="00A07BE9" w14:paraId="45606586" w14:textId="77777777" w:rsidTr="00F851FB">
        <w:tc>
          <w:tcPr>
            <w:tcW w:w="1843" w:type="dxa"/>
            <w:tcBorders>
              <w:bottom w:val="single" w:sz="8" w:space="0" w:color="993333"/>
            </w:tcBorders>
            <w:shd w:val="clear" w:color="auto" w:fill="FFFFFF"/>
            <w:vAlign w:val="center"/>
          </w:tcPr>
          <w:p w14:paraId="56DEAD49" w14:textId="77777777" w:rsidR="000952B8" w:rsidRPr="00A07BE9" w:rsidRDefault="000952B8" w:rsidP="000952B8">
            <w:pPr>
              <w:spacing w:after="0" w:line="288" w:lineRule="auto"/>
              <w:jc w:val="both"/>
              <w:rPr>
                <w:rFonts w:ascii="Open Sans" w:eastAsia="Times New Roman" w:hAnsi="Open Sans" w:cs="Open Sans"/>
                <w:sz w:val="19"/>
                <w:szCs w:val="19"/>
                <w:lang w:eastAsia="es-ES"/>
              </w:rPr>
            </w:pPr>
            <w:r w:rsidRPr="00A07BE9">
              <w:rPr>
                <w:rFonts w:ascii="Open Sans" w:eastAsia="Times New Roman" w:hAnsi="Open Sans" w:cs="Open Sans"/>
                <w:color w:val="000000"/>
                <w:sz w:val="19"/>
                <w:szCs w:val="19"/>
                <w:lang w:eastAsia="es-ES"/>
              </w:rPr>
              <w:t>28 de noviembre</w:t>
            </w:r>
          </w:p>
        </w:tc>
        <w:tc>
          <w:tcPr>
            <w:tcW w:w="6617" w:type="dxa"/>
            <w:tcBorders>
              <w:bottom w:val="single" w:sz="8" w:space="0" w:color="993333"/>
            </w:tcBorders>
            <w:shd w:val="clear" w:color="auto" w:fill="FFFFFF"/>
          </w:tcPr>
          <w:p w14:paraId="37AAA6BB" w14:textId="77777777" w:rsidR="000952B8" w:rsidRPr="00A07BE9" w:rsidRDefault="000952B8" w:rsidP="000952B8">
            <w:pPr>
              <w:spacing w:after="0" w:line="288" w:lineRule="auto"/>
              <w:jc w:val="both"/>
              <w:rPr>
                <w:rFonts w:ascii="Calibri" w:eastAsia="Calibri" w:hAnsi="Calibri" w:cs="Calibri"/>
                <w:sz w:val="19"/>
                <w:szCs w:val="19"/>
              </w:rPr>
            </w:pPr>
            <w:r w:rsidRPr="00A07BE9">
              <w:rPr>
                <w:rFonts w:ascii="Open Sans" w:eastAsia="Times New Roman" w:hAnsi="Open Sans" w:cs="Open Sans"/>
                <w:color w:val="666666"/>
                <w:sz w:val="19"/>
                <w:szCs w:val="19"/>
                <w:lang w:eastAsia="es-ES"/>
              </w:rPr>
              <w:t>Oficina de prevención y lucha contra la corrupción de Illes Balears (</w:t>
            </w:r>
            <w:r w:rsidRPr="00A07BE9">
              <w:rPr>
                <w:rFonts w:ascii="Open Sans" w:eastAsia="Calibri" w:hAnsi="Open Sans" w:cs="Open Sans"/>
                <w:sz w:val="19"/>
                <w:szCs w:val="19"/>
              </w:rPr>
              <w:t>Palma de Mallorca, Illes Balears</w:t>
            </w:r>
            <w:r w:rsidRPr="00A07BE9">
              <w:rPr>
                <w:rFonts w:ascii="Open Sans" w:eastAsia="Times New Roman" w:hAnsi="Open Sans" w:cs="Open Sans"/>
                <w:sz w:val="19"/>
                <w:szCs w:val="19"/>
                <w:lang w:eastAsia="es-ES"/>
              </w:rPr>
              <w:t>)</w:t>
            </w:r>
          </w:p>
          <w:p w14:paraId="28CB2C47" w14:textId="77777777" w:rsidR="000952B8" w:rsidRPr="00A07BE9" w:rsidRDefault="000952B8" w:rsidP="000952B8">
            <w:pPr>
              <w:spacing w:after="0" w:line="288" w:lineRule="auto"/>
              <w:jc w:val="both"/>
              <w:rPr>
                <w:rFonts w:ascii="Open Sans" w:eastAsia="Times New Roman" w:hAnsi="Open Sans" w:cs="Open Sans"/>
                <w:b/>
                <w:bCs/>
                <w:sz w:val="19"/>
                <w:szCs w:val="19"/>
                <w:lang w:eastAsia="es-ES"/>
              </w:rPr>
            </w:pPr>
            <w:r w:rsidRPr="00A07BE9">
              <w:rPr>
                <w:rFonts w:ascii="Open Sans" w:eastAsia="Times New Roman" w:hAnsi="Open Sans" w:cs="Open Sans"/>
                <w:b/>
                <w:bCs/>
                <w:sz w:val="19"/>
                <w:szCs w:val="19"/>
                <w:lang w:eastAsia="es-ES"/>
              </w:rPr>
              <w:lastRenderedPageBreak/>
              <w:t>La sociedad civil en la lucha contra la corrupción. La protección de los denunciantes, los observatorios ciudadanos y las agencias contra la corrupción</w:t>
            </w:r>
          </w:p>
          <w:p w14:paraId="156E5931" w14:textId="233AA2F1" w:rsidR="000952B8" w:rsidRPr="00A07BE9" w:rsidRDefault="000952B8" w:rsidP="000952B8">
            <w:pPr>
              <w:spacing w:after="0" w:line="288" w:lineRule="auto"/>
              <w:jc w:val="both"/>
              <w:rPr>
                <w:rFonts w:ascii="Calibri" w:eastAsia="Calibri" w:hAnsi="Calibri" w:cs="Calibri"/>
                <w:sz w:val="19"/>
                <w:szCs w:val="19"/>
              </w:rPr>
            </w:pPr>
            <w:r w:rsidRPr="00A07BE9">
              <w:rPr>
                <w:rFonts w:ascii="Open Sans" w:eastAsia="Times New Roman" w:hAnsi="Open Sans" w:cs="Open Sans"/>
                <w:sz w:val="19"/>
                <w:szCs w:val="19"/>
                <w:lang w:eastAsia="es-ES"/>
              </w:rPr>
              <w:t xml:space="preserve">En el marco de la </w:t>
            </w:r>
            <w:hyperlink r:id="rId319">
              <w:r w:rsidRPr="00A07BE9">
                <w:rPr>
                  <w:rFonts w:ascii="Open Sans" w:eastAsia="Times New Roman" w:hAnsi="Open Sans" w:cs="Open Sans"/>
                  <w:color w:val="000080"/>
                  <w:sz w:val="19"/>
                  <w:szCs w:val="19"/>
                  <w:u w:val="single"/>
                  <w:lang w:eastAsia="es-ES"/>
                </w:rPr>
                <w:t>Jornada sobre la función de las oficinas y agencias anticorrupción del Estado español</w:t>
              </w:r>
            </w:hyperlink>
            <w:r w:rsidRPr="00A07BE9">
              <w:rPr>
                <w:rFonts w:ascii="Open Sans" w:eastAsia="Times New Roman" w:hAnsi="Open Sans" w:cs="Open Sans"/>
                <w:sz w:val="19"/>
                <w:szCs w:val="19"/>
                <w:lang w:eastAsia="es-ES"/>
              </w:rPr>
              <w:t xml:space="preserve">, el director intervino en una conferencia-coloquio titulada </w:t>
            </w:r>
            <w:r w:rsidRPr="00A07BE9">
              <w:rPr>
                <w:rFonts w:ascii="Open Sans" w:eastAsia="Times New Roman" w:hAnsi="Open Sans" w:cs="Open Sans"/>
                <w:i/>
                <w:sz w:val="19"/>
                <w:szCs w:val="19"/>
                <w:lang w:eastAsia="es-ES"/>
              </w:rPr>
              <w:t>La sociedad civil en la lucha contra la corrupción. La protección de los denunciantes, los observatorios ciudadanos y las agencias contra la corrupción</w:t>
            </w:r>
            <w:r w:rsidRPr="00A07BE9">
              <w:rPr>
                <w:rFonts w:ascii="Open Sans" w:eastAsia="Times New Roman" w:hAnsi="Open Sans" w:cs="Open Sans"/>
                <w:sz w:val="19"/>
                <w:szCs w:val="19"/>
                <w:lang w:eastAsia="es-ES"/>
              </w:rPr>
              <w:t>; junto a Eva Belmonte, codirectora de la Fundación Ciudadana Civio; Elisa de la Nuez Sánchez-</w:t>
            </w:r>
            <w:r w:rsidR="00545B5D" w:rsidRPr="00A07BE9">
              <w:rPr>
                <w:rFonts w:ascii="Open Sans" w:eastAsia="Times New Roman" w:hAnsi="Open Sans" w:cs="Open Sans"/>
                <w:sz w:val="19"/>
                <w:szCs w:val="19"/>
                <w:lang w:eastAsia="es-ES"/>
              </w:rPr>
              <w:t>C</w:t>
            </w:r>
            <w:r w:rsidRPr="00A07BE9">
              <w:rPr>
                <w:rFonts w:ascii="Open Sans" w:eastAsia="Times New Roman" w:hAnsi="Open Sans" w:cs="Open Sans"/>
                <w:sz w:val="19"/>
                <w:szCs w:val="19"/>
                <w:lang w:eastAsia="es-ES"/>
              </w:rPr>
              <w:t>ascada, Secretaria General de la Fundación "Hay Derecho"; y Manuel Villoria Mendieta, miembro del Comité de Dirección de Transparencia Internacional España y Catedrático de Ciencia Política en la Universidad Rey Juan Carlos.</w:t>
            </w:r>
          </w:p>
        </w:tc>
      </w:tr>
    </w:tbl>
    <w:p w14:paraId="729E7D32" w14:textId="4535E5B8" w:rsidR="00E83D86" w:rsidRPr="00A07BE9" w:rsidRDefault="00E83D86" w:rsidP="000952B8">
      <w:pPr>
        <w:spacing w:after="0" w:line="276" w:lineRule="auto"/>
        <w:jc w:val="both"/>
        <w:rPr>
          <w:rFonts w:ascii="Open Sans" w:eastAsia="Times New Roman" w:hAnsi="Open Sans" w:cs="Open Sans"/>
          <w:b/>
          <w:bCs/>
          <w:smallCaps/>
          <w:color w:val="94070A"/>
          <w:sz w:val="20"/>
          <w:szCs w:val="20"/>
          <w:lang w:eastAsia="es-ES"/>
        </w:rPr>
      </w:pPr>
    </w:p>
    <w:p w14:paraId="3FBA95BE" w14:textId="77777777" w:rsidR="00E83D86" w:rsidRPr="00A07BE9" w:rsidRDefault="00E83D86" w:rsidP="000952B8">
      <w:pPr>
        <w:spacing w:after="0" w:line="276" w:lineRule="auto"/>
        <w:jc w:val="both"/>
        <w:rPr>
          <w:rFonts w:ascii="Open Sans" w:eastAsia="Times New Roman" w:hAnsi="Open Sans" w:cs="Open Sans"/>
          <w:b/>
          <w:bCs/>
          <w:smallCaps/>
          <w:color w:val="94070A"/>
          <w:sz w:val="20"/>
          <w:szCs w:val="20"/>
          <w:lang w:eastAsia="es-ES"/>
        </w:rPr>
      </w:pPr>
    </w:p>
    <w:p w14:paraId="11A9832F" w14:textId="2D75F5ED" w:rsidR="000952B8" w:rsidRPr="00A07BE9" w:rsidRDefault="000952B8" w:rsidP="000952B8">
      <w:pPr>
        <w:spacing w:after="0" w:line="276" w:lineRule="auto"/>
        <w:jc w:val="both"/>
        <w:rPr>
          <w:rFonts w:ascii="Open Sans" w:eastAsia="Times New Roman" w:hAnsi="Open Sans" w:cs="Open Sans"/>
          <w:b/>
          <w:bCs/>
          <w:smallCaps/>
          <w:color w:val="94070A"/>
          <w:sz w:val="32"/>
          <w:szCs w:val="32"/>
          <w:lang w:eastAsia="es-ES"/>
        </w:rPr>
      </w:pPr>
      <w:r w:rsidRPr="00A07BE9">
        <w:rPr>
          <w:rFonts w:ascii="Open Sans" w:eastAsia="Times New Roman" w:hAnsi="Open Sans" w:cs="Open Sans"/>
          <w:b/>
          <w:bCs/>
          <w:smallCaps/>
          <w:color w:val="94070A"/>
          <w:sz w:val="32"/>
          <w:szCs w:val="32"/>
          <w:lang w:eastAsia="es-ES"/>
        </w:rPr>
        <w:t xml:space="preserve">5.7. Entrevistas </w:t>
      </w:r>
      <w:r w:rsidR="002A5CF7" w:rsidRPr="00A07BE9">
        <w:rPr>
          <w:rFonts w:ascii="Open Sans" w:eastAsia="Times New Roman" w:hAnsi="Open Sans" w:cs="Open Sans"/>
          <w:b/>
          <w:bCs/>
          <w:smallCaps/>
          <w:color w:val="94070A"/>
          <w:sz w:val="32"/>
          <w:szCs w:val="32"/>
          <w:lang w:eastAsia="es-ES"/>
        </w:rPr>
        <w:t>y</w:t>
      </w:r>
      <w:r w:rsidRPr="00A07BE9">
        <w:rPr>
          <w:rFonts w:ascii="Open Sans" w:eastAsia="Times New Roman" w:hAnsi="Open Sans" w:cs="Open Sans"/>
          <w:b/>
          <w:bCs/>
          <w:smallCaps/>
          <w:color w:val="94070A"/>
          <w:sz w:val="32"/>
          <w:szCs w:val="32"/>
          <w:lang w:eastAsia="es-ES"/>
        </w:rPr>
        <w:t xml:space="preserve"> </w:t>
      </w:r>
      <w:r w:rsidR="00E62BD1">
        <w:rPr>
          <w:rFonts w:ascii="Open Sans" w:eastAsia="Times New Roman" w:hAnsi="Open Sans" w:cs="Open Sans"/>
          <w:b/>
          <w:bCs/>
          <w:smallCaps/>
          <w:color w:val="94070A"/>
          <w:sz w:val="32"/>
          <w:szCs w:val="32"/>
          <w:lang w:eastAsia="es-ES"/>
        </w:rPr>
        <w:t>r</w:t>
      </w:r>
      <w:r w:rsidRPr="00A07BE9">
        <w:rPr>
          <w:rFonts w:ascii="Open Sans" w:eastAsia="Times New Roman" w:hAnsi="Open Sans" w:cs="Open Sans"/>
          <w:b/>
          <w:bCs/>
          <w:smallCaps/>
          <w:color w:val="94070A"/>
          <w:sz w:val="32"/>
          <w:szCs w:val="32"/>
          <w:lang w:eastAsia="es-ES"/>
        </w:rPr>
        <w:t>euniones</w:t>
      </w:r>
    </w:p>
    <w:p w14:paraId="2F1A5D7E" w14:textId="77777777" w:rsidR="000952B8" w:rsidRPr="00A07BE9" w:rsidRDefault="000952B8" w:rsidP="000952B8">
      <w:pPr>
        <w:spacing w:after="0" w:line="276" w:lineRule="auto"/>
        <w:jc w:val="both"/>
        <w:rPr>
          <w:rFonts w:ascii="Open Sans" w:eastAsia="Times New Roman" w:hAnsi="Open Sans" w:cs="Open Sans"/>
          <w:smallCaps/>
          <w:sz w:val="20"/>
          <w:szCs w:val="20"/>
          <w:lang w:eastAsia="es-ES"/>
        </w:rPr>
      </w:pPr>
    </w:p>
    <w:p w14:paraId="21818630" w14:textId="77777777" w:rsidR="000952B8" w:rsidRPr="00A07BE9" w:rsidRDefault="000952B8" w:rsidP="000952B8">
      <w:pPr>
        <w:spacing w:after="0" w:line="276" w:lineRule="auto"/>
        <w:jc w:val="both"/>
        <w:rPr>
          <w:rFonts w:ascii="Calibri" w:eastAsia="Calibri" w:hAnsi="Calibri" w:cs="Calibri"/>
          <w:sz w:val="20"/>
          <w:szCs w:val="20"/>
        </w:rPr>
      </w:pPr>
      <w:r w:rsidRPr="00A07BE9">
        <w:rPr>
          <w:rFonts w:ascii="Open Sans" w:eastAsia="Times New Roman" w:hAnsi="Open Sans" w:cs="Open Sans"/>
          <w:sz w:val="20"/>
          <w:szCs w:val="20"/>
          <w:lang w:eastAsia="es-ES"/>
        </w:rPr>
        <w:t>Durante 2019 se han mantenido encuentros de carácter oficial o institucional para tratar diversos temas relacionados con la actividad de la Agencia y su colaboración con diversas instituciones, corporaciones, administraciones y centros directivos de la Generalitat Valenciana, de otras Comunidades Autónomas, de la Administración General del Estado, así como con organizaciones de lucha contra el fraude de países extranjeros.</w:t>
      </w:r>
    </w:p>
    <w:p w14:paraId="300301BA" w14:textId="3ED8DEE4" w:rsidR="00C12B0A" w:rsidRDefault="00C12B0A" w:rsidP="000952B8">
      <w:pPr>
        <w:spacing w:after="0" w:line="276" w:lineRule="auto"/>
        <w:jc w:val="both"/>
        <w:rPr>
          <w:rFonts w:ascii="Open Sans" w:eastAsia="Times New Roman" w:hAnsi="Open Sans" w:cs="Open Sans"/>
          <w:sz w:val="20"/>
          <w:szCs w:val="20"/>
          <w:lang w:eastAsia="es-ES"/>
        </w:rPr>
      </w:pPr>
    </w:p>
    <w:p w14:paraId="20EBA187" w14:textId="77777777" w:rsidR="00E340E8" w:rsidRPr="00A07BE9" w:rsidRDefault="00E340E8" w:rsidP="000952B8">
      <w:pPr>
        <w:spacing w:after="0" w:line="276" w:lineRule="auto"/>
        <w:jc w:val="both"/>
        <w:rPr>
          <w:rFonts w:ascii="Open Sans" w:eastAsia="Times New Roman" w:hAnsi="Open Sans" w:cs="Open Sans"/>
          <w:sz w:val="20"/>
          <w:szCs w:val="20"/>
          <w:lang w:eastAsia="es-ES"/>
        </w:rPr>
      </w:pPr>
    </w:p>
    <w:p w14:paraId="515744D9" w14:textId="588B8976" w:rsidR="000952B8" w:rsidRPr="00A07BE9" w:rsidRDefault="000952B8" w:rsidP="000952B8">
      <w:pPr>
        <w:spacing w:after="0" w:line="276" w:lineRule="auto"/>
        <w:jc w:val="both"/>
        <w:rPr>
          <w:rFonts w:ascii="Open Sans" w:eastAsia="Times New Roman" w:hAnsi="Open Sans" w:cs="Open Sans"/>
          <w:b/>
          <w:bCs/>
          <w:sz w:val="20"/>
          <w:szCs w:val="20"/>
          <w:lang w:eastAsia="es-ES"/>
        </w:rPr>
      </w:pPr>
      <w:r w:rsidRPr="00A07BE9">
        <w:rPr>
          <w:rFonts w:ascii="Open Sans" w:eastAsia="Times New Roman" w:hAnsi="Open Sans" w:cs="Open Sans"/>
          <w:b/>
          <w:bCs/>
          <w:color w:val="993333"/>
          <w:sz w:val="20"/>
          <w:szCs w:val="20"/>
          <w:lang w:eastAsia="es-ES"/>
        </w:rPr>
        <w:t>Ta</w:t>
      </w:r>
      <w:r w:rsidR="007C4186" w:rsidRPr="00A07BE9">
        <w:rPr>
          <w:rFonts w:ascii="Open Sans" w:eastAsia="Times New Roman" w:hAnsi="Open Sans" w:cs="Open Sans"/>
          <w:b/>
          <w:bCs/>
          <w:color w:val="993333"/>
          <w:sz w:val="20"/>
          <w:szCs w:val="20"/>
          <w:lang w:eastAsia="es-ES"/>
        </w:rPr>
        <w:t>bla</w:t>
      </w:r>
      <w:r w:rsidRPr="00A07BE9">
        <w:rPr>
          <w:rFonts w:ascii="Open Sans" w:eastAsia="Times New Roman" w:hAnsi="Open Sans" w:cs="Open Sans"/>
          <w:b/>
          <w:bCs/>
          <w:color w:val="993333"/>
          <w:sz w:val="20"/>
          <w:szCs w:val="20"/>
          <w:lang w:eastAsia="es-ES"/>
        </w:rPr>
        <w:t xml:space="preserve"> </w:t>
      </w:r>
      <w:r w:rsidR="001E295B" w:rsidRPr="00A07BE9">
        <w:rPr>
          <w:rFonts w:ascii="Open Sans" w:eastAsia="Times New Roman" w:hAnsi="Open Sans" w:cs="Open Sans"/>
          <w:b/>
          <w:bCs/>
          <w:color w:val="993333"/>
          <w:sz w:val="20"/>
          <w:szCs w:val="20"/>
          <w:lang w:eastAsia="es-ES"/>
        </w:rPr>
        <w:t>1</w:t>
      </w:r>
      <w:r w:rsidR="00640AAC" w:rsidRPr="00A07BE9">
        <w:rPr>
          <w:rFonts w:ascii="Open Sans" w:eastAsia="Times New Roman" w:hAnsi="Open Sans" w:cs="Open Sans"/>
          <w:b/>
          <w:bCs/>
          <w:color w:val="993333"/>
          <w:sz w:val="20"/>
          <w:szCs w:val="20"/>
          <w:lang w:eastAsia="es-ES"/>
        </w:rPr>
        <w:t>5</w:t>
      </w:r>
      <w:r w:rsidRPr="00A07BE9">
        <w:rPr>
          <w:rFonts w:ascii="Open Sans" w:eastAsia="Times New Roman" w:hAnsi="Open Sans" w:cs="Open Sans"/>
          <w:b/>
          <w:bCs/>
          <w:sz w:val="20"/>
          <w:szCs w:val="20"/>
          <w:lang w:eastAsia="es-ES"/>
        </w:rPr>
        <w:t>.</w:t>
      </w:r>
      <w:r w:rsidRPr="00A07BE9">
        <w:rPr>
          <w:rFonts w:ascii="Open Sans" w:eastAsia="Times New Roman" w:hAnsi="Open Sans" w:cs="Open Sans"/>
          <w:sz w:val="20"/>
          <w:szCs w:val="20"/>
          <w:lang w:eastAsia="es-ES"/>
        </w:rPr>
        <w:t xml:space="preserve"> </w:t>
      </w:r>
      <w:r w:rsidRPr="00A07BE9">
        <w:rPr>
          <w:rFonts w:ascii="Open Sans" w:eastAsia="Times New Roman" w:hAnsi="Open Sans" w:cs="Open Sans"/>
          <w:b/>
          <w:bCs/>
          <w:sz w:val="20"/>
          <w:szCs w:val="20"/>
          <w:lang w:eastAsia="es-ES"/>
        </w:rPr>
        <w:t>Entrevistas y reuniones mantenidas por el director de la Agencia</w:t>
      </w:r>
      <w:bookmarkStart w:id="23" w:name="_Hlk32391862"/>
      <w:bookmarkEnd w:id="23"/>
    </w:p>
    <w:tbl>
      <w:tblPr>
        <w:tblW w:w="8486" w:type="dxa"/>
        <w:jc w:val="right"/>
        <w:tblCellMar>
          <w:left w:w="0" w:type="dxa"/>
          <w:bottom w:w="28" w:type="dxa"/>
          <w:right w:w="0" w:type="dxa"/>
        </w:tblCellMar>
        <w:tblLook w:val="04A0" w:firstRow="1" w:lastRow="0" w:firstColumn="1" w:lastColumn="0" w:noHBand="0" w:noVBand="1"/>
      </w:tblPr>
      <w:tblGrid>
        <w:gridCol w:w="1701"/>
        <w:gridCol w:w="6785"/>
      </w:tblGrid>
      <w:tr w:rsidR="000952B8" w:rsidRPr="00A07BE9" w14:paraId="2F929818" w14:textId="77777777" w:rsidTr="00E62BD1">
        <w:trPr>
          <w:tblHeader/>
          <w:jc w:val="right"/>
        </w:trPr>
        <w:tc>
          <w:tcPr>
            <w:tcW w:w="1701" w:type="dxa"/>
            <w:tcBorders>
              <w:bottom w:val="single" w:sz="4" w:space="0" w:color="C00000"/>
            </w:tcBorders>
            <w:shd w:val="clear" w:color="auto" w:fill="993333"/>
          </w:tcPr>
          <w:p w14:paraId="3CBE7416" w14:textId="77777777" w:rsidR="000952B8" w:rsidRPr="00A07BE9" w:rsidRDefault="000952B8" w:rsidP="000952B8">
            <w:pPr>
              <w:spacing w:after="0" w:line="288" w:lineRule="auto"/>
              <w:jc w:val="both"/>
              <w:rPr>
                <w:rFonts w:ascii="Open Sans" w:eastAsia="Times New Roman" w:hAnsi="Open Sans" w:cs="Open Sans"/>
                <w:sz w:val="20"/>
                <w:szCs w:val="20"/>
                <w:lang w:eastAsia="es-ES"/>
              </w:rPr>
            </w:pPr>
            <w:r w:rsidRPr="00A07BE9">
              <w:rPr>
                <w:rFonts w:ascii="Open Sans" w:eastAsia="Times New Roman" w:hAnsi="Open Sans" w:cs="Open Sans"/>
                <w:b/>
                <w:bCs/>
                <w:color w:val="FFFFFF"/>
                <w:sz w:val="20"/>
                <w:szCs w:val="20"/>
                <w:lang w:eastAsia="es-ES"/>
              </w:rPr>
              <w:t>Fecha</w:t>
            </w:r>
          </w:p>
        </w:tc>
        <w:tc>
          <w:tcPr>
            <w:tcW w:w="6785" w:type="dxa"/>
            <w:tcBorders>
              <w:bottom w:val="single" w:sz="4" w:space="0" w:color="C00000"/>
            </w:tcBorders>
            <w:shd w:val="clear" w:color="auto" w:fill="993333"/>
          </w:tcPr>
          <w:p w14:paraId="71784F99" w14:textId="77777777" w:rsidR="000952B8" w:rsidRPr="00A07BE9" w:rsidRDefault="000952B8" w:rsidP="000952B8">
            <w:pPr>
              <w:spacing w:after="0" w:line="288" w:lineRule="auto"/>
              <w:jc w:val="both"/>
              <w:rPr>
                <w:rFonts w:ascii="Open Sans" w:eastAsia="Times New Roman" w:hAnsi="Open Sans" w:cs="Open Sans"/>
                <w:b/>
                <w:bCs/>
                <w:color w:val="FFFFFF"/>
                <w:sz w:val="20"/>
                <w:szCs w:val="20"/>
                <w:lang w:eastAsia="es-ES"/>
              </w:rPr>
            </w:pPr>
            <w:r w:rsidRPr="00A07BE9">
              <w:rPr>
                <w:rFonts w:ascii="Open Sans" w:eastAsia="Times New Roman" w:hAnsi="Open Sans" w:cs="Open Sans"/>
                <w:b/>
                <w:bCs/>
                <w:color w:val="FFFFFF"/>
                <w:sz w:val="20"/>
                <w:szCs w:val="20"/>
                <w:lang w:eastAsia="es-ES"/>
              </w:rPr>
              <w:t xml:space="preserve">ACTIVIDAD/ </w:t>
            </w:r>
            <w:r w:rsidRPr="00A07BE9">
              <w:rPr>
                <w:rFonts w:ascii="Open Sans" w:eastAsia="Times New Roman" w:hAnsi="Open Sans" w:cs="Open Sans"/>
                <w:b/>
                <w:i/>
                <w:color w:val="FFFFFF"/>
                <w:sz w:val="20"/>
                <w:szCs w:val="20"/>
                <w:lang w:eastAsia="es-ES"/>
              </w:rPr>
              <w:t>Lugar</w:t>
            </w:r>
          </w:p>
        </w:tc>
      </w:tr>
      <w:tr w:rsidR="000952B8" w:rsidRPr="00A07BE9" w14:paraId="4DC52B32" w14:textId="77777777" w:rsidTr="00E62BD1">
        <w:trPr>
          <w:jc w:val="right"/>
        </w:trPr>
        <w:tc>
          <w:tcPr>
            <w:tcW w:w="1701" w:type="dxa"/>
            <w:tcBorders>
              <w:top w:val="single" w:sz="4" w:space="0" w:color="C00000"/>
              <w:bottom w:val="single" w:sz="4" w:space="0" w:color="C00000"/>
            </w:tcBorders>
            <w:shd w:val="clear" w:color="auto" w:fill="FFFFFF"/>
            <w:vAlign w:val="center"/>
          </w:tcPr>
          <w:p w14:paraId="25E19FC5"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10 de enero </w:t>
            </w:r>
          </w:p>
        </w:tc>
        <w:tc>
          <w:tcPr>
            <w:tcW w:w="6785" w:type="dxa"/>
            <w:tcBorders>
              <w:top w:val="single" w:sz="4" w:space="0" w:color="C00000"/>
              <w:bottom w:val="single" w:sz="4" w:space="0" w:color="C00000"/>
            </w:tcBorders>
            <w:shd w:val="clear" w:color="auto" w:fill="FFFFFF"/>
          </w:tcPr>
          <w:p w14:paraId="5BBB143E"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Responsable de formación, Secretaría de Administración y Finanzas del sindicato CCOO</w:t>
            </w:r>
          </w:p>
          <w:p w14:paraId="330479E6" w14:textId="77777777" w:rsidR="000952B8" w:rsidRPr="00A07BE9" w:rsidRDefault="000952B8" w:rsidP="000952B8">
            <w:pPr>
              <w:spacing w:after="0" w:line="288" w:lineRule="auto"/>
              <w:jc w:val="both"/>
              <w:rPr>
                <w:rFonts w:ascii="Open Sans" w:eastAsia="Times New Roman" w:hAnsi="Open Sans" w:cs="Open Sans"/>
                <w:i/>
                <w:color w:val="000000"/>
                <w:sz w:val="20"/>
                <w:szCs w:val="20"/>
                <w:lang w:eastAsia="es-ES"/>
              </w:rPr>
            </w:pPr>
            <w:r w:rsidRPr="00A07BE9">
              <w:rPr>
                <w:rFonts w:ascii="Open Sans" w:eastAsia="Times New Roman" w:hAnsi="Open Sans" w:cs="Open Sans"/>
                <w:i/>
                <w:sz w:val="20"/>
                <w:szCs w:val="20"/>
                <w:lang w:eastAsia="es-ES"/>
              </w:rPr>
              <w:t>València</w:t>
            </w:r>
          </w:p>
        </w:tc>
      </w:tr>
      <w:tr w:rsidR="000952B8" w:rsidRPr="00A07BE9" w14:paraId="0EC40736" w14:textId="77777777" w:rsidTr="00E62BD1">
        <w:trPr>
          <w:jc w:val="right"/>
        </w:trPr>
        <w:tc>
          <w:tcPr>
            <w:tcW w:w="1701" w:type="dxa"/>
            <w:tcBorders>
              <w:top w:val="single" w:sz="4" w:space="0" w:color="C00000"/>
              <w:bottom w:val="single" w:sz="4" w:space="0" w:color="C00000"/>
            </w:tcBorders>
            <w:shd w:val="clear" w:color="auto" w:fill="FFFFFF"/>
            <w:vAlign w:val="center"/>
          </w:tcPr>
          <w:p w14:paraId="2016F150"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11 de enero</w:t>
            </w:r>
          </w:p>
        </w:tc>
        <w:tc>
          <w:tcPr>
            <w:tcW w:w="6785" w:type="dxa"/>
            <w:tcBorders>
              <w:top w:val="single" w:sz="4" w:space="0" w:color="C00000"/>
              <w:bottom w:val="single" w:sz="4" w:space="0" w:color="C00000"/>
            </w:tcBorders>
            <w:shd w:val="clear" w:color="auto" w:fill="FFFFFF"/>
          </w:tcPr>
          <w:p w14:paraId="2B343CDE" w14:textId="5513C99E" w:rsidR="000952B8" w:rsidRPr="00A07BE9" w:rsidRDefault="00F97FB5"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D</w:t>
            </w:r>
            <w:r w:rsidR="000952B8" w:rsidRPr="00A07BE9">
              <w:rPr>
                <w:rFonts w:ascii="Open Sans" w:eastAsia="Times New Roman" w:hAnsi="Open Sans" w:cs="Open Sans"/>
                <w:color w:val="000000"/>
                <w:sz w:val="20"/>
                <w:szCs w:val="20"/>
                <w:lang w:eastAsia="es-ES"/>
              </w:rPr>
              <w:t>irector de la Oficina de Conflictos de Intereses, Conselleria de Transparencia, Responsabilidad Social, Participación y Cooperación</w:t>
            </w:r>
          </w:p>
          <w:p w14:paraId="0E0FC9F9"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sz w:val="20"/>
                <w:szCs w:val="20"/>
                <w:lang w:eastAsia="es-ES"/>
              </w:rPr>
              <w:t>València</w:t>
            </w:r>
          </w:p>
        </w:tc>
      </w:tr>
      <w:tr w:rsidR="000952B8" w:rsidRPr="00A07BE9" w14:paraId="72E46954" w14:textId="77777777" w:rsidTr="00E62BD1">
        <w:trPr>
          <w:jc w:val="right"/>
        </w:trPr>
        <w:tc>
          <w:tcPr>
            <w:tcW w:w="1701" w:type="dxa"/>
            <w:tcBorders>
              <w:top w:val="single" w:sz="4" w:space="0" w:color="C00000"/>
              <w:bottom w:val="single" w:sz="4" w:space="0" w:color="C00000"/>
            </w:tcBorders>
            <w:shd w:val="clear" w:color="auto" w:fill="FFFFFF"/>
            <w:vAlign w:val="center"/>
          </w:tcPr>
          <w:p w14:paraId="11556D79"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4 de febrero</w:t>
            </w:r>
          </w:p>
        </w:tc>
        <w:tc>
          <w:tcPr>
            <w:tcW w:w="6785" w:type="dxa"/>
            <w:tcBorders>
              <w:top w:val="single" w:sz="4" w:space="0" w:color="C00000"/>
              <w:bottom w:val="single" w:sz="4" w:space="0" w:color="C00000"/>
            </w:tcBorders>
            <w:shd w:val="clear" w:color="auto" w:fill="FFFFFF"/>
          </w:tcPr>
          <w:p w14:paraId="1555800B"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Comisión Nacional de los Mercados y la Competencia: director del Departamento Control Interno, directora de Competencia, director de Promoción de la Competencia y el presidente de la asociación Tactical Whistleblower</w:t>
            </w:r>
          </w:p>
          <w:p w14:paraId="0C1DEB9C"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sz w:val="20"/>
                <w:szCs w:val="20"/>
                <w:lang w:eastAsia="es-ES"/>
              </w:rPr>
              <w:t>Madrid</w:t>
            </w:r>
          </w:p>
        </w:tc>
      </w:tr>
      <w:tr w:rsidR="000952B8" w:rsidRPr="00A07BE9" w14:paraId="68E2CF6C" w14:textId="77777777" w:rsidTr="00E62BD1">
        <w:trPr>
          <w:jc w:val="right"/>
        </w:trPr>
        <w:tc>
          <w:tcPr>
            <w:tcW w:w="1701" w:type="dxa"/>
            <w:tcBorders>
              <w:top w:val="single" w:sz="4" w:space="0" w:color="C00000"/>
              <w:bottom w:val="single" w:sz="4" w:space="0" w:color="C00000"/>
            </w:tcBorders>
            <w:shd w:val="clear" w:color="auto" w:fill="FFFFFF"/>
            <w:vAlign w:val="center"/>
          </w:tcPr>
          <w:p w14:paraId="3FA9BB6B"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6 de febrero</w:t>
            </w:r>
          </w:p>
        </w:tc>
        <w:tc>
          <w:tcPr>
            <w:tcW w:w="6785" w:type="dxa"/>
            <w:tcBorders>
              <w:top w:val="single" w:sz="4" w:space="0" w:color="C00000"/>
              <w:bottom w:val="single" w:sz="4" w:space="0" w:color="C00000"/>
            </w:tcBorders>
            <w:shd w:val="clear" w:color="auto" w:fill="FFFFFF"/>
          </w:tcPr>
          <w:p w14:paraId="6D87D41B"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Presidente del Consejo de Transparencia</w:t>
            </w:r>
          </w:p>
          <w:p w14:paraId="0EE100A7"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sz w:val="20"/>
                <w:szCs w:val="20"/>
                <w:lang w:eastAsia="es-ES"/>
              </w:rPr>
              <w:t>València</w:t>
            </w:r>
          </w:p>
        </w:tc>
      </w:tr>
      <w:tr w:rsidR="000952B8" w:rsidRPr="00A07BE9" w14:paraId="23E216B4" w14:textId="77777777" w:rsidTr="00E62BD1">
        <w:trPr>
          <w:jc w:val="right"/>
        </w:trPr>
        <w:tc>
          <w:tcPr>
            <w:tcW w:w="1701" w:type="dxa"/>
            <w:tcBorders>
              <w:top w:val="single" w:sz="4" w:space="0" w:color="C00000"/>
              <w:bottom w:val="single" w:sz="4" w:space="0" w:color="C00000"/>
            </w:tcBorders>
            <w:shd w:val="clear" w:color="auto" w:fill="FFFFFF"/>
            <w:vAlign w:val="center"/>
          </w:tcPr>
          <w:p w14:paraId="603C4A62"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7 de febrero</w:t>
            </w:r>
          </w:p>
        </w:tc>
        <w:tc>
          <w:tcPr>
            <w:tcW w:w="6785" w:type="dxa"/>
            <w:tcBorders>
              <w:top w:val="single" w:sz="4" w:space="0" w:color="C00000"/>
              <w:bottom w:val="single" w:sz="4" w:space="0" w:color="C00000"/>
            </w:tcBorders>
            <w:shd w:val="clear" w:color="auto" w:fill="FFFFFF"/>
          </w:tcPr>
          <w:p w14:paraId="03FE7DE0"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Presidenta del Observatorio Ciudadano contra la Corrupción</w:t>
            </w:r>
          </w:p>
          <w:p w14:paraId="552FBFE8"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sz w:val="20"/>
                <w:szCs w:val="20"/>
                <w:lang w:eastAsia="es-ES"/>
              </w:rPr>
              <w:t>València</w:t>
            </w:r>
          </w:p>
        </w:tc>
      </w:tr>
      <w:tr w:rsidR="000952B8" w:rsidRPr="00A07BE9" w14:paraId="6A9CFC46" w14:textId="77777777" w:rsidTr="00E62BD1">
        <w:trPr>
          <w:jc w:val="right"/>
        </w:trPr>
        <w:tc>
          <w:tcPr>
            <w:tcW w:w="1701" w:type="dxa"/>
            <w:tcBorders>
              <w:top w:val="single" w:sz="4" w:space="0" w:color="C00000"/>
              <w:bottom w:val="single" w:sz="4" w:space="0" w:color="C00000"/>
            </w:tcBorders>
            <w:shd w:val="clear" w:color="auto" w:fill="FFFFFF"/>
            <w:vAlign w:val="center"/>
          </w:tcPr>
          <w:p w14:paraId="338DAEB0"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lastRenderedPageBreak/>
              <w:t>14 de febrero</w:t>
            </w:r>
          </w:p>
        </w:tc>
        <w:tc>
          <w:tcPr>
            <w:tcW w:w="6785" w:type="dxa"/>
            <w:tcBorders>
              <w:top w:val="single" w:sz="4" w:space="0" w:color="C00000"/>
              <w:bottom w:val="single" w:sz="4" w:space="0" w:color="C00000"/>
            </w:tcBorders>
            <w:shd w:val="clear" w:color="auto" w:fill="FFFFFF"/>
          </w:tcPr>
          <w:p w14:paraId="5D7371B9"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Asociación Tactical Whistleblower</w:t>
            </w:r>
          </w:p>
          <w:p w14:paraId="30DEB39B"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sz w:val="20"/>
                <w:szCs w:val="20"/>
                <w:lang w:eastAsia="es-ES"/>
              </w:rPr>
              <w:t>València</w:t>
            </w:r>
          </w:p>
        </w:tc>
      </w:tr>
      <w:tr w:rsidR="000952B8" w:rsidRPr="00A07BE9" w14:paraId="3D6926B2" w14:textId="77777777" w:rsidTr="00E62BD1">
        <w:trPr>
          <w:jc w:val="right"/>
        </w:trPr>
        <w:tc>
          <w:tcPr>
            <w:tcW w:w="1701" w:type="dxa"/>
            <w:tcBorders>
              <w:top w:val="single" w:sz="4" w:space="0" w:color="C00000"/>
              <w:bottom w:val="single" w:sz="4" w:space="0" w:color="C00000"/>
            </w:tcBorders>
            <w:shd w:val="clear" w:color="auto" w:fill="FFFFFF"/>
            <w:vAlign w:val="center"/>
          </w:tcPr>
          <w:p w14:paraId="238707C3"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 de marzo</w:t>
            </w:r>
          </w:p>
        </w:tc>
        <w:tc>
          <w:tcPr>
            <w:tcW w:w="6785" w:type="dxa"/>
            <w:tcBorders>
              <w:top w:val="single" w:sz="4" w:space="0" w:color="C00000"/>
              <w:bottom w:val="single" w:sz="4" w:space="0" w:color="C00000"/>
            </w:tcBorders>
            <w:shd w:val="clear" w:color="auto" w:fill="FFFFFF"/>
          </w:tcPr>
          <w:p w14:paraId="0E4180C3"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Fundación Baltasar Garzón, FIBGAR</w:t>
            </w:r>
          </w:p>
          <w:p w14:paraId="01F55FCF"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sz w:val="20"/>
                <w:szCs w:val="20"/>
                <w:lang w:eastAsia="es-ES"/>
              </w:rPr>
              <w:t>Madrid</w:t>
            </w:r>
          </w:p>
        </w:tc>
      </w:tr>
      <w:tr w:rsidR="000952B8" w:rsidRPr="00A07BE9" w14:paraId="1CE60F0E" w14:textId="77777777" w:rsidTr="00E62BD1">
        <w:trPr>
          <w:trHeight w:val="495"/>
          <w:jc w:val="right"/>
        </w:trPr>
        <w:tc>
          <w:tcPr>
            <w:tcW w:w="1701" w:type="dxa"/>
            <w:tcBorders>
              <w:top w:val="single" w:sz="4" w:space="0" w:color="C00000"/>
              <w:bottom w:val="single" w:sz="4" w:space="0" w:color="C00000"/>
            </w:tcBorders>
            <w:shd w:val="clear" w:color="auto" w:fill="FFFFFF"/>
            <w:vAlign w:val="center"/>
          </w:tcPr>
          <w:p w14:paraId="05FE51BD"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 de abril</w:t>
            </w:r>
          </w:p>
        </w:tc>
        <w:tc>
          <w:tcPr>
            <w:tcW w:w="6785" w:type="dxa"/>
            <w:tcBorders>
              <w:top w:val="single" w:sz="4" w:space="0" w:color="C00000"/>
              <w:bottom w:val="single" w:sz="4" w:space="0" w:color="C00000"/>
            </w:tcBorders>
            <w:shd w:val="clear" w:color="auto" w:fill="FFFFFF"/>
          </w:tcPr>
          <w:p w14:paraId="08926654"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Fundación Baltasar Garzón, FIBGAR</w:t>
            </w:r>
          </w:p>
          <w:p w14:paraId="736C4D80"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sz w:val="20"/>
                <w:szCs w:val="20"/>
                <w:lang w:eastAsia="es-ES"/>
              </w:rPr>
              <w:t>València</w:t>
            </w:r>
          </w:p>
        </w:tc>
      </w:tr>
      <w:tr w:rsidR="000952B8" w:rsidRPr="00A07BE9" w14:paraId="0497FCA9" w14:textId="77777777" w:rsidTr="00E62BD1">
        <w:trPr>
          <w:jc w:val="right"/>
        </w:trPr>
        <w:tc>
          <w:tcPr>
            <w:tcW w:w="1701" w:type="dxa"/>
            <w:tcBorders>
              <w:top w:val="single" w:sz="4" w:space="0" w:color="C00000"/>
              <w:bottom w:val="single" w:sz="4" w:space="0" w:color="C00000"/>
            </w:tcBorders>
            <w:shd w:val="clear" w:color="auto" w:fill="FFFFFF"/>
            <w:vAlign w:val="center"/>
          </w:tcPr>
          <w:p w14:paraId="40DC40C3"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3 de abril</w:t>
            </w:r>
          </w:p>
        </w:tc>
        <w:tc>
          <w:tcPr>
            <w:tcW w:w="6785" w:type="dxa"/>
            <w:tcBorders>
              <w:top w:val="single" w:sz="4" w:space="0" w:color="C00000"/>
              <w:bottom w:val="single" w:sz="4" w:space="0" w:color="C00000"/>
            </w:tcBorders>
            <w:shd w:val="clear" w:color="auto" w:fill="FFFFFF"/>
          </w:tcPr>
          <w:p w14:paraId="5CAD46EA" w14:textId="24CAD52A" w:rsidR="000952B8" w:rsidRPr="00A07BE9" w:rsidRDefault="00F97FB5"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D</w:t>
            </w:r>
            <w:r w:rsidR="000952B8" w:rsidRPr="00A07BE9">
              <w:rPr>
                <w:rFonts w:ascii="Open Sans" w:eastAsia="Times New Roman" w:hAnsi="Open Sans" w:cs="Open Sans"/>
                <w:color w:val="000000"/>
                <w:sz w:val="20"/>
                <w:szCs w:val="20"/>
                <w:lang w:eastAsia="es-ES"/>
              </w:rPr>
              <w:t>irector Agencia de Seguridad y Respuesta a las Emergencias</w:t>
            </w:r>
          </w:p>
          <w:p w14:paraId="7E86632F"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sz w:val="20"/>
                <w:szCs w:val="20"/>
                <w:lang w:eastAsia="es-ES"/>
              </w:rPr>
              <w:t>València</w:t>
            </w:r>
          </w:p>
        </w:tc>
      </w:tr>
      <w:tr w:rsidR="000952B8" w:rsidRPr="00A07BE9" w14:paraId="2C99A310" w14:textId="77777777" w:rsidTr="00E62BD1">
        <w:trPr>
          <w:jc w:val="right"/>
        </w:trPr>
        <w:tc>
          <w:tcPr>
            <w:tcW w:w="1701" w:type="dxa"/>
            <w:tcBorders>
              <w:top w:val="single" w:sz="4" w:space="0" w:color="C00000"/>
              <w:bottom w:val="single" w:sz="4" w:space="0" w:color="C00000"/>
            </w:tcBorders>
            <w:shd w:val="clear" w:color="auto" w:fill="FFFFFF"/>
            <w:vAlign w:val="center"/>
          </w:tcPr>
          <w:p w14:paraId="55C4992A"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4 de abril</w:t>
            </w:r>
          </w:p>
        </w:tc>
        <w:tc>
          <w:tcPr>
            <w:tcW w:w="6785" w:type="dxa"/>
            <w:tcBorders>
              <w:top w:val="single" w:sz="4" w:space="0" w:color="C00000"/>
              <w:bottom w:val="single" w:sz="4" w:space="0" w:color="C00000"/>
            </w:tcBorders>
            <w:shd w:val="clear" w:color="auto" w:fill="FFFFFF"/>
          </w:tcPr>
          <w:p w14:paraId="7234BBD1"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Responsable del programa de Responsabilidad y Participación de la Open Society Initiative for Europe</w:t>
            </w:r>
          </w:p>
          <w:p w14:paraId="6C163FC7"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sz w:val="20"/>
                <w:szCs w:val="20"/>
                <w:lang w:eastAsia="es-ES"/>
              </w:rPr>
              <w:t>València</w:t>
            </w:r>
          </w:p>
        </w:tc>
      </w:tr>
      <w:tr w:rsidR="000952B8" w:rsidRPr="00A07BE9" w14:paraId="18A0CBF7" w14:textId="77777777" w:rsidTr="00E62BD1">
        <w:trPr>
          <w:jc w:val="right"/>
        </w:trPr>
        <w:tc>
          <w:tcPr>
            <w:tcW w:w="1701" w:type="dxa"/>
            <w:tcBorders>
              <w:top w:val="single" w:sz="4" w:space="0" w:color="C00000"/>
              <w:bottom w:val="single" w:sz="4" w:space="0" w:color="C00000"/>
            </w:tcBorders>
            <w:shd w:val="clear" w:color="auto" w:fill="FFFFFF"/>
            <w:vAlign w:val="center"/>
          </w:tcPr>
          <w:p w14:paraId="1D117AB3"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16 de abril</w:t>
            </w:r>
          </w:p>
        </w:tc>
        <w:tc>
          <w:tcPr>
            <w:tcW w:w="6785" w:type="dxa"/>
            <w:tcBorders>
              <w:top w:val="single" w:sz="4" w:space="0" w:color="C00000"/>
              <w:bottom w:val="single" w:sz="4" w:space="0" w:color="C00000"/>
            </w:tcBorders>
            <w:shd w:val="clear" w:color="auto" w:fill="FFFFFF"/>
          </w:tcPr>
          <w:p w14:paraId="429CEF5B"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Consellera de Participación, Transparencia, Cooperación y Calidad Democrática</w:t>
            </w:r>
          </w:p>
          <w:p w14:paraId="19975718"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Reunión del director y los directores de Análisis e Investigación y Prevención, Formación y Documentación de la Agencia con la consejera, el subsecretario, la subdirectora general de atención ciudadana, calidad e inspección de servicios y un inspector.</w:t>
            </w:r>
          </w:p>
          <w:p w14:paraId="5DF4EFCF"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sz w:val="20"/>
                <w:szCs w:val="20"/>
                <w:lang w:eastAsia="es-ES"/>
              </w:rPr>
              <w:t>València</w:t>
            </w:r>
          </w:p>
        </w:tc>
      </w:tr>
      <w:tr w:rsidR="000952B8" w:rsidRPr="00A07BE9" w14:paraId="0ECDA469" w14:textId="77777777" w:rsidTr="00E62BD1">
        <w:trPr>
          <w:jc w:val="right"/>
        </w:trPr>
        <w:tc>
          <w:tcPr>
            <w:tcW w:w="1701" w:type="dxa"/>
            <w:tcBorders>
              <w:top w:val="single" w:sz="4" w:space="0" w:color="C00000"/>
              <w:bottom w:val="single" w:sz="4" w:space="0" w:color="C00000"/>
            </w:tcBorders>
            <w:shd w:val="clear" w:color="auto" w:fill="FFFFFF"/>
            <w:vAlign w:val="center"/>
          </w:tcPr>
          <w:p w14:paraId="6BBD8E8E"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8 de mayo</w:t>
            </w:r>
          </w:p>
        </w:tc>
        <w:tc>
          <w:tcPr>
            <w:tcW w:w="6785" w:type="dxa"/>
            <w:tcBorders>
              <w:top w:val="single" w:sz="4" w:space="0" w:color="C00000"/>
              <w:bottom w:val="single" w:sz="4" w:space="0" w:color="C00000"/>
            </w:tcBorders>
            <w:shd w:val="clear" w:color="auto" w:fill="FFFFFF"/>
          </w:tcPr>
          <w:p w14:paraId="6212D6E5"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Director General de Fondos Europeos, Conselleria de Hacienda y Modelo Económico</w:t>
            </w:r>
          </w:p>
          <w:p w14:paraId="07CAEC08"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sz w:val="20"/>
                <w:szCs w:val="20"/>
                <w:lang w:eastAsia="es-ES"/>
              </w:rPr>
              <w:t>València</w:t>
            </w:r>
          </w:p>
        </w:tc>
      </w:tr>
      <w:tr w:rsidR="000952B8" w:rsidRPr="00A07BE9" w14:paraId="52C21CAC" w14:textId="77777777" w:rsidTr="00E62BD1">
        <w:trPr>
          <w:jc w:val="right"/>
        </w:trPr>
        <w:tc>
          <w:tcPr>
            <w:tcW w:w="1701" w:type="dxa"/>
            <w:tcBorders>
              <w:top w:val="single" w:sz="4" w:space="0" w:color="C00000"/>
              <w:bottom w:val="single" w:sz="4" w:space="0" w:color="C00000"/>
            </w:tcBorders>
            <w:shd w:val="clear" w:color="auto" w:fill="FFFFFF"/>
            <w:vAlign w:val="center"/>
          </w:tcPr>
          <w:p w14:paraId="0228F7C9"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10 de junio</w:t>
            </w:r>
          </w:p>
        </w:tc>
        <w:tc>
          <w:tcPr>
            <w:tcW w:w="6785" w:type="dxa"/>
            <w:tcBorders>
              <w:top w:val="single" w:sz="4" w:space="0" w:color="C00000"/>
              <w:bottom w:val="single" w:sz="4" w:space="0" w:color="C00000"/>
            </w:tcBorders>
            <w:shd w:val="clear" w:color="auto" w:fill="FFFFFF"/>
          </w:tcPr>
          <w:p w14:paraId="78B690DD"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Subdirectora General Servicio Nacional de Coordinación Antifraude, Intervención General de la Administración del Estado</w:t>
            </w:r>
          </w:p>
          <w:p w14:paraId="0EE06CFF"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sz w:val="20"/>
                <w:szCs w:val="20"/>
                <w:lang w:eastAsia="es-ES"/>
              </w:rPr>
              <w:t>Madrid</w:t>
            </w:r>
          </w:p>
        </w:tc>
      </w:tr>
      <w:tr w:rsidR="000952B8" w:rsidRPr="00A07BE9" w14:paraId="1523F6C1" w14:textId="77777777" w:rsidTr="00E62BD1">
        <w:trPr>
          <w:jc w:val="right"/>
        </w:trPr>
        <w:tc>
          <w:tcPr>
            <w:tcW w:w="1701" w:type="dxa"/>
            <w:tcBorders>
              <w:top w:val="single" w:sz="4" w:space="0" w:color="C00000"/>
              <w:bottom w:val="single" w:sz="4" w:space="0" w:color="C00000"/>
            </w:tcBorders>
            <w:shd w:val="clear" w:color="auto" w:fill="FFFFFF"/>
            <w:vAlign w:val="center"/>
          </w:tcPr>
          <w:p w14:paraId="7BD2C880"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21 de junio</w:t>
            </w:r>
          </w:p>
        </w:tc>
        <w:tc>
          <w:tcPr>
            <w:tcW w:w="6785" w:type="dxa"/>
            <w:tcBorders>
              <w:top w:val="single" w:sz="4" w:space="0" w:color="C00000"/>
              <w:bottom w:val="single" w:sz="4" w:space="0" w:color="C00000"/>
            </w:tcBorders>
            <w:shd w:val="clear" w:color="auto" w:fill="FFFFFF"/>
          </w:tcPr>
          <w:p w14:paraId="6062C46B"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Representante del Sistema Estatal Anticorrupción del Estado de Puebla, México</w:t>
            </w:r>
          </w:p>
          <w:p w14:paraId="481628B1"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sz w:val="20"/>
                <w:szCs w:val="20"/>
                <w:lang w:eastAsia="es-ES"/>
              </w:rPr>
              <w:t>València</w:t>
            </w:r>
          </w:p>
        </w:tc>
      </w:tr>
      <w:tr w:rsidR="000952B8" w:rsidRPr="00A07BE9" w14:paraId="5609FBD7" w14:textId="77777777" w:rsidTr="00E62BD1">
        <w:trPr>
          <w:jc w:val="right"/>
        </w:trPr>
        <w:tc>
          <w:tcPr>
            <w:tcW w:w="1701" w:type="dxa"/>
            <w:tcBorders>
              <w:top w:val="single" w:sz="4" w:space="0" w:color="C00000"/>
              <w:bottom w:val="single" w:sz="4" w:space="0" w:color="C00000"/>
            </w:tcBorders>
            <w:shd w:val="clear" w:color="auto" w:fill="FFFFFF"/>
            <w:vAlign w:val="center"/>
          </w:tcPr>
          <w:p w14:paraId="1FBE0589"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25 de junio</w:t>
            </w:r>
          </w:p>
        </w:tc>
        <w:tc>
          <w:tcPr>
            <w:tcW w:w="6785" w:type="dxa"/>
            <w:tcBorders>
              <w:top w:val="single" w:sz="4" w:space="0" w:color="C00000"/>
              <w:bottom w:val="single" w:sz="4" w:space="0" w:color="C00000"/>
            </w:tcBorders>
            <w:shd w:val="clear" w:color="auto" w:fill="FFFFFF"/>
          </w:tcPr>
          <w:p w14:paraId="57E70DD1"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Secretaría de Función Pública del Gobierno Federal de México </w:t>
            </w:r>
            <w:r w:rsidRPr="00A07BE9">
              <w:rPr>
                <w:rFonts w:ascii="Open Sans" w:eastAsia="Times New Roman" w:hAnsi="Open Sans" w:cs="Open Sans"/>
                <w:i/>
                <w:color w:val="000000"/>
                <w:sz w:val="20"/>
                <w:szCs w:val="20"/>
                <w:lang w:eastAsia="es-ES"/>
              </w:rPr>
              <w:t>Videoconferencia</w:t>
            </w:r>
          </w:p>
        </w:tc>
      </w:tr>
      <w:tr w:rsidR="000952B8" w:rsidRPr="00A07BE9" w14:paraId="24C52DB8" w14:textId="77777777" w:rsidTr="00E62BD1">
        <w:trPr>
          <w:jc w:val="right"/>
        </w:trPr>
        <w:tc>
          <w:tcPr>
            <w:tcW w:w="1701" w:type="dxa"/>
            <w:tcBorders>
              <w:top w:val="single" w:sz="4" w:space="0" w:color="C00000"/>
              <w:bottom w:val="single" w:sz="4" w:space="0" w:color="C00000"/>
            </w:tcBorders>
            <w:shd w:val="clear" w:color="auto" w:fill="FFFFFF"/>
            <w:vAlign w:val="center"/>
          </w:tcPr>
          <w:p w14:paraId="580F5D0B"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26 de junio</w:t>
            </w:r>
          </w:p>
        </w:tc>
        <w:tc>
          <w:tcPr>
            <w:tcW w:w="6785" w:type="dxa"/>
            <w:tcBorders>
              <w:top w:val="single" w:sz="4" w:space="0" w:color="C00000"/>
              <w:bottom w:val="single" w:sz="4" w:space="0" w:color="C00000"/>
            </w:tcBorders>
            <w:shd w:val="clear" w:color="auto" w:fill="FFFFFF"/>
          </w:tcPr>
          <w:p w14:paraId="60714516"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Fundación Internacional Baltasar Garzón</w:t>
            </w:r>
          </w:p>
          <w:p w14:paraId="747451E1" w14:textId="15BB2B20"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Grupo de trabajo técnico GESA (Grupo de expertos sobre alertadores): </w:t>
            </w:r>
            <w:r w:rsidRPr="00A07BE9">
              <w:rPr>
                <w:rFonts w:ascii="Open Sans" w:eastAsia="Times New Roman" w:hAnsi="Open Sans" w:cs="Open Sans"/>
                <w:i/>
                <w:color w:val="000000"/>
                <w:sz w:val="20"/>
                <w:szCs w:val="20"/>
                <w:lang w:eastAsia="es-ES"/>
              </w:rPr>
              <w:t>Reflexiones para una Ley de protección de alertadores en España. Notas para un nuevo comienzo</w:t>
            </w:r>
            <w:r w:rsidRPr="00A07BE9">
              <w:rPr>
                <w:rFonts w:ascii="Open Sans" w:eastAsia="Times New Roman" w:hAnsi="Open Sans" w:cs="Open Sans"/>
                <w:color w:val="000000"/>
                <w:sz w:val="20"/>
                <w:szCs w:val="20"/>
                <w:lang w:eastAsia="es-ES"/>
              </w:rPr>
              <w:t>.</w:t>
            </w:r>
          </w:p>
          <w:p w14:paraId="2D760C5E"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sz w:val="20"/>
                <w:szCs w:val="20"/>
                <w:lang w:eastAsia="es-ES"/>
              </w:rPr>
              <w:t>Madrid</w:t>
            </w:r>
          </w:p>
        </w:tc>
      </w:tr>
      <w:tr w:rsidR="000952B8" w:rsidRPr="00A07BE9" w14:paraId="4746422D" w14:textId="77777777" w:rsidTr="00E62BD1">
        <w:trPr>
          <w:jc w:val="right"/>
        </w:trPr>
        <w:tc>
          <w:tcPr>
            <w:tcW w:w="1701" w:type="dxa"/>
            <w:tcBorders>
              <w:top w:val="single" w:sz="4" w:space="0" w:color="C00000"/>
              <w:bottom w:val="single" w:sz="4" w:space="0" w:color="C00000"/>
            </w:tcBorders>
            <w:shd w:val="clear" w:color="auto" w:fill="FFFFFF"/>
            <w:vAlign w:val="center"/>
          </w:tcPr>
          <w:p w14:paraId="3B77AED5"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27 de agosto</w:t>
            </w:r>
          </w:p>
        </w:tc>
        <w:tc>
          <w:tcPr>
            <w:tcW w:w="6785" w:type="dxa"/>
            <w:tcBorders>
              <w:top w:val="single" w:sz="4" w:space="0" w:color="C00000"/>
              <w:bottom w:val="single" w:sz="4" w:space="0" w:color="C00000"/>
            </w:tcBorders>
            <w:shd w:val="clear" w:color="auto" w:fill="FFFFFF"/>
          </w:tcPr>
          <w:p w14:paraId="797AE3B0"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Presidenta del Colegio de Secretarios, Interventores y Tesoreros de Administración Local - COSITAL Valencia</w:t>
            </w:r>
          </w:p>
          <w:p w14:paraId="7A7DCD9F"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sz w:val="20"/>
                <w:szCs w:val="20"/>
                <w:lang w:eastAsia="es-ES"/>
              </w:rPr>
              <w:t>València</w:t>
            </w:r>
          </w:p>
        </w:tc>
      </w:tr>
      <w:tr w:rsidR="000952B8" w:rsidRPr="00A07BE9" w14:paraId="24E97029" w14:textId="77777777" w:rsidTr="00E62BD1">
        <w:trPr>
          <w:jc w:val="right"/>
        </w:trPr>
        <w:tc>
          <w:tcPr>
            <w:tcW w:w="1701" w:type="dxa"/>
            <w:tcBorders>
              <w:top w:val="single" w:sz="4" w:space="0" w:color="C00000"/>
              <w:bottom w:val="single" w:sz="4" w:space="0" w:color="C00000"/>
            </w:tcBorders>
            <w:shd w:val="clear" w:color="auto" w:fill="FFFFFF"/>
            <w:vAlign w:val="center"/>
          </w:tcPr>
          <w:p w14:paraId="6D658419"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3 de septiembre</w:t>
            </w:r>
          </w:p>
        </w:tc>
        <w:tc>
          <w:tcPr>
            <w:tcW w:w="6785" w:type="dxa"/>
            <w:tcBorders>
              <w:top w:val="single" w:sz="4" w:space="0" w:color="C00000"/>
              <w:bottom w:val="single" w:sz="4" w:space="0" w:color="C00000"/>
            </w:tcBorders>
            <w:shd w:val="clear" w:color="auto" w:fill="FFFFFF"/>
          </w:tcPr>
          <w:p w14:paraId="6A89A56C"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Universitat de València, Vicerrector de Proyección Territorial y Sociedad</w:t>
            </w:r>
          </w:p>
          <w:p w14:paraId="3D9C0144"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sz w:val="20"/>
                <w:szCs w:val="20"/>
                <w:lang w:eastAsia="es-ES"/>
              </w:rPr>
              <w:t>València</w:t>
            </w:r>
          </w:p>
        </w:tc>
      </w:tr>
      <w:tr w:rsidR="000952B8" w:rsidRPr="00A07BE9" w14:paraId="64AB839C" w14:textId="77777777" w:rsidTr="00E62BD1">
        <w:trPr>
          <w:jc w:val="right"/>
        </w:trPr>
        <w:tc>
          <w:tcPr>
            <w:tcW w:w="1701" w:type="dxa"/>
            <w:tcBorders>
              <w:top w:val="single" w:sz="4" w:space="0" w:color="C00000"/>
              <w:bottom w:val="single" w:sz="4" w:space="0" w:color="C00000"/>
            </w:tcBorders>
            <w:shd w:val="clear" w:color="auto" w:fill="FFFFFF"/>
            <w:vAlign w:val="center"/>
          </w:tcPr>
          <w:p w14:paraId="2A80A24C"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lastRenderedPageBreak/>
              <w:t>4 de septiembre</w:t>
            </w:r>
          </w:p>
        </w:tc>
        <w:tc>
          <w:tcPr>
            <w:tcW w:w="6785" w:type="dxa"/>
            <w:tcBorders>
              <w:top w:val="single" w:sz="4" w:space="0" w:color="C00000"/>
              <w:bottom w:val="single" w:sz="4" w:space="0" w:color="C00000"/>
            </w:tcBorders>
            <w:shd w:val="clear" w:color="auto" w:fill="FFFFFF"/>
          </w:tcPr>
          <w:p w14:paraId="23DF0970"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Consellera de Justicia, Interior y Administración Pública</w:t>
            </w:r>
          </w:p>
          <w:p w14:paraId="3E79E0A2" w14:textId="77777777" w:rsidR="000952B8" w:rsidRPr="00A07BE9" w:rsidRDefault="000952B8" w:rsidP="000952B8">
            <w:pPr>
              <w:spacing w:after="0" w:line="288" w:lineRule="auto"/>
              <w:jc w:val="both"/>
              <w:rPr>
                <w:rFonts w:ascii="Open Sans" w:eastAsia="Times New Roman" w:hAnsi="Open Sans" w:cs="Open Sans"/>
                <w:i/>
                <w:color w:val="000000"/>
                <w:sz w:val="20"/>
                <w:szCs w:val="20"/>
                <w:lang w:eastAsia="es-ES"/>
              </w:rPr>
            </w:pPr>
            <w:r w:rsidRPr="00A07BE9">
              <w:rPr>
                <w:rFonts w:ascii="Open Sans" w:eastAsia="Times New Roman" w:hAnsi="Open Sans" w:cs="Open Sans"/>
                <w:i/>
                <w:color w:val="000000"/>
                <w:sz w:val="20"/>
                <w:szCs w:val="20"/>
                <w:lang w:eastAsia="es-ES"/>
              </w:rPr>
              <w:t>València</w:t>
            </w:r>
          </w:p>
        </w:tc>
      </w:tr>
      <w:tr w:rsidR="000952B8" w:rsidRPr="00A07BE9" w14:paraId="5A406597" w14:textId="77777777" w:rsidTr="00E62BD1">
        <w:trPr>
          <w:jc w:val="right"/>
        </w:trPr>
        <w:tc>
          <w:tcPr>
            <w:tcW w:w="1701" w:type="dxa"/>
            <w:tcBorders>
              <w:top w:val="single" w:sz="4" w:space="0" w:color="C00000"/>
              <w:bottom w:val="single" w:sz="4" w:space="0" w:color="C00000"/>
            </w:tcBorders>
            <w:shd w:val="clear" w:color="auto" w:fill="FFFFFF"/>
            <w:vAlign w:val="center"/>
          </w:tcPr>
          <w:p w14:paraId="22E4F2EE"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5 de septiembre</w:t>
            </w:r>
          </w:p>
        </w:tc>
        <w:tc>
          <w:tcPr>
            <w:tcW w:w="6785" w:type="dxa"/>
            <w:tcBorders>
              <w:top w:val="single" w:sz="4" w:space="0" w:color="C00000"/>
              <w:bottom w:val="single" w:sz="4" w:space="0" w:color="C00000"/>
            </w:tcBorders>
            <w:shd w:val="clear" w:color="auto" w:fill="FFFFFF"/>
          </w:tcPr>
          <w:p w14:paraId="44486695"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Grupo promotor de la Ley de prevención y lucha contra el fraude y la corrupción a nivel estatal. </w:t>
            </w:r>
          </w:p>
          <w:p w14:paraId="28943EF8" w14:textId="77777777" w:rsidR="000952B8" w:rsidRPr="00A07BE9" w:rsidRDefault="000952B8" w:rsidP="000952B8">
            <w:pPr>
              <w:spacing w:after="0" w:line="288" w:lineRule="auto"/>
              <w:jc w:val="both"/>
              <w:rPr>
                <w:rFonts w:ascii="Open Sans" w:eastAsia="Times New Roman" w:hAnsi="Open Sans" w:cs="Open Sans"/>
                <w:i/>
                <w:color w:val="000000"/>
                <w:sz w:val="20"/>
                <w:szCs w:val="20"/>
                <w:lang w:eastAsia="es-ES"/>
              </w:rPr>
            </w:pPr>
            <w:r w:rsidRPr="00A07BE9">
              <w:rPr>
                <w:rFonts w:ascii="Open Sans" w:eastAsia="Times New Roman" w:hAnsi="Open Sans" w:cs="Open Sans"/>
                <w:i/>
                <w:color w:val="000000"/>
                <w:sz w:val="20"/>
                <w:szCs w:val="20"/>
                <w:lang w:eastAsia="es-ES"/>
              </w:rPr>
              <w:t>Videoconferencia</w:t>
            </w:r>
          </w:p>
        </w:tc>
      </w:tr>
      <w:tr w:rsidR="000952B8" w:rsidRPr="00A07BE9" w14:paraId="552C0DDB" w14:textId="77777777" w:rsidTr="00E62BD1">
        <w:trPr>
          <w:jc w:val="right"/>
        </w:trPr>
        <w:tc>
          <w:tcPr>
            <w:tcW w:w="1701" w:type="dxa"/>
            <w:tcBorders>
              <w:top w:val="single" w:sz="4" w:space="0" w:color="C00000"/>
              <w:bottom w:val="single" w:sz="4" w:space="0" w:color="C00000"/>
            </w:tcBorders>
            <w:shd w:val="clear" w:color="auto" w:fill="FFFFFF"/>
            <w:vAlign w:val="center"/>
          </w:tcPr>
          <w:p w14:paraId="73864637"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12 de septiembre</w:t>
            </w:r>
          </w:p>
        </w:tc>
        <w:tc>
          <w:tcPr>
            <w:tcW w:w="6785" w:type="dxa"/>
            <w:tcBorders>
              <w:top w:val="single" w:sz="4" w:space="0" w:color="C00000"/>
              <w:bottom w:val="single" w:sz="4" w:space="0" w:color="C00000"/>
            </w:tcBorders>
            <w:shd w:val="clear" w:color="auto" w:fill="FFFFFF"/>
          </w:tcPr>
          <w:p w14:paraId="0140AF8F"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Presidenta de la Oficina Independiente de Regulación y supervisión de la Contratación. Ministerio de Hacienda. </w:t>
            </w:r>
          </w:p>
          <w:p w14:paraId="299BB2EE" w14:textId="77777777" w:rsidR="000952B8" w:rsidRPr="00A07BE9" w:rsidRDefault="000952B8" w:rsidP="000952B8">
            <w:pPr>
              <w:spacing w:after="0" w:line="288" w:lineRule="auto"/>
              <w:jc w:val="both"/>
              <w:rPr>
                <w:rFonts w:ascii="Open Sans" w:eastAsia="Times New Roman" w:hAnsi="Open Sans" w:cs="Open Sans"/>
                <w:i/>
                <w:color w:val="000000"/>
                <w:sz w:val="20"/>
                <w:szCs w:val="20"/>
                <w:lang w:eastAsia="es-ES"/>
              </w:rPr>
            </w:pPr>
            <w:r w:rsidRPr="00A07BE9">
              <w:rPr>
                <w:rFonts w:ascii="Open Sans" w:eastAsia="Times New Roman" w:hAnsi="Open Sans" w:cs="Open Sans"/>
                <w:i/>
                <w:color w:val="000000"/>
                <w:sz w:val="20"/>
                <w:szCs w:val="20"/>
                <w:lang w:eastAsia="es-ES"/>
              </w:rPr>
              <w:t>Madrid</w:t>
            </w:r>
          </w:p>
        </w:tc>
      </w:tr>
      <w:tr w:rsidR="000952B8" w:rsidRPr="00A07BE9" w14:paraId="53801BDB" w14:textId="77777777" w:rsidTr="00E62BD1">
        <w:trPr>
          <w:jc w:val="right"/>
        </w:trPr>
        <w:tc>
          <w:tcPr>
            <w:tcW w:w="1701" w:type="dxa"/>
            <w:tcBorders>
              <w:top w:val="single" w:sz="4" w:space="0" w:color="C00000"/>
              <w:bottom w:val="single" w:sz="4" w:space="0" w:color="C00000"/>
            </w:tcBorders>
            <w:shd w:val="clear" w:color="auto" w:fill="FFFFFF"/>
            <w:vAlign w:val="center"/>
          </w:tcPr>
          <w:p w14:paraId="161C7526"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13 de septiembre</w:t>
            </w:r>
          </w:p>
        </w:tc>
        <w:tc>
          <w:tcPr>
            <w:tcW w:w="6785" w:type="dxa"/>
            <w:tcBorders>
              <w:top w:val="single" w:sz="4" w:space="0" w:color="C00000"/>
              <w:bottom w:val="single" w:sz="4" w:space="0" w:color="C00000"/>
            </w:tcBorders>
            <w:shd w:val="clear" w:color="auto" w:fill="FFFFFF"/>
          </w:tcPr>
          <w:p w14:paraId="5CC6E1DC"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Consellera de Participación, Transparencia, Cooperación y Calidad Democrática acompañada del Secretario Autonómico de Participación y Transparencia</w:t>
            </w:r>
          </w:p>
          <w:p w14:paraId="54D39175"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color w:val="000000"/>
                <w:sz w:val="20"/>
                <w:szCs w:val="20"/>
                <w:lang w:eastAsia="es-ES"/>
              </w:rPr>
              <w:t>València</w:t>
            </w:r>
          </w:p>
        </w:tc>
      </w:tr>
      <w:tr w:rsidR="000952B8" w:rsidRPr="00A07BE9" w14:paraId="7BF9BC29" w14:textId="77777777" w:rsidTr="00E62BD1">
        <w:trPr>
          <w:jc w:val="right"/>
        </w:trPr>
        <w:tc>
          <w:tcPr>
            <w:tcW w:w="1701" w:type="dxa"/>
            <w:tcBorders>
              <w:top w:val="single" w:sz="4" w:space="0" w:color="C00000"/>
              <w:bottom w:val="single" w:sz="4" w:space="0" w:color="C00000"/>
            </w:tcBorders>
            <w:shd w:val="clear" w:color="auto" w:fill="FFFFFF"/>
            <w:vAlign w:val="center"/>
          </w:tcPr>
          <w:p w14:paraId="74B97F0A"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16 de septiembre</w:t>
            </w:r>
          </w:p>
        </w:tc>
        <w:tc>
          <w:tcPr>
            <w:tcW w:w="6785" w:type="dxa"/>
            <w:tcBorders>
              <w:top w:val="single" w:sz="4" w:space="0" w:color="C00000"/>
              <w:bottom w:val="single" w:sz="4" w:space="0" w:color="C00000"/>
            </w:tcBorders>
            <w:shd w:val="clear" w:color="auto" w:fill="FFFFFF"/>
          </w:tcPr>
          <w:p w14:paraId="0B4BA4B6"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Presidenta del Observatorio Ciudadano contra la Corrupción</w:t>
            </w:r>
          </w:p>
          <w:p w14:paraId="6FFA9A2E"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color w:val="000000"/>
                <w:sz w:val="20"/>
                <w:szCs w:val="20"/>
                <w:lang w:eastAsia="es-ES"/>
              </w:rPr>
              <w:t>València</w:t>
            </w:r>
          </w:p>
        </w:tc>
      </w:tr>
      <w:tr w:rsidR="000952B8" w:rsidRPr="00A07BE9" w14:paraId="55979D4D" w14:textId="77777777" w:rsidTr="00E62BD1">
        <w:trPr>
          <w:jc w:val="right"/>
        </w:trPr>
        <w:tc>
          <w:tcPr>
            <w:tcW w:w="1701" w:type="dxa"/>
            <w:tcBorders>
              <w:top w:val="single" w:sz="4" w:space="0" w:color="C00000"/>
              <w:bottom w:val="single" w:sz="4" w:space="0" w:color="C00000"/>
            </w:tcBorders>
            <w:shd w:val="clear" w:color="auto" w:fill="FFFFFF"/>
            <w:vAlign w:val="center"/>
          </w:tcPr>
          <w:p w14:paraId="36B46F00"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23 de septiembre</w:t>
            </w:r>
          </w:p>
        </w:tc>
        <w:tc>
          <w:tcPr>
            <w:tcW w:w="6785" w:type="dxa"/>
            <w:tcBorders>
              <w:top w:val="single" w:sz="4" w:space="0" w:color="C00000"/>
              <w:bottom w:val="single" w:sz="4" w:space="0" w:color="C00000"/>
            </w:tcBorders>
            <w:shd w:val="clear" w:color="auto" w:fill="FFFFFF"/>
          </w:tcPr>
          <w:p w14:paraId="43132173"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Fiscal Superior de la Comunitat Valenciana</w:t>
            </w:r>
          </w:p>
          <w:p w14:paraId="4FF7196F"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color w:val="000000"/>
                <w:sz w:val="20"/>
                <w:szCs w:val="20"/>
                <w:lang w:eastAsia="es-ES"/>
              </w:rPr>
              <w:t>València</w:t>
            </w:r>
          </w:p>
        </w:tc>
      </w:tr>
      <w:tr w:rsidR="000952B8" w:rsidRPr="00A07BE9" w14:paraId="588201C3" w14:textId="77777777" w:rsidTr="00E62BD1">
        <w:trPr>
          <w:jc w:val="right"/>
        </w:trPr>
        <w:tc>
          <w:tcPr>
            <w:tcW w:w="1701" w:type="dxa"/>
            <w:tcBorders>
              <w:top w:val="single" w:sz="4" w:space="0" w:color="C00000"/>
              <w:bottom w:val="single" w:sz="4" w:space="0" w:color="C00000"/>
            </w:tcBorders>
            <w:shd w:val="clear" w:color="auto" w:fill="FFFFFF"/>
            <w:vAlign w:val="center"/>
          </w:tcPr>
          <w:p w14:paraId="347A74FB"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23 de septiembre</w:t>
            </w:r>
          </w:p>
        </w:tc>
        <w:tc>
          <w:tcPr>
            <w:tcW w:w="6785" w:type="dxa"/>
            <w:tcBorders>
              <w:top w:val="single" w:sz="4" w:space="0" w:color="C00000"/>
              <w:bottom w:val="single" w:sz="4" w:space="0" w:color="C00000"/>
            </w:tcBorders>
            <w:shd w:val="clear" w:color="auto" w:fill="FFFFFF"/>
          </w:tcPr>
          <w:p w14:paraId="58E68B23"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Grupo parlamentario Ciudadanos</w:t>
            </w:r>
          </w:p>
          <w:p w14:paraId="1F74A245"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color w:val="000000"/>
                <w:sz w:val="20"/>
                <w:szCs w:val="20"/>
                <w:lang w:eastAsia="es-ES"/>
              </w:rPr>
              <w:t>València</w:t>
            </w:r>
          </w:p>
        </w:tc>
      </w:tr>
      <w:tr w:rsidR="000952B8" w:rsidRPr="00A07BE9" w14:paraId="1D3BEB3D" w14:textId="77777777" w:rsidTr="00E62BD1">
        <w:trPr>
          <w:jc w:val="right"/>
        </w:trPr>
        <w:tc>
          <w:tcPr>
            <w:tcW w:w="1701" w:type="dxa"/>
            <w:tcBorders>
              <w:top w:val="single" w:sz="4" w:space="0" w:color="C00000"/>
              <w:bottom w:val="single" w:sz="4" w:space="0" w:color="C00000"/>
            </w:tcBorders>
            <w:shd w:val="clear" w:color="auto" w:fill="FFFFFF"/>
            <w:vAlign w:val="center"/>
          </w:tcPr>
          <w:p w14:paraId="0E8A87BC"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 de octubre</w:t>
            </w:r>
          </w:p>
        </w:tc>
        <w:tc>
          <w:tcPr>
            <w:tcW w:w="6785" w:type="dxa"/>
            <w:tcBorders>
              <w:top w:val="single" w:sz="4" w:space="0" w:color="C00000"/>
              <w:bottom w:val="single" w:sz="4" w:space="0" w:color="C00000"/>
            </w:tcBorders>
            <w:shd w:val="clear" w:color="auto" w:fill="FFFFFF"/>
          </w:tcPr>
          <w:p w14:paraId="7385EE5E" w14:textId="324F49DC"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Director General de Relaciones con </w:t>
            </w:r>
            <w:r w:rsidR="00236910" w:rsidRPr="00A07BE9">
              <w:rPr>
                <w:rFonts w:ascii="Open Sans" w:eastAsia="Times New Roman" w:hAnsi="Open Sans" w:cs="Open Sans"/>
                <w:color w:val="000000"/>
                <w:sz w:val="20"/>
                <w:szCs w:val="20"/>
                <w:lang w:eastAsia="es-ES"/>
              </w:rPr>
              <w:t>le</w:t>
            </w:r>
            <w:r w:rsidRPr="00A07BE9">
              <w:rPr>
                <w:rFonts w:ascii="Open Sans" w:eastAsia="Times New Roman" w:hAnsi="Open Sans" w:cs="Open Sans"/>
                <w:color w:val="000000"/>
                <w:sz w:val="20"/>
                <w:szCs w:val="20"/>
                <w:lang w:eastAsia="es-ES"/>
              </w:rPr>
              <w:t>s Corts, Presidencia de la Generalitat</w:t>
            </w:r>
          </w:p>
          <w:p w14:paraId="74167964"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color w:val="000000"/>
                <w:sz w:val="20"/>
                <w:szCs w:val="20"/>
                <w:lang w:eastAsia="es-ES"/>
              </w:rPr>
              <w:t>València</w:t>
            </w:r>
          </w:p>
        </w:tc>
      </w:tr>
      <w:tr w:rsidR="000952B8" w:rsidRPr="00A07BE9" w14:paraId="27F7DBF0" w14:textId="77777777" w:rsidTr="00E62BD1">
        <w:trPr>
          <w:jc w:val="right"/>
        </w:trPr>
        <w:tc>
          <w:tcPr>
            <w:tcW w:w="1701" w:type="dxa"/>
            <w:tcBorders>
              <w:top w:val="single" w:sz="4" w:space="0" w:color="C00000"/>
              <w:bottom w:val="single" w:sz="4" w:space="0" w:color="C00000"/>
            </w:tcBorders>
            <w:shd w:val="clear" w:color="auto" w:fill="FFFFFF"/>
            <w:vAlign w:val="center"/>
          </w:tcPr>
          <w:p w14:paraId="1EBC4B05"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 de octubre</w:t>
            </w:r>
          </w:p>
        </w:tc>
        <w:tc>
          <w:tcPr>
            <w:tcW w:w="6785" w:type="dxa"/>
            <w:tcBorders>
              <w:top w:val="single" w:sz="4" w:space="0" w:color="C00000"/>
              <w:bottom w:val="single" w:sz="4" w:space="0" w:color="C00000"/>
            </w:tcBorders>
            <w:shd w:val="clear" w:color="auto" w:fill="FFFFFF"/>
          </w:tcPr>
          <w:p w14:paraId="3896B9B6"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Comisionado de Innovación Digital, Administración electrónica y Buen Gobierno</w:t>
            </w:r>
          </w:p>
          <w:p w14:paraId="095F4C1E"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color w:val="000000"/>
                <w:sz w:val="20"/>
                <w:szCs w:val="20"/>
                <w:lang w:eastAsia="es-ES"/>
              </w:rPr>
              <w:t>València</w:t>
            </w:r>
          </w:p>
        </w:tc>
      </w:tr>
      <w:tr w:rsidR="000952B8" w:rsidRPr="00A07BE9" w14:paraId="2164B0F0" w14:textId="77777777" w:rsidTr="00E62BD1">
        <w:trPr>
          <w:jc w:val="right"/>
        </w:trPr>
        <w:tc>
          <w:tcPr>
            <w:tcW w:w="1701" w:type="dxa"/>
            <w:tcBorders>
              <w:top w:val="single" w:sz="4" w:space="0" w:color="C00000"/>
              <w:bottom w:val="single" w:sz="4" w:space="0" w:color="C00000"/>
            </w:tcBorders>
            <w:shd w:val="clear" w:color="auto" w:fill="FFFFFF"/>
            <w:vAlign w:val="center"/>
          </w:tcPr>
          <w:p w14:paraId="6ABD5323"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14 de octubre</w:t>
            </w:r>
          </w:p>
        </w:tc>
        <w:tc>
          <w:tcPr>
            <w:tcW w:w="6785" w:type="dxa"/>
            <w:tcBorders>
              <w:top w:val="single" w:sz="4" w:space="0" w:color="C00000"/>
              <w:bottom w:val="single" w:sz="4" w:space="0" w:color="C00000"/>
            </w:tcBorders>
            <w:shd w:val="clear" w:color="auto" w:fill="FFFFFF"/>
          </w:tcPr>
          <w:p w14:paraId="7C2B5475"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Teniente coronel de la Guardia Civil de Valencia</w:t>
            </w:r>
          </w:p>
          <w:p w14:paraId="2553F82E"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color w:val="000000"/>
                <w:sz w:val="20"/>
                <w:szCs w:val="20"/>
                <w:lang w:eastAsia="es-ES"/>
              </w:rPr>
              <w:t>València</w:t>
            </w:r>
          </w:p>
        </w:tc>
      </w:tr>
      <w:tr w:rsidR="000952B8" w:rsidRPr="00A07BE9" w14:paraId="7D94EE81" w14:textId="77777777" w:rsidTr="00E62BD1">
        <w:trPr>
          <w:jc w:val="right"/>
        </w:trPr>
        <w:tc>
          <w:tcPr>
            <w:tcW w:w="1701" w:type="dxa"/>
            <w:tcBorders>
              <w:top w:val="single" w:sz="4" w:space="0" w:color="C00000"/>
              <w:bottom w:val="single" w:sz="4" w:space="0" w:color="C00000"/>
            </w:tcBorders>
            <w:shd w:val="clear" w:color="auto" w:fill="FFFFFF"/>
            <w:vAlign w:val="center"/>
          </w:tcPr>
          <w:p w14:paraId="2EE4B1D1"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14 de octubre</w:t>
            </w:r>
          </w:p>
        </w:tc>
        <w:tc>
          <w:tcPr>
            <w:tcW w:w="6785" w:type="dxa"/>
            <w:tcBorders>
              <w:top w:val="single" w:sz="4" w:space="0" w:color="C00000"/>
              <w:bottom w:val="single" w:sz="4" w:space="0" w:color="C00000"/>
            </w:tcBorders>
            <w:shd w:val="clear" w:color="auto" w:fill="FFFFFF"/>
          </w:tcPr>
          <w:p w14:paraId="16867579"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Viceconsejero de Transparencia y Calidad de los Servicios de la Junta de Castilla y León</w:t>
            </w:r>
          </w:p>
          <w:p w14:paraId="3F554E91" w14:textId="4176EF0C"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Borrador de anteproyecto de </w:t>
            </w:r>
            <w:r w:rsidR="009A0558" w:rsidRPr="00A07BE9">
              <w:rPr>
                <w:rFonts w:ascii="Open Sans" w:eastAsia="Times New Roman" w:hAnsi="Open Sans" w:cs="Open Sans"/>
                <w:color w:val="000000"/>
                <w:sz w:val="20"/>
                <w:szCs w:val="20"/>
                <w:lang w:eastAsia="es-ES"/>
              </w:rPr>
              <w:t>L</w:t>
            </w:r>
            <w:r w:rsidRPr="00A07BE9">
              <w:rPr>
                <w:rFonts w:ascii="Open Sans" w:eastAsia="Times New Roman" w:hAnsi="Open Sans" w:cs="Open Sans"/>
                <w:color w:val="000000"/>
                <w:sz w:val="20"/>
                <w:szCs w:val="20"/>
                <w:lang w:eastAsia="es-ES"/>
              </w:rPr>
              <w:t>ey para la creación de una Agencia de Prevención contra el Fraude en la Comunidad Autónoma de Castilla y León.</w:t>
            </w:r>
          </w:p>
          <w:p w14:paraId="46B3DF93"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color w:val="000000"/>
                <w:sz w:val="20"/>
                <w:szCs w:val="20"/>
                <w:lang w:eastAsia="es-ES"/>
              </w:rPr>
              <w:t>València</w:t>
            </w:r>
          </w:p>
        </w:tc>
      </w:tr>
      <w:tr w:rsidR="000952B8" w:rsidRPr="00A07BE9" w14:paraId="7FD142C1" w14:textId="77777777" w:rsidTr="00E62BD1">
        <w:trPr>
          <w:jc w:val="right"/>
        </w:trPr>
        <w:tc>
          <w:tcPr>
            <w:tcW w:w="1701" w:type="dxa"/>
            <w:tcBorders>
              <w:top w:val="single" w:sz="4" w:space="0" w:color="C00000"/>
              <w:bottom w:val="single" w:sz="4" w:space="0" w:color="C00000"/>
            </w:tcBorders>
            <w:shd w:val="clear" w:color="auto" w:fill="FFFFFF"/>
            <w:vAlign w:val="center"/>
          </w:tcPr>
          <w:p w14:paraId="558EBE7A"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17 de octubre</w:t>
            </w:r>
          </w:p>
        </w:tc>
        <w:tc>
          <w:tcPr>
            <w:tcW w:w="6785" w:type="dxa"/>
            <w:tcBorders>
              <w:top w:val="single" w:sz="4" w:space="0" w:color="C00000"/>
              <w:bottom w:val="single" w:sz="4" w:space="0" w:color="C00000"/>
            </w:tcBorders>
            <w:shd w:val="clear" w:color="auto" w:fill="FFFFFF"/>
          </w:tcPr>
          <w:p w14:paraId="602E32A6"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Grupo parlamentario Compromís</w:t>
            </w:r>
          </w:p>
          <w:p w14:paraId="6759EC75"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color w:val="000000"/>
                <w:sz w:val="20"/>
                <w:szCs w:val="20"/>
                <w:lang w:eastAsia="es-ES"/>
              </w:rPr>
              <w:t>València</w:t>
            </w:r>
          </w:p>
        </w:tc>
      </w:tr>
      <w:tr w:rsidR="000952B8" w:rsidRPr="00A07BE9" w14:paraId="699C59DF" w14:textId="77777777" w:rsidTr="00E62BD1">
        <w:trPr>
          <w:jc w:val="right"/>
        </w:trPr>
        <w:tc>
          <w:tcPr>
            <w:tcW w:w="1701" w:type="dxa"/>
            <w:tcBorders>
              <w:top w:val="single" w:sz="4" w:space="0" w:color="C00000"/>
              <w:bottom w:val="single" w:sz="4" w:space="0" w:color="C00000"/>
            </w:tcBorders>
            <w:shd w:val="clear" w:color="auto" w:fill="FFFFFF"/>
            <w:vAlign w:val="center"/>
          </w:tcPr>
          <w:p w14:paraId="19FAE8CA"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25 de octubre</w:t>
            </w:r>
          </w:p>
        </w:tc>
        <w:tc>
          <w:tcPr>
            <w:tcW w:w="6785" w:type="dxa"/>
            <w:tcBorders>
              <w:top w:val="single" w:sz="4" w:space="0" w:color="C00000"/>
              <w:bottom w:val="single" w:sz="4" w:space="0" w:color="C00000"/>
            </w:tcBorders>
            <w:shd w:val="clear" w:color="auto" w:fill="FFFFFF"/>
          </w:tcPr>
          <w:p w14:paraId="49C15ED4"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Jefe Superior de Policía de la Comunitat Valenciana</w:t>
            </w:r>
          </w:p>
          <w:p w14:paraId="1A5FD5DE"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color w:val="000000"/>
                <w:sz w:val="20"/>
                <w:szCs w:val="20"/>
                <w:lang w:eastAsia="es-ES"/>
              </w:rPr>
              <w:t>València</w:t>
            </w:r>
          </w:p>
        </w:tc>
      </w:tr>
      <w:tr w:rsidR="000952B8" w:rsidRPr="00A07BE9" w14:paraId="22371B41" w14:textId="77777777" w:rsidTr="00E62BD1">
        <w:trPr>
          <w:jc w:val="right"/>
        </w:trPr>
        <w:tc>
          <w:tcPr>
            <w:tcW w:w="1701" w:type="dxa"/>
            <w:tcBorders>
              <w:top w:val="single" w:sz="4" w:space="0" w:color="C00000"/>
              <w:bottom w:val="single" w:sz="4" w:space="0" w:color="C00000"/>
            </w:tcBorders>
            <w:shd w:val="clear" w:color="auto" w:fill="FFFFFF"/>
            <w:vAlign w:val="center"/>
          </w:tcPr>
          <w:p w14:paraId="2E30B101"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29 de octubre</w:t>
            </w:r>
          </w:p>
        </w:tc>
        <w:tc>
          <w:tcPr>
            <w:tcW w:w="6785" w:type="dxa"/>
            <w:tcBorders>
              <w:top w:val="single" w:sz="4" w:space="0" w:color="C00000"/>
              <w:bottom w:val="single" w:sz="4" w:space="0" w:color="C00000"/>
            </w:tcBorders>
            <w:shd w:val="clear" w:color="auto" w:fill="FFFFFF"/>
          </w:tcPr>
          <w:p w14:paraId="1D0349E8"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Secretaría de Función Pública del Gobierno Federal de México (videoconferencia)</w:t>
            </w:r>
          </w:p>
        </w:tc>
      </w:tr>
      <w:tr w:rsidR="000952B8" w:rsidRPr="00A07BE9" w14:paraId="61E11E56" w14:textId="77777777" w:rsidTr="00E62BD1">
        <w:trPr>
          <w:jc w:val="right"/>
        </w:trPr>
        <w:tc>
          <w:tcPr>
            <w:tcW w:w="1701" w:type="dxa"/>
            <w:tcBorders>
              <w:top w:val="single" w:sz="4" w:space="0" w:color="C00000"/>
              <w:bottom w:val="single" w:sz="4" w:space="0" w:color="C00000"/>
            </w:tcBorders>
            <w:shd w:val="clear" w:color="auto" w:fill="FFFFFF"/>
            <w:vAlign w:val="center"/>
          </w:tcPr>
          <w:p w14:paraId="371D5B83"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30 de octubre</w:t>
            </w:r>
          </w:p>
        </w:tc>
        <w:tc>
          <w:tcPr>
            <w:tcW w:w="6785" w:type="dxa"/>
            <w:tcBorders>
              <w:top w:val="single" w:sz="4" w:space="0" w:color="C00000"/>
              <w:bottom w:val="single" w:sz="4" w:space="0" w:color="C00000"/>
            </w:tcBorders>
            <w:shd w:val="clear" w:color="auto" w:fill="FFFFFF"/>
          </w:tcPr>
          <w:p w14:paraId="7C4C94B1"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Universitat de València, Vicerrector de Proyección Territorial y Sociedad</w:t>
            </w:r>
          </w:p>
          <w:p w14:paraId="20F13DEB"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color w:val="000000"/>
                <w:sz w:val="20"/>
                <w:szCs w:val="20"/>
                <w:lang w:eastAsia="es-ES"/>
              </w:rPr>
              <w:t>València</w:t>
            </w:r>
          </w:p>
        </w:tc>
      </w:tr>
      <w:tr w:rsidR="000952B8" w:rsidRPr="00A07BE9" w14:paraId="77A79984" w14:textId="77777777" w:rsidTr="00E62BD1">
        <w:trPr>
          <w:jc w:val="right"/>
        </w:trPr>
        <w:tc>
          <w:tcPr>
            <w:tcW w:w="1701" w:type="dxa"/>
            <w:tcBorders>
              <w:top w:val="single" w:sz="4" w:space="0" w:color="C00000"/>
              <w:bottom w:val="single" w:sz="4" w:space="0" w:color="C00000"/>
            </w:tcBorders>
            <w:shd w:val="clear" w:color="auto" w:fill="FFFFFF"/>
            <w:vAlign w:val="center"/>
          </w:tcPr>
          <w:p w14:paraId="1455AB67"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lastRenderedPageBreak/>
              <w:t>5 de noviembre</w:t>
            </w:r>
          </w:p>
        </w:tc>
        <w:tc>
          <w:tcPr>
            <w:tcW w:w="6785" w:type="dxa"/>
            <w:tcBorders>
              <w:top w:val="single" w:sz="4" w:space="0" w:color="C00000"/>
              <w:bottom w:val="single" w:sz="4" w:space="0" w:color="C00000"/>
            </w:tcBorders>
            <w:shd w:val="clear" w:color="auto" w:fill="FFFFFF"/>
          </w:tcPr>
          <w:p w14:paraId="359D3FF2"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Decano del Ilustre Colegio de Abogados de Castellón</w:t>
            </w:r>
          </w:p>
          <w:p w14:paraId="6CAB0339"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color w:val="000000"/>
                <w:sz w:val="20"/>
                <w:szCs w:val="20"/>
                <w:lang w:eastAsia="es-ES"/>
              </w:rPr>
              <w:t>Castelló de la Plana</w:t>
            </w:r>
          </w:p>
        </w:tc>
      </w:tr>
      <w:tr w:rsidR="000952B8" w:rsidRPr="00A07BE9" w14:paraId="572B9D8E" w14:textId="77777777" w:rsidTr="00E62BD1">
        <w:trPr>
          <w:jc w:val="right"/>
        </w:trPr>
        <w:tc>
          <w:tcPr>
            <w:tcW w:w="1701" w:type="dxa"/>
            <w:tcBorders>
              <w:top w:val="single" w:sz="4" w:space="0" w:color="C00000"/>
              <w:bottom w:val="single" w:sz="4" w:space="0" w:color="C00000"/>
            </w:tcBorders>
            <w:shd w:val="clear" w:color="auto" w:fill="FFFFFF"/>
            <w:vAlign w:val="center"/>
          </w:tcPr>
          <w:p w14:paraId="73B947DF"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11 de noviembre</w:t>
            </w:r>
          </w:p>
        </w:tc>
        <w:tc>
          <w:tcPr>
            <w:tcW w:w="6785" w:type="dxa"/>
            <w:tcBorders>
              <w:top w:val="single" w:sz="4" w:space="0" w:color="C00000"/>
              <w:bottom w:val="single" w:sz="4" w:space="0" w:color="C00000"/>
            </w:tcBorders>
            <w:shd w:val="clear" w:color="auto" w:fill="FFFFFF"/>
          </w:tcPr>
          <w:p w14:paraId="26073E02" w14:textId="77777777" w:rsidR="000952B8" w:rsidRPr="00A07BE9" w:rsidRDefault="000952B8" w:rsidP="000952B8">
            <w:pPr>
              <w:spacing w:after="0" w:line="288" w:lineRule="auto"/>
              <w:jc w:val="both"/>
              <w:rPr>
                <w:rFonts w:ascii="Open Sans" w:eastAsia="Times New Roman" w:hAnsi="Open Sans" w:cs="Open Sans"/>
                <w:i/>
                <w:color w:val="000000"/>
                <w:sz w:val="20"/>
                <w:szCs w:val="20"/>
                <w:lang w:eastAsia="es-ES"/>
              </w:rPr>
            </w:pPr>
            <w:r w:rsidRPr="00A07BE9">
              <w:rPr>
                <w:rFonts w:ascii="Open Sans" w:eastAsia="Times New Roman" w:hAnsi="Open Sans" w:cs="Open Sans"/>
                <w:color w:val="000000"/>
                <w:sz w:val="20"/>
                <w:szCs w:val="20"/>
                <w:lang w:eastAsia="es-ES"/>
              </w:rPr>
              <w:t>Decana del Ilustre Colegio de Abogados de Valencia</w:t>
            </w:r>
            <w:r w:rsidRPr="00A07BE9">
              <w:rPr>
                <w:rFonts w:ascii="Open Sans" w:eastAsia="Times New Roman" w:hAnsi="Open Sans" w:cs="Open Sans"/>
                <w:i/>
                <w:color w:val="000000"/>
                <w:sz w:val="20"/>
                <w:szCs w:val="20"/>
                <w:lang w:eastAsia="es-ES"/>
              </w:rPr>
              <w:t xml:space="preserve"> </w:t>
            </w:r>
          </w:p>
          <w:p w14:paraId="7EE2A046"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color w:val="000000"/>
                <w:sz w:val="20"/>
                <w:szCs w:val="20"/>
                <w:lang w:eastAsia="es-ES"/>
              </w:rPr>
              <w:t>València</w:t>
            </w:r>
          </w:p>
        </w:tc>
      </w:tr>
      <w:tr w:rsidR="000952B8" w:rsidRPr="00A07BE9" w14:paraId="0C93F6FF" w14:textId="77777777" w:rsidTr="00E62BD1">
        <w:trPr>
          <w:jc w:val="right"/>
        </w:trPr>
        <w:tc>
          <w:tcPr>
            <w:tcW w:w="1701" w:type="dxa"/>
            <w:tcBorders>
              <w:top w:val="single" w:sz="4" w:space="0" w:color="C00000"/>
              <w:bottom w:val="single" w:sz="4" w:space="0" w:color="C00000"/>
            </w:tcBorders>
            <w:shd w:val="clear" w:color="auto" w:fill="FFFFFF"/>
            <w:vAlign w:val="center"/>
          </w:tcPr>
          <w:p w14:paraId="3F4841CE"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12 de noviembre</w:t>
            </w:r>
          </w:p>
        </w:tc>
        <w:tc>
          <w:tcPr>
            <w:tcW w:w="6785" w:type="dxa"/>
            <w:tcBorders>
              <w:top w:val="single" w:sz="4" w:space="0" w:color="C00000"/>
              <w:bottom w:val="single" w:sz="4" w:space="0" w:color="C00000"/>
            </w:tcBorders>
            <w:shd w:val="clear" w:color="auto" w:fill="FFFFFF"/>
          </w:tcPr>
          <w:p w14:paraId="521140EB"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Decano del Ilustre Colegio de Abogados de Alicante</w:t>
            </w:r>
          </w:p>
          <w:p w14:paraId="7AF46357"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color w:val="000000"/>
                <w:sz w:val="20"/>
                <w:szCs w:val="20"/>
                <w:lang w:eastAsia="es-ES"/>
              </w:rPr>
              <w:t>Alicante</w:t>
            </w:r>
          </w:p>
        </w:tc>
      </w:tr>
      <w:tr w:rsidR="000952B8" w:rsidRPr="00A07BE9" w14:paraId="768E0B5A" w14:textId="77777777" w:rsidTr="00E62BD1">
        <w:trPr>
          <w:jc w:val="right"/>
        </w:trPr>
        <w:tc>
          <w:tcPr>
            <w:tcW w:w="1701" w:type="dxa"/>
            <w:tcBorders>
              <w:top w:val="single" w:sz="4" w:space="0" w:color="C00000"/>
              <w:bottom w:val="single" w:sz="4" w:space="0" w:color="C00000"/>
            </w:tcBorders>
            <w:shd w:val="clear" w:color="auto" w:fill="FFFFFF"/>
            <w:vAlign w:val="center"/>
          </w:tcPr>
          <w:p w14:paraId="237747D1"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15 de noviembre</w:t>
            </w:r>
          </w:p>
        </w:tc>
        <w:tc>
          <w:tcPr>
            <w:tcW w:w="6785" w:type="dxa"/>
            <w:tcBorders>
              <w:top w:val="single" w:sz="4" w:space="0" w:color="C00000"/>
              <w:bottom w:val="single" w:sz="4" w:space="0" w:color="C00000"/>
            </w:tcBorders>
            <w:shd w:val="clear" w:color="auto" w:fill="FFFFFF"/>
          </w:tcPr>
          <w:p w14:paraId="320AD2BA"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Director de la oficina Intedya en Valencia</w:t>
            </w:r>
          </w:p>
          <w:p w14:paraId="6442ED14"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color w:val="000000"/>
                <w:sz w:val="20"/>
                <w:szCs w:val="20"/>
                <w:lang w:eastAsia="es-ES"/>
              </w:rPr>
              <w:t>València</w:t>
            </w:r>
          </w:p>
        </w:tc>
      </w:tr>
      <w:tr w:rsidR="000952B8" w:rsidRPr="00A07BE9" w14:paraId="0781C0FD" w14:textId="77777777" w:rsidTr="00E62BD1">
        <w:trPr>
          <w:jc w:val="right"/>
        </w:trPr>
        <w:tc>
          <w:tcPr>
            <w:tcW w:w="1701" w:type="dxa"/>
            <w:tcBorders>
              <w:top w:val="single" w:sz="4" w:space="0" w:color="C00000"/>
              <w:bottom w:val="single" w:sz="4" w:space="0" w:color="C00000"/>
            </w:tcBorders>
            <w:shd w:val="clear" w:color="auto" w:fill="FFFFFF"/>
            <w:tcMar>
              <w:bottom w:w="0" w:type="dxa"/>
            </w:tcMar>
            <w:vAlign w:val="center"/>
          </w:tcPr>
          <w:p w14:paraId="42567BE6"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20 de noviembre</w:t>
            </w:r>
          </w:p>
        </w:tc>
        <w:tc>
          <w:tcPr>
            <w:tcW w:w="6785" w:type="dxa"/>
            <w:tcBorders>
              <w:top w:val="single" w:sz="4" w:space="0" w:color="C00000"/>
              <w:bottom w:val="single" w:sz="4" w:space="0" w:color="C00000"/>
            </w:tcBorders>
            <w:shd w:val="clear" w:color="auto" w:fill="FFFFFF"/>
            <w:tcMar>
              <w:bottom w:w="0" w:type="dxa"/>
            </w:tcMar>
          </w:tcPr>
          <w:p w14:paraId="0ADBF84E"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Director de BIDEA</w:t>
            </w:r>
          </w:p>
          <w:p w14:paraId="33D18255"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color w:val="000000"/>
                <w:sz w:val="20"/>
                <w:szCs w:val="20"/>
                <w:lang w:eastAsia="es-ES"/>
              </w:rPr>
              <w:t>València</w:t>
            </w:r>
          </w:p>
        </w:tc>
      </w:tr>
      <w:tr w:rsidR="000952B8" w:rsidRPr="00A07BE9" w14:paraId="3F591194" w14:textId="77777777" w:rsidTr="00E62BD1">
        <w:trPr>
          <w:jc w:val="right"/>
        </w:trPr>
        <w:tc>
          <w:tcPr>
            <w:tcW w:w="1701" w:type="dxa"/>
            <w:tcBorders>
              <w:top w:val="single" w:sz="4" w:space="0" w:color="C00000"/>
              <w:bottom w:val="single" w:sz="4" w:space="0" w:color="C00000"/>
            </w:tcBorders>
            <w:shd w:val="clear" w:color="auto" w:fill="FFFFFF"/>
            <w:vAlign w:val="center"/>
          </w:tcPr>
          <w:p w14:paraId="17D54FAD"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21 de noviembre</w:t>
            </w:r>
          </w:p>
        </w:tc>
        <w:tc>
          <w:tcPr>
            <w:tcW w:w="6785" w:type="dxa"/>
            <w:tcBorders>
              <w:top w:val="single" w:sz="4" w:space="0" w:color="C00000"/>
              <w:bottom w:val="single" w:sz="4" w:space="0" w:color="C00000"/>
            </w:tcBorders>
            <w:shd w:val="clear" w:color="auto" w:fill="FFFFFF"/>
          </w:tcPr>
          <w:p w14:paraId="6D5E684D"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Director general de Transparencia, Atención a la Ciudadanía y Buen Gobierno, Consejería de Participación, Transparencia, Cooperación y Calidad Democrática</w:t>
            </w:r>
          </w:p>
          <w:p w14:paraId="59D4449D"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color w:val="000000"/>
                <w:sz w:val="20"/>
                <w:szCs w:val="20"/>
                <w:lang w:eastAsia="es-ES"/>
              </w:rPr>
              <w:t>València</w:t>
            </w:r>
          </w:p>
        </w:tc>
      </w:tr>
      <w:tr w:rsidR="000952B8" w:rsidRPr="00A07BE9" w14:paraId="17CF7557" w14:textId="77777777" w:rsidTr="00E62BD1">
        <w:trPr>
          <w:jc w:val="right"/>
        </w:trPr>
        <w:tc>
          <w:tcPr>
            <w:tcW w:w="1701" w:type="dxa"/>
            <w:tcBorders>
              <w:top w:val="single" w:sz="4" w:space="0" w:color="C00000"/>
              <w:bottom w:val="single" w:sz="4" w:space="0" w:color="C00000"/>
            </w:tcBorders>
            <w:shd w:val="clear" w:color="auto" w:fill="FFFFFF"/>
            <w:vAlign w:val="center"/>
          </w:tcPr>
          <w:p w14:paraId="57042CBC"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3 de diciembre</w:t>
            </w:r>
          </w:p>
        </w:tc>
        <w:tc>
          <w:tcPr>
            <w:tcW w:w="6785" w:type="dxa"/>
            <w:tcBorders>
              <w:top w:val="single" w:sz="4" w:space="0" w:color="C00000"/>
              <w:bottom w:val="single" w:sz="4" w:space="0" w:color="C00000"/>
            </w:tcBorders>
            <w:shd w:val="clear" w:color="auto" w:fill="FFFFFF"/>
          </w:tcPr>
          <w:p w14:paraId="56351D8F"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Regidor de Protección Ciudadana del Ayuntamiento de Valencia</w:t>
            </w:r>
          </w:p>
          <w:p w14:paraId="4EBBDB0E"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color w:val="000000"/>
                <w:sz w:val="20"/>
                <w:szCs w:val="20"/>
                <w:lang w:eastAsia="es-ES"/>
              </w:rPr>
              <w:t>València</w:t>
            </w:r>
          </w:p>
        </w:tc>
      </w:tr>
      <w:tr w:rsidR="000952B8" w:rsidRPr="00A07BE9" w14:paraId="20966632" w14:textId="77777777" w:rsidTr="00E62BD1">
        <w:trPr>
          <w:jc w:val="right"/>
        </w:trPr>
        <w:tc>
          <w:tcPr>
            <w:tcW w:w="1701" w:type="dxa"/>
            <w:tcBorders>
              <w:top w:val="single" w:sz="4" w:space="0" w:color="C00000"/>
              <w:bottom w:val="single" w:sz="4" w:space="0" w:color="C00000"/>
            </w:tcBorders>
            <w:shd w:val="clear" w:color="auto" w:fill="FFFFFF"/>
            <w:vAlign w:val="center"/>
          </w:tcPr>
          <w:p w14:paraId="0CD54880"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10 de diciembre</w:t>
            </w:r>
          </w:p>
        </w:tc>
        <w:tc>
          <w:tcPr>
            <w:tcW w:w="6785" w:type="dxa"/>
            <w:tcBorders>
              <w:top w:val="single" w:sz="4" w:space="0" w:color="C00000"/>
              <w:bottom w:val="single" w:sz="4" w:space="0" w:color="C00000"/>
            </w:tcBorders>
            <w:shd w:val="clear" w:color="auto" w:fill="FFFFFF"/>
          </w:tcPr>
          <w:p w14:paraId="6D4B0B52"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Fundación Internacional Baltasar Garzón</w:t>
            </w:r>
          </w:p>
          <w:p w14:paraId="72FE4B29"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color w:val="000000"/>
                <w:sz w:val="20"/>
                <w:szCs w:val="20"/>
                <w:lang w:eastAsia="es-ES"/>
              </w:rPr>
              <w:t>València</w:t>
            </w:r>
          </w:p>
        </w:tc>
      </w:tr>
      <w:tr w:rsidR="000952B8" w:rsidRPr="00A07BE9" w14:paraId="61E5F4A4" w14:textId="77777777" w:rsidTr="00E62BD1">
        <w:trPr>
          <w:jc w:val="right"/>
        </w:trPr>
        <w:tc>
          <w:tcPr>
            <w:tcW w:w="1701" w:type="dxa"/>
            <w:tcBorders>
              <w:top w:val="single" w:sz="4" w:space="0" w:color="C00000"/>
              <w:bottom w:val="single" w:sz="6" w:space="0" w:color="993333"/>
            </w:tcBorders>
            <w:shd w:val="clear" w:color="auto" w:fill="FFFFFF"/>
            <w:vAlign w:val="center"/>
          </w:tcPr>
          <w:p w14:paraId="44DB6135"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16 de diciembre</w:t>
            </w:r>
          </w:p>
        </w:tc>
        <w:tc>
          <w:tcPr>
            <w:tcW w:w="6785" w:type="dxa"/>
            <w:tcBorders>
              <w:top w:val="single" w:sz="4" w:space="0" w:color="C00000"/>
              <w:bottom w:val="single" w:sz="6" w:space="0" w:color="993333"/>
            </w:tcBorders>
            <w:shd w:val="clear" w:color="auto" w:fill="FFFFFF"/>
          </w:tcPr>
          <w:p w14:paraId="2F2D0E50"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Delegado del Gobierno en la Comunitat Valenciana y Secretaria General</w:t>
            </w:r>
          </w:p>
          <w:p w14:paraId="6E8AE7A7" w14:textId="77777777" w:rsidR="000952B8" w:rsidRPr="00A07BE9" w:rsidRDefault="000952B8" w:rsidP="000952B8">
            <w:pPr>
              <w:spacing w:after="0" w:line="288"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i/>
                <w:color w:val="000000"/>
                <w:sz w:val="20"/>
                <w:szCs w:val="20"/>
                <w:lang w:eastAsia="es-ES"/>
              </w:rPr>
              <w:t>València</w:t>
            </w:r>
          </w:p>
        </w:tc>
      </w:tr>
    </w:tbl>
    <w:p w14:paraId="59A1D81B" w14:textId="77777777" w:rsidR="00583150" w:rsidRPr="00A07BE9" w:rsidRDefault="00583150" w:rsidP="000952B8">
      <w:pPr>
        <w:spacing w:after="0" w:line="276" w:lineRule="auto"/>
        <w:rPr>
          <w:rFonts w:ascii="Open Sans" w:eastAsia="Times New Roman" w:hAnsi="Open Sans" w:cs="Open Sans"/>
          <w:b/>
          <w:bCs/>
          <w:smallCaps/>
          <w:color w:val="94070A"/>
          <w:sz w:val="20"/>
          <w:szCs w:val="20"/>
          <w:lang w:eastAsia="es-ES"/>
        </w:rPr>
      </w:pPr>
    </w:p>
    <w:p w14:paraId="3E049C5E" w14:textId="77777777" w:rsidR="00E83D86" w:rsidRPr="00A07BE9" w:rsidRDefault="00E83D86" w:rsidP="000952B8">
      <w:pPr>
        <w:spacing w:after="0" w:line="276" w:lineRule="auto"/>
        <w:rPr>
          <w:rFonts w:ascii="Open Sans" w:eastAsia="Times New Roman" w:hAnsi="Open Sans" w:cs="Open Sans"/>
          <w:b/>
          <w:bCs/>
          <w:smallCaps/>
          <w:color w:val="94070A"/>
          <w:sz w:val="20"/>
          <w:szCs w:val="20"/>
          <w:lang w:eastAsia="es-ES"/>
        </w:rPr>
      </w:pPr>
    </w:p>
    <w:p w14:paraId="2D75C476" w14:textId="30EC7C38" w:rsidR="000952B8" w:rsidRPr="00A07BE9" w:rsidRDefault="000952B8" w:rsidP="000952B8">
      <w:pPr>
        <w:spacing w:after="0" w:line="276" w:lineRule="auto"/>
        <w:rPr>
          <w:rFonts w:ascii="Open Sans" w:eastAsia="Times New Roman" w:hAnsi="Open Sans" w:cs="Open Sans"/>
          <w:b/>
          <w:bCs/>
          <w:smallCaps/>
          <w:color w:val="94070A"/>
          <w:sz w:val="32"/>
          <w:szCs w:val="32"/>
          <w:lang w:eastAsia="es-ES"/>
        </w:rPr>
      </w:pPr>
      <w:r w:rsidRPr="00A07BE9">
        <w:rPr>
          <w:rFonts w:ascii="Open Sans" w:eastAsia="Times New Roman" w:hAnsi="Open Sans" w:cs="Open Sans"/>
          <w:b/>
          <w:bCs/>
          <w:smallCaps/>
          <w:color w:val="94070A"/>
          <w:sz w:val="32"/>
          <w:szCs w:val="32"/>
          <w:lang w:eastAsia="es-ES"/>
        </w:rPr>
        <w:t>5.8. Página web de la Agencia y redes sociales</w:t>
      </w:r>
    </w:p>
    <w:p w14:paraId="19FE9F69" w14:textId="77777777" w:rsidR="000952B8" w:rsidRPr="00A07BE9" w:rsidRDefault="000952B8" w:rsidP="000952B8">
      <w:pPr>
        <w:spacing w:after="0" w:line="276" w:lineRule="auto"/>
        <w:rPr>
          <w:rFonts w:ascii="Open Sans" w:eastAsia="Calibri" w:hAnsi="Open Sans" w:cs="Open Sans"/>
          <w:sz w:val="20"/>
          <w:szCs w:val="20"/>
        </w:rPr>
      </w:pPr>
    </w:p>
    <w:p w14:paraId="58364FFE" w14:textId="6C77C1E4"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En la página web de la Agencia se ha ido incorporando, a lo largo del año 2019, documentación diversa de carácter informativo, artículos académicos, información sobre el funcionamiento interno, datos relativos a su funcionamiento administrativo e información sobre transparencia en su actuación y también relativa tanto al director de la Agencia como a los directores de las varias áreas. Asimismo, se mantiene actualizada la normativa de funcionamiento interno de la Agencia.</w:t>
      </w:r>
    </w:p>
    <w:p w14:paraId="495627D0" w14:textId="77777777" w:rsidR="007C4186" w:rsidRPr="00A07BE9" w:rsidRDefault="007C4186" w:rsidP="000952B8">
      <w:pPr>
        <w:spacing w:after="0" w:line="276" w:lineRule="auto"/>
        <w:jc w:val="both"/>
        <w:rPr>
          <w:rFonts w:ascii="Calibri" w:eastAsia="Calibri" w:hAnsi="Calibri" w:cs="Calibri"/>
          <w:sz w:val="20"/>
          <w:szCs w:val="20"/>
        </w:rPr>
      </w:pPr>
    </w:p>
    <w:p w14:paraId="4976060A" w14:textId="04C98EF1" w:rsidR="007C4186"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 xml:space="preserve">La página web también ha servido para transmitir al público interesado las actividades de la Agencia mediante notas de prensa e información sobre la totalidad de las actividades que lleva a cabo, muchas de las cuales se encuentran abiertas a la ciudadanía en general. </w:t>
      </w:r>
    </w:p>
    <w:p w14:paraId="437D6022" w14:textId="77777777" w:rsidR="00E62BD1" w:rsidRPr="00A07BE9" w:rsidRDefault="00E62BD1" w:rsidP="000952B8">
      <w:pPr>
        <w:spacing w:after="0" w:line="276" w:lineRule="auto"/>
        <w:jc w:val="both"/>
        <w:rPr>
          <w:rFonts w:ascii="Open Sans" w:eastAsia="Times New Roman" w:hAnsi="Open Sans" w:cs="Open Sans"/>
          <w:sz w:val="20"/>
          <w:szCs w:val="20"/>
          <w:lang w:eastAsia="es-ES"/>
        </w:rPr>
      </w:pPr>
    </w:p>
    <w:p w14:paraId="5CE2E4C3" w14:textId="086A1741" w:rsidR="007C4186" w:rsidRPr="009A1BA0"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 xml:space="preserve">Como consecuencia del trabajo realizado en dicho mantenimiento, se ha podido comprobar por las estadísticas de </w:t>
      </w:r>
      <w:r w:rsidRPr="00A07BE9">
        <w:rPr>
          <w:rFonts w:ascii="Open Sans" w:eastAsia="Times New Roman" w:hAnsi="Open Sans" w:cs="Open Sans"/>
          <w:b/>
          <w:sz w:val="20"/>
          <w:szCs w:val="20"/>
          <w:lang w:eastAsia="es-ES"/>
        </w:rPr>
        <w:t>visitas a la web</w:t>
      </w:r>
      <w:r w:rsidRPr="00A07BE9">
        <w:rPr>
          <w:rFonts w:ascii="Open Sans" w:eastAsia="Times New Roman" w:hAnsi="Open Sans" w:cs="Open Sans"/>
          <w:sz w:val="20"/>
          <w:szCs w:val="20"/>
          <w:lang w:eastAsia="es-ES"/>
        </w:rPr>
        <w:t xml:space="preserve"> corporativa de la Agencia una subida muy importante en el número de personas visitantes: desde 876 en 2018 a 7.323 a fecha 31 de diciembre de 2019, lo cual supone un </w:t>
      </w:r>
      <w:r w:rsidRPr="00A07BE9">
        <w:rPr>
          <w:rFonts w:ascii="Open Sans" w:eastAsia="Times New Roman" w:hAnsi="Open Sans" w:cs="Open Sans"/>
          <w:b/>
          <w:sz w:val="20"/>
          <w:szCs w:val="20"/>
          <w:lang w:eastAsia="es-ES"/>
        </w:rPr>
        <w:t>aumento porcentual de un 736%</w:t>
      </w:r>
      <w:r w:rsidRPr="00A07BE9">
        <w:rPr>
          <w:rFonts w:ascii="Open Sans" w:eastAsia="Times New Roman" w:hAnsi="Open Sans" w:cs="Open Sans"/>
          <w:sz w:val="20"/>
          <w:szCs w:val="20"/>
          <w:lang w:eastAsia="es-ES"/>
        </w:rPr>
        <w:t xml:space="preserve">. Las </w:t>
      </w:r>
      <w:r w:rsidRPr="00A07BE9">
        <w:rPr>
          <w:rFonts w:ascii="Open Sans" w:eastAsia="Times New Roman" w:hAnsi="Open Sans" w:cs="Open Sans"/>
          <w:b/>
          <w:sz w:val="20"/>
          <w:szCs w:val="20"/>
          <w:lang w:eastAsia="es-ES"/>
        </w:rPr>
        <w:t>páginas visitadas</w:t>
      </w:r>
      <w:r w:rsidRPr="00A07BE9">
        <w:rPr>
          <w:rFonts w:ascii="Open Sans" w:eastAsia="Times New Roman" w:hAnsi="Open Sans" w:cs="Open Sans"/>
          <w:sz w:val="20"/>
          <w:szCs w:val="20"/>
          <w:lang w:eastAsia="es-ES"/>
        </w:rPr>
        <w:t xml:space="preserve"> han ascendido también: de 17.677 en 2018, hasta las </w:t>
      </w:r>
      <w:r w:rsidRPr="00A07BE9">
        <w:rPr>
          <w:rFonts w:ascii="Open Sans" w:eastAsia="Times New Roman" w:hAnsi="Open Sans" w:cs="Open Sans"/>
          <w:b/>
          <w:sz w:val="20"/>
          <w:szCs w:val="20"/>
          <w:lang w:eastAsia="es-ES"/>
        </w:rPr>
        <w:t>42.491</w:t>
      </w:r>
      <w:r w:rsidRPr="00A07BE9">
        <w:rPr>
          <w:rFonts w:ascii="Open Sans" w:eastAsia="Times New Roman" w:hAnsi="Open Sans" w:cs="Open Sans"/>
          <w:sz w:val="20"/>
          <w:szCs w:val="20"/>
          <w:lang w:eastAsia="es-ES"/>
        </w:rPr>
        <w:t xml:space="preserve"> en 2019.</w:t>
      </w:r>
    </w:p>
    <w:p w14:paraId="20B04031" w14:textId="076EFA04"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lastRenderedPageBreak/>
        <w:t xml:space="preserve">Por otra parte, la procedencia de las personas visitantes está lógicamente encabezada por España, con un 89% de las visitas totales, seguida por Estados Unidos con un 6%. Otros países de procedencia de las visitas son Francia, Reino Unido, México, Japón, Holanda, Alemania y Finlandia. </w:t>
      </w:r>
    </w:p>
    <w:p w14:paraId="477A1184" w14:textId="77777777" w:rsidR="007C4186" w:rsidRPr="00A07BE9" w:rsidRDefault="007C4186" w:rsidP="000952B8">
      <w:pPr>
        <w:spacing w:after="0" w:line="276" w:lineRule="auto"/>
        <w:jc w:val="both"/>
        <w:rPr>
          <w:rFonts w:ascii="Calibri" w:eastAsia="Calibri" w:hAnsi="Calibri" w:cs="Calibri"/>
          <w:sz w:val="20"/>
          <w:szCs w:val="20"/>
        </w:rPr>
      </w:pPr>
    </w:p>
    <w:p w14:paraId="249B6428" w14:textId="59BB5908"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Si hablamos de visitas desde ciudades concretas, la distribución es la siguiente:</w:t>
      </w:r>
    </w:p>
    <w:p w14:paraId="437C16C7" w14:textId="77777777" w:rsidR="00E83D86" w:rsidRPr="00A07BE9" w:rsidRDefault="00E83D86" w:rsidP="000952B8">
      <w:pPr>
        <w:spacing w:after="0" w:line="276" w:lineRule="auto"/>
        <w:jc w:val="both"/>
        <w:rPr>
          <w:rFonts w:ascii="Open Sans" w:eastAsia="Times New Roman" w:hAnsi="Open Sans" w:cs="Open Sans"/>
          <w:sz w:val="20"/>
          <w:szCs w:val="20"/>
          <w:lang w:eastAsia="es-ES"/>
        </w:rPr>
      </w:pPr>
    </w:p>
    <w:p w14:paraId="3E3F95AA" w14:textId="31C46A86" w:rsidR="000952B8" w:rsidRPr="00A07BE9" w:rsidRDefault="000952B8" w:rsidP="000952B8">
      <w:pPr>
        <w:spacing w:after="0" w:line="276" w:lineRule="auto"/>
        <w:jc w:val="both"/>
        <w:rPr>
          <w:rFonts w:ascii="Open Sans" w:eastAsia="Times New Roman" w:hAnsi="Open Sans" w:cs="Open Sans"/>
          <w:b/>
          <w:bCs/>
          <w:sz w:val="20"/>
          <w:szCs w:val="20"/>
          <w:lang w:eastAsia="es-ES"/>
        </w:rPr>
      </w:pPr>
      <w:r w:rsidRPr="00A07BE9">
        <w:rPr>
          <w:rFonts w:ascii="Open Sans" w:eastAsia="Times New Roman" w:hAnsi="Open Sans" w:cs="Open Sans"/>
          <w:b/>
          <w:bCs/>
          <w:color w:val="993333"/>
          <w:sz w:val="20"/>
          <w:szCs w:val="20"/>
          <w:lang w:eastAsia="es-ES"/>
        </w:rPr>
        <w:t xml:space="preserve">Gráfico </w:t>
      </w:r>
      <w:r w:rsidR="001E295B" w:rsidRPr="00A07BE9">
        <w:rPr>
          <w:rFonts w:ascii="Open Sans" w:eastAsia="Times New Roman" w:hAnsi="Open Sans" w:cs="Open Sans"/>
          <w:b/>
          <w:bCs/>
          <w:color w:val="993333"/>
          <w:sz w:val="20"/>
          <w:szCs w:val="20"/>
          <w:lang w:eastAsia="es-ES"/>
        </w:rPr>
        <w:t>32</w:t>
      </w:r>
      <w:r w:rsidRPr="00A07BE9">
        <w:rPr>
          <w:rFonts w:ascii="Open Sans" w:eastAsia="Times New Roman" w:hAnsi="Open Sans" w:cs="Open Sans"/>
          <w:b/>
          <w:bCs/>
          <w:sz w:val="20"/>
          <w:szCs w:val="20"/>
          <w:lang w:eastAsia="es-ES"/>
        </w:rPr>
        <w:t>.</w:t>
      </w:r>
      <w:r w:rsidRPr="00A07BE9">
        <w:rPr>
          <w:rFonts w:ascii="Open Sans" w:eastAsia="Times New Roman" w:hAnsi="Open Sans" w:cs="Open Sans"/>
          <w:sz w:val="20"/>
          <w:szCs w:val="20"/>
          <w:lang w:eastAsia="es-ES"/>
        </w:rPr>
        <w:t xml:space="preserve"> </w:t>
      </w:r>
      <w:r w:rsidRPr="00A07BE9">
        <w:rPr>
          <w:rFonts w:ascii="Open Sans" w:eastAsia="Times New Roman" w:hAnsi="Open Sans" w:cs="Open Sans"/>
          <w:b/>
          <w:bCs/>
          <w:sz w:val="20"/>
          <w:szCs w:val="20"/>
          <w:lang w:eastAsia="es-ES"/>
        </w:rPr>
        <w:t>Usuarios de la página web por ciudades</w:t>
      </w:r>
    </w:p>
    <w:p w14:paraId="285D5D12" w14:textId="57377576" w:rsidR="000952B8" w:rsidRPr="00A07BE9" w:rsidRDefault="009A0558" w:rsidP="000952B8">
      <w:pPr>
        <w:spacing w:beforeAutospacing="1" w:after="0" w:line="276" w:lineRule="auto"/>
        <w:jc w:val="both"/>
        <w:rPr>
          <w:rFonts w:ascii="Open Sans" w:eastAsia="Times New Roman" w:hAnsi="Open Sans" w:cs="Open Sans"/>
          <w:sz w:val="21"/>
          <w:szCs w:val="21"/>
          <w:lang w:eastAsia="es-ES"/>
        </w:rPr>
      </w:pPr>
      <w:r w:rsidRPr="00A07BE9">
        <w:rPr>
          <w:rFonts w:ascii="Calibri" w:eastAsia="Calibri" w:hAnsi="Calibri" w:cs="Calibri"/>
          <w:noProof/>
        </w:rPr>
        <w:drawing>
          <wp:anchor distT="0" distB="0" distL="114300" distR="114300" simplePos="0" relativeHeight="251889664" behindDoc="1" locked="0" layoutInCell="1" allowOverlap="1" wp14:anchorId="3C0685C2" wp14:editId="397E76C2">
            <wp:simplePos x="0" y="0"/>
            <wp:positionH relativeFrom="margin">
              <wp:posOffset>94615</wp:posOffset>
            </wp:positionH>
            <wp:positionV relativeFrom="paragraph">
              <wp:posOffset>20955</wp:posOffset>
            </wp:positionV>
            <wp:extent cx="4851400" cy="2190750"/>
            <wp:effectExtent l="0" t="0" r="6350" b="0"/>
            <wp:wrapTight wrapText="bothSides">
              <wp:wrapPolygon edited="0">
                <wp:start x="0" y="0"/>
                <wp:lineTo x="0" y="21412"/>
                <wp:lineTo x="21543" y="21412"/>
                <wp:lineTo x="21543" y="0"/>
                <wp:lineTo x="0" y="0"/>
              </wp:wrapPolygon>
            </wp:wrapTight>
            <wp:docPr id="100" name="Gráfico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0"/>
              </a:graphicData>
            </a:graphic>
            <wp14:sizeRelH relativeFrom="margin">
              <wp14:pctWidth>0</wp14:pctWidth>
            </wp14:sizeRelH>
            <wp14:sizeRelV relativeFrom="margin">
              <wp14:pctHeight>0</wp14:pctHeight>
            </wp14:sizeRelV>
          </wp:anchor>
        </w:drawing>
      </w:r>
      <w:r w:rsidR="000952B8" w:rsidRPr="00A07BE9">
        <w:rPr>
          <w:rFonts w:ascii="Open Sans" w:eastAsia="Times New Roman" w:hAnsi="Open Sans" w:cs="Open Sans"/>
          <w:sz w:val="21"/>
          <w:szCs w:val="21"/>
          <w:lang w:eastAsia="es-ES"/>
        </w:rPr>
        <w:t xml:space="preserve"> </w:t>
      </w:r>
    </w:p>
    <w:p w14:paraId="20C84BDD" w14:textId="6D50B154" w:rsidR="000952B8" w:rsidRPr="00A07BE9" w:rsidRDefault="000952B8" w:rsidP="000952B8">
      <w:pPr>
        <w:spacing w:after="0" w:line="276" w:lineRule="auto"/>
        <w:jc w:val="both"/>
        <w:rPr>
          <w:rFonts w:ascii="Open Sans" w:eastAsia="Calibri" w:hAnsi="Open Sans" w:cs="Calibri"/>
          <w:sz w:val="21"/>
          <w:szCs w:val="21"/>
        </w:rPr>
      </w:pPr>
    </w:p>
    <w:p w14:paraId="4BAFC4FF" w14:textId="3125509E" w:rsidR="000952B8" w:rsidRPr="00A07BE9" w:rsidRDefault="000952B8" w:rsidP="000952B8">
      <w:pPr>
        <w:spacing w:after="0" w:line="276" w:lineRule="auto"/>
        <w:jc w:val="both"/>
        <w:rPr>
          <w:rFonts w:ascii="Open Sans" w:eastAsia="Calibri" w:hAnsi="Open Sans" w:cs="Calibri"/>
          <w:sz w:val="21"/>
          <w:szCs w:val="21"/>
        </w:rPr>
      </w:pPr>
    </w:p>
    <w:p w14:paraId="7F92790A" w14:textId="313A64F4" w:rsidR="000952B8" w:rsidRPr="00A07BE9" w:rsidRDefault="000952B8" w:rsidP="000952B8">
      <w:pPr>
        <w:spacing w:after="0" w:line="276" w:lineRule="auto"/>
        <w:jc w:val="both"/>
        <w:rPr>
          <w:rFonts w:ascii="Open Sans" w:eastAsia="Calibri" w:hAnsi="Open Sans" w:cs="Calibri"/>
          <w:sz w:val="21"/>
          <w:szCs w:val="21"/>
        </w:rPr>
      </w:pPr>
    </w:p>
    <w:p w14:paraId="283FA2E8" w14:textId="2C5975F3" w:rsidR="000952B8" w:rsidRPr="00A07BE9" w:rsidRDefault="000952B8" w:rsidP="000952B8">
      <w:pPr>
        <w:spacing w:after="0" w:line="276" w:lineRule="auto"/>
        <w:jc w:val="both"/>
        <w:rPr>
          <w:rFonts w:ascii="Open Sans" w:eastAsia="Calibri" w:hAnsi="Open Sans" w:cs="Calibri"/>
          <w:sz w:val="21"/>
          <w:szCs w:val="21"/>
        </w:rPr>
      </w:pPr>
    </w:p>
    <w:p w14:paraId="7F0EB2AE" w14:textId="71E9C162" w:rsidR="000952B8" w:rsidRPr="00A07BE9" w:rsidRDefault="000952B8" w:rsidP="000952B8">
      <w:pPr>
        <w:spacing w:after="0" w:line="276" w:lineRule="auto"/>
        <w:jc w:val="both"/>
        <w:rPr>
          <w:rFonts w:ascii="Open Sans" w:eastAsia="Calibri" w:hAnsi="Open Sans" w:cs="Calibri"/>
          <w:sz w:val="21"/>
          <w:szCs w:val="21"/>
        </w:rPr>
      </w:pPr>
    </w:p>
    <w:p w14:paraId="2FACB654" w14:textId="0FDB7362" w:rsidR="000952B8" w:rsidRPr="00A07BE9" w:rsidRDefault="000952B8" w:rsidP="000952B8">
      <w:pPr>
        <w:spacing w:after="0" w:line="276" w:lineRule="auto"/>
        <w:jc w:val="both"/>
        <w:rPr>
          <w:rFonts w:ascii="Open Sans" w:eastAsia="Calibri" w:hAnsi="Open Sans" w:cs="Calibri"/>
          <w:sz w:val="21"/>
          <w:szCs w:val="21"/>
        </w:rPr>
      </w:pPr>
    </w:p>
    <w:p w14:paraId="70E63949" w14:textId="4B3098AF" w:rsidR="000952B8" w:rsidRPr="00A07BE9" w:rsidRDefault="000952B8" w:rsidP="000952B8">
      <w:pPr>
        <w:spacing w:after="0" w:line="276" w:lineRule="auto"/>
        <w:jc w:val="both"/>
        <w:rPr>
          <w:rFonts w:ascii="Open Sans" w:eastAsia="Calibri" w:hAnsi="Open Sans" w:cs="Calibri"/>
          <w:sz w:val="21"/>
          <w:szCs w:val="21"/>
        </w:rPr>
      </w:pPr>
    </w:p>
    <w:p w14:paraId="225E5275" w14:textId="77777777" w:rsidR="000952B8" w:rsidRPr="00A07BE9" w:rsidRDefault="000952B8" w:rsidP="000952B8">
      <w:pPr>
        <w:spacing w:after="0" w:line="276" w:lineRule="auto"/>
        <w:jc w:val="both"/>
        <w:rPr>
          <w:rFonts w:ascii="Open Sans" w:eastAsia="Calibri" w:hAnsi="Open Sans" w:cs="Calibri"/>
          <w:sz w:val="21"/>
          <w:szCs w:val="21"/>
        </w:rPr>
      </w:pPr>
    </w:p>
    <w:p w14:paraId="5B099B67" w14:textId="77777777" w:rsidR="00583150" w:rsidRPr="00A07BE9" w:rsidRDefault="00583150" w:rsidP="000952B8">
      <w:pPr>
        <w:spacing w:after="0" w:line="276" w:lineRule="auto"/>
        <w:jc w:val="both"/>
        <w:rPr>
          <w:rFonts w:ascii="Open Sans" w:eastAsia="Times New Roman" w:hAnsi="Open Sans" w:cs="Open Sans"/>
          <w:sz w:val="20"/>
          <w:szCs w:val="20"/>
          <w:lang w:eastAsia="es-ES"/>
        </w:rPr>
      </w:pPr>
    </w:p>
    <w:p w14:paraId="2E202430" w14:textId="77777777" w:rsidR="00C12B0A" w:rsidRDefault="00C12B0A" w:rsidP="000952B8">
      <w:pPr>
        <w:spacing w:after="0" w:line="276" w:lineRule="auto"/>
        <w:jc w:val="both"/>
        <w:rPr>
          <w:rFonts w:ascii="Open Sans" w:eastAsia="Times New Roman" w:hAnsi="Open Sans" w:cs="Open Sans"/>
          <w:sz w:val="20"/>
          <w:szCs w:val="20"/>
          <w:lang w:eastAsia="es-ES"/>
        </w:rPr>
      </w:pPr>
    </w:p>
    <w:p w14:paraId="3F132C56" w14:textId="7E661AD4"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En el anterior gráfico podemos ver que València, con 2.923 usuarios, es la procedencia de la mayoría de los visitantes y que ha experimentado una importante subida porcentual desde los 430 usuarios en 2018, lo cual representa un aumento porcentual del 580 %; Madrid con 67 usuarios en 2018 eleva sus visitantes a 728 usuarios en 2019, con un aumento muy importante del 987%; finalmente, Barcelona, con 630 usuarios en 2019, muestra un aumento de un 350% desde los 140 usuarios que tenía en 2018.</w:t>
      </w:r>
    </w:p>
    <w:p w14:paraId="5D98AAEB" w14:textId="77777777" w:rsidR="000952B8" w:rsidRPr="00A07BE9" w:rsidRDefault="000952B8" w:rsidP="000952B8">
      <w:pPr>
        <w:spacing w:after="0" w:line="276" w:lineRule="auto"/>
        <w:jc w:val="both"/>
        <w:rPr>
          <w:rFonts w:ascii="Calibri" w:eastAsia="Calibri" w:hAnsi="Calibri" w:cs="Calibri"/>
          <w:sz w:val="20"/>
          <w:szCs w:val="20"/>
        </w:rPr>
      </w:pPr>
    </w:p>
    <w:p w14:paraId="44E1E4BE" w14:textId="18E58711"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 xml:space="preserve">Las páginas más visitadas de la web corporativa de la Agencia son las correspondientes a la publicación de la celebración y actividades del día 9 de diciembre, Día Internacional de Naciones Unidas contra la Corrupción; la publicación sobre la aprobación de la Directiva de la Unión Europea sobre protección de los denunciantes; el </w:t>
      </w:r>
      <w:hyperlink r:id="rId321" w:history="1">
        <w:r w:rsidRPr="00A07BE9">
          <w:rPr>
            <w:rStyle w:val="Hipervnculo"/>
            <w:rFonts w:ascii="Open Sans" w:eastAsia="Times New Roman" w:hAnsi="Open Sans" w:cs="Open Sans"/>
            <w:sz w:val="20"/>
            <w:szCs w:val="20"/>
            <w:lang w:eastAsia="es-ES"/>
          </w:rPr>
          <w:t>Buzón de Denuncias</w:t>
        </w:r>
      </w:hyperlink>
      <w:r w:rsidRPr="00A07BE9">
        <w:rPr>
          <w:rFonts w:ascii="Open Sans" w:eastAsia="Times New Roman" w:hAnsi="Open Sans" w:cs="Open Sans"/>
          <w:sz w:val="20"/>
          <w:szCs w:val="20"/>
          <w:lang w:eastAsia="es-ES"/>
        </w:rPr>
        <w:t>; las recomendaciones de la Agencia a altos cargos y la información Institucional y de Transparencia.</w:t>
      </w:r>
    </w:p>
    <w:p w14:paraId="29113207" w14:textId="77777777" w:rsidR="000952B8" w:rsidRPr="00A07BE9" w:rsidRDefault="000952B8" w:rsidP="000952B8">
      <w:pPr>
        <w:spacing w:after="0" w:line="276" w:lineRule="auto"/>
        <w:jc w:val="both"/>
        <w:rPr>
          <w:rFonts w:ascii="Calibri" w:eastAsia="Calibri" w:hAnsi="Calibri" w:cs="Calibri"/>
          <w:sz w:val="20"/>
          <w:szCs w:val="20"/>
        </w:rPr>
      </w:pPr>
    </w:p>
    <w:p w14:paraId="13B90AB1" w14:textId="0EB29369"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 xml:space="preserve">Finalmente, a través de las redes sociales, como por ejemplo </w:t>
      </w:r>
      <w:hyperlink r:id="rId322" w:history="1">
        <w:r w:rsidR="00BD7FC3" w:rsidRPr="00A07BE9">
          <w:rPr>
            <w:rStyle w:val="Hipervnculo"/>
            <w:rFonts w:ascii="Open Sans" w:eastAsia="Calibri" w:hAnsi="Open Sans" w:cs="Calibri"/>
            <w:sz w:val="20"/>
            <w:szCs w:val="20"/>
            <w:lang w:val="ca-ES-valencia"/>
          </w:rPr>
          <w:t>Twitter</w:t>
        </w:r>
      </w:hyperlink>
      <w:r w:rsidR="00BD7FC3" w:rsidRPr="00A07BE9">
        <w:rPr>
          <w:rFonts w:ascii="Open Sans" w:eastAsia="Calibri" w:hAnsi="Open Sans" w:cs="Calibri"/>
          <w:sz w:val="20"/>
          <w:szCs w:val="20"/>
          <w:lang w:val="ca-ES-valencia"/>
        </w:rPr>
        <w:t xml:space="preserve">, </w:t>
      </w:r>
      <w:bookmarkStart w:id="24" w:name="_Hlk36314589"/>
      <w:r w:rsidR="00BF5A7F">
        <w:fldChar w:fldCharType="begin"/>
      </w:r>
      <w:r w:rsidR="00BF5A7F">
        <w:instrText xml:space="preserve"> HYPERLINK "https://www.linkedin.com/company/antifraucv" </w:instrText>
      </w:r>
      <w:r w:rsidR="00BF5A7F">
        <w:fldChar w:fldCharType="separate"/>
      </w:r>
      <w:r w:rsidR="00BD7FC3" w:rsidRPr="00A07BE9">
        <w:rPr>
          <w:rStyle w:val="Hipervnculo"/>
          <w:rFonts w:ascii="Open Sans" w:eastAsia="Calibri" w:hAnsi="Open Sans" w:cs="Calibri"/>
          <w:sz w:val="20"/>
          <w:szCs w:val="20"/>
          <w:lang w:val="ca-ES-valencia"/>
        </w:rPr>
        <w:t>LinkedIn</w:t>
      </w:r>
      <w:r w:rsidR="00BF5A7F">
        <w:rPr>
          <w:rStyle w:val="Hipervnculo"/>
          <w:rFonts w:ascii="Open Sans" w:eastAsia="Calibri" w:hAnsi="Open Sans" w:cs="Calibri"/>
          <w:sz w:val="20"/>
          <w:szCs w:val="20"/>
          <w:lang w:val="ca-ES-valencia"/>
        </w:rPr>
        <w:fldChar w:fldCharType="end"/>
      </w:r>
      <w:bookmarkEnd w:id="24"/>
      <w:r w:rsidR="00BD7FC3" w:rsidRPr="00A07BE9">
        <w:rPr>
          <w:rFonts w:ascii="Open Sans" w:eastAsia="Calibri" w:hAnsi="Open Sans" w:cs="Calibri"/>
          <w:sz w:val="20"/>
          <w:szCs w:val="20"/>
          <w:lang w:val="ca-ES-valencia"/>
        </w:rPr>
        <w:t xml:space="preserve"> o </w:t>
      </w:r>
      <w:hyperlink r:id="rId323" w:history="1">
        <w:r w:rsidR="00BD7FC3" w:rsidRPr="00A07BE9">
          <w:rPr>
            <w:rStyle w:val="Hipervnculo"/>
            <w:rFonts w:ascii="Open Sans" w:eastAsia="Calibri" w:hAnsi="Open Sans" w:cs="Calibri"/>
            <w:sz w:val="20"/>
            <w:szCs w:val="20"/>
            <w:lang w:val="ca-ES-valencia"/>
          </w:rPr>
          <w:t>YouTube</w:t>
        </w:r>
      </w:hyperlink>
      <w:r w:rsidRPr="00A07BE9">
        <w:rPr>
          <w:rFonts w:ascii="Open Sans" w:eastAsia="Times New Roman" w:hAnsi="Open Sans" w:cs="Open Sans"/>
          <w:sz w:val="20"/>
          <w:szCs w:val="20"/>
          <w:lang w:eastAsia="es-ES"/>
        </w:rPr>
        <w:t>, se ha podido conocer tanto la actividad de la Agencia como otras informaciones interesantes para el conjunto de los ciudadanos.</w:t>
      </w:r>
    </w:p>
    <w:p w14:paraId="3CDBDB1A" w14:textId="77777777" w:rsidR="000952B8" w:rsidRPr="00A07BE9" w:rsidRDefault="000952B8" w:rsidP="000952B8">
      <w:pPr>
        <w:spacing w:after="0" w:line="276" w:lineRule="auto"/>
        <w:jc w:val="both"/>
        <w:rPr>
          <w:rFonts w:ascii="Open Sans" w:eastAsia="Calibri" w:hAnsi="Open Sans" w:cs="Calibri"/>
          <w:sz w:val="20"/>
          <w:szCs w:val="20"/>
        </w:rPr>
      </w:pPr>
    </w:p>
    <w:p w14:paraId="59715421"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Las tres redes poseen un perfil diferente. Twitter es una red donde hay repercusión inmediata de los acontecimientos tanto locales como nacionales e internacionales; LinkedIn es una red profesional y la distribución de contenidos entre sus miembros está más especializada; y YouTube permite a la Agencia hacer llegar a la ciudadanía contenidos visuales a los que de otro modo no se podría acceder.</w:t>
      </w:r>
    </w:p>
    <w:p w14:paraId="6BB54E1A" w14:textId="77777777" w:rsidR="000952B8" w:rsidRPr="00A07BE9" w:rsidRDefault="000952B8" w:rsidP="000952B8">
      <w:pPr>
        <w:spacing w:after="0" w:line="276" w:lineRule="auto"/>
        <w:jc w:val="both"/>
        <w:rPr>
          <w:rFonts w:ascii="Calibri" w:eastAsia="Calibri" w:hAnsi="Calibri" w:cs="Calibri"/>
          <w:sz w:val="20"/>
          <w:szCs w:val="20"/>
        </w:rPr>
      </w:pPr>
    </w:p>
    <w:p w14:paraId="25822CAA" w14:textId="08BFDF05"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lastRenderedPageBreak/>
        <w:t xml:space="preserve">La cuenta de </w:t>
      </w:r>
      <w:hyperlink r:id="rId324" w:history="1">
        <w:r w:rsidR="009A1BA0" w:rsidRPr="009A1BA0">
          <w:rPr>
            <w:rStyle w:val="Hipervnculo"/>
            <w:rFonts w:ascii="Open Sans" w:eastAsia="Calibri" w:hAnsi="Open Sans" w:cs="Calibri"/>
            <w:b/>
            <w:sz w:val="20"/>
            <w:szCs w:val="20"/>
            <w:lang w:val="ca-ES-valencia"/>
          </w:rPr>
          <w:t>Twitter</w:t>
        </w:r>
      </w:hyperlink>
      <w:r w:rsidRPr="00A07BE9">
        <w:rPr>
          <w:rFonts w:ascii="Open Sans" w:eastAsia="Times New Roman" w:hAnsi="Open Sans" w:cs="Open Sans"/>
          <w:sz w:val="20"/>
          <w:szCs w:val="20"/>
          <w:lang w:eastAsia="es-ES"/>
        </w:rPr>
        <w:t xml:space="preserve"> ha experimentado, desde el año 2018, un </w:t>
      </w:r>
      <w:r w:rsidRPr="00A07BE9">
        <w:rPr>
          <w:rFonts w:ascii="Open Sans" w:eastAsia="Times New Roman" w:hAnsi="Open Sans" w:cs="Open Sans"/>
          <w:b/>
          <w:sz w:val="20"/>
          <w:szCs w:val="20"/>
          <w:lang w:eastAsia="es-ES"/>
        </w:rPr>
        <w:t>incremento en seguidores de un 107%</w:t>
      </w:r>
      <w:r w:rsidRPr="00A07BE9">
        <w:rPr>
          <w:rFonts w:ascii="Open Sans" w:eastAsia="Times New Roman" w:hAnsi="Open Sans" w:cs="Open Sans"/>
          <w:sz w:val="20"/>
          <w:szCs w:val="20"/>
          <w:lang w:eastAsia="es-ES"/>
        </w:rPr>
        <w:t xml:space="preserve"> (a fecha de 31 de diciembre de 2019, 758 seguidores o </w:t>
      </w:r>
      <w:r w:rsidRPr="00A07BE9">
        <w:rPr>
          <w:rFonts w:ascii="Open Sans" w:eastAsia="Times New Roman" w:hAnsi="Open Sans" w:cs="Open Sans"/>
          <w:i/>
          <w:sz w:val="20"/>
          <w:szCs w:val="20"/>
          <w:lang w:eastAsia="es-ES"/>
        </w:rPr>
        <w:t>followers</w:t>
      </w:r>
      <w:r w:rsidRPr="00A07BE9">
        <w:rPr>
          <w:rFonts w:ascii="Open Sans" w:eastAsia="Times New Roman" w:hAnsi="Open Sans" w:cs="Open Sans"/>
          <w:sz w:val="20"/>
          <w:szCs w:val="20"/>
          <w:lang w:eastAsia="es-ES"/>
        </w:rPr>
        <w:t>). El número de impresiones (veces que los usuarios vieron los tuits de la Agencia) es, en el mes de diciembre de 2019, de 41.900, lo cual representa un aumento frente al mismo periodo del año 2018 de un 350%. La red social se ha utilizado para hacer llegar a los seguidores información en lo referente a actividades de formación de la Agencia que se ofrecen de manera pública, convocatorias de actos y eventos y otras informaciones importantes relacionadas con la promulgación de leyes, directivas o normativas.</w:t>
      </w:r>
    </w:p>
    <w:p w14:paraId="0DF83AEC" w14:textId="77777777" w:rsidR="000952B8" w:rsidRPr="00A07BE9" w:rsidRDefault="000952B8" w:rsidP="000952B8">
      <w:pPr>
        <w:spacing w:after="0" w:line="276" w:lineRule="auto"/>
        <w:jc w:val="both"/>
        <w:rPr>
          <w:rFonts w:ascii="Calibri" w:eastAsia="Calibri" w:hAnsi="Calibri" w:cs="Calibri"/>
          <w:sz w:val="20"/>
          <w:szCs w:val="20"/>
        </w:rPr>
      </w:pPr>
    </w:p>
    <w:p w14:paraId="06F915F4" w14:textId="12AF8BFA"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 xml:space="preserve">En cuanto a la cuenta en </w:t>
      </w:r>
      <w:hyperlink r:id="rId325" w:history="1">
        <w:r w:rsidR="009A1BA0" w:rsidRPr="009A1BA0">
          <w:rPr>
            <w:rStyle w:val="Hipervnculo"/>
            <w:rFonts w:ascii="Open Sans" w:eastAsia="Calibri" w:hAnsi="Open Sans" w:cs="Calibri"/>
            <w:b/>
            <w:sz w:val="20"/>
            <w:szCs w:val="20"/>
            <w:lang w:val="ca-ES-valencia"/>
          </w:rPr>
          <w:t>LinkedIn</w:t>
        </w:r>
      </w:hyperlink>
      <w:r w:rsidRPr="00A07BE9">
        <w:rPr>
          <w:rFonts w:ascii="Open Sans" w:eastAsia="Times New Roman" w:hAnsi="Open Sans" w:cs="Open Sans"/>
          <w:sz w:val="20"/>
          <w:szCs w:val="20"/>
          <w:lang w:eastAsia="es-ES"/>
        </w:rPr>
        <w:t xml:space="preserve">, se ha empezado recientemente a hacer un esfuerzo importante para llegar a colectivos profesionales más especializados. El </w:t>
      </w:r>
      <w:r w:rsidRPr="00A07BE9">
        <w:rPr>
          <w:rFonts w:ascii="Open Sans" w:eastAsia="Times New Roman" w:hAnsi="Open Sans" w:cs="Open Sans"/>
          <w:b/>
          <w:sz w:val="20"/>
          <w:szCs w:val="20"/>
          <w:lang w:eastAsia="es-ES"/>
        </w:rPr>
        <w:t>aumento</w:t>
      </w:r>
      <w:r w:rsidRPr="00A07BE9">
        <w:rPr>
          <w:rFonts w:ascii="Open Sans" w:eastAsia="Times New Roman" w:hAnsi="Open Sans" w:cs="Open Sans"/>
          <w:sz w:val="20"/>
          <w:szCs w:val="20"/>
          <w:lang w:eastAsia="es-ES"/>
        </w:rPr>
        <w:t xml:space="preserve"> que se ha producido en seguidores es del </w:t>
      </w:r>
      <w:r w:rsidRPr="00A07BE9">
        <w:rPr>
          <w:rFonts w:ascii="Open Sans" w:eastAsia="Times New Roman" w:hAnsi="Open Sans" w:cs="Open Sans"/>
          <w:b/>
          <w:sz w:val="20"/>
          <w:szCs w:val="20"/>
          <w:lang w:eastAsia="es-ES"/>
        </w:rPr>
        <w:t>256%</w:t>
      </w:r>
      <w:r w:rsidRPr="00A07BE9">
        <w:rPr>
          <w:rFonts w:ascii="Open Sans" w:eastAsia="Times New Roman" w:hAnsi="Open Sans" w:cs="Open Sans"/>
          <w:sz w:val="20"/>
          <w:szCs w:val="20"/>
          <w:lang w:eastAsia="es-ES"/>
        </w:rPr>
        <w:t xml:space="preserve"> (de 16 a 57 seguidores).</w:t>
      </w:r>
    </w:p>
    <w:p w14:paraId="1CCBD72F" w14:textId="77777777" w:rsidR="000952B8" w:rsidRPr="00A07BE9" w:rsidRDefault="000952B8" w:rsidP="000952B8">
      <w:pPr>
        <w:spacing w:after="0" w:line="276" w:lineRule="auto"/>
        <w:jc w:val="both"/>
        <w:rPr>
          <w:rFonts w:ascii="Calibri" w:eastAsia="Calibri" w:hAnsi="Calibri" w:cs="Calibri"/>
          <w:sz w:val="20"/>
          <w:szCs w:val="20"/>
        </w:rPr>
      </w:pPr>
    </w:p>
    <w:p w14:paraId="530AD9A0" w14:textId="461932F8" w:rsidR="000952B8" w:rsidRPr="00A07BE9" w:rsidRDefault="000952B8" w:rsidP="000952B8">
      <w:pPr>
        <w:spacing w:after="0" w:line="276" w:lineRule="auto"/>
        <w:jc w:val="both"/>
        <w:rPr>
          <w:rFonts w:ascii="Calibri" w:eastAsia="Calibri" w:hAnsi="Calibri" w:cs="Calibri"/>
          <w:sz w:val="20"/>
          <w:szCs w:val="20"/>
        </w:rPr>
      </w:pPr>
      <w:r w:rsidRPr="00A07BE9">
        <w:rPr>
          <w:rFonts w:ascii="Open Sans" w:eastAsia="Times New Roman" w:hAnsi="Open Sans" w:cs="Open Sans"/>
          <w:sz w:val="20"/>
          <w:szCs w:val="20"/>
          <w:lang w:eastAsia="es-ES"/>
        </w:rPr>
        <w:t xml:space="preserve">Se han publicado en el canal de la Agencia en </w:t>
      </w:r>
      <w:hyperlink r:id="rId326" w:history="1">
        <w:r w:rsidR="009A1BA0" w:rsidRPr="009A1BA0">
          <w:rPr>
            <w:rStyle w:val="Hipervnculo"/>
            <w:rFonts w:ascii="Open Sans" w:eastAsia="Calibri" w:hAnsi="Open Sans" w:cs="Calibri"/>
            <w:b/>
            <w:sz w:val="20"/>
            <w:szCs w:val="20"/>
            <w:lang w:val="ca-ES-valencia"/>
          </w:rPr>
          <w:t>YouTube</w:t>
        </w:r>
      </w:hyperlink>
      <w:r w:rsidRPr="00A07BE9">
        <w:rPr>
          <w:rFonts w:ascii="Open Sans" w:eastAsia="Times New Roman" w:hAnsi="Open Sans" w:cs="Open Sans"/>
          <w:sz w:val="20"/>
          <w:szCs w:val="20"/>
          <w:lang w:eastAsia="es-ES"/>
        </w:rPr>
        <w:t xml:space="preserve">, durante el año 2019, 9 videos referentes a la Jornada del Día Internacional de Naciones Unidas contra la Corrupción de 9 de diciembre de 2019; la comparecencia del director de la Agencia ante las Corts Valencianes; la conferencia del Sr. Manuel Villoria ofrecida en la sede de la Agencia Valenciana Antifraude; y la mesa redonda </w:t>
      </w:r>
      <w:r w:rsidRPr="00A07BE9">
        <w:rPr>
          <w:rFonts w:ascii="Open Sans" w:eastAsia="Times New Roman" w:hAnsi="Open Sans" w:cs="Open Sans"/>
          <w:i/>
          <w:iCs/>
          <w:sz w:val="20"/>
          <w:szCs w:val="20"/>
          <w:lang w:eastAsia="es-ES"/>
        </w:rPr>
        <w:t xml:space="preserve">Las prácticas colusorias y el procedimiento ante la CNMC del </w:t>
      </w:r>
      <w:r w:rsidR="003408CE" w:rsidRPr="00A07BE9">
        <w:rPr>
          <w:rFonts w:ascii="Open Sans" w:eastAsia="Times New Roman" w:hAnsi="Open Sans" w:cs="Open Sans"/>
          <w:i/>
          <w:iCs/>
          <w:sz w:val="20"/>
          <w:szCs w:val="20"/>
          <w:lang w:eastAsia="es-ES"/>
        </w:rPr>
        <w:t>artículo</w:t>
      </w:r>
      <w:r w:rsidRPr="00A07BE9">
        <w:rPr>
          <w:rFonts w:ascii="Open Sans" w:eastAsia="Times New Roman" w:hAnsi="Open Sans" w:cs="Open Sans"/>
          <w:i/>
          <w:iCs/>
          <w:sz w:val="20"/>
          <w:szCs w:val="20"/>
          <w:lang w:eastAsia="es-ES"/>
        </w:rPr>
        <w:t xml:space="preserve"> 150: el sistema de detección de alertas tempranas y el papel de la Agencia Valenciana Antifraude,</w:t>
      </w:r>
      <w:r w:rsidRPr="00A07BE9">
        <w:rPr>
          <w:rFonts w:ascii="Open Sans" w:eastAsia="Times New Roman" w:hAnsi="Open Sans" w:cs="Open Sans"/>
          <w:sz w:val="20"/>
          <w:szCs w:val="20"/>
          <w:lang w:eastAsia="es-ES"/>
        </w:rPr>
        <w:t xml:space="preserve"> celebrada en el marco del curso sobre Contratación Pública y Compliance, organizado por ADEIT-Fundación Universidad-Empresa de la Universitat de València. La actividad se ha traducido en un </w:t>
      </w:r>
      <w:r w:rsidRPr="00A07BE9">
        <w:rPr>
          <w:rFonts w:ascii="Open Sans" w:eastAsia="Times New Roman" w:hAnsi="Open Sans" w:cs="Open Sans"/>
          <w:b/>
          <w:sz w:val="20"/>
          <w:szCs w:val="20"/>
          <w:lang w:eastAsia="es-ES"/>
        </w:rPr>
        <w:t>aumento</w:t>
      </w:r>
      <w:r w:rsidRPr="00A07BE9">
        <w:rPr>
          <w:rFonts w:ascii="Open Sans" w:eastAsia="Times New Roman" w:hAnsi="Open Sans" w:cs="Open Sans"/>
          <w:sz w:val="20"/>
          <w:szCs w:val="20"/>
          <w:lang w:eastAsia="es-ES"/>
        </w:rPr>
        <w:t xml:space="preserve"> del número de seguidores del canal de un </w:t>
      </w:r>
      <w:r w:rsidRPr="00A07BE9">
        <w:rPr>
          <w:rFonts w:ascii="Open Sans" w:eastAsia="Times New Roman" w:hAnsi="Open Sans" w:cs="Open Sans"/>
          <w:b/>
          <w:sz w:val="20"/>
          <w:szCs w:val="20"/>
          <w:lang w:eastAsia="es-ES"/>
        </w:rPr>
        <w:t>58%</w:t>
      </w:r>
      <w:r w:rsidRPr="00A07BE9">
        <w:rPr>
          <w:rFonts w:ascii="Open Sans" w:eastAsia="Times New Roman" w:hAnsi="Open Sans" w:cs="Open Sans"/>
          <w:sz w:val="20"/>
          <w:szCs w:val="20"/>
          <w:lang w:eastAsia="es-ES"/>
        </w:rPr>
        <w:t>.</w:t>
      </w:r>
    </w:p>
    <w:p w14:paraId="05DAA5B3" w14:textId="234D9104" w:rsidR="00C12B0A" w:rsidRDefault="00C12B0A" w:rsidP="000952B8">
      <w:pPr>
        <w:spacing w:after="0"/>
        <w:rPr>
          <w:rFonts w:ascii="Open Sans" w:eastAsia="Times New Roman" w:hAnsi="Open Sans" w:cs="Open Sans"/>
          <w:b/>
          <w:bCs/>
          <w:smallCaps/>
          <w:color w:val="94070A"/>
          <w:spacing w:val="-6"/>
          <w:sz w:val="20"/>
          <w:szCs w:val="20"/>
          <w:lang w:eastAsia="es-ES"/>
        </w:rPr>
      </w:pPr>
    </w:p>
    <w:p w14:paraId="71C11919" w14:textId="77777777" w:rsidR="00E340E8" w:rsidRDefault="00E340E8" w:rsidP="000952B8">
      <w:pPr>
        <w:spacing w:after="0"/>
        <w:rPr>
          <w:rFonts w:ascii="Open Sans" w:eastAsia="Times New Roman" w:hAnsi="Open Sans" w:cs="Open Sans"/>
          <w:b/>
          <w:bCs/>
          <w:smallCaps/>
          <w:color w:val="94070A"/>
          <w:spacing w:val="-6"/>
          <w:sz w:val="20"/>
          <w:szCs w:val="20"/>
          <w:lang w:eastAsia="es-ES"/>
        </w:rPr>
      </w:pPr>
    </w:p>
    <w:p w14:paraId="578A49A0" w14:textId="77777777" w:rsidR="000952B8" w:rsidRPr="00A07BE9" w:rsidRDefault="000952B8" w:rsidP="000952B8">
      <w:pPr>
        <w:spacing w:after="0" w:line="276" w:lineRule="auto"/>
        <w:jc w:val="both"/>
        <w:rPr>
          <w:rFonts w:ascii="Calibri" w:eastAsia="Calibri" w:hAnsi="Calibri" w:cs="Calibri"/>
        </w:rPr>
      </w:pPr>
      <w:r w:rsidRPr="00A07BE9">
        <w:rPr>
          <w:rFonts w:ascii="Open Sans" w:eastAsia="Times New Roman" w:hAnsi="Open Sans" w:cs="Open Sans"/>
          <w:b/>
          <w:bCs/>
          <w:smallCaps/>
          <w:color w:val="94070A"/>
          <w:spacing w:val="-6"/>
          <w:sz w:val="32"/>
          <w:szCs w:val="32"/>
          <w:lang w:eastAsia="es-ES"/>
        </w:rPr>
        <w:t>5.9. Medios de comunicación</w:t>
      </w:r>
    </w:p>
    <w:p w14:paraId="694671D5" w14:textId="77777777" w:rsidR="00264EC2" w:rsidRPr="00A07BE9" w:rsidRDefault="00264EC2" w:rsidP="000952B8">
      <w:pPr>
        <w:spacing w:after="0" w:line="276" w:lineRule="auto"/>
        <w:jc w:val="both"/>
        <w:rPr>
          <w:rFonts w:ascii="Open Sans" w:eastAsia="Times New Roman" w:hAnsi="Open Sans" w:cs="Open Sans"/>
          <w:b/>
          <w:bCs/>
          <w:color w:val="993333"/>
          <w:sz w:val="20"/>
          <w:szCs w:val="20"/>
          <w:lang w:eastAsia="es-ES"/>
        </w:rPr>
      </w:pPr>
    </w:p>
    <w:p w14:paraId="38E9D293" w14:textId="1CD22B98" w:rsidR="000952B8" w:rsidRPr="00A07BE9" w:rsidRDefault="000952B8" w:rsidP="000952B8">
      <w:pPr>
        <w:spacing w:after="0" w:line="276" w:lineRule="auto"/>
        <w:jc w:val="both"/>
        <w:rPr>
          <w:rFonts w:ascii="Open Sans" w:eastAsia="Times New Roman" w:hAnsi="Open Sans" w:cs="Open Sans"/>
          <w:b/>
          <w:bCs/>
          <w:sz w:val="20"/>
          <w:szCs w:val="20"/>
          <w:lang w:eastAsia="es-ES"/>
        </w:rPr>
      </w:pPr>
      <w:r w:rsidRPr="00A07BE9">
        <w:rPr>
          <w:rFonts w:ascii="Open Sans" w:eastAsia="Times New Roman" w:hAnsi="Open Sans" w:cs="Open Sans"/>
          <w:b/>
          <w:bCs/>
          <w:color w:val="993333"/>
          <w:sz w:val="20"/>
          <w:szCs w:val="20"/>
          <w:lang w:eastAsia="es-ES"/>
        </w:rPr>
        <w:t xml:space="preserve">Gráfico </w:t>
      </w:r>
      <w:r w:rsidR="001E295B" w:rsidRPr="00A07BE9">
        <w:rPr>
          <w:rFonts w:ascii="Open Sans" w:eastAsia="Times New Roman" w:hAnsi="Open Sans" w:cs="Open Sans"/>
          <w:b/>
          <w:bCs/>
          <w:color w:val="993333"/>
          <w:sz w:val="20"/>
          <w:szCs w:val="20"/>
          <w:lang w:eastAsia="es-ES"/>
        </w:rPr>
        <w:t>33</w:t>
      </w:r>
      <w:r w:rsidRPr="00A07BE9">
        <w:rPr>
          <w:rFonts w:ascii="Open Sans" w:eastAsia="Times New Roman" w:hAnsi="Open Sans" w:cs="Open Sans"/>
          <w:sz w:val="20"/>
          <w:szCs w:val="20"/>
          <w:lang w:eastAsia="es-ES"/>
        </w:rPr>
        <w:t xml:space="preserve"> </w:t>
      </w:r>
      <w:r w:rsidRPr="00A07BE9">
        <w:rPr>
          <w:rFonts w:ascii="Open Sans" w:eastAsia="Times New Roman" w:hAnsi="Open Sans" w:cs="Open Sans"/>
          <w:b/>
          <w:bCs/>
          <w:sz w:val="20"/>
          <w:szCs w:val="20"/>
          <w:lang w:eastAsia="es-ES"/>
        </w:rPr>
        <w:t>Noticias con mención a la Agencia por tipo medio año 2019</w:t>
      </w:r>
    </w:p>
    <w:p w14:paraId="2371280F" w14:textId="446CCBC5"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Calibri" w:eastAsia="Calibri" w:hAnsi="Calibri" w:cs="Calibri"/>
          <w:noProof/>
        </w:rPr>
        <w:drawing>
          <wp:inline distT="0" distB="0" distL="0" distR="0" wp14:anchorId="5F4EF6B9" wp14:editId="74CF528E">
            <wp:extent cx="5047013" cy="2861953"/>
            <wp:effectExtent l="0" t="0" r="1270" b="14605"/>
            <wp:docPr id="101" name="Gráfico 101">
              <a:extLst xmlns:a="http://schemas.openxmlformats.org/drawingml/2006/main">
                <a:ext uri="{FF2B5EF4-FFF2-40B4-BE49-F238E27FC236}">
                  <a16:creationId xmlns:a16="http://schemas.microsoft.com/office/drawing/2014/main" id="{F2DAAC4A-5BA2-4D5D-BFA1-7A2C6725AA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7"/>
              </a:graphicData>
            </a:graphic>
          </wp:inline>
        </w:drawing>
      </w:r>
    </w:p>
    <w:p w14:paraId="42FCFA3E" w14:textId="77777777" w:rsidR="00D075FF" w:rsidRPr="00A07BE9" w:rsidRDefault="00D075FF" w:rsidP="000952B8">
      <w:pPr>
        <w:spacing w:after="0" w:line="276" w:lineRule="auto"/>
        <w:jc w:val="both"/>
        <w:rPr>
          <w:rFonts w:ascii="Open Sans" w:eastAsia="Times New Roman" w:hAnsi="Open Sans" w:cs="Open Sans"/>
          <w:sz w:val="20"/>
          <w:szCs w:val="20"/>
          <w:lang w:eastAsia="es-ES"/>
        </w:rPr>
      </w:pPr>
    </w:p>
    <w:p w14:paraId="471A7E85" w14:textId="2ECB2952"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lastRenderedPageBreak/>
        <w:t>La actividad de esta Agencia relacionada con la actividad investigadora, la presencia que tiene en la sociedad civil y en la actividad parlamentaria son las más reflejadas en el seguimiento que hacen los medios.</w:t>
      </w:r>
    </w:p>
    <w:p w14:paraId="5E74A18F" w14:textId="77777777" w:rsidR="000952B8" w:rsidRPr="00A07BE9" w:rsidRDefault="000952B8" w:rsidP="000952B8">
      <w:pPr>
        <w:spacing w:after="0" w:line="276" w:lineRule="auto"/>
        <w:jc w:val="both"/>
        <w:rPr>
          <w:rFonts w:ascii="Calibri" w:eastAsia="Calibri" w:hAnsi="Calibri" w:cs="Calibri"/>
          <w:sz w:val="20"/>
          <w:szCs w:val="20"/>
        </w:rPr>
      </w:pPr>
    </w:p>
    <w:p w14:paraId="3B66E4B5"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Las noticias más destacables aparecidas en la prensa referentes a la Agencia han sido diversas entrevistas concedidas por la dirección de esta a diversos medios de comunicación, otras referidas a la protección de funcionarios que habían interpuesto denuncias, y también valoraciones positivas de la tarea de lucha contra el fraude y la corrupción que viene desarrollando la Agencia, mediante el apoyo y aumento de dotación presupuestaria concedido por las Corts Valencianes y dirigido a mejorar las actuaciones de la Agencia con base en sus competencias.</w:t>
      </w:r>
    </w:p>
    <w:p w14:paraId="7560D3F5" w14:textId="77777777" w:rsidR="000952B8" w:rsidRPr="00A07BE9" w:rsidRDefault="000952B8" w:rsidP="000952B8">
      <w:pPr>
        <w:spacing w:after="0" w:line="276" w:lineRule="auto"/>
        <w:jc w:val="both"/>
        <w:rPr>
          <w:rFonts w:ascii="Calibri" w:eastAsia="Calibri" w:hAnsi="Calibri" w:cs="Calibri"/>
          <w:sz w:val="20"/>
          <w:szCs w:val="20"/>
        </w:rPr>
      </w:pPr>
    </w:p>
    <w:p w14:paraId="1EB066E6" w14:textId="0AAF58F3"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A continuación, mostramos una relación de dichas entrevistas y participaciones durante el año 2019.</w:t>
      </w:r>
    </w:p>
    <w:p w14:paraId="6D690974" w14:textId="77777777" w:rsidR="000E6355" w:rsidRPr="00A07BE9" w:rsidRDefault="000E6355" w:rsidP="000952B8">
      <w:pPr>
        <w:spacing w:after="0" w:line="276" w:lineRule="auto"/>
        <w:jc w:val="both"/>
        <w:rPr>
          <w:rFonts w:ascii="Open Sans" w:eastAsia="Times New Roman" w:hAnsi="Open Sans" w:cs="Open Sans"/>
          <w:sz w:val="20"/>
          <w:szCs w:val="20"/>
          <w:lang w:eastAsia="es-ES"/>
        </w:rPr>
      </w:pPr>
    </w:p>
    <w:p w14:paraId="6E5180AC" w14:textId="40E32ABE" w:rsidR="000952B8" w:rsidRPr="00A07BE9" w:rsidRDefault="000952B8" w:rsidP="000952B8">
      <w:pPr>
        <w:spacing w:after="0" w:line="276" w:lineRule="auto"/>
        <w:jc w:val="both"/>
        <w:rPr>
          <w:rFonts w:ascii="Open Sans" w:eastAsia="Times New Roman" w:hAnsi="Open Sans" w:cs="Open Sans"/>
          <w:b/>
          <w:bCs/>
          <w:sz w:val="20"/>
          <w:szCs w:val="20"/>
          <w:lang w:eastAsia="es-ES"/>
        </w:rPr>
      </w:pPr>
      <w:r w:rsidRPr="00A07BE9">
        <w:rPr>
          <w:rFonts w:ascii="Open Sans" w:eastAsia="Times New Roman" w:hAnsi="Open Sans" w:cs="Open Sans"/>
          <w:b/>
          <w:bCs/>
          <w:color w:val="993333"/>
          <w:sz w:val="20"/>
          <w:szCs w:val="20"/>
          <w:lang w:eastAsia="es-ES"/>
        </w:rPr>
        <w:t xml:space="preserve">Tabla </w:t>
      </w:r>
      <w:r w:rsidR="001E295B" w:rsidRPr="00A07BE9">
        <w:rPr>
          <w:rFonts w:ascii="Open Sans" w:eastAsia="Times New Roman" w:hAnsi="Open Sans" w:cs="Open Sans"/>
          <w:b/>
          <w:bCs/>
          <w:color w:val="993333"/>
          <w:sz w:val="20"/>
          <w:szCs w:val="20"/>
          <w:lang w:eastAsia="es-ES"/>
        </w:rPr>
        <w:t>1</w:t>
      </w:r>
      <w:r w:rsidR="00640AAC" w:rsidRPr="00A07BE9">
        <w:rPr>
          <w:rFonts w:ascii="Open Sans" w:eastAsia="Times New Roman" w:hAnsi="Open Sans" w:cs="Open Sans"/>
          <w:b/>
          <w:bCs/>
          <w:color w:val="993333"/>
          <w:sz w:val="20"/>
          <w:szCs w:val="20"/>
          <w:lang w:eastAsia="es-ES"/>
        </w:rPr>
        <w:t>6</w:t>
      </w:r>
      <w:r w:rsidRPr="00A07BE9">
        <w:rPr>
          <w:rFonts w:ascii="Open Sans" w:eastAsia="Times New Roman" w:hAnsi="Open Sans" w:cs="Open Sans"/>
          <w:b/>
          <w:bCs/>
          <w:color w:val="993333"/>
          <w:sz w:val="20"/>
          <w:szCs w:val="20"/>
          <w:lang w:eastAsia="es-ES"/>
        </w:rPr>
        <w:t>.</w:t>
      </w:r>
      <w:r w:rsidRPr="00A07BE9">
        <w:rPr>
          <w:rFonts w:ascii="Open Sans" w:eastAsia="Times New Roman" w:hAnsi="Open Sans" w:cs="Open Sans"/>
          <w:sz w:val="20"/>
          <w:szCs w:val="20"/>
          <w:lang w:eastAsia="es-ES"/>
        </w:rPr>
        <w:t xml:space="preserve"> </w:t>
      </w:r>
      <w:r w:rsidRPr="00A07BE9">
        <w:rPr>
          <w:rFonts w:ascii="Open Sans" w:eastAsia="Times New Roman" w:hAnsi="Open Sans" w:cs="Open Sans"/>
          <w:b/>
          <w:bCs/>
          <w:sz w:val="20"/>
          <w:szCs w:val="20"/>
          <w:lang w:eastAsia="es-ES"/>
        </w:rPr>
        <w:t>Entrevistas año 2019</w:t>
      </w:r>
    </w:p>
    <w:tbl>
      <w:tblPr>
        <w:tblW w:w="0" w:type="auto"/>
        <w:jc w:val="right"/>
        <w:tblCellMar>
          <w:left w:w="0" w:type="dxa"/>
          <w:bottom w:w="28" w:type="dxa"/>
          <w:right w:w="0" w:type="dxa"/>
        </w:tblCellMar>
        <w:tblLook w:val="04A0" w:firstRow="1" w:lastRow="0" w:firstColumn="1" w:lastColumn="0" w:noHBand="0" w:noVBand="1"/>
      </w:tblPr>
      <w:tblGrid>
        <w:gridCol w:w="1560"/>
        <w:gridCol w:w="3969"/>
        <w:gridCol w:w="2975"/>
      </w:tblGrid>
      <w:tr w:rsidR="000952B8" w:rsidRPr="00A07BE9" w14:paraId="71B7688A" w14:textId="77777777" w:rsidTr="000747E1">
        <w:trPr>
          <w:tblHeader/>
          <w:jc w:val="right"/>
        </w:trPr>
        <w:tc>
          <w:tcPr>
            <w:tcW w:w="1560" w:type="dxa"/>
            <w:tcBorders>
              <w:bottom w:val="single" w:sz="6" w:space="0" w:color="993333"/>
            </w:tcBorders>
            <w:shd w:val="clear" w:color="auto" w:fill="993333"/>
            <w:vAlign w:val="center"/>
          </w:tcPr>
          <w:p w14:paraId="018C31CB" w14:textId="77777777" w:rsidR="000952B8" w:rsidRPr="00A07BE9" w:rsidRDefault="000952B8" w:rsidP="000747E1">
            <w:pPr>
              <w:spacing w:beforeAutospacing="1" w:after="142" w:line="276" w:lineRule="auto"/>
              <w:rPr>
                <w:rFonts w:ascii="Open Sans" w:eastAsia="Calibri" w:hAnsi="Open Sans" w:cs="Open Sans"/>
                <w:sz w:val="20"/>
                <w:szCs w:val="20"/>
              </w:rPr>
            </w:pPr>
            <w:r w:rsidRPr="00A07BE9">
              <w:rPr>
                <w:rFonts w:ascii="Open Sans" w:eastAsia="Times New Roman" w:hAnsi="Open Sans" w:cs="Open Sans"/>
                <w:b/>
                <w:bCs/>
                <w:color w:val="FFFFFF"/>
                <w:sz w:val="20"/>
                <w:szCs w:val="20"/>
                <w:lang w:eastAsia="es-ES"/>
              </w:rPr>
              <w:t>Fecha</w:t>
            </w:r>
          </w:p>
        </w:tc>
        <w:tc>
          <w:tcPr>
            <w:tcW w:w="3969" w:type="dxa"/>
            <w:tcBorders>
              <w:bottom w:val="single" w:sz="6" w:space="0" w:color="993333"/>
            </w:tcBorders>
            <w:shd w:val="clear" w:color="auto" w:fill="993333"/>
            <w:vAlign w:val="center"/>
          </w:tcPr>
          <w:p w14:paraId="7A5EF43C" w14:textId="77777777" w:rsidR="000952B8" w:rsidRPr="00A07BE9" w:rsidRDefault="000952B8" w:rsidP="000747E1">
            <w:pPr>
              <w:spacing w:beforeAutospacing="1" w:after="142" w:line="276" w:lineRule="auto"/>
              <w:rPr>
                <w:rFonts w:ascii="Open Sans" w:eastAsia="Calibri" w:hAnsi="Open Sans" w:cs="Open Sans"/>
                <w:sz w:val="20"/>
                <w:szCs w:val="20"/>
              </w:rPr>
            </w:pPr>
            <w:r w:rsidRPr="00A07BE9">
              <w:rPr>
                <w:rFonts w:ascii="Open Sans" w:eastAsia="Times New Roman" w:hAnsi="Open Sans" w:cs="Open Sans"/>
                <w:b/>
                <w:bCs/>
                <w:color w:val="FFFFFF"/>
                <w:sz w:val="20"/>
                <w:szCs w:val="20"/>
                <w:lang w:eastAsia="es-ES"/>
              </w:rPr>
              <w:t>Actividad</w:t>
            </w:r>
          </w:p>
        </w:tc>
        <w:tc>
          <w:tcPr>
            <w:tcW w:w="2975" w:type="dxa"/>
            <w:tcBorders>
              <w:bottom w:val="single" w:sz="6" w:space="0" w:color="993333"/>
            </w:tcBorders>
            <w:shd w:val="clear" w:color="auto" w:fill="993333"/>
            <w:vAlign w:val="center"/>
          </w:tcPr>
          <w:p w14:paraId="27CCAA8B" w14:textId="77777777" w:rsidR="000952B8" w:rsidRPr="00A07BE9" w:rsidRDefault="000952B8" w:rsidP="000747E1">
            <w:pPr>
              <w:spacing w:beforeAutospacing="1" w:after="142" w:line="276" w:lineRule="auto"/>
              <w:rPr>
                <w:rFonts w:ascii="Open Sans" w:eastAsia="Calibri" w:hAnsi="Open Sans" w:cs="Open Sans"/>
                <w:sz w:val="20"/>
                <w:szCs w:val="20"/>
              </w:rPr>
            </w:pPr>
            <w:r w:rsidRPr="00A07BE9">
              <w:rPr>
                <w:rFonts w:ascii="Open Sans" w:eastAsia="Times New Roman" w:hAnsi="Open Sans" w:cs="Open Sans"/>
                <w:b/>
                <w:bCs/>
                <w:color w:val="FFFFFF"/>
                <w:sz w:val="20"/>
                <w:szCs w:val="20"/>
                <w:lang w:eastAsia="es-ES"/>
              </w:rPr>
              <w:t>Información adicional</w:t>
            </w:r>
          </w:p>
        </w:tc>
      </w:tr>
      <w:tr w:rsidR="000952B8" w:rsidRPr="00A07BE9" w14:paraId="363EF451" w14:textId="77777777" w:rsidTr="000747E1">
        <w:trPr>
          <w:jc w:val="right"/>
        </w:trPr>
        <w:tc>
          <w:tcPr>
            <w:tcW w:w="1560" w:type="dxa"/>
            <w:tcBorders>
              <w:bottom w:val="single" w:sz="6" w:space="0" w:color="993333"/>
            </w:tcBorders>
            <w:shd w:val="clear" w:color="auto" w:fill="FFFFFF"/>
            <w:vAlign w:val="center"/>
          </w:tcPr>
          <w:p w14:paraId="2432725E" w14:textId="77777777" w:rsidR="000952B8" w:rsidRPr="00A07BE9" w:rsidRDefault="000952B8" w:rsidP="000747E1">
            <w:pPr>
              <w:spacing w:beforeAutospacing="1" w:after="142" w:line="276" w:lineRule="auto"/>
              <w:rPr>
                <w:rFonts w:ascii="Open Sans" w:eastAsia="Calibri" w:hAnsi="Open Sans" w:cs="Open Sans"/>
                <w:sz w:val="20"/>
                <w:szCs w:val="20"/>
              </w:rPr>
            </w:pPr>
            <w:r w:rsidRPr="00A07BE9">
              <w:rPr>
                <w:rFonts w:ascii="Open Sans" w:eastAsia="Times New Roman" w:hAnsi="Open Sans" w:cs="Open Sans"/>
                <w:sz w:val="20"/>
                <w:szCs w:val="20"/>
                <w:lang w:eastAsia="es-ES"/>
              </w:rPr>
              <w:t>18 de enero</w:t>
            </w:r>
          </w:p>
        </w:tc>
        <w:tc>
          <w:tcPr>
            <w:tcW w:w="3969" w:type="dxa"/>
            <w:tcBorders>
              <w:bottom w:val="single" w:sz="6" w:space="0" w:color="993333"/>
            </w:tcBorders>
            <w:shd w:val="clear" w:color="auto" w:fill="FFFFFF"/>
            <w:vAlign w:val="center"/>
          </w:tcPr>
          <w:p w14:paraId="3E5A39EB" w14:textId="77777777" w:rsidR="000952B8" w:rsidRPr="00A07BE9" w:rsidRDefault="000952B8" w:rsidP="000747E1">
            <w:pPr>
              <w:spacing w:beforeAutospacing="1" w:after="142" w:line="276" w:lineRule="auto"/>
              <w:rPr>
                <w:rFonts w:ascii="Open Sans" w:eastAsia="Calibri" w:hAnsi="Open Sans" w:cs="Open Sans"/>
                <w:sz w:val="20"/>
                <w:szCs w:val="20"/>
              </w:rPr>
            </w:pPr>
            <w:r w:rsidRPr="00A07BE9">
              <w:rPr>
                <w:rFonts w:ascii="Open Sans" w:eastAsia="Times New Roman" w:hAnsi="Open Sans" w:cs="Open Sans"/>
                <w:sz w:val="20"/>
                <w:szCs w:val="20"/>
                <w:lang w:eastAsia="es-ES"/>
              </w:rPr>
              <w:t>À Punt, Programa “La Qüestió”, sobre la corrupción. Caso Blasco.</w:t>
            </w:r>
          </w:p>
        </w:tc>
        <w:tc>
          <w:tcPr>
            <w:tcW w:w="2975" w:type="dxa"/>
            <w:tcBorders>
              <w:bottom w:val="single" w:sz="6" w:space="0" w:color="993333"/>
            </w:tcBorders>
            <w:shd w:val="clear" w:color="auto" w:fill="FFFFFF"/>
            <w:vAlign w:val="center"/>
          </w:tcPr>
          <w:p w14:paraId="266CC7EF" w14:textId="77777777" w:rsidR="000952B8" w:rsidRPr="00A07BE9" w:rsidRDefault="000952B8" w:rsidP="000747E1">
            <w:pPr>
              <w:spacing w:beforeAutospacing="1" w:after="142" w:line="276" w:lineRule="auto"/>
              <w:rPr>
                <w:rFonts w:ascii="Open Sans" w:eastAsia="Times New Roman" w:hAnsi="Open Sans" w:cs="Open Sans"/>
                <w:sz w:val="20"/>
                <w:szCs w:val="20"/>
                <w:lang w:eastAsia="es-ES"/>
              </w:rPr>
            </w:pPr>
          </w:p>
        </w:tc>
      </w:tr>
      <w:tr w:rsidR="000952B8" w:rsidRPr="00A07BE9" w14:paraId="41831FD8" w14:textId="77777777" w:rsidTr="000747E1">
        <w:trPr>
          <w:jc w:val="right"/>
        </w:trPr>
        <w:tc>
          <w:tcPr>
            <w:tcW w:w="1560" w:type="dxa"/>
            <w:tcBorders>
              <w:bottom w:val="single" w:sz="6" w:space="0" w:color="993333"/>
            </w:tcBorders>
            <w:shd w:val="clear" w:color="auto" w:fill="FFFFFF"/>
            <w:vAlign w:val="center"/>
          </w:tcPr>
          <w:p w14:paraId="282F8EC2" w14:textId="77777777" w:rsidR="000952B8" w:rsidRPr="00A07BE9" w:rsidRDefault="000952B8" w:rsidP="000747E1">
            <w:pPr>
              <w:spacing w:beforeAutospacing="1" w:after="142" w:line="276" w:lineRule="auto"/>
              <w:rPr>
                <w:rFonts w:ascii="Open Sans" w:eastAsia="Calibri" w:hAnsi="Open Sans" w:cs="Open Sans"/>
                <w:sz w:val="20"/>
                <w:szCs w:val="20"/>
              </w:rPr>
            </w:pPr>
            <w:r w:rsidRPr="00A07BE9">
              <w:rPr>
                <w:rFonts w:ascii="Open Sans" w:eastAsia="Times New Roman" w:hAnsi="Open Sans" w:cs="Open Sans"/>
                <w:sz w:val="20"/>
                <w:szCs w:val="20"/>
                <w:lang w:eastAsia="es-ES"/>
              </w:rPr>
              <w:t>8 de febrero</w:t>
            </w:r>
          </w:p>
        </w:tc>
        <w:tc>
          <w:tcPr>
            <w:tcW w:w="3969" w:type="dxa"/>
            <w:tcBorders>
              <w:bottom w:val="single" w:sz="6" w:space="0" w:color="993333"/>
            </w:tcBorders>
            <w:shd w:val="clear" w:color="auto" w:fill="FFFFFF"/>
            <w:vAlign w:val="center"/>
          </w:tcPr>
          <w:p w14:paraId="43847F52" w14:textId="77777777" w:rsidR="000952B8" w:rsidRPr="00A07BE9" w:rsidRDefault="000952B8" w:rsidP="000747E1">
            <w:pPr>
              <w:spacing w:beforeAutospacing="1" w:after="142" w:line="276" w:lineRule="auto"/>
              <w:rPr>
                <w:rFonts w:ascii="Open Sans" w:eastAsia="Calibri" w:hAnsi="Open Sans" w:cs="Open Sans"/>
                <w:sz w:val="20"/>
                <w:szCs w:val="20"/>
              </w:rPr>
            </w:pPr>
            <w:r w:rsidRPr="00A07BE9">
              <w:rPr>
                <w:rFonts w:ascii="Open Sans" w:eastAsia="Times New Roman" w:hAnsi="Open Sans" w:cs="Open Sans"/>
                <w:sz w:val="20"/>
                <w:szCs w:val="20"/>
                <w:lang w:eastAsia="es-ES"/>
              </w:rPr>
              <w:t>El Temps, Periodista: Moisés Pérez</w:t>
            </w:r>
          </w:p>
        </w:tc>
        <w:tc>
          <w:tcPr>
            <w:tcW w:w="2975" w:type="dxa"/>
            <w:tcBorders>
              <w:bottom w:val="single" w:sz="6" w:space="0" w:color="993333"/>
            </w:tcBorders>
            <w:shd w:val="clear" w:color="auto" w:fill="FFFFFF"/>
            <w:vAlign w:val="center"/>
          </w:tcPr>
          <w:p w14:paraId="4D153445" w14:textId="77777777" w:rsidR="000952B8" w:rsidRPr="00A07BE9" w:rsidRDefault="000952B8" w:rsidP="000747E1">
            <w:pPr>
              <w:spacing w:beforeAutospacing="1" w:after="142" w:line="276" w:lineRule="auto"/>
              <w:rPr>
                <w:rFonts w:ascii="Open Sans" w:eastAsia="Times New Roman" w:hAnsi="Open Sans" w:cs="Open Sans"/>
                <w:sz w:val="20"/>
                <w:szCs w:val="20"/>
                <w:lang w:eastAsia="es-ES"/>
              </w:rPr>
            </w:pPr>
          </w:p>
        </w:tc>
      </w:tr>
      <w:tr w:rsidR="000952B8" w:rsidRPr="00A07BE9" w14:paraId="727C8BFA" w14:textId="77777777" w:rsidTr="000747E1">
        <w:trPr>
          <w:jc w:val="right"/>
        </w:trPr>
        <w:tc>
          <w:tcPr>
            <w:tcW w:w="1560" w:type="dxa"/>
            <w:tcBorders>
              <w:bottom w:val="single" w:sz="6" w:space="0" w:color="993333"/>
            </w:tcBorders>
            <w:shd w:val="clear" w:color="auto" w:fill="FFFFFF"/>
            <w:vAlign w:val="center"/>
          </w:tcPr>
          <w:p w14:paraId="5E698712" w14:textId="77777777" w:rsidR="000952B8" w:rsidRPr="00A07BE9" w:rsidRDefault="000952B8" w:rsidP="000747E1">
            <w:pPr>
              <w:spacing w:beforeAutospacing="1" w:after="142" w:line="276" w:lineRule="auto"/>
              <w:rPr>
                <w:rFonts w:ascii="Open Sans" w:eastAsia="Calibri" w:hAnsi="Open Sans" w:cs="Open Sans"/>
                <w:sz w:val="20"/>
                <w:szCs w:val="20"/>
              </w:rPr>
            </w:pPr>
            <w:r w:rsidRPr="00A07BE9">
              <w:rPr>
                <w:rFonts w:ascii="Open Sans" w:eastAsia="Times New Roman" w:hAnsi="Open Sans" w:cs="Open Sans"/>
                <w:sz w:val="20"/>
                <w:szCs w:val="20"/>
                <w:lang w:eastAsia="es-ES"/>
              </w:rPr>
              <w:t>5 de marzo</w:t>
            </w:r>
          </w:p>
        </w:tc>
        <w:tc>
          <w:tcPr>
            <w:tcW w:w="3969" w:type="dxa"/>
            <w:tcBorders>
              <w:bottom w:val="single" w:sz="6" w:space="0" w:color="993333"/>
            </w:tcBorders>
            <w:shd w:val="clear" w:color="auto" w:fill="FFFFFF"/>
            <w:vAlign w:val="center"/>
          </w:tcPr>
          <w:p w14:paraId="116FA312" w14:textId="77777777" w:rsidR="000952B8" w:rsidRPr="00A07BE9" w:rsidRDefault="000952B8" w:rsidP="000747E1">
            <w:pPr>
              <w:spacing w:beforeAutospacing="1" w:after="142" w:line="276" w:lineRule="auto"/>
              <w:rPr>
                <w:rFonts w:ascii="Open Sans" w:eastAsia="Calibri" w:hAnsi="Open Sans" w:cs="Open Sans"/>
                <w:sz w:val="20"/>
                <w:szCs w:val="20"/>
              </w:rPr>
            </w:pPr>
            <w:r w:rsidRPr="00A07BE9">
              <w:rPr>
                <w:rFonts w:ascii="Open Sans" w:eastAsia="Times New Roman" w:hAnsi="Open Sans" w:cs="Open Sans"/>
                <w:sz w:val="20"/>
                <w:szCs w:val="20"/>
                <w:lang w:eastAsia="es-ES"/>
              </w:rPr>
              <w:t>À Punt, Periodista: Juan Nieto</w:t>
            </w:r>
          </w:p>
        </w:tc>
        <w:tc>
          <w:tcPr>
            <w:tcW w:w="2975" w:type="dxa"/>
            <w:tcBorders>
              <w:bottom w:val="single" w:sz="6" w:space="0" w:color="993333"/>
            </w:tcBorders>
            <w:shd w:val="clear" w:color="auto" w:fill="FFFFFF"/>
            <w:vAlign w:val="center"/>
          </w:tcPr>
          <w:p w14:paraId="02CFA1BD" w14:textId="77777777" w:rsidR="000952B8" w:rsidRPr="00A07BE9" w:rsidRDefault="000952B8" w:rsidP="000747E1">
            <w:pPr>
              <w:spacing w:beforeAutospacing="1" w:after="142" w:line="276" w:lineRule="auto"/>
              <w:rPr>
                <w:rFonts w:ascii="Open Sans" w:eastAsia="Times New Roman" w:hAnsi="Open Sans" w:cs="Open Sans"/>
                <w:sz w:val="20"/>
                <w:szCs w:val="20"/>
                <w:lang w:eastAsia="es-ES"/>
              </w:rPr>
            </w:pPr>
          </w:p>
        </w:tc>
      </w:tr>
      <w:tr w:rsidR="000952B8" w:rsidRPr="00A07BE9" w14:paraId="29791F24" w14:textId="77777777" w:rsidTr="000747E1">
        <w:trPr>
          <w:jc w:val="right"/>
        </w:trPr>
        <w:tc>
          <w:tcPr>
            <w:tcW w:w="1560" w:type="dxa"/>
            <w:tcBorders>
              <w:bottom w:val="single" w:sz="6" w:space="0" w:color="993333"/>
            </w:tcBorders>
            <w:shd w:val="clear" w:color="auto" w:fill="FFFFFF"/>
            <w:vAlign w:val="center"/>
          </w:tcPr>
          <w:p w14:paraId="2F12D821" w14:textId="77777777" w:rsidR="000952B8" w:rsidRPr="00A07BE9" w:rsidRDefault="000952B8" w:rsidP="000747E1">
            <w:pPr>
              <w:spacing w:beforeAutospacing="1" w:after="142" w:line="276" w:lineRule="auto"/>
              <w:rPr>
                <w:rFonts w:ascii="Open Sans" w:eastAsia="Calibri" w:hAnsi="Open Sans" w:cs="Open Sans"/>
                <w:sz w:val="20"/>
                <w:szCs w:val="20"/>
              </w:rPr>
            </w:pPr>
            <w:r w:rsidRPr="00A07BE9">
              <w:rPr>
                <w:rFonts w:ascii="Open Sans" w:eastAsia="Times New Roman" w:hAnsi="Open Sans" w:cs="Open Sans"/>
                <w:sz w:val="20"/>
                <w:szCs w:val="20"/>
                <w:lang w:eastAsia="es-ES"/>
              </w:rPr>
              <w:t>16 de abril</w:t>
            </w:r>
          </w:p>
        </w:tc>
        <w:tc>
          <w:tcPr>
            <w:tcW w:w="3969" w:type="dxa"/>
            <w:tcBorders>
              <w:bottom w:val="single" w:sz="6" w:space="0" w:color="993333"/>
            </w:tcBorders>
            <w:shd w:val="clear" w:color="auto" w:fill="FFFFFF"/>
            <w:vAlign w:val="center"/>
          </w:tcPr>
          <w:p w14:paraId="00FA4089" w14:textId="77777777" w:rsidR="000952B8" w:rsidRPr="00A07BE9" w:rsidRDefault="000952B8" w:rsidP="000747E1">
            <w:pPr>
              <w:spacing w:beforeAutospacing="1" w:after="142" w:line="276" w:lineRule="auto"/>
              <w:rPr>
                <w:rFonts w:ascii="Open Sans" w:eastAsia="Calibri" w:hAnsi="Open Sans" w:cs="Open Sans"/>
                <w:sz w:val="20"/>
                <w:szCs w:val="20"/>
              </w:rPr>
            </w:pPr>
            <w:r w:rsidRPr="00A07BE9">
              <w:rPr>
                <w:rFonts w:ascii="Open Sans" w:eastAsia="Times New Roman" w:hAnsi="Open Sans" w:cs="Open Sans"/>
                <w:sz w:val="20"/>
                <w:szCs w:val="20"/>
                <w:lang w:eastAsia="es-ES"/>
              </w:rPr>
              <w:t>Programa TV, Juan Carlos Galindo, Entrevista sobre la Memoria de actividad 2018</w:t>
            </w:r>
          </w:p>
        </w:tc>
        <w:tc>
          <w:tcPr>
            <w:tcW w:w="2975" w:type="dxa"/>
            <w:tcBorders>
              <w:bottom w:val="single" w:sz="6" w:space="0" w:color="993333"/>
            </w:tcBorders>
            <w:shd w:val="clear" w:color="auto" w:fill="FFFFFF"/>
            <w:vAlign w:val="center"/>
          </w:tcPr>
          <w:p w14:paraId="1B8A7361" w14:textId="77777777" w:rsidR="000952B8" w:rsidRPr="00A07BE9" w:rsidRDefault="000952B8" w:rsidP="000747E1">
            <w:pPr>
              <w:spacing w:beforeAutospacing="1" w:after="142" w:line="276" w:lineRule="auto"/>
              <w:rPr>
                <w:rFonts w:ascii="Open Sans" w:eastAsia="Times New Roman" w:hAnsi="Open Sans" w:cs="Open Sans"/>
                <w:sz w:val="20"/>
                <w:szCs w:val="20"/>
                <w:lang w:eastAsia="es-ES"/>
              </w:rPr>
            </w:pPr>
          </w:p>
        </w:tc>
      </w:tr>
      <w:tr w:rsidR="000952B8" w:rsidRPr="00A07BE9" w14:paraId="5B34F83D" w14:textId="77777777" w:rsidTr="000747E1">
        <w:trPr>
          <w:jc w:val="right"/>
        </w:trPr>
        <w:tc>
          <w:tcPr>
            <w:tcW w:w="1560" w:type="dxa"/>
            <w:tcBorders>
              <w:bottom w:val="single" w:sz="6" w:space="0" w:color="993333"/>
            </w:tcBorders>
            <w:shd w:val="clear" w:color="auto" w:fill="FFFFFF"/>
            <w:vAlign w:val="center"/>
          </w:tcPr>
          <w:p w14:paraId="26AC7153" w14:textId="77777777" w:rsidR="000952B8" w:rsidRPr="00A07BE9" w:rsidRDefault="000952B8" w:rsidP="000747E1">
            <w:pPr>
              <w:spacing w:beforeAutospacing="1" w:after="142" w:line="276" w:lineRule="auto"/>
              <w:rPr>
                <w:rFonts w:ascii="Open Sans" w:eastAsia="Calibri" w:hAnsi="Open Sans" w:cs="Open Sans"/>
                <w:sz w:val="20"/>
                <w:szCs w:val="20"/>
              </w:rPr>
            </w:pPr>
            <w:r w:rsidRPr="00A07BE9">
              <w:rPr>
                <w:rFonts w:ascii="Open Sans" w:eastAsia="Times New Roman" w:hAnsi="Open Sans" w:cs="Open Sans"/>
                <w:sz w:val="20"/>
                <w:szCs w:val="20"/>
                <w:lang w:eastAsia="es-ES"/>
              </w:rPr>
              <w:t>25 de mayo</w:t>
            </w:r>
          </w:p>
        </w:tc>
        <w:tc>
          <w:tcPr>
            <w:tcW w:w="3969" w:type="dxa"/>
            <w:tcBorders>
              <w:bottom w:val="single" w:sz="6" w:space="0" w:color="993333"/>
            </w:tcBorders>
            <w:shd w:val="clear" w:color="auto" w:fill="FFFFFF"/>
            <w:vAlign w:val="center"/>
          </w:tcPr>
          <w:p w14:paraId="408432B0" w14:textId="77777777" w:rsidR="000952B8" w:rsidRPr="00A07BE9" w:rsidRDefault="000952B8" w:rsidP="000747E1">
            <w:pPr>
              <w:spacing w:beforeAutospacing="1" w:after="142" w:line="276" w:lineRule="auto"/>
              <w:rPr>
                <w:rFonts w:ascii="Open Sans" w:eastAsia="Calibri" w:hAnsi="Open Sans" w:cs="Open Sans"/>
                <w:sz w:val="20"/>
                <w:szCs w:val="20"/>
              </w:rPr>
            </w:pPr>
            <w:r w:rsidRPr="00A07BE9">
              <w:rPr>
                <w:rFonts w:ascii="Open Sans" w:eastAsia="Times New Roman" w:hAnsi="Open Sans" w:cs="Open Sans"/>
                <w:sz w:val="20"/>
                <w:szCs w:val="20"/>
                <w:lang w:eastAsia="es-ES"/>
              </w:rPr>
              <w:t>Documental con el Prof. Manuel Villoria, el Juez Joaquím Bosch, Silvia Vèrnia y el director “Corrupción: Organismo nocivo, hoy”</w:t>
            </w:r>
          </w:p>
        </w:tc>
        <w:tc>
          <w:tcPr>
            <w:tcW w:w="2975" w:type="dxa"/>
            <w:tcBorders>
              <w:bottom w:val="single" w:sz="6" w:space="0" w:color="993333"/>
            </w:tcBorders>
            <w:shd w:val="clear" w:color="auto" w:fill="FFFFFF"/>
            <w:vAlign w:val="center"/>
          </w:tcPr>
          <w:p w14:paraId="2A996E9B" w14:textId="77777777" w:rsidR="000952B8" w:rsidRPr="00A07BE9" w:rsidRDefault="000952B8" w:rsidP="000747E1">
            <w:pPr>
              <w:spacing w:beforeAutospacing="1" w:after="142" w:line="276" w:lineRule="auto"/>
              <w:rPr>
                <w:rFonts w:ascii="Open Sans" w:eastAsia="Times New Roman" w:hAnsi="Open Sans" w:cs="Open Sans"/>
                <w:sz w:val="20"/>
                <w:szCs w:val="20"/>
                <w:lang w:eastAsia="es-ES"/>
              </w:rPr>
            </w:pPr>
          </w:p>
        </w:tc>
      </w:tr>
      <w:tr w:rsidR="000952B8" w:rsidRPr="00A07BE9" w14:paraId="254DD09C" w14:textId="77777777" w:rsidTr="000747E1">
        <w:trPr>
          <w:jc w:val="right"/>
        </w:trPr>
        <w:tc>
          <w:tcPr>
            <w:tcW w:w="1560" w:type="dxa"/>
            <w:tcBorders>
              <w:bottom w:val="single" w:sz="6" w:space="0" w:color="993333"/>
            </w:tcBorders>
            <w:shd w:val="clear" w:color="auto" w:fill="FFFFFF"/>
            <w:vAlign w:val="center"/>
          </w:tcPr>
          <w:p w14:paraId="1A242463" w14:textId="77777777" w:rsidR="000952B8" w:rsidRPr="00A07BE9" w:rsidRDefault="000952B8" w:rsidP="000747E1">
            <w:pPr>
              <w:spacing w:beforeAutospacing="1" w:after="142" w:line="276" w:lineRule="auto"/>
              <w:rPr>
                <w:rFonts w:ascii="Open Sans" w:eastAsia="Calibri" w:hAnsi="Open Sans" w:cs="Open Sans"/>
                <w:sz w:val="20"/>
                <w:szCs w:val="20"/>
              </w:rPr>
            </w:pPr>
            <w:r w:rsidRPr="00A07BE9">
              <w:rPr>
                <w:rFonts w:ascii="Open Sans" w:eastAsia="Times New Roman" w:hAnsi="Open Sans" w:cs="Open Sans"/>
                <w:sz w:val="20"/>
                <w:szCs w:val="20"/>
                <w:lang w:eastAsia="es-ES"/>
              </w:rPr>
              <w:t>6 de junio</w:t>
            </w:r>
          </w:p>
        </w:tc>
        <w:tc>
          <w:tcPr>
            <w:tcW w:w="3969" w:type="dxa"/>
            <w:tcBorders>
              <w:bottom w:val="single" w:sz="6" w:space="0" w:color="993333"/>
            </w:tcBorders>
            <w:shd w:val="clear" w:color="auto" w:fill="FFFFFF"/>
            <w:vAlign w:val="center"/>
          </w:tcPr>
          <w:p w14:paraId="7794B6D7" w14:textId="77777777" w:rsidR="000952B8" w:rsidRPr="00A07BE9" w:rsidRDefault="000952B8" w:rsidP="000747E1">
            <w:pPr>
              <w:spacing w:beforeAutospacing="1" w:after="142" w:line="276" w:lineRule="auto"/>
              <w:rPr>
                <w:rFonts w:ascii="Open Sans" w:eastAsia="Calibri" w:hAnsi="Open Sans" w:cs="Open Sans"/>
                <w:sz w:val="20"/>
                <w:szCs w:val="20"/>
              </w:rPr>
            </w:pPr>
            <w:r w:rsidRPr="00A07BE9">
              <w:rPr>
                <w:rFonts w:ascii="Open Sans" w:eastAsia="Times New Roman" w:hAnsi="Open Sans" w:cs="Open Sans"/>
                <w:sz w:val="20"/>
                <w:szCs w:val="20"/>
                <w:lang w:eastAsia="es-ES"/>
              </w:rPr>
              <w:t>Entrevista TV3 con ocasión de la grabación del documental “Resurrección: 10 anys del Caso Palau de la Música”</w:t>
            </w:r>
          </w:p>
        </w:tc>
        <w:tc>
          <w:tcPr>
            <w:tcW w:w="2975" w:type="dxa"/>
            <w:tcBorders>
              <w:bottom w:val="single" w:sz="6" w:space="0" w:color="993333"/>
            </w:tcBorders>
            <w:shd w:val="clear" w:color="auto" w:fill="FFFFFF"/>
            <w:vAlign w:val="center"/>
          </w:tcPr>
          <w:p w14:paraId="1F373DE2" w14:textId="77777777" w:rsidR="000952B8" w:rsidRPr="00A07BE9" w:rsidRDefault="000952B8" w:rsidP="000747E1">
            <w:pPr>
              <w:spacing w:beforeAutospacing="1" w:after="142" w:line="276" w:lineRule="auto"/>
              <w:rPr>
                <w:rFonts w:ascii="Open Sans" w:eastAsia="Times New Roman" w:hAnsi="Open Sans" w:cs="Open Sans"/>
                <w:sz w:val="20"/>
                <w:szCs w:val="20"/>
                <w:lang w:eastAsia="es-ES"/>
              </w:rPr>
            </w:pPr>
          </w:p>
        </w:tc>
      </w:tr>
      <w:tr w:rsidR="00012EBE" w:rsidRPr="00A07BE9" w14:paraId="74128402" w14:textId="77777777" w:rsidTr="000747E1">
        <w:trPr>
          <w:jc w:val="right"/>
        </w:trPr>
        <w:tc>
          <w:tcPr>
            <w:tcW w:w="1560" w:type="dxa"/>
            <w:tcBorders>
              <w:bottom w:val="single" w:sz="6" w:space="0" w:color="993333"/>
            </w:tcBorders>
            <w:shd w:val="clear" w:color="auto" w:fill="FFFFFF"/>
            <w:vAlign w:val="center"/>
          </w:tcPr>
          <w:p w14:paraId="3548AB6B" w14:textId="77777777" w:rsidR="00012EBE" w:rsidRPr="00A07BE9" w:rsidRDefault="00012EBE" w:rsidP="000747E1">
            <w:pPr>
              <w:spacing w:beforeAutospacing="1" w:after="142" w:line="276" w:lineRule="auto"/>
              <w:rPr>
                <w:rFonts w:ascii="Open Sans" w:eastAsia="Calibri" w:hAnsi="Open Sans" w:cs="Open Sans"/>
                <w:sz w:val="20"/>
                <w:szCs w:val="20"/>
              </w:rPr>
            </w:pPr>
            <w:r w:rsidRPr="00A07BE9">
              <w:rPr>
                <w:rFonts w:ascii="Open Sans" w:eastAsia="Times New Roman" w:hAnsi="Open Sans" w:cs="Open Sans"/>
                <w:sz w:val="20"/>
                <w:szCs w:val="20"/>
                <w:lang w:eastAsia="es-ES"/>
              </w:rPr>
              <w:t>15 de junio</w:t>
            </w:r>
          </w:p>
        </w:tc>
        <w:tc>
          <w:tcPr>
            <w:tcW w:w="3969" w:type="dxa"/>
            <w:tcBorders>
              <w:bottom w:val="single" w:sz="6" w:space="0" w:color="993333"/>
            </w:tcBorders>
            <w:shd w:val="clear" w:color="auto" w:fill="FFFFFF"/>
            <w:vAlign w:val="center"/>
          </w:tcPr>
          <w:p w14:paraId="3FE4EAEF" w14:textId="1B485334" w:rsidR="00012EBE" w:rsidRPr="00A07BE9" w:rsidRDefault="00012EBE" w:rsidP="000747E1">
            <w:pPr>
              <w:spacing w:beforeAutospacing="1" w:after="142" w:line="276" w:lineRule="auto"/>
              <w:rPr>
                <w:rFonts w:ascii="Open Sans" w:eastAsia="Calibri" w:hAnsi="Open Sans" w:cs="Open Sans"/>
                <w:sz w:val="20"/>
                <w:szCs w:val="20"/>
              </w:rPr>
            </w:pPr>
            <w:r w:rsidRPr="00A07BE9">
              <w:rPr>
                <w:rFonts w:ascii="Open Sans" w:eastAsia="Times New Roman" w:hAnsi="Open Sans" w:cs="Open Sans"/>
                <w:sz w:val="20"/>
                <w:szCs w:val="20"/>
                <w:lang w:eastAsia="es-ES"/>
              </w:rPr>
              <w:t xml:space="preserve">Documental de TV3 “Resurrección: 10 anys del Caso Palau de la Música” </w:t>
            </w:r>
          </w:p>
        </w:tc>
        <w:tc>
          <w:tcPr>
            <w:tcW w:w="2975" w:type="dxa"/>
            <w:tcBorders>
              <w:bottom w:val="single" w:sz="6" w:space="0" w:color="993333"/>
            </w:tcBorders>
            <w:shd w:val="clear" w:color="auto" w:fill="FFFFFF"/>
            <w:vAlign w:val="center"/>
          </w:tcPr>
          <w:p w14:paraId="4C159C1B" w14:textId="3DA0D2AB" w:rsidR="00012EBE" w:rsidRPr="00A07BE9" w:rsidRDefault="00012EBE" w:rsidP="000747E1">
            <w:pPr>
              <w:spacing w:beforeAutospacing="1" w:after="142" w:line="276" w:lineRule="auto"/>
              <w:rPr>
                <w:rFonts w:ascii="Calibri" w:eastAsia="Calibri" w:hAnsi="Calibri" w:cs="Calibri"/>
                <w:sz w:val="20"/>
                <w:szCs w:val="20"/>
              </w:rPr>
            </w:pPr>
            <w:r w:rsidRPr="00A07BE9">
              <w:rPr>
                <w:rFonts w:ascii="Open Sans" w:eastAsia="Times New Roman" w:hAnsi="Open Sans" w:cs="Open Sans"/>
                <w:sz w:val="20"/>
                <w:szCs w:val="20"/>
                <w:lang w:eastAsia="es-ES"/>
              </w:rPr>
              <w:t xml:space="preserve">Disponible en: </w:t>
            </w:r>
            <w:hyperlink r:id="rId328">
              <w:r w:rsidRPr="00A07BE9">
                <w:rPr>
                  <w:rFonts w:ascii="Open Sans" w:eastAsia="Times New Roman" w:hAnsi="Open Sans" w:cs="Open Sans"/>
                  <w:color w:val="000080"/>
                  <w:sz w:val="20"/>
                  <w:szCs w:val="20"/>
                  <w:u w:val="single"/>
                  <w:lang w:eastAsia="es-ES"/>
                </w:rPr>
                <w:t>https://vimeo.com/349462132</w:t>
              </w:r>
            </w:hyperlink>
          </w:p>
        </w:tc>
      </w:tr>
      <w:tr w:rsidR="000952B8" w:rsidRPr="00A07BE9" w14:paraId="3D7DE411" w14:textId="77777777" w:rsidTr="000747E1">
        <w:trPr>
          <w:jc w:val="right"/>
        </w:trPr>
        <w:tc>
          <w:tcPr>
            <w:tcW w:w="1560" w:type="dxa"/>
            <w:tcBorders>
              <w:bottom w:val="single" w:sz="6" w:space="0" w:color="993333"/>
            </w:tcBorders>
            <w:shd w:val="clear" w:color="auto" w:fill="FFFFFF"/>
            <w:vAlign w:val="center"/>
          </w:tcPr>
          <w:p w14:paraId="055F3685" w14:textId="77777777" w:rsidR="000952B8" w:rsidRPr="00A07BE9" w:rsidRDefault="000952B8" w:rsidP="000747E1">
            <w:pPr>
              <w:spacing w:beforeAutospacing="1" w:after="142" w:line="276" w:lineRule="auto"/>
              <w:rPr>
                <w:rFonts w:ascii="Open Sans" w:eastAsia="Calibri" w:hAnsi="Open Sans" w:cs="Open Sans"/>
                <w:sz w:val="20"/>
                <w:szCs w:val="20"/>
              </w:rPr>
            </w:pPr>
            <w:r w:rsidRPr="00A07BE9">
              <w:rPr>
                <w:rFonts w:ascii="Open Sans" w:eastAsia="Times New Roman" w:hAnsi="Open Sans" w:cs="Open Sans"/>
                <w:sz w:val="20"/>
                <w:szCs w:val="20"/>
                <w:lang w:eastAsia="es-ES"/>
              </w:rPr>
              <w:t>4 de julio</w:t>
            </w:r>
          </w:p>
        </w:tc>
        <w:tc>
          <w:tcPr>
            <w:tcW w:w="3969" w:type="dxa"/>
            <w:tcBorders>
              <w:bottom w:val="single" w:sz="6" w:space="0" w:color="993333"/>
            </w:tcBorders>
            <w:shd w:val="clear" w:color="auto" w:fill="FFFFFF"/>
            <w:vAlign w:val="center"/>
          </w:tcPr>
          <w:p w14:paraId="30BB2E1C" w14:textId="77777777" w:rsidR="000952B8" w:rsidRPr="00A07BE9" w:rsidRDefault="000952B8" w:rsidP="000747E1">
            <w:pPr>
              <w:spacing w:beforeAutospacing="1" w:after="142" w:line="276" w:lineRule="auto"/>
              <w:rPr>
                <w:rFonts w:ascii="Open Sans" w:eastAsia="Calibri" w:hAnsi="Open Sans" w:cs="Open Sans"/>
                <w:sz w:val="20"/>
                <w:szCs w:val="20"/>
              </w:rPr>
            </w:pPr>
            <w:r w:rsidRPr="00A07BE9">
              <w:rPr>
                <w:rFonts w:ascii="Open Sans" w:eastAsia="Times New Roman" w:hAnsi="Open Sans" w:cs="Open Sans"/>
                <w:sz w:val="20"/>
                <w:szCs w:val="20"/>
                <w:lang w:eastAsia="es-ES"/>
              </w:rPr>
              <w:t>Levante EMV, Periodista: Julia Ruiz</w:t>
            </w:r>
          </w:p>
        </w:tc>
        <w:tc>
          <w:tcPr>
            <w:tcW w:w="2975" w:type="dxa"/>
            <w:tcBorders>
              <w:bottom w:val="single" w:sz="6" w:space="0" w:color="993333"/>
            </w:tcBorders>
            <w:shd w:val="clear" w:color="auto" w:fill="FFFFFF"/>
            <w:vAlign w:val="center"/>
          </w:tcPr>
          <w:p w14:paraId="17E4BEF1" w14:textId="77777777" w:rsidR="000952B8" w:rsidRPr="00A07BE9" w:rsidRDefault="000952B8" w:rsidP="000747E1">
            <w:pPr>
              <w:spacing w:beforeAutospacing="1" w:after="142" w:line="276" w:lineRule="auto"/>
              <w:rPr>
                <w:rFonts w:ascii="Open Sans" w:eastAsia="Times New Roman" w:hAnsi="Open Sans" w:cs="Open Sans"/>
                <w:sz w:val="20"/>
                <w:szCs w:val="20"/>
                <w:lang w:eastAsia="es-ES"/>
              </w:rPr>
            </w:pPr>
          </w:p>
        </w:tc>
      </w:tr>
      <w:tr w:rsidR="00264D99" w:rsidRPr="00A07BE9" w14:paraId="03470E9F" w14:textId="77777777" w:rsidTr="000747E1">
        <w:trPr>
          <w:jc w:val="right"/>
        </w:trPr>
        <w:tc>
          <w:tcPr>
            <w:tcW w:w="1560" w:type="dxa"/>
            <w:tcBorders>
              <w:bottom w:val="single" w:sz="6" w:space="0" w:color="993333"/>
            </w:tcBorders>
            <w:shd w:val="clear" w:color="auto" w:fill="FFFFFF"/>
            <w:vAlign w:val="center"/>
          </w:tcPr>
          <w:p w14:paraId="21A322B7" w14:textId="77777777" w:rsidR="00264D99" w:rsidRPr="00A07BE9" w:rsidRDefault="00264D99" w:rsidP="000747E1">
            <w:pPr>
              <w:spacing w:beforeAutospacing="1" w:after="142" w:line="276" w:lineRule="auto"/>
              <w:rPr>
                <w:rFonts w:ascii="Open Sans" w:eastAsia="Calibri" w:hAnsi="Open Sans" w:cs="Open Sans"/>
                <w:sz w:val="20"/>
                <w:szCs w:val="20"/>
              </w:rPr>
            </w:pPr>
            <w:r w:rsidRPr="00A07BE9">
              <w:rPr>
                <w:rFonts w:ascii="Open Sans" w:eastAsia="Times New Roman" w:hAnsi="Open Sans" w:cs="Open Sans"/>
                <w:sz w:val="20"/>
                <w:szCs w:val="20"/>
                <w:lang w:eastAsia="es-ES"/>
              </w:rPr>
              <w:t>4 de julio</w:t>
            </w:r>
          </w:p>
        </w:tc>
        <w:tc>
          <w:tcPr>
            <w:tcW w:w="3969" w:type="dxa"/>
            <w:tcBorders>
              <w:bottom w:val="single" w:sz="6" w:space="0" w:color="993333"/>
            </w:tcBorders>
            <w:shd w:val="clear" w:color="auto" w:fill="FFFFFF"/>
            <w:vAlign w:val="center"/>
          </w:tcPr>
          <w:p w14:paraId="0A778559" w14:textId="0443C9FD" w:rsidR="00264D99" w:rsidRPr="00A07BE9" w:rsidRDefault="00264D99" w:rsidP="000747E1">
            <w:pPr>
              <w:spacing w:beforeAutospacing="1" w:after="142" w:line="276" w:lineRule="auto"/>
              <w:rPr>
                <w:rFonts w:ascii="Open Sans" w:eastAsia="Calibri" w:hAnsi="Open Sans" w:cs="Open Sans"/>
                <w:sz w:val="20"/>
                <w:szCs w:val="20"/>
              </w:rPr>
            </w:pPr>
            <w:r w:rsidRPr="00A07BE9">
              <w:rPr>
                <w:rFonts w:ascii="Open Sans" w:eastAsia="Times New Roman" w:hAnsi="Open Sans" w:cs="Open Sans"/>
                <w:sz w:val="20"/>
                <w:szCs w:val="20"/>
                <w:lang w:eastAsia="es-ES"/>
              </w:rPr>
              <w:t>Revista Economía 3, Periodista: Ana Gil</w:t>
            </w:r>
          </w:p>
        </w:tc>
        <w:tc>
          <w:tcPr>
            <w:tcW w:w="2975" w:type="dxa"/>
            <w:tcBorders>
              <w:bottom w:val="single" w:sz="6" w:space="0" w:color="993333"/>
            </w:tcBorders>
            <w:shd w:val="clear" w:color="auto" w:fill="FFFFFF"/>
            <w:vAlign w:val="center"/>
          </w:tcPr>
          <w:p w14:paraId="26436A05" w14:textId="5C3F3811" w:rsidR="00264D99" w:rsidRPr="00A07BE9" w:rsidRDefault="00264D99" w:rsidP="000747E1">
            <w:pPr>
              <w:spacing w:beforeAutospacing="1" w:after="142" w:line="276" w:lineRule="auto"/>
              <w:rPr>
                <w:rFonts w:ascii="Calibri" w:eastAsia="Calibri" w:hAnsi="Calibri" w:cs="Calibri"/>
                <w:sz w:val="20"/>
                <w:szCs w:val="20"/>
              </w:rPr>
            </w:pPr>
            <w:r w:rsidRPr="00A07BE9">
              <w:rPr>
                <w:rFonts w:ascii="Open Sans" w:eastAsia="Times New Roman" w:hAnsi="Open Sans" w:cs="Open Sans"/>
                <w:sz w:val="20"/>
                <w:szCs w:val="20"/>
                <w:lang w:eastAsia="es-ES"/>
              </w:rPr>
              <w:t>Disponible en:</w:t>
            </w:r>
            <w:r w:rsidRPr="00A07BE9">
              <w:rPr>
                <w:rFonts w:ascii="Open Sans" w:eastAsia="Times New Roman" w:hAnsi="Open Sans" w:cs="Open Sans"/>
                <w:sz w:val="20"/>
                <w:szCs w:val="20"/>
                <w:lang w:eastAsia="es-ES"/>
              </w:rPr>
              <w:br/>
            </w:r>
            <w:hyperlink r:id="rId329">
              <w:r w:rsidRPr="00A07BE9">
                <w:rPr>
                  <w:rFonts w:ascii="Open Sans" w:eastAsia="Times New Roman" w:hAnsi="Open Sans" w:cs="Open Sans"/>
                  <w:color w:val="000080"/>
                  <w:sz w:val="20"/>
                  <w:szCs w:val="20"/>
                  <w:u w:val="single"/>
                  <w:lang w:eastAsia="es-ES"/>
                </w:rPr>
                <w:t>http://bit.ly/2HgFVS1</w:t>
              </w:r>
            </w:hyperlink>
          </w:p>
        </w:tc>
      </w:tr>
      <w:tr w:rsidR="00264D99" w:rsidRPr="00A07BE9" w14:paraId="74A290F1" w14:textId="77777777" w:rsidTr="000747E1">
        <w:trPr>
          <w:jc w:val="right"/>
        </w:trPr>
        <w:tc>
          <w:tcPr>
            <w:tcW w:w="1560" w:type="dxa"/>
            <w:tcBorders>
              <w:bottom w:val="single" w:sz="6" w:space="0" w:color="993333"/>
            </w:tcBorders>
            <w:shd w:val="clear" w:color="auto" w:fill="FFFFFF"/>
            <w:vAlign w:val="center"/>
          </w:tcPr>
          <w:p w14:paraId="5808A434" w14:textId="77777777" w:rsidR="00264D99" w:rsidRPr="00A07BE9" w:rsidRDefault="00264D99" w:rsidP="000747E1">
            <w:pPr>
              <w:spacing w:beforeAutospacing="1" w:after="142" w:line="276" w:lineRule="auto"/>
              <w:rPr>
                <w:rFonts w:ascii="Open Sans" w:eastAsia="Calibri" w:hAnsi="Open Sans" w:cs="Open Sans"/>
                <w:sz w:val="20"/>
                <w:szCs w:val="20"/>
              </w:rPr>
            </w:pPr>
            <w:r w:rsidRPr="00A07BE9">
              <w:rPr>
                <w:rFonts w:ascii="Open Sans" w:eastAsia="Times New Roman" w:hAnsi="Open Sans" w:cs="Open Sans"/>
                <w:sz w:val="20"/>
                <w:szCs w:val="20"/>
                <w:lang w:eastAsia="es-ES"/>
              </w:rPr>
              <w:lastRenderedPageBreak/>
              <w:t>15 de octubre</w:t>
            </w:r>
          </w:p>
        </w:tc>
        <w:tc>
          <w:tcPr>
            <w:tcW w:w="3969" w:type="dxa"/>
            <w:tcBorders>
              <w:bottom w:val="single" w:sz="6" w:space="0" w:color="993333"/>
            </w:tcBorders>
            <w:shd w:val="clear" w:color="auto" w:fill="FFFFFF"/>
            <w:vAlign w:val="center"/>
          </w:tcPr>
          <w:p w14:paraId="5E9052CE" w14:textId="1AFDEE8B" w:rsidR="00264D99" w:rsidRPr="00A07BE9" w:rsidRDefault="00264D99" w:rsidP="000747E1">
            <w:pPr>
              <w:spacing w:beforeAutospacing="1" w:after="142" w:line="276" w:lineRule="auto"/>
              <w:rPr>
                <w:rFonts w:ascii="Open Sans" w:eastAsia="Calibri" w:hAnsi="Open Sans" w:cs="Open Sans"/>
                <w:sz w:val="20"/>
                <w:szCs w:val="20"/>
              </w:rPr>
            </w:pPr>
            <w:r w:rsidRPr="00A07BE9">
              <w:rPr>
                <w:rFonts w:ascii="Open Sans" w:eastAsia="Times New Roman" w:hAnsi="Open Sans" w:cs="Open Sans"/>
                <w:sz w:val="20"/>
                <w:szCs w:val="20"/>
                <w:lang w:eastAsia="es-ES"/>
              </w:rPr>
              <w:t>El Temps, Periodista: Violeta Tena</w:t>
            </w:r>
          </w:p>
        </w:tc>
        <w:tc>
          <w:tcPr>
            <w:tcW w:w="2975" w:type="dxa"/>
            <w:tcBorders>
              <w:bottom w:val="single" w:sz="6" w:space="0" w:color="993333"/>
            </w:tcBorders>
            <w:shd w:val="clear" w:color="auto" w:fill="FFFFFF"/>
            <w:vAlign w:val="center"/>
          </w:tcPr>
          <w:p w14:paraId="61C5999A" w14:textId="2B94641F" w:rsidR="00264D99" w:rsidRPr="00A07BE9" w:rsidRDefault="00264D99" w:rsidP="000747E1">
            <w:pPr>
              <w:spacing w:beforeAutospacing="1" w:after="142" w:line="276" w:lineRule="auto"/>
              <w:rPr>
                <w:rFonts w:ascii="Calibri" w:eastAsia="Calibri" w:hAnsi="Calibri" w:cs="Calibri"/>
                <w:sz w:val="20"/>
                <w:szCs w:val="20"/>
              </w:rPr>
            </w:pPr>
            <w:r w:rsidRPr="00A07BE9">
              <w:rPr>
                <w:rFonts w:ascii="Open Sans" w:eastAsia="Times New Roman" w:hAnsi="Open Sans" w:cs="Open Sans"/>
                <w:sz w:val="20"/>
                <w:szCs w:val="20"/>
                <w:lang w:eastAsia="es-ES"/>
              </w:rPr>
              <w:t>Disponible en:</w:t>
            </w:r>
            <w:r w:rsidRPr="00A07BE9">
              <w:rPr>
                <w:rFonts w:ascii="Open Sans" w:eastAsia="Times New Roman" w:hAnsi="Open Sans" w:cs="Open Sans"/>
                <w:sz w:val="20"/>
                <w:szCs w:val="20"/>
                <w:lang w:eastAsia="es-ES"/>
              </w:rPr>
              <w:br/>
            </w:r>
            <w:hyperlink r:id="rId330">
              <w:r w:rsidRPr="00A07BE9">
                <w:rPr>
                  <w:rFonts w:ascii="Open Sans" w:eastAsia="Times New Roman" w:hAnsi="Open Sans" w:cs="Open Sans"/>
                  <w:color w:val="000080"/>
                  <w:sz w:val="20"/>
                  <w:szCs w:val="20"/>
                  <w:u w:val="single"/>
                  <w:lang w:eastAsia="es-ES"/>
                </w:rPr>
                <w:t>http://bit.ly/2OM1lKX</w:t>
              </w:r>
            </w:hyperlink>
          </w:p>
        </w:tc>
      </w:tr>
      <w:tr w:rsidR="000952B8" w:rsidRPr="00A07BE9" w14:paraId="24455E6E" w14:textId="77777777" w:rsidTr="000747E1">
        <w:trPr>
          <w:trHeight w:val="495"/>
          <w:jc w:val="right"/>
        </w:trPr>
        <w:tc>
          <w:tcPr>
            <w:tcW w:w="1560" w:type="dxa"/>
            <w:tcBorders>
              <w:bottom w:val="single" w:sz="6" w:space="0" w:color="993333"/>
            </w:tcBorders>
            <w:shd w:val="clear" w:color="auto" w:fill="FFFFFF"/>
            <w:vAlign w:val="center"/>
          </w:tcPr>
          <w:p w14:paraId="1B9F7240" w14:textId="77777777" w:rsidR="000952B8" w:rsidRPr="00A07BE9" w:rsidRDefault="000952B8" w:rsidP="000747E1">
            <w:pPr>
              <w:spacing w:beforeAutospacing="1" w:after="142" w:line="276" w:lineRule="auto"/>
              <w:rPr>
                <w:rFonts w:ascii="Open Sans" w:eastAsia="Calibri" w:hAnsi="Open Sans" w:cs="Open Sans"/>
                <w:sz w:val="20"/>
                <w:szCs w:val="20"/>
              </w:rPr>
            </w:pPr>
            <w:r w:rsidRPr="00A07BE9">
              <w:rPr>
                <w:rFonts w:ascii="Open Sans" w:eastAsia="Times New Roman" w:hAnsi="Open Sans" w:cs="Open Sans"/>
                <w:sz w:val="20"/>
                <w:szCs w:val="20"/>
                <w:lang w:eastAsia="es-ES"/>
              </w:rPr>
              <w:t>5 de diciembre</w:t>
            </w:r>
          </w:p>
        </w:tc>
        <w:tc>
          <w:tcPr>
            <w:tcW w:w="3969" w:type="dxa"/>
            <w:tcBorders>
              <w:bottom w:val="single" w:sz="6" w:space="0" w:color="993333"/>
            </w:tcBorders>
            <w:shd w:val="clear" w:color="auto" w:fill="FFFFFF"/>
            <w:vAlign w:val="center"/>
          </w:tcPr>
          <w:p w14:paraId="4EEECF1A" w14:textId="77777777" w:rsidR="000952B8" w:rsidRPr="00A07BE9" w:rsidRDefault="000952B8" w:rsidP="000747E1">
            <w:pPr>
              <w:spacing w:beforeAutospacing="1" w:after="142" w:line="276" w:lineRule="auto"/>
              <w:rPr>
                <w:rFonts w:ascii="Open Sans" w:eastAsia="Calibri" w:hAnsi="Open Sans" w:cs="Open Sans"/>
                <w:sz w:val="20"/>
                <w:szCs w:val="20"/>
              </w:rPr>
            </w:pPr>
            <w:r w:rsidRPr="00A07BE9">
              <w:rPr>
                <w:rFonts w:ascii="Open Sans" w:eastAsia="Times New Roman" w:hAnsi="Open Sans" w:cs="Open Sans"/>
                <w:sz w:val="20"/>
                <w:szCs w:val="20"/>
                <w:lang w:eastAsia="es-ES"/>
              </w:rPr>
              <w:t>Cadena Ser, Periodista: Ana Talens, Entrevista en ocasión del Día Mundial de Naciones Unidas contra la Corrupción y la actividad de la Agencia.</w:t>
            </w:r>
          </w:p>
        </w:tc>
        <w:tc>
          <w:tcPr>
            <w:tcW w:w="2975" w:type="dxa"/>
            <w:tcBorders>
              <w:bottom w:val="single" w:sz="6" w:space="0" w:color="993333"/>
            </w:tcBorders>
            <w:shd w:val="clear" w:color="auto" w:fill="FFFFFF"/>
            <w:vAlign w:val="center"/>
          </w:tcPr>
          <w:p w14:paraId="3A8BE7B8" w14:textId="77777777" w:rsidR="000952B8" w:rsidRPr="00A07BE9" w:rsidRDefault="000952B8" w:rsidP="000747E1">
            <w:pPr>
              <w:spacing w:beforeAutospacing="1" w:after="142" w:line="276" w:lineRule="auto"/>
              <w:rPr>
                <w:rFonts w:ascii="Open Sans" w:eastAsia="Times New Roman" w:hAnsi="Open Sans" w:cs="Open Sans"/>
                <w:sz w:val="20"/>
                <w:szCs w:val="20"/>
                <w:lang w:eastAsia="es-ES"/>
              </w:rPr>
            </w:pPr>
          </w:p>
        </w:tc>
      </w:tr>
      <w:tr w:rsidR="000952B8" w:rsidRPr="00A07BE9" w14:paraId="2D2404C8" w14:textId="77777777" w:rsidTr="000747E1">
        <w:trPr>
          <w:jc w:val="right"/>
        </w:trPr>
        <w:tc>
          <w:tcPr>
            <w:tcW w:w="1560" w:type="dxa"/>
            <w:tcBorders>
              <w:bottom w:val="single" w:sz="6" w:space="0" w:color="993333"/>
            </w:tcBorders>
            <w:shd w:val="clear" w:color="auto" w:fill="FFFFFF"/>
            <w:vAlign w:val="center"/>
          </w:tcPr>
          <w:p w14:paraId="14445A9C" w14:textId="77777777" w:rsidR="000952B8" w:rsidRPr="00A07BE9" w:rsidRDefault="000952B8" w:rsidP="000747E1">
            <w:pPr>
              <w:spacing w:beforeAutospacing="1" w:after="142" w:line="276" w:lineRule="auto"/>
              <w:rPr>
                <w:rFonts w:ascii="Open Sans" w:eastAsia="Calibri" w:hAnsi="Open Sans" w:cs="Open Sans"/>
                <w:sz w:val="20"/>
                <w:szCs w:val="20"/>
              </w:rPr>
            </w:pPr>
            <w:r w:rsidRPr="00A07BE9">
              <w:rPr>
                <w:rFonts w:ascii="Open Sans" w:eastAsia="Times New Roman" w:hAnsi="Open Sans" w:cs="Open Sans"/>
                <w:sz w:val="20"/>
                <w:szCs w:val="20"/>
                <w:lang w:eastAsia="es-ES"/>
              </w:rPr>
              <w:t>9 de diciembre</w:t>
            </w:r>
          </w:p>
        </w:tc>
        <w:tc>
          <w:tcPr>
            <w:tcW w:w="3969" w:type="dxa"/>
            <w:tcBorders>
              <w:bottom w:val="single" w:sz="6" w:space="0" w:color="993333"/>
            </w:tcBorders>
            <w:shd w:val="clear" w:color="auto" w:fill="FFFFFF"/>
            <w:vAlign w:val="center"/>
          </w:tcPr>
          <w:p w14:paraId="1D54D270" w14:textId="77777777" w:rsidR="000952B8" w:rsidRPr="00A07BE9" w:rsidRDefault="000952B8" w:rsidP="000747E1">
            <w:pPr>
              <w:spacing w:beforeAutospacing="1" w:after="142" w:line="276" w:lineRule="auto"/>
              <w:rPr>
                <w:rFonts w:ascii="Open Sans" w:eastAsia="Calibri" w:hAnsi="Open Sans" w:cs="Open Sans"/>
                <w:sz w:val="20"/>
                <w:szCs w:val="20"/>
              </w:rPr>
            </w:pPr>
            <w:r w:rsidRPr="00A07BE9">
              <w:rPr>
                <w:rFonts w:ascii="Open Sans" w:eastAsia="Times New Roman" w:hAnsi="Open Sans" w:cs="Open Sans"/>
                <w:sz w:val="20"/>
                <w:szCs w:val="20"/>
                <w:lang w:eastAsia="es-ES"/>
              </w:rPr>
              <w:t>À punt, en ocasión del Día Mundial de Naciones Unidas contra la Corrupción y la actividad de la Agencia.</w:t>
            </w:r>
          </w:p>
        </w:tc>
        <w:tc>
          <w:tcPr>
            <w:tcW w:w="2975" w:type="dxa"/>
            <w:tcBorders>
              <w:bottom w:val="single" w:sz="6" w:space="0" w:color="993333"/>
            </w:tcBorders>
            <w:shd w:val="clear" w:color="auto" w:fill="FFFFFF"/>
            <w:vAlign w:val="center"/>
          </w:tcPr>
          <w:p w14:paraId="5A19DC44" w14:textId="77777777" w:rsidR="000952B8" w:rsidRPr="00A07BE9" w:rsidRDefault="000952B8" w:rsidP="000747E1">
            <w:pPr>
              <w:spacing w:beforeAutospacing="1" w:after="142" w:line="276" w:lineRule="auto"/>
              <w:rPr>
                <w:rFonts w:ascii="Open Sans" w:eastAsia="Times New Roman" w:hAnsi="Open Sans" w:cs="Open Sans"/>
                <w:sz w:val="20"/>
                <w:szCs w:val="20"/>
                <w:lang w:eastAsia="es-ES"/>
              </w:rPr>
            </w:pPr>
          </w:p>
        </w:tc>
      </w:tr>
    </w:tbl>
    <w:p w14:paraId="59D82B98"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550D563C"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Asimismo, se ha ido informando puntualmente a los medios de diversos temas mediante la elaboración de notas de prensa.</w:t>
      </w:r>
    </w:p>
    <w:p w14:paraId="6C817144" w14:textId="77777777" w:rsidR="00C12B0A" w:rsidRPr="00A07BE9" w:rsidRDefault="00C12B0A" w:rsidP="000952B8">
      <w:pPr>
        <w:spacing w:after="0" w:line="276" w:lineRule="auto"/>
        <w:jc w:val="both"/>
        <w:rPr>
          <w:rFonts w:ascii="Open Sans" w:eastAsia="Calibri" w:hAnsi="Open Sans" w:cs="Open Sans"/>
          <w:sz w:val="20"/>
          <w:szCs w:val="20"/>
        </w:rPr>
      </w:pPr>
    </w:p>
    <w:p w14:paraId="32D16200" w14:textId="17ECBB56" w:rsidR="000952B8" w:rsidRPr="00E340E8" w:rsidRDefault="000952B8" w:rsidP="000952B8">
      <w:pPr>
        <w:spacing w:after="0" w:line="276" w:lineRule="auto"/>
        <w:jc w:val="both"/>
        <w:rPr>
          <w:rFonts w:ascii="Open Sans" w:eastAsia="Times New Roman" w:hAnsi="Open Sans" w:cs="Open Sans"/>
          <w:b/>
          <w:bCs/>
          <w:sz w:val="20"/>
          <w:szCs w:val="20"/>
          <w:lang w:eastAsia="es-ES"/>
        </w:rPr>
      </w:pPr>
      <w:r w:rsidRPr="00A07BE9">
        <w:rPr>
          <w:rFonts w:ascii="Open Sans" w:eastAsia="Times New Roman" w:hAnsi="Open Sans" w:cs="Open Sans"/>
          <w:b/>
          <w:bCs/>
          <w:color w:val="993333"/>
          <w:sz w:val="20"/>
          <w:szCs w:val="20"/>
          <w:lang w:eastAsia="es-ES"/>
        </w:rPr>
        <w:t>Tabla</w:t>
      </w:r>
      <w:r w:rsidR="002C2770" w:rsidRPr="00A07BE9">
        <w:rPr>
          <w:rFonts w:ascii="Open Sans" w:eastAsia="Times New Roman" w:hAnsi="Open Sans" w:cs="Open Sans"/>
          <w:b/>
          <w:bCs/>
          <w:color w:val="993333"/>
          <w:sz w:val="20"/>
          <w:szCs w:val="20"/>
          <w:lang w:eastAsia="es-ES"/>
        </w:rPr>
        <w:t xml:space="preserve"> </w:t>
      </w:r>
      <w:r w:rsidR="001E295B" w:rsidRPr="00A07BE9">
        <w:rPr>
          <w:rFonts w:ascii="Open Sans" w:eastAsia="Times New Roman" w:hAnsi="Open Sans" w:cs="Open Sans"/>
          <w:b/>
          <w:bCs/>
          <w:color w:val="993333"/>
          <w:sz w:val="20"/>
          <w:szCs w:val="20"/>
          <w:lang w:eastAsia="es-ES"/>
        </w:rPr>
        <w:t>1</w:t>
      </w:r>
      <w:r w:rsidR="00640AAC" w:rsidRPr="00A07BE9">
        <w:rPr>
          <w:rFonts w:ascii="Open Sans" w:eastAsia="Times New Roman" w:hAnsi="Open Sans" w:cs="Open Sans"/>
          <w:b/>
          <w:bCs/>
          <w:color w:val="993333"/>
          <w:sz w:val="20"/>
          <w:szCs w:val="20"/>
          <w:lang w:eastAsia="es-ES"/>
        </w:rPr>
        <w:t>7</w:t>
      </w:r>
      <w:r w:rsidRPr="00A07BE9">
        <w:rPr>
          <w:rFonts w:ascii="Open Sans" w:eastAsia="Times New Roman" w:hAnsi="Open Sans" w:cs="Open Sans"/>
          <w:b/>
          <w:bCs/>
          <w:color w:val="993333"/>
          <w:sz w:val="20"/>
          <w:szCs w:val="20"/>
          <w:lang w:eastAsia="es-ES"/>
        </w:rPr>
        <w:t>.</w:t>
      </w:r>
      <w:r w:rsidRPr="00A07BE9">
        <w:rPr>
          <w:rFonts w:ascii="Open Sans" w:eastAsia="Times New Roman" w:hAnsi="Open Sans" w:cs="Open Sans"/>
          <w:sz w:val="20"/>
          <w:szCs w:val="20"/>
          <w:lang w:eastAsia="es-ES"/>
        </w:rPr>
        <w:t xml:space="preserve"> </w:t>
      </w:r>
      <w:r w:rsidRPr="00A07BE9">
        <w:rPr>
          <w:rFonts w:ascii="Open Sans" w:eastAsia="Times New Roman" w:hAnsi="Open Sans" w:cs="Open Sans"/>
          <w:b/>
          <w:bCs/>
          <w:sz w:val="20"/>
          <w:szCs w:val="20"/>
          <w:lang w:eastAsia="es-ES"/>
        </w:rPr>
        <w:t>Notas de prensa año 2019</w:t>
      </w:r>
    </w:p>
    <w:tbl>
      <w:tblPr>
        <w:tblW w:w="0" w:type="auto"/>
        <w:jc w:val="right"/>
        <w:tblCellMar>
          <w:left w:w="0" w:type="dxa"/>
          <w:bottom w:w="28" w:type="dxa"/>
          <w:right w:w="0" w:type="dxa"/>
        </w:tblCellMar>
        <w:tblLook w:val="04A0" w:firstRow="1" w:lastRow="0" w:firstColumn="1" w:lastColumn="0" w:noHBand="0" w:noVBand="1"/>
      </w:tblPr>
      <w:tblGrid>
        <w:gridCol w:w="1161"/>
        <w:gridCol w:w="5289"/>
        <w:gridCol w:w="2054"/>
      </w:tblGrid>
      <w:tr w:rsidR="000952B8" w:rsidRPr="00A07BE9" w14:paraId="723EE69D" w14:textId="77777777" w:rsidTr="000747E1">
        <w:trPr>
          <w:tblHeader/>
          <w:jc w:val="right"/>
        </w:trPr>
        <w:tc>
          <w:tcPr>
            <w:tcW w:w="0" w:type="auto"/>
            <w:tcBorders>
              <w:bottom w:val="single" w:sz="6" w:space="0" w:color="993333"/>
            </w:tcBorders>
            <w:shd w:val="clear" w:color="auto" w:fill="993333"/>
            <w:vAlign w:val="center"/>
          </w:tcPr>
          <w:p w14:paraId="25A96202" w14:textId="77777777" w:rsidR="000952B8" w:rsidRPr="00A07BE9" w:rsidRDefault="000952B8" w:rsidP="000952B8">
            <w:pPr>
              <w:spacing w:beforeAutospacing="1" w:after="142" w:line="288" w:lineRule="auto"/>
              <w:rPr>
                <w:rFonts w:ascii="Open Sans" w:eastAsia="Calibri" w:hAnsi="Open Sans" w:cs="Open Sans"/>
                <w:sz w:val="20"/>
                <w:szCs w:val="20"/>
              </w:rPr>
            </w:pPr>
            <w:r w:rsidRPr="00A07BE9">
              <w:rPr>
                <w:rFonts w:ascii="Open Sans" w:eastAsia="Times New Roman" w:hAnsi="Open Sans" w:cs="Open Sans"/>
                <w:b/>
                <w:bCs/>
                <w:color w:val="FFFFFF"/>
                <w:sz w:val="20"/>
                <w:szCs w:val="20"/>
                <w:lang w:eastAsia="es-ES"/>
              </w:rPr>
              <w:t>Fecha</w:t>
            </w:r>
          </w:p>
        </w:tc>
        <w:tc>
          <w:tcPr>
            <w:tcW w:w="0" w:type="auto"/>
            <w:tcBorders>
              <w:bottom w:val="single" w:sz="6" w:space="0" w:color="993333"/>
            </w:tcBorders>
            <w:shd w:val="clear" w:color="auto" w:fill="993333"/>
            <w:vAlign w:val="center"/>
          </w:tcPr>
          <w:p w14:paraId="6E21AF8E" w14:textId="77777777" w:rsidR="000952B8" w:rsidRPr="00A07BE9" w:rsidRDefault="000952B8" w:rsidP="000952B8">
            <w:pPr>
              <w:spacing w:beforeAutospacing="1" w:after="142" w:line="288" w:lineRule="auto"/>
              <w:rPr>
                <w:rFonts w:ascii="Open Sans" w:eastAsia="Calibri" w:hAnsi="Open Sans" w:cs="Open Sans"/>
                <w:sz w:val="20"/>
                <w:szCs w:val="20"/>
              </w:rPr>
            </w:pPr>
            <w:r w:rsidRPr="00A07BE9">
              <w:rPr>
                <w:rFonts w:ascii="Open Sans" w:eastAsia="Times New Roman" w:hAnsi="Open Sans" w:cs="Open Sans"/>
                <w:b/>
                <w:bCs/>
                <w:color w:val="FFFFFF"/>
                <w:sz w:val="20"/>
                <w:szCs w:val="20"/>
                <w:lang w:eastAsia="es-ES"/>
              </w:rPr>
              <w:t>Nota de prensa</w:t>
            </w:r>
          </w:p>
        </w:tc>
        <w:tc>
          <w:tcPr>
            <w:tcW w:w="0" w:type="auto"/>
            <w:tcBorders>
              <w:bottom w:val="single" w:sz="6" w:space="0" w:color="993333"/>
            </w:tcBorders>
            <w:shd w:val="clear" w:color="auto" w:fill="993333"/>
            <w:vAlign w:val="center"/>
          </w:tcPr>
          <w:p w14:paraId="1D58C9B5" w14:textId="77777777" w:rsidR="000952B8" w:rsidRPr="00A07BE9" w:rsidRDefault="000952B8" w:rsidP="000952B8">
            <w:pPr>
              <w:spacing w:beforeAutospacing="1" w:after="142" w:line="288" w:lineRule="auto"/>
              <w:rPr>
                <w:rFonts w:ascii="Open Sans" w:eastAsia="Calibri" w:hAnsi="Open Sans" w:cs="Open Sans"/>
                <w:sz w:val="20"/>
                <w:szCs w:val="20"/>
              </w:rPr>
            </w:pPr>
            <w:r w:rsidRPr="00A07BE9">
              <w:rPr>
                <w:rFonts w:ascii="Open Sans" w:eastAsia="Times New Roman" w:hAnsi="Open Sans" w:cs="Open Sans"/>
                <w:b/>
                <w:bCs/>
                <w:color w:val="FFFFFF"/>
                <w:sz w:val="20"/>
                <w:szCs w:val="20"/>
                <w:lang w:eastAsia="es-ES"/>
              </w:rPr>
              <w:t>Enlace</w:t>
            </w:r>
          </w:p>
        </w:tc>
      </w:tr>
      <w:tr w:rsidR="00264D99" w:rsidRPr="00A07BE9" w14:paraId="30B3CE5E" w14:textId="77777777" w:rsidTr="000747E1">
        <w:trPr>
          <w:jc w:val="right"/>
        </w:trPr>
        <w:tc>
          <w:tcPr>
            <w:tcW w:w="0" w:type="auto"/>
            <w:tcBorders>
              <w:bottom w:val="single" w:sz="6" w:space="0" w:color="993333"/>
            </w:tcBorders>
            <w:shd w:val="clear" w:color="auto" w:fill="FFFFFF"/>
            <w:vAlign w:val="center"/>
          </w:tcPr>
          <w:p w14:paraId="72220846" w14:textId="1330BFA5" w:rsidR="00264D99" w:rsidRPr="00A07BE9" w:rsidRDefault="00264D99" w:rsidP="00264D99">
            <w:pPr>
              <w:spacing w:beforeAutospacing="1" w:after="142" w:line="288" w:lineRule="auto"/>
              <w:rPr>
                <w:rFonts w:ascii="Open Sans" w:eastAsia="Calibri" w:hAnsi="Open Sans" w:cs="Open Sans"/>
                <w:sz w:val="20"/>
                <w:szCs w:val="20"/>
              </w:rPr>
            </w:pPr>
            <w:r w:rsidRPr="00A07BE9">
              <w:rPr>
                <w:rFonts w:ascii="Open Sans" w:eastAsia="Times New Roman" w:hAnsi="Open Sans" w:cs="Open Sans"/>
                <w:sz w:val="20"/>
                <w:szCs w:val="20"/>
                <w:lang w:eastAsia="es-ES"/>
              </w:rPr>
              <w:t>15 de marzo</w:t>
            </w:r>
          </w:p>
        </w:tc>
        <w:tc>
          <w:tcPr>
            <w:tcW w:w="0" w:type="auto"/>
            <w:tcBorders>
              <w:bottom w:val="single" w:sz="6" w:space="0" w:color="993333"/>
            </w:tcBorders>
            <w:shd w:val="clear" w:color="auto" w:fill="FFFFFF"/>
            <w:vAlign w:val="center"/>
          </w:tcPr>
          <w:p w14:paraId="1EA44D5C" w14:textId="15DEA287" w:rsidR="00264D99" w:rsidRPr="00A07BE9" w:rsidRDefault="00264D99" w:rsidP="00264D99">
            <w:pPr>
              <w:spacing w:beforeAutospacing="1" w:after="142" w:line="288" w:lineRule="auto"/>
              <w:rPr>
                <w:rFonts w:ascii="Open Sans" w:eastAsia="Calibri" w:hAnsi="Open Sans" w:cs="Open Sans"/>
                <w:sz w:val="20"/>
                <w:szCs w:val="20"/>
              </w:rPr>
            </w:pPr>
            <w:r w:rsidRPr="00A07BE9">
              <w:rPr>
                <w:rFonts w:ascii="Open Sans" w:eastAsia="Times New Roman" w:hAnsi="Open Sans" w:cs="Open Sans"/>
                <w:sz w:val="20"/>
                <w:szCs w:val="20"/>
                <w:lang w:eastAsia="es-ES"/>
              </w:rPr>
              <w:t>Tramitación de la Directiva Europea sobre protección de las personas denunciantes</w:t>
            </w:r>
          </w:p>
        </w:tc>
        <w:tc>
          <w:tcPr>
            <w:tcW w:w="0" w:type="auto"/>
            <w:tcBorders>
              <w:bottom w:val="single" w:sz="6" w:space="0" w:color="993333"/>
            </w:tcBorders>
            <w:shd w:val="clear" w:color="auto" w:fill="FFFFFF"/>
            <w:vAlign w:val="center"/>
          </w:tcPr>
          <w:p w14:paraId="20387381" w14:textId="42B55243" w:rsidR="00264D99" w:rsidRPr="00A07BE9" w:rsidRDefault="00000000" w:rsidP="00264D99">
            <w:pPr>
              <w:rPr>
                <w:rFonts w:ascii="Calibri" w:eastAsia="Calibri" w:hAnsi="Calibri" w:cs="Calibri"/>
                <w:color w:val="000080"/>
                <w:sz w:val="20"/>
                <w:szCs w:val="20"/>
              </w:rPr>
            </w:pPr>
            <w:hyperlink r:id="rId331">
              <w:r w:rsidR="00264D99" w:rsidRPr="00A07BE9">
                <w:rPr>
                  <w:rFonts w:ascii="Open Sans" w:eastAsia="Calibri" w:hAnsi="Open Sans" w:cs="Open Sans"/>
                  <w:color w:val="000080"/>
                  <w:sz w:val="20"/>
                  <w:szCs w:val="20"/>
                  <w:u w:val="single"/>
                </w:rPr>
                <w:t>http://bit.ly/2OCGDgH</w:t>
              </w:r>
            </w:hyperlink>
          </w:p>
        </w:tc>
      </w:tr>
      <w:tr w:rsidR="00264D99" w:rsidRPr="00A07BE9" w14:paraId="23C1A5EE" w14:textId="77777777" w:rsidTr="000747E1">
        <w:trPr>
          <w:jc w:val="right"/>
        </w:trPr>
        <w:tc>
          <w:tcPr>
            <w:tcW w:w="0" w:type="auto"/>
            <w:tcBorders>
              <w:bottom w:val="single" w:sz="6" w:space="0" w:color="993333"/>
            </w:tcBorders>
            <w:shd w:val="clear" w:color="auto" w:fill="FFFFFF"/>
            <w:vAlign w:val="center"/>
          </w:tcPr>
          <w:p w14:paraId="7D00AFF5" w14:textId="43CDB043" w:rsidR="00264D99" w:rsidRPr="00A07BE9" w:rsidRDefault="00264D99" w:rsidP="00264D99">
            <w:pPr>
              <w:spacing w:beforeAutospacing="1" w:after="142" w:line="288" w:lineRule="auto"/>
              <w:rPr>
                <w:rFonts w:ascii="Open Sans" w:eastAsia="Calibri" w:hAnsi="Open Sans" w:cs="Open Sans"/>
                <w:sz w:val="20"/>
                <w:szCs w:val="20"/>
              </w:rPr>
            </w:pPr>
            <w:r w:rsidRPr="00A07BE9">
              <w:rPr>
                <w:rFonts w:ascii="Open Sans" w:eastAsia="Times New Roman" w:hAnsi="Open Sans" w:cs="Open Sans"/>
                <w:sz w:val="20"/>
                <w:szCs w:val="20"/>
                <w:lang w:eastAsia="es-ES"/>
              </w:rPr>
              <w:t>28 de junio</w:t>
            </w:r>
          </w:p>
        </w:tc>
        <w:tc>
          <w:tcPr>
            <w:tcW w:w="0" w:type="auto"/>
            <w:tcBorders>
              <w:bottom w:val="single" w:sz="6" w:space="0" w:color="993333"/>
            </w:tcBorders>
            <w:shd w:val="clear" w:color="auto" w:fill="FFFFFF"/>
            <w:vAlign w:val="center"/>
          </w:tcPr>
          <w:p w14:paraId="1E6B329B" w14:textId="40E22C6A" w:rsidR="00264D99" w:rsidRPr="00A07BE9" w:rsidRDefault="00264D99" w:rsidP="00264D99">
            <w:pPr>
              <w:spacing w:beforeAutospacing="1" w:after="142" w:line="288" w:lineRule="auto"/>
              <w:rPr>
                <w:rFonts w:ascii="Open Sans" w:eastAsia="Calibri" w:hAnsi="Open Sans" w:cs="Open Sans"/>
                <w:sz w:val="20"/>
                <w:szCs w:val="20"/>
              </w:rPr>
            </w:pPr>
            <w:r w:rsidRPr="00A07BE9">
              <w:rPr>
                <w:rFonts w:ascii="Open Sans" w:eastAsia="Times New Roman" w:hAnsi="Open Sans" w:cs="Open Sans"/>
                <w:sz w:val="20"/>
                <w:szCs w:val="20"/>
                <w:lang w:eastAsia="es-ES"/>
              </w:rPr>
              <w:t>III Encuentro de la Red de Oficinas y Agencias Anticorrupción de España</w:t>
            </w:r>
          </w:p>
        </w:tc>
        <w:tc>
          <w:tcPr>
            <w:tcW w:w="0" w:type="auto"/>
            <w:tcBorders>
              <w:bottom w:val="single" w:sz="6" w:space="0" w:color="993333"/>
            </w:tcBorders>
            <w:shd w:val="clear" w:color="auto" w:fill="FFFFFF"/>
            <w:vAlign w:val="center"/>
          </w:tcPr>
          <w:p w14:paraId="11812DAB" w14:textId="7ABC2665" w:rsidR="00264D99" w:rsidRPr="00A07BE9" w:rsidRDefault="00000000" w:rsidP="00264D99">
            <w:pPr>
              <w:tabs>
                <w:tab w:val="left" w:pos="960"/>
              </w:tabs>
              <w:spacing w:beforeAutospacing="1" w:after="142" w:line="288" w:lineRule="auto"/>
              <w:rPr>
                <w:rFonts w:ascii="Calibri" w:eastAsia="Calibri" w:hAnsi="Calibri" w:cs="Calibri"/>
                <w:color w:val="000080"/>
                <w:sz w:val="20"/>
                <w:szCs w:val="20"/>
              </w:rPr>
            </w:pPr>
            <w:hyperlink r:id="rId332">
              <w:r w:rsidR="00264D99" w:rsidRPr="00A07BE9">
                <w:rPr>
                  <w:rFonts w:ascii="Open Sans" w:eastAsia="Calibri" w:hAnsi="Open Sans" w:cs="Open Sans"/>
                  <w:color w:val="000080"/>
                  <w:sz w:val="20"/>
                  <w:szCs w:val="20"/>
                  <w:u w:val="single"/>
                </w:rPr>
                <w:t>http://bit.ly/2UEItRW</w:t>
              </w:r>
            </w:hyperlink>
          </w:p>
        </w:tc>
      </w:tr>
      <w:tr w:rsidR="00264D99" w:rsidRPr="00A07BE9" w14:paraId="2798E6C5" w14:textId="77777777" w:rsidTr="000747E1">
        <w:trPr>
          <w:jc w:val="right"/>
        </w:trPr>
        <w:tc>
          <w:tcPr>
            <w:tcW w:w="0" w:type="auto"/>
            <w:tcBorders>
              <w:bottom w:val="single" w:sz="6" w:space="0" w:color="993333"/>
            </w:tcBorders>
            <w:shd w:val="clear" w:color="auto" w:fill="FFFFFF"/>
            <w:vAlign w:val="center"/>
          </w:tcPr>
          <w:p w14:paraId="570766C3" w14:textId="3F9D6590" w:rsidR="00264D99" w:rsidRPr="00A07BE9" w:rsidRDefault="00264D99" w:rsidP="00264D99">
            <w:pPr>
              <w:spacing w:beforeAutospacing="1" w:after="142" w:line="288" w:lineRule="auto"/>
              <w:rPr>
                <w:rFonts w:ascii="Open Sans" w:eastAsia="Calibri" w:hAnsi="Open Sans" w:cs="Open Sans"/>
                <w:sz w:val="20"/>
                <w:szCs w:val="20"/>
              </w:rPr>
            </w:pPr>
            <w:r w:rsidRPr="00A07BE9">
              <w:rPr>
                <w:rFonts w:ascii="Open Sans" w:eastAsia="Times New Roman" w:hAnsi="Open Sans" w:cs="Open Sans"/>
                <w:sz w:val="20"/>
                <w:szCs w:val="20"/>
                <w:lang w:eastAsia="es-ES"/>
              </w:rPr>
              <w:t>3 de julio</w:t>
            </w:r>
          </w:p>
        </w:tc>
        <w:tc>
          <w:tcPr>
            <w:tcW w:w="0" w:type="auto"/>
            <w:tcBorders>
              <w:bottom w:val="single" w:sz="6" w:space="0" w:color="993333"/>
            </w:tcBorders>
            <w:shd w:val="clear" w:color="auto" w:fill="FFFFFF"/>
            <w:vAlign w:val="center"/>
          </w:tcPr>
          <w:p w14:paraId="51FE35BC" w14:textId="11FA24C5" w:rsidR="00264D99" w:rsidRPr="00A07BE9" w:rsidRDefault="00264D99" w:rsidP="00264D99">
            <w:pPr>
              <w:spacing w:beforeAutospacing="1" w:after="142" w:line="288" w:lineRule="auto"/>
              <w:rPr>
                <w:rFonts w:ascii="Open Sans" w:eastAsia="Calibri" w:hAnsi="Open Sans" w:cs="Open Sans"/>
                <w:sz w:val="20"/>
                <w:szCs w:val="20"/>
              </w:rPr>
            </w:pPr>
            <w:r w:rsidRPr="00A07BE9">
              <w:rPr>
                <w:rFonts w:ascii="Open Sans" w:eastAsia="Times New Roman" w:hAnsi="Open Sans" w:cs="Open Sans"/>
                <w:sz w:val="20"/>
                <w:szCs w:val="20"/>
                <w:lang w:eastAsia="es-ES"/>
              </w:rPr>
              <w:t>Aprobación y publicación del Reglamento de funcionamiento y régimen interior de la Agencia</w:t>
            </w:r>
          </w:p>
        </w:tc>
        <w:tc>
          <w:tcPr>
            <w:tcW w:w="0" w:type="auto"/>
            <w:tcBorders>
              <w:bottom w:val="single" w:sz="6" w:space="0" w:color="993333"/>
            </w:tcBorders>
            <w:shd w:val="clear" w:color="auto" w:fill="FFFFFF"/>
            <w:vAlign w:val="center"/>
          </w:tcPr>
          <w:p w14:paraId="2060408B" w14:textId="630959D9" w:rsidR="00264D99" w:rsidRPr="00A07BE9" w:rsidRDefault="00264D99" w:rsidP="002C3B22">
            <w:pPr>
              <w:rPr>
                <w:rFonts w:ascii="Open Sans" w:eastAsia="Calibri" w:hAnsi="Open Sans" w:cs="Open Sans"/>
                <w:color w:val="000080"/>
                <w:sz w:val="20"/>
                <w:szCs w:val="20"/>
              </w:rPr>
            </w:pPr>
            <w:r w:rsidRPr="00A07BE9">
              <w:rPr>
                <w:rFonts w:ascii="Open Sans" w:eastAsia="Calibri" w:hAnsi="Open Sans" w:cs="Open Sans"/>
                <w:color w:val="000080"/>
                <w:sz w:val="20"/>
                <w:szCs w:val="20"/>
                <w:u w:val="single"/>
              </w:rPr>
              <w:t>http://bit.ly/38lTPhW</w:t>
            </w:r>
          </w:p>
        </w:tc>
      </w:tr>
      <w:tr w:rsidR="00264D99" w:rsidRPr="00A07BE9" w14:paraId="645E84A3" w14:textId="77777777" w:rsidTr="000747E1">
        <w:trPr>
          <w:jc w:val="right"/>
        </w:trPr>
        <w:tc>
          <w:tcPr>
            <w:tcW w:w="0" w:type="auto"/>
            <w:tcBorders>
              <w:bottom w:val="single" w:sz="6" w:space="0" w:color="993333"/>
            </w:tcBorders>
            <w:shd w:val="clear" w:color="auto" w:fill="FFFFFF"/>
            <w:vAlign w:val="center"/>
          </w:tcPr>
          <w:p w14:paraId="2FD9D7FA" w14:textId="4A2B166B" w:rsidR="00264D99" w:rsidRPr="00A07BE9" w:rsidRDefault="00264D99" w:rsidP="00264D99">
            <w:pPr>
              <w:spacing w:beforeAutospacing="1" w:after="142" w:line="288" w:lineRule="auto"/>
              <w:rPr>
                <w:rFonts w:ascii="Open Sans" w:eastAsia="Calibri" w:hAnsi="Open Sans" w:cs="Open Sans"/>
                <w:sz w:val="20"/>
                <w:szCs w:val="20"/>
              </w:rPr>
            </w:pPr>
            <w:r w:rsidRPr="00A07BE9">
              <w:rPr>
                <w:rFonts w:ascii="Open Sans" w:eastAsia="Times New Roman" w:hAnsi="Open Sans" w:cs="Open Sans"/>
                <w:sz w:val="20"/>
                <w:szCs w:val="20"/>
                <w:lang w:eastAsia="es-ES"/>
              </w:rPr>
              <w:t>9 de julio</w:t>
            </w:r>
          </w:p>
        </w:tc>
        <w:tc>
          <w:tcPr>
            <w:tcW w:w="0" w:type="auto"/>
            <w:tcBorders>
              <w:bottom w:val="single" w:sz="6" w:space="0" w:color="993333"/>
            </w:tcBorders>
            <w:shd w:val="clear" w:color="auto" w:fill="FFFFFF"/>
            <w:vAlign w:val="center"/>
          </w:tcPr>
          <w:p w14:paraId="533F6570" w14:textId="3424ADB4" w:rsidR="00264D99" w:rsidRPr="00A07BE9" w:rsidRDefault="00264D99" w:rsidP="00264D99">
            <w:pPr>
              <w:spacing w:beforeAutospacing="1" w:after="142" w:line="288" w:lineRule="auto"/>
              <w:rPr>
                <w:rFonts w:ascii="Open Sans" w:eastAsia="Calibri" w:hAnsi="Open Sans" w:cs="Open Sans"/>
                <w:sz w:val="20"/>
                <w:szCs w:val="20"/>
              </w:rPr>
            </w:pPr>
            <w:r w:rsidRPr="00A07BE9">
              <w:rPr>
                <w:rFonts w:ascii="Open Sans" w:eastAsia="Times New Roman" w:hAnsi="Open Sans" w:cs="Open Sans"/>
                <w:sz w:val="20"/>
                <w:szCs w:val="20"/>
                <w:lang w:eastAsia="es-ES"/>
              </w:rPr>
              <w:t>Firma del convenio de colaboración entre la Agencia Valenciana Antifraude y la Asociación Táctical Whistleblower</w:t>
            </w:r>
          </w:p>
        </w:tc>
        <w:tc>
          <w:tcPr>
            <w:tcW w:w="0" w:type="auto"/>
            <w:tcBorders>
              <w:bottom w:val="single" w:sz="6" w:space="0" w:color="993333"/>
            </w:tcBorders>
            <w:shd w:val="clear" w:color="auto" w:fill="FFFFFF"/>
            <w:vAlign w:val="center"/>
          </w:tcPr>
          <w:p w14:paraId="42236ECD" w14:textId="77253EF8" w:rsidR="00264D99" w:rsidRPr="00A07BE9" w:rsidRDefault="00264D99" w:rsidP="002C3B22">
            <w:pPr>
              <w:rPr>
                <w:rFonts w:ascii="Open Sans" w:eastAsia="Calibri" w:hAnsi="Open Sans" w:cs="Open Sans"/>
                <w:sz w:val="20"/>
                <w:szCs w:val="20"/>
              </w:rPr>
            </w:pPr>
            <w:r w:rsidRPr="00A07BE9">
              <w:rPr>
                <w:rFonts w:ascii="Open Sans" w:eastAsia="Calibri" w:hAnsi="Open Sans" w:cs="Open Sans"/>
                <w:color w:val="000080"/>
                <w:sz w:val="20"/>
                <w:szCs w:val="20"/>
                <w:u w:val="single"/>
              </w:rPr>
              <w:t>http://bit.ly/38f3gQb</w:t>
            </w:r>
          </w:p>
        </w:tc>
      </w:tr>
      <w:tr w:rsidR="00264D99" w:rsidRPr="00A07BE9" w14:paraId="4FC818A7" w14:textId="77777777" w:rsidTr="000747E1">
        <w:trPr>
          <w:jc w:val="right"/>
        </w:trPr>
        <w:tc>
          <w:tcPr>
            <w:tcW w:w="0" w:type="auto"/>
            <w:tcBorders>
              <w:bottom w:val="single" w:sz="6" w:space="0" w:color="993333"/>
            </w:tcBorders>
            <w:shd w:val="clear" w:color="auto" w:fill="FFFFFF"/>
            <w:vAlign w:val="center"/>
          </w:tcPr>
          <w:p w14:paraId="19135D13" w14:textId="388EC804" w:rsidR="00264D99" w:rsidRPr="00A07BE9" w:rsidRDefault="00264D99" w:rsidP="00264D99">
            <w:pPr>
              <w:spacing w:beforeAutospacing="1" w:after="142" w:line="288" w:lineRule="auto"/>
              <w:rPr>
                <w:rFonts w:ascii="Open Sans" w:eastAsia="Calibri" w:hAnsi="Open Sans" w:cs="Open Sans"/>
                <w:sz w:val="20"/>
                <w:szCs w:val="20"/>
              </w:rPr>
            </w:pPr>
            <w:r w:rsidRPr="00A07BE9">
              <w:rPr>
                <w:rFonts w:ascii="Open Sans" w:eastAsia="Times New Roman" w:hAnsi="Open Sans" w:cs="Open Sans"/>
                <w:sz w:val="20"/>
                <w:szCs w:val="20"/>
                <w:lang w:eastAsia="es-ES"/>
              </w:rPr>
              <w:t>7 de octubre</w:t>
            </w:r>
          </w:p>
        </w:tc>
        <w:tc>
          <w:tcPr>
            <w:tcW w:w="0" w:type="auto"/>
            <w:tcBorders>
              <w:bottom w:val="single" w:sz="6" w:space="0" w:color="993333"/>
            </w:tcBorders>
            <w:shd w:val="clear" w:color="auto" w:fill="FFFFFF"/>
            <w:vAlign w:val="center"/>
          </w:tcPr>
          <w:p w14:paraId="16E65F0C" w14:textId="77966080" w:rsidR="00264D99" w:rsidRPr="00A07BE9" w:rsidRDefault="00264D99" w:rsidP="00264D99">
            <w:pPr>
              <w:spacing w:beforeAutospacing="1" w:after="142" w:line="288" w:lineRule="auto"/>
              <w:rPr>
                <w:rFonts w:ascii="Open Sans" w:eastAsia="Calibri" w:hAnsi="Open Sans" w:cs="Open Sans"/>
                <w:sz w:val="20"/>
                <w:szCs w:val="20"/>
              </w:rPr>
            </w:pPr>
            <w:r w:rsidRPr="00A07BE9">
              <w:rPr>
                <w:rFonts w:ascii="Open Sans" w:eastAsia="Times New Roman" w:hAnsi="Open Sans" w:cs="Open Sans"/>
                <w:sz w:val="20"/>
                <w:szCs w:val="20"/>
                <w:lang w:eastAsia="es-ES"/>
              </w:rPr>
              <w:t>Aprobada la Directiva de la Unión Europea sobre protección de las personas denunciantes de corrupción y otras infracciones en todo el ámbito de la Unión</w:t>
            </w:r>
          </w:p>
        </w:tc>
        <w:tc>
          <w:tcPr>
            <w:tcW w:w="0" w:type="auto"/>
            <w:tcBorders>
              <w:bottom w:val="single" w:sz="6" w:space="0" w:color="993333"/>
            </w:tcBorders>
            <w:shd w:val="clear" w:color="auto" w:fill="FFFFFF"/>
            <w:vAlign w:val="center"/>
          </w:tcPr>
          <w:p w14:paraId="5F0113F2" w14:textId="77777777" w:rsidR="00264D99" w:rsidRPr="00A07BE9" w:rsidRDefault="00000000" w:rsidP="00264D99">
            <w:pPr>
              <w:rPr>
                <w:rFonts w:ascii="Calibri" w:eastAsia="Calibri" w:hAnsi="Calibri" w:cs="Calibri"/>
                <w:color w:val="000080"/>
                <w:sz w:val="20"/>
                <w:szCs w:val="20"/>
              </w:rPr>
            </w:pPr>
            <w:hyperlink r:id="rId333">
              <w:r w:rsidR="00264D99" w:rsidRPr="00A07BE9">
                <w:rPr>
                  <w:rFonts w:ascii="Open Sans" w:eastAsia="Calibri" w:hAnsi="Open Sans" w:cs="Open Sans"/>
                  <w:color w:val="000080"/>
                  <w:sz w:val="20"/>
                  <w:szCs w:val="20"/>
                  <w:u w:val="single"/>
                </w:rPr>
                <w:t>http://bit.ly/2SxIrZr</w:t>
              </w:r>
            </w:hyperlink>
          </w:p>
          <w:p w14:paraId="07908EEF" w14:textId="77777777" w:rsidR="00264D99" w:rsidRPr="00A07BE9" w:rsidRDefault="00264D99" w:rsidP="00264D99">
            <w:pPr>
              <w:spacing w:beforeAutospacing="1" w:after="142" w:line="288" w:lineRule="auto"/>
              <w:rPr>
                <w:rFonts w:ascii="Open Sans" w:eastAsia="Times New Roman" w:hAnsi="Open Sans" w:cs="Open Sans"/>
                <w:color w:val="000080"/>
                <w:sz w:val="20"/>
                <w:szCs w:val="20"/>
                <w:lang w:eastAsia="es-ES"/>
              </w:rPr>
            </w:pPr>
          </w:p>
        </w:tc>
      </w:tr>
      <w:tr w:rsidR="00264D99" w:rsidRPr="00A07BE9" w14:paraId="5B944071" w14:textId="77777777" w:rsidTr="000747E1">
        <w:trPr>
          <w:jc w:val="right"/>
        </w:trPr>
        <w:tc>
          <w:tcPr>
            <w:tcW w:w="0" w:type="auto"/>
            <w:tcBorders>
              <w:bottom w:val="single" w:sz="6" w:space="0" w:color="993333"/>
            </w:tcBorders>
            <w:shd w:val="clear" w:color="auto" w:fill="FFFFFF"/>
            <w:vAlign w:val="center"/>
          </w:tcPr>
          <w:p w14:paraId="4A66907D" w14:textId="5913D06B" w:rsidR="00264D99" w:rsidRPr="00A07BE9" w:rsidRDefault="00264D99" w:rsidP="00264D99">
            <w:pPr>
              <w:spacing w:beforeAutospacing="1" w:after="142" w:line="288" w:lineRule="auto"/>
              <w:rPr>
                <w:rFonts w:ascii="Open Sans" w:eastAsia="Calibri" w:hAnsi="Open Sans" w:cs="Open Sans"/>
                <w:sz w:val="20"/>
                <w:szCs w:val="20"/>
              </w:rPr>
            </w:pPr>
            <w:r w:rsidRPr="00A07BE9">
              <w:rPr>
                <w:rFonts w:ascii="Open Sans" w:eastAsia="Times New Roman" w:hAnsi="Open Sans" w:cs="Open Sans"/>
                <w:sz w:val="20"/>
                <w:szCs w:val="20"/>
                <w:lang w:eastAsia="es-ES"/>
              </w:rPr>
              <w:t>7 de octubre</w:t>
            </w:r>
          </w:p>
        </w:tc>
        <w:tc>
          <w:tcPr>
            <w:tcW w:w="0" w:type="auto"/>
            <w:tcBorders>
              <w:bottom w:val="single" w:sz="6" w:space="0" w:color="993333"/>
            </w:tcBorders>
            <w:shd w:val="clear" w:color="auto" w:fill="FFFFFF"/>
            <w:vAlign w:val="center"/>
          </w:tcPr>
          <w:p w14:paraId="5BC1F2BC" w14:textId="00E2EFB0" w:rsidR="00264D99" w:rsidRPr="00A07BE9" w:rsidRDefault="00264D99" w:rsidP="00264D99">
            <w:pPr>
              <w:spacing w:beforeAutospacing="1" w:after="142" w:line="288" w:lineRule="auto"/>
              <w:rPr>
                <w:rFonts w:ascii="Open Sans" w:eastAsia="Calibri" w:hAnsi="Open Sans" w:cs="Open Sans"/>
                <w:sz w:val="20"/>
                <w:szCs w:val="20"/>
              </w:rPr>
            </w:pPr>
            <w:r w:rsidRPr="00A07BE9">
              <w:rPr>
                <w:rFonts w:ascii="Open Sans" w:eastAsia="Times New Roman" w:hAnsi="Open Sans" w:cs="Open Sans"/>
                <w:sz w:val="20"/>
                <w:szCs w:val="20"/>
                <w:lang w:eastAsia="es-ES"/>
              </w:rPr>
              <w:t>Se constituye el Consejo de Participación de la Agencia de Prevención y Lucha contra el Fraude y la Corrupción de la Comunitat Valenciana</w:t>
            </w:r>
          </w:p>
        </w:tc>
        <w:tc>
          <w:tcPr>
            <w:tcW w:w="0" w:type="auto"/>
            <w:tcBorders>
              <w:bottom w:val="single" w:sz="6" w:space="0" w:color="993333"/>
            </w:tcBorders>
            <w:shd w:val="clear" w:color="auto" w:fill="FFFFFF"/>
            <w:vAlign w:val="center"/>
          </w:tcPr>
          <w:p w14:paraId="3A8A02A5" w14:textId="5276858B" w:rsidR="00264D99" w:rsidRPr="00A07BE9" w:rsidRDefault="00000000" w:rsidP="00264D99">
            <w:pPr>
              <w:rPr>
                <w:rFonts w:ascii="Calibri" w:eastAsia="Calibri" w:hAnsi="Calibri" w:cs="Calibri"/>
                <w:color w:val="000080"/>
                <w:sz w:val="20"/>
                <w:szCs w:val="20"/>
              </w:rPr>
            </w:pPr>
            <w:hyperlink r:id="rId334">
              <w:r w:rsidR="00264D99" w:rsidRPr="00A07BE9">
                <w:rPr>
                  <w:rFonts w:ascii="Open Sans" w:eastAsia="Calibri" w:hAnsi="Open Sans" w:cs="Open Sans"/>
                  <w:color w:val="000080"/>
                  <w:sz w:val="20"/>
                  <w:szCs w:val="20"/>
                  <w:u w:val="single"/>
                </w:rPr>
                <w:t>http://bit.ly/2UDUg2P</w:t>
              </w:r>
            </w:hyperlink>
          </w:p>
        </w:tc>
      </w:tr>
      <w:tr w:rsidR="00264D99" w:rsidRPr="00A07BE9" w14:paraId="50DD8772" w14:textId="77777777" w:rsidTr="000747E1">
        <w:trPr>
          <w:jc w:val="right"/>
        </w:trPr>
        <w:tc>
          <w:tcPr>
            <w:tcW w:w="0" w:type="auto"/>
            <w:tcBorders>
              <w:bottom w:val="single" w:sz="6" w:space="0" w:color="993333"/>
            </w:tcBorders>
            <w:shd w:val="clear" w:color="auto" w:fill="FFFFFF"/>
            <w:vAlign w:val="center"/>
          </w:tcPr>
          <w:p w14:paraId="61791A59" w14:textId="70E0A295" w:rsidR="00264D99" w:rsidRPr="00A07BE9" w:rsidRDefault="00264D99" w:rsidP="00264D99">
            <w:pPr>
              <w:spacing w:beforeAutospacing="1" w:after="142" w:line="288" w:lineRule="auto"/>
              <w:rPr>
                <w:rFonts w:ascii="Open Sans" w:eastAsia="Calibri" w:hAnsi="Open Sans" w:cs="Open Sans"/>
                <w:sz w:val="20"/>
                <w:szCs w:val="20"/>
              </w:rPr>
            </w:pPr>
            <w:r w:rsidRPr="00A07BE9">
              <w:rPr>
                <w:rFonts w:ascii="Open Sans" w:eastAsia="Times New Roman" w:hAnsi="Open Sans" w:cs="Open Sans"/>
                <w:sz w:val="20"/>
                <w:szCs w:val="20"/>
                <w:lang w:eastAsia="es-ES"/>
              </w:rPr>
              <w:t>26 de noviembre</w:t>
            </w:r>
          </w:p>
        </w:tc>
        <w:tc>
          <w:tcPr>
            <w:tcW w:w="0" w:type="auto"/>
            <w:tcBorders>
              <w:bottom w:val="single" w:sz="6" w:space="0" w:color="993333"/>
            </w:tcBorders>
            <w:shd w:val="clear" w:color="auto" w:fill="FFFFFF"/>
            <w:vAlign w:val="center"/>
          </w:tcPr>
          <w:p w14:paraId="7DF4A65D" w14:textId="09329DB8" w:rsidR="00264D99" w:rsidRPr="00A07BE9" w:rsidRDefault="00264D99" w:rsidP="000747E1">
            <w:pPr>
              <w:spacing w:beforeAutospacing="1" w:after="142" w:line="276" w:lineRule="auto"/>
              <w:rPr>
                <w:rFonts w:ascii="Open Sans" w:eastAsia="Calibri" w:hAnsi="Open Sans" w:cs="Open Sans"/>
                <w:sz w:val="20"/>
                <w:szCs w:val="20"/>
              </w:rPr>
            </w:pPr>
            <w:r w:rsidRPr="00A07BE9">
              <w:rPr>
                <w:rFonts w:ascii="Open Sans" w:eastAsia="Times New Roman" w:hAnsi="Open Sans" w:cs="Open Sans"/>
                <w:sz w:val="20"/>
                <w:szCs w:val="20"/>
                <w:lang w:eastAsia="es-ES"/>
              </w:rPr>
              <w:t>Publicada en el DOUE la Directiva de la Unión Europea sobre la protección de las personas denunciantes de corrupción y otras infracciones en todo el ámbito de la Unión</w:t>
            </w:r>
          </w:p>
        </w:tc>
        <w:tc>
          <w:tcPr>
            <w:tcW w:w="0" w:type="auto"/>
            <w:tcBorders>
              <w:bottom w:val="single" w:sz="6" w:space="0" w:color="993333"/>
            </w:tcBorders>
            <w:shd w:val="clear" w:color="auto" w:fill="FFFFFF"/>
            <w:vAlign w:val="center"/>
          </w:tcPr>
          <w:p w14:paraId="2D9F3C6A" w14:textId="2CD60DB0" w:rsidR="00264D99" w:rsidRPr="00A07BE9" w:rsidRDefault="00000000" w:rsidP="00264D99">
            <w:pPr>
              <w:spacing w:beforeAutospacing="1" w:after="142" w:line="288" w:lineRule="auto"/>
              <w:rPr>
                <w:rFonts w:ascii="Calibri" w:eastAsia="Calibri" w:hAnsi="Calibri" w:cs="Calibri"/>
                <w:color w:val="000080"/>
                <w:sz w:val="20"/>
                <w:szCs w:val="20"/>
              </w:rPr>
            </w:pPr>
            <w:hyperlink r:id="rId335">
              <w:r w:rsidR="00264D99" w:rsidRPr="00A07BE9">
                <w:rPr>
                  <w:rFonts w:ascii="Open Sans" w:eastAsia="Calibri" w:hAnsi="Open Sans" w:cs="Open Sans"/>
                  <w:color w:val="000080"/>
                  <w:sz w:val="20"/>
                  <w:szCs w:val="20"/>
                  <w:u w:val="single"/>
                </w:rPr>
                <w:t>http://bit.ly/2HcHDnC</w:t>
              </w:r>
            </w:hyperlink>
          </w:p>
        </w:tc>
      </w:tr>
    </w:tbl>
    <w:p w14:paraId="70CDBA72" w14:textId="77777777" w:rsidR="001E295B" w:rsidRPr="00A07BE9" w:rsidRDefault="001E295B" w:rsidP="00B5367E">
      <w:pPr>
        <w:spacing w:after="0" w:line="276" w:lineRule="auto"/>
        <w:rPr>
          <w:rFonts w:ascii="Open Sans" w:eastAsia="Times New Roman" w:hAnsi="Open Sans" w:cs="Open Sans"/>
          <w:sz w:val="20"/>
          <w:szCs w:val="20"/>
          <w:lang w:eastAsia="es-ES"/>
        </w:rPr>
      </w:pPr>
    </w:p>
    <w:p w14:paraId="62CDAAE7" w14:textId="09377F5D" w:rsidR="000952B8" w:rsidRPr="00A07BE9" w:rsidRDefault="000952B8" w:rsidP="00B5367E">
      <w:pPr>
        <w:spacing w:after="0" w:line="276" w:lineRule="auto"/>
        <w:jc w:val="both"/>
        <w:rPr>
          <w:rFonts w:ascii="Open Sans" w:eastAsia="Times New Roman" w:hAnsi="Open Sans" w:cs="Open Sans"/>
          <w:b/>
          <w:bCs/>
          <w:smallCaps/>
          <w:color w:val="993333"/>
          <w:spacing w:val="-6"/>
          <w:sz w:val="32"/>
          <w:szCs w:val="32"/>
          <w:lang w:eastAsia="es-ES"/>
        </w:rPr>
      </w:pPr>
      <w:r w:rsidRPr="00A07BE9">
        <w:rPr>
          <w:rFonts w:ascii="Open Sans" w:eastAsia="Times New Roman" w:hAnsi="Open Sans" w:cs="Open Sans"/>
          <w:b/>
          <w:bCs/>
          <w:smallCaps/>
          <w:color w:val="993333"/>
          <w:spacing w:val="-6"/>
          <w:sz w:val="32"/>
          <w:szCs w:val="32"/>
          <w:lang w:eastAsia="es-ES"/>
        </w:rPr>
        <w:lastRenderedPageBreak/>
        <w:t>5.10. Relaciones con l</w:t>
      </w:r>
      <w:r w:rsidR="00792177" w:rsidRPr="00A07BE9">
        <w:rPr>
          <w:rFonts w:ascii="Open Sans" w:eastAsia="Times New Roman" w:hAnsi="Open Sans" w:cs="Open Sans"/>
          <w:b/>
          <w:bCs/>
          <w:smallCaps/>
          <w:color w:val="993333"/>
          <w:spacing w:val="-6"/>
          <w:sz w:val="32"/>
          <w:szCs w:val="32"/>
          <w:lang w:eastAsia="es-ES"/>
        </w:rPr>
        <w:t>a</w:t>
      </w:r>
      <w:r w:rsidRPr="00A07BE9">
        <w:rPr>
          <w:rFonts w:ascii="Open Sans" w:eastAsia="Times New Roman" w:hAnsi="Open Sans" w:cs="Open Sans"/>
          <w:b/>
          <w:bCs/>
          <w:smallCaps/>
          <w:color w:val="993333"/>
          <w:spacing w:val="-6"/>
          <w:sz w:val="32"/>
          <w:szCs w:val="32"/>
          <w:lang w:eastAsia="es-ES"/>
        </w:rPr>
        <w:t>s Corts Valencianes</w:t>
      </w:r>
    </w:p>
    <w:p w14:paraId="072255EF"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4B476886" w14:textId="2C2B7EBA" w:rsidR="000952B8" w:rsidRPr="00A07BE9" w:rsidRDefault="000952B8" w:rsidP="000952B8">
      <w:pPr>
        <w:spacing w:after="0" w:line="276" w:lineRule="auto"/>
        <w:jc w:val="both"/>
        <w:rPr>
          <w:rFonts w:ascii="Open Sans" w:eastAsia="Times New Roman" w:hAnsi="Open Sans" w:cs="Open Sans"/>
          <w:b/>
          <w:bCs/>
          <w:smallCaps/>
          <w:color w:val="993333"/>
          <w:spacing w:val="-6"/>
          <w:sz w:val="28"/>
          <w:szCs w:val="32"/>
          <w:lang w:eastAsia="es-ES"/>
        </w:rPr>
      </w:pPr>
      <w:r w:rsidRPr="00A07BE9">
        <w:rPr>
          <w:rFonts w:ascii="Open Sans" w:eastAsia="Times New Roman" w:hAnsi="Open Sans" w:cs="Open Sans"/>
          <w:b/>
          <w:bCs/>
          <w:smallCaps/>
          <w:color w:val="993333"/>
          <w:spacing w:val="-6"/>
          <w:sz w:val="28"/>
          <w:szCs w:val="32"/>
          <w:lang w:eastAsia="es-ES"/>
        </w:rPr>
        <w:t>5.10.1. Preguntas parlamentarias dirigidas a la Agencia</w:t>
      </w:r>
    </w:p>
    <w:p w14:paraId="1BA97479" w14:textId="77777777" w:rsidR="002C2770" w:rsidRPr="00A07BE9" w:rsidRDefault="002C2770" w:rsidP="000952B8">
      <w:pPr>
        <w:spacing w:after="0" w:line="276" w:lineRule="auto"/>
        <w:jc w:val="both"/>
        <w:rPr>
          <w:rFonts w:ascii="Times New Roman" w:eastAsia="Times New Roman" w:hAnsi="Times New Roman" w:cs="Times New Roman"/>
          <w:sz w:val="24"/>
          <w:szCs w:val="24"/>
          <w:lang w:eastAsia="es-ES"/>
        </w:rPr>
      </w:pPr>
    </w:p>
    <w:p w14:paraId="0D81A716" w14:textId="27C6B017"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 xml:space="preserve">Dispone el artículo 5.4 de la </w:t>
      </w:r>
      <w:hyperlink r:id="rId336" w:history="1">
        <w:r w:rsidR="0050097D" w:rsidRPr="00A07BE9">
          <w:rPr>
            <w:rStyle w:val="Hipervnculo"/>
            <w:rFonts w:ascii="Open Sans" w:hAnsi="Open Sans" w:cs="Open Sans"/>
            <w:sz w:val="20"/>
            <w:szCs w:val="20"/>
          </w:rPr>
          <w:t>Ley 11/2016</w:t>
        </w:r>
      </w:hyperlink>
      <w:r w:rsidRPr="00A07BE9">
        <w:rPr>
          <w:rFonts w:ascii="Open Sans" w:eastAsia="Times New Roman" w:hAnsi="Open Sans" w:cs="Open Sans"/>
          <w:sz w:val="20"/>
          <w:szCs w:val="20"/>
          <w:lang w:eastAsia="es-ES"/>
        </w:rPr>
        <w:t>, de creación de la Agencia, literalmente, lo siguiente:</w:t>
      </w:r>
    </w:p>
    <w:p w14:paraId="41F3B8A1" w14:textId="77777777" w:rsidR="000952B8" w:rsidRPr="00A07BE9" w:rsidRDefault="000952B8" w:rsidP="000952B8">
      <w:pPr>
        <w:spacing w:after="0" w:line="276" w:lineRule="auto"/>
        <w:jc w:val="both"/>
        <w:rPr>
          <w:rFonts w:ascii="Times New Roman" w:eastAsia="Times New Roman" w:hAnsi="Times New Roman" w:cs="Times New Roman"/>
          <w:sz w:val="20"/>
          <w:szCs w:val="20"/>
          <w:lang w:eastAsia="es-ES"/>
        </w:rPr>
      </w:pPr>
    </w:p>
    <w:p w14:paraId="3DFED6D3" w14:textId="77777777" w:rsidR="000952B8" w:rsidRPr="00A07BE9" w:rsidRDefault="000952B8" w:rsidP="000952B8">
      <w:pPr>
        <w:spacing w:after="0" w:line="276" w:lineRule="auto"/>
        <w:ind w:left="567"/>
        <w:jc w:val="both"/>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“La Agencia se relaciona con les Corts mediante la comisión parlamentaria que se establezca. A esta comisión le corresponde el control de actuación de la Agencia y la comprobación de los requisitos exigidos al candidato o candidata a director o directora antes de la elección por el Pleno de les Corts. La Agencia, siempre que sea requerida, cooperará con las comisiones parlamentarias de investigación en la elaboración de dictámenes sobre asuntos de su ámbito de actuación. Asimismo, el director o directora de la Agencia acudirá a las comisiones parlamentarias a las que sea convocado para informar del estado de sus actuaciones y podrá solicitar, cuando lo crea conveniente, comparecer”.</w:t>
      </w:r>
    </w:p>
    <w:p w14:paraId="74842A6D" w14:textId="77777777" w:rsidR="000952B8" w:rsidRPr="00A07BE9" w:rsidRDefault="000952B8" w:rsidP="000952B8">
      <w:pPr>
        <w:spacing w:after="0" w:line="276" w:lineRule="auto"/>
        <w:ind w:left="567"/>
        <w:jc w:val="both"/>
        <w:rPr>
          <w:rFonts w:ascii="Times New Roman" w:eastAsia="Times New Roman" w:hAnsi="Times New Roman" w:cs="Times New Roman"/>
          <w:sz w:val="18"/>
          <w:szCs w:val="18"/>
          <w:lang w:eastAsia="es-ES"/>
        </w:rPr>
      </w:pPr>
    </w:p>
    <w:p w14:paraId="0D5C8645" w14:textId="1E2316EF"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 xml:space="preserve">Los artículos 23 y 24 de </w:t>
      </w:r>
      <w:r w:rsidR="00D50B19" w:rsidRPr="00A07BE9">
        <w:rPr>
          <w:rFonts w:ascii="Open Sans" w:eastAsia="Times New Roman" w:hAnsi="Open Sans" w:cs="Open Sans"/>
          <w:sz w:val="20"/>
          <w:szCs w:val="20"/>
          <w:lang w:eastAsia="es-ES"/>
        </w:rPr>
        <w:t xml:space="preserve">la </w:t>
      </w:r>
      <w:hyperlink r:id="rId337" w:history="1">
        <w:r w:rsidR="0050097D" w:rsidRPr="00A07BE9">
          <w:rPr>
            <w:rStyle w:val="Hipervnculo"/>
            <w:rFonts w:ascii="Open Sans" w:hAnsi="Open Sans" w:cs="Open Sans"/>
            <w:sz w:val="20"/>
            <w:szCs w:val="20"/>
          </w:rPr>
          <w:t>Ley 11/2016</w:t>
        </w:r>
        <w:r w:rsidR="0050097D" w:rsidRPr="00A07BE9">
          <w:rPr>
            <w:rStyle w:val="Hipervnculo"/>
            <w:rFonts w:ascii="Open Sans" w:hAnsi="Open Sans"/>
            <w:color w:val="auto"/>
            <w:sz w:val="20"/>
            <w:szCs w:val="20"/>
            <w:u w:val="none"/>
          </w:rPr>
          <w:t>, de 28 de noviembre, de la Generalitat</w:t>
        </w:r>
      </w:hyperlink>
      <w:r w:rsidRPr="00A07BE9">
        <w:rPr>
          <w:rFonts w:ascii="Open Sans" w:eastAsia="Times New Roman" w:hAnsi="Open Sans" w:cs="Open Sans"/>
          <w:sz w:val="20"/>
          <w:szCs w:val="20"/>
          <w:lang w:eastAsia="es-ES"/>
        </w:rPr>
        <w:t>, por otra parte, se refieren a la elaboración y presentación, cuando concurran circunstancias especiales, de informes especiales y extraordinarios, los cuales, junto con la memoria anual, serán publicados en el Boletín Oficial de les Corts y en el Portal de Transparencia de la web de la Agencia. También podrá elaborar la Agencia recomendaciones y dictámenes no vinculantes sobre asuntos de su competencia.</w:t>
      </w:r>
    </w:p>
    <w:p w14:paraId="3197C37C"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26332B4A" w14:textId="671DD045"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 xml:space="preserve">La Mesa de les Corts estableció, en su reunión de 12 de junio de 2018 y dando respuesta a la aclaración solicitada por una diputada, que cualquier pregunta dirigida a esta Agencia, se realizaría de acuerdo con lo dispuesto en el artículo 12 del </w:t>
      </w:r>
      <w:hyperlink r:id="rId338" w:history="1">
        <w:r w:rsidRPr="00A07BE9">
          <w:rPr>
            <w:rStyle w:val="Hipervnculo"/>
            <w:rFonts w:ascii="Open Sans" w:eastAsia="Times New Roman" w:hAnsi="Open Sans" w:cs="Open Sans"/>
            <w:sz w:val="20"/>
            <w:szCs w:val="20"/>
            <w:lang w:eastAsia="es-ES"/>
          </w:rPr>
          <w:t>Reglamento de les Corts</w:t>
        </w:r>
      </w:hyperlink>
      <w:r w:rsidRPr="00A07BE9">
        <w:rPr>
          <w:rFonts w:ascii="Open Sans" w:eastAsia="Times New Roman" w:hAnsi="Open Sans" w:cs="Open Sans"/>
          <w:sz w:val="20"/>
          <w:szCs w:val="20"/>
          <w:lang w:eastAsia="es-ES"/>
        </w:rPr>
        <w:t>, a través de la Mesa de les Corts, y por conducto de su presidente dirigido directamente a la Agencia.</w:t>
      </w:r>
    </w:p>
    <w:p w14:paraId="1410750D"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56672BEB"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Así pues, atendiendo a lo previsto en el mencionado artículo, la Agencia se relaciona con les Corts mediante la Comisión parlamentaria de Economía, Presupuestos y Hacienda, correspondiendo a esta el control de la actuación de la Agencia y de su dirección.</w:t>
      </w:r>
    </w:p>
    <w:p w14:paraId="4F0CB90D" w14:textId="77777777" w:rsidR="000952B8" w:rsidRPr="00A07BE9" w:rsidRDefault="000952B8" w:rsidP="000952B8">
      <w:pPr>
        <w:spacing w:after="0" w:line="276" w:lineRule="auto"/>
        <w:jc w:val="both"/>
        <w:rPr>
          <w:rFonts w:ascii="Times New Roman" w:eastAsia="Times New Roman" w:hAnsi="Times New Roman" w:cs="Times New Roman"/>
          <w:sz w:val="20"/>
          <w:szCs w:val="20"/>
          <w:lang w:eastAsia="es-ES"/>
        </w:rPr>
      </w:pPr>
    </w:p>
    <w:p w14:paraId="36240A08" w14:textId="586F1D6D" w:rsidR="000952B8" w:rsidRPr="00A07BE9" w:rsidRDefault="000952B8" w:rsidP="000952B8">
      <w:pPr>
        <w:spacing w:after="0" w:line="276" w:lineRule="auto"/>
        <w:jc w:val="both"/>
        <w:rPr>
          <w:rFonts w:ascii="Open Sans" w:eastAsia="Times New Roman" w:hAnsi="Open Sans" w:cs="Open Sans"/>
          <w:color w:val="000080"/>
          <w:sz w:val="20"/>
          <w:szCs w:val="20"/>
          <w:lang w:eastAsia="es-ES"/>
        </w:rPr>
      </w:pPr>
      <w:r w:rsidRPr="00A07BE9">
        <w:rPr>
          <w:rFonts w:ascii="Open Sans" w:eastAsia="Times New Roman" w:hAnsi="Open Sans" w:cs="Open Sans"/>
          <w:sz w:val="20"/>
          <w:szCs w:val="20"/>
          <w:lang w:eastAsia="es-ES"/>
        </w:rPr>
        <w:t xml:space="preserve">Hasta el momento no se ha requerido la presencia del director en ninguna Comisión, de acuerdo con las posibilidades que se plantean en los preceptos mencionados, habiendo comparecido, únicamente, para presentar la memoria anual de la Agencia ante les Corts </w:t>
      </w:r>
      <w:r w:rsidRPr="00A07BE9">
        <w:rPr>
          <w:rFonts w:ascii="Open Sans" w:eastAsia="Times New Roman" w:hAnsi="Open Sans" w:cs="Open Sans"/>
          <w:color w:val="000080"/>
          <w:sz w:val="20"/>
          <w:szCs w:val="20"/>
          <w:u w:val="single"/>
          <w:lang w:eastAsia="es-ES"/>
        </w:rPr>
        <w:t>(</w:t>
      </w:r>
      <w:hyperlink r:id="rId339" w:history="1">
        <w:r w:rsidRPr="00A07BE9">
          <w:rPr>
            <w:rStyle w:val="Hipervnculo"/>
            <w:rFonts w:ascii="Open Sans" w:eastAsia="Times New Roman" w:hAnsi="Open Sans" w:cs="Open Sans"/>
            <w:sz w:val="20"/>
            <w:szCs w:val="20"/>
            <w:lang w:eastAsia="es-ES"/>
          </w:rPr>
          <w:t>Memoria del ejercicio 2017</w:t>
        </w:r>
      </w:hyperlink>
      <w:r w:rsidR="006F6784" w:rsidRPr="00A07BE9">
        <w:rPr>
          <w:rFonts w:ascii="Open Sans" w:eastAsia="Times New Roman" w:hAnsi="Open Sans" w:cs="Open Sans"/>
          <w:color w:val="000080"/>
          <w:sz w:val="20"/>
          <w:szCs w:val="20"/>
          <w:lang w:eastAsia="es-ES"/>
        </w:rPr>
        <w:t xml:space="preserve"> y </w:t>
      </w:r>
      <w:hyperlink r:id="rId340" w:history="1">
        <w:r w:rsidRPr="00A07BE9">
          <w:rPr>
            <w:rStyle w:val="Hipervnculo"/>
            <w:rFonts w:ascii="Open Sans" w:eastAsia="Times New Roman" w:hAnsi="Open Sans" w:cs="Open Sans"/>
            <w:sz w:val="20"/>
            <w:szCs w:val="20"/>
            <w:lang w:eastAsia="es-ES"/>
          </w:rPr>
          <w:t>Memoria del ejercicio 2018</w:t>
        </w:r>
      </w:hyperlink>
      <w:r w:rsidRPr="00A07BE9">
        <w:rPr>
          <w:rFonts w:ascii="Open Sans" w:eastAsia="Times New Roman" w:hAnsi="Open Sans" w:cs="Open Sans"/>
          <w:color w:val="000080"/>
          <w:sz w:val="20"/>
          <w:szCs w:val="20"/>
          <w:u w:val="single"/>
          <w:lang w:eastAsia="es-ES"/>
        </w:rPr>
        <w:t>)</w:t>
      </w:r>
      <w:r w:rsidRPr="00A07BE9">
        <w:rPr>
          <w:rFonts w:ascii="Open Sans" w:eastAsia="Times New Roman" w:hAnsi="Open Sans" w:cs="Open Sans"/>
          <w:color w:val="000080"/>
          <w:sz w:val="20"/>
          <w:szCs w:val="20"/>
          <w:lang w:eastAsia="es-ES"/>
        </w:rPr>
        <w:t>.</w:t>
      </w:r>
    </w:p>
    <w:p w14:paraId="1FA1945F" w14:textId="77777777" w:rsidR="000952B8" w:rsidRPr="00A07BE9" w:rsidRDefault="000952B8" w:rsidP="000952B8">
      <w:pPr>
        <w:spacing w:after="0" w:line="276" w:lineRule="auto"/>
        <w:jc w:val="both"/>
        <w:rPr>
          <w:rFonts w:ascii="Times New Roman" w:eastAsia="Times New Roman" w:hAnsi="Times New Roman" w:cs="Times New Roman"/>
          <w:sz w:val="20"/>
          <w:szCs w:val="20"/>
          <w:lang w:eastAsia="es-ES"/>
        </w:rPr>
      </w:pPr>
    </w:p>
    <w:p w14:paraId="14C5D496"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A título de ejemplo, según el diario de sesiones de la Comisión de Sanidad y Consumo de les Corts de 20 de noviembre de 2019, dicha Comisión solicitó la comparecencia del ex-director de la Fundación Instituto de Investigación Sanitaria La Fe, para explicar la situación de esta y de su personal, pudiendo el director de la Agencia aportar datos e información en relación con este asunto, toda vez que la misma otorgó el estatuto de protección de persona denunciante a un trabajador de dicha Fundación.</w:t>
      </w:r>
    </w:p>
    <w:p w14:paraId="04792A54" w14:textId="77777777" w:rsidR="000952B8" w:rsidRPr="00A07BE9" w:rsidRDefault="000952B8" w:rsidP="000952B8">
      <w:pPr>
        <w:spacing w:after="0" w:line="276" w:lineRule="auto"/>
        <w:jc w:val="both"/>
        <w:rPr>
          <w:rFonts w:ascii="Times New Roman" w:eastAsia="Times New Roman" w:hAnsi="Times New Roman" w:cs="Times New Roman"/>
          <w:sz w:val="20"/>
          <w:szCs w:val="20"/>
          <w:lang w:eastAsia="es-ES"/>
        </w:rPr>
      </w:pPr>
    </w:p>
    <w:p w14:paraId="375995F5"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lastRenderedPageBreak/>
        <w:t xml:space="preserve">Por otra parte, durante 2019 la Agencia ha recibido una solicitud de documentación por parte de la portavoz adjunta del Grupo Parlamentario Popular (núm. 1546), mediante la que requiere copia íntegra de un expediente de investigación incoado por la Agencia con motivo de la presentación de una denuncia. </w:t>
      </w:r>
    </w:p>
    <w:p w14:paraId="02DAAFC0" w14:textId="77777777" w:rsidR="000952B8" w:rsidRPr="00A07BE9" w:rsidRDefault="000952B8" w:rsidP="000952B8">
      <w:pPr>
        <w:spacing w:after="0" w:line="276" w:lineRule="auto"/>
        <w:jc w:val="both"/>
        <w:rPr>
          <w:rFonts w:ascii="Times New Roman" w:eastAsia="Times New Roman" w:hAnsi="Times New Roman" w:cs="Times New Roman"/>
          <w:sz w:val="20"/>
          <w:szCs w:val="20"/>
          <w:lang w:eastAsia="es-ES"/>
        </w:rPr>
      </w:pPr>
    </w:p>
    <w:p w14:paraId="1A9500C4" w14:textId="6F7BE6B6" w:rsidR="000952B8" w:rsidRPr="00A07BE9" w:rsidRDefault="000952B8" w:rsidP="000952B8">
      <w:pPr>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sz w:val="20"/>
          <w:szCs w:val="20"/>
          <w:lang w:eastAsia="es-ES"/>
        </w:rPr>
        <w:t xml:space="preserve">A este respecto, la Agencia informó, a través del president de les Corts, en contestación a dicha solicitud, que </w:t>
      </w:r>
      <w:r w:rsidRPr="00A07BE9">
        <w:rPr>
          <w:rFonts w:ascii="Open Sans" w:eastAsia="Times New Roman" w:hAnsi="Open Sans" w:cs="Open Sans"/>
          <w:color w:val="000000"/>
          <w:sz w:val="20"/>
          <w:szCs w:val="20"/>
          <w:lang w:eastAsia="es-ES"/>
        </w:rPr>
        <w:t xml:space="preserve">de dar traslado de los documentos que constan en un expediente de investigación, además de poder suponer un incumplimiento de </w:t>
      </w:r>
      <w:r w:rsidR="00D50B19" w:rsidRPr="00A07BE9">
        <w:rPr>
          <w:rFonts w:ascii="Open Sans" w:eastAsia="Times New Roman" w:hAnsi="Open Sans" w:cs="Open Sans"/>
          <w:sz w:val="20"/>
          <w:szCs w:val="20"/>
          <w:lang w:eastAsia="es-ES"/>
        </w:rPr>
        <w:t xml:space="preserve">la </w:t>
      </w:r>
      <w:hyperlink r:id="rId341" w:history="1">
        <w:r w:rsidR="0050097D" w:rsidRPr="00A07BE9">
          <w:rPr>
            <w:rStyle w:val="Hipervnculo"/>
            <w:rFonts w:ascii="Open Sans" w:hAnsi="Open Sans" w:cs="Open Sans"/>
            <w:sz w:val="20"/>
            <w:szCs w:val="20"/>
          </w:rPr>
          <w:t>Ley 11/2016</w:t>
        </w:r>
        <w:r w:rsidR="0050097D" w:rsidRPr="00A07BE9">
          <w:rPr>
            <w:rStyle w:val="Hipervnculo"/>
            <w:rFonts w:ascii="Open Sans" w:hAnsi="Open Sans"/>
            <w:color w:val="auto"/>
            <w:sz w:val="20"/>
            <w:szCs w:val="20"/>
            <w:u w:val="none"/>
          </w:rPr>
          <w:t>, de 28 de</w:t>
        </w:r>
        <w:r w:rsidR="0050097D" w:rsidRPr="00A07BE9">
          <w:rPr>
            <w:rStyle w:val="Hipervnculo"/>
            <w:rFonts w:ascii="Open Sans" w:hAnsi="Open Sans"/>
            <w:sz w:val="20"/>
            <w:szCs w:val="20"/>
          </w:rPr>
          <w:t xml:space="preserve"> </w:t>
        </w:r>
        <w:r w:rsidR="0050097D" w:rsidRPr="00A07BE9">
          <w:rPr>
            <w:rStyle w:val="Hipervnculo"/>
            <w:rFonts w:ascii="Open Sans" w:hAnsi="Open Sans"/>
            <w:color w:val="auto"/>
            <w:sz w:val="20"/>
            <w:szCs w:val="20"/>
            <w:u w:val="none"/>
          </w:rPr>
          <w:t>noviembre, de la Generalitat</w:t>
        </w:r>
      </w:hyperlink>
      <w:r w:rsidRPr="00A07BE9">
        <w:rPr>
          <w:rFonts w:ascii="Open Sans" w:eastAsia="Times New Roman" w:hAnsi="Open Sans" w:cs="Open Sans"/>
          <w:color w:val="000000"/>
          <w:sz w:val="20"/>
          <w:szCs w:val="20"/>
          <w:lang w:eastAsia="es-ES"/>
        </w:rPr>
        <w:t xml:space="preserve">, así como del artículo 14 de la </w:t>
      </w:r>
      <w:hyperlink r:id="rId342" w:history="1">
        <w:r w:rsidRPr="00A07BE9">
          <w:rPr>
            <w:rStyle w:val="Hipervnculo"/>
            <w:rFonts w:ascii="Open Sans" w:eastAsia="Times New Roman" w:hAnsi="Open Sans" w:cs="Open Sans"/>
            <w:sz w:val="20"/>
            <w:szCs w:val="20"/>
            <w:lang w:eastAsia="es-ES"/>
          </w:rPr>
          <w:t>Ley de 9 de diciembre, de transparencia, acceso a la información pública y buen gobierno</w:t>
        </w:r>
      </w:hyperlink>
      <w:r w:rsidRPr="00A07BE9">
        <w:rPr>
          <w:rFonts w:ascii="Open Sans" w:eastAsia="Times New Roman" w:hAnsi="Open Sans" w:cs="Open Sans"/>
          <w:color w:val="000000"/>
          <w:sz w:val="20"/>
          <w:szCs w:val="20"/>
          <w:lang w:eastAsia="es-ES"/>
        </w:rPr>
        <w:t xml:space="preserve">, ello podría poner en riesgo las subsiguientes actuaciones a llevar a cabo, conducentes a la averiguación de los hechos o conductas sobre los que existen indicios o elementos de posible fraude o corrupción, posibilitando, por tanto, en la medida en que tal documentación pudiera ser conocida y pública, la existencia de interferencias que perjudicarían el buen fin de la investigación. Cabe indicar, además, que la investigación de este asunto en la Agencia fue interrumpida como consecuencia de la constancia en la misma de la apertura de Diligencias Previas por los mismos hechos en un Juzgado de Instrucción (artículo 5.2 de </w:t>
      </w:r>
      <w:r w:rsidR="00D50B19" w:rsidRPr="00A07BE9">
        <w:rPr>
          <w:rFonts w:ascii="Open Sans" w:eastAsia="Times New Roman" w:hAnsi="Open Sans" w:cs="Open Sans"/>
          <w:sz w:val="20"/>
          <w:szCs w:val="20"/>
          <w:lang w:eastAsia="es-ES"/>
        </w:rPr>
        <w:t xml:space="preserve">la </w:t>
      </w:r>
      <w:hyperlink r:id="rId343" w:history="1">
        <w:r w:rsidR="0050097D" w:rsidRPr="00A07BE9">
          <w:rPr>
            <w:rStyle w:val="Hipervnculo"/>
            <w:rFonts w:ascii="Open Sans" w:hAnsi="Open Sans" w:cs="Open Sans"/>
            <w:sz w:val="20"/>
            <w:szCs w:val="20"/>
          </w:rPr>
          <w:t>Ley 11/2016</w:t>
        </w:r>
      </w:hyperlink>
      <w:r w:rsidRPr="00A07BE9">
        <w:rPr>
          <w:rFonts w:ascii="Open Sans" w:eastAsia="Times New Roman" w:hAnsi="Open Sans" w:cs="Open Sans"/>
          <w:color w:val="000000"/>
          <w:sz w:val="20"/>
          <w:szCs w:val="20"/>
          <w:lang w:eastAsia="es-ES"/>
        </w:rPr>
        <w:t xml:space="preserve">). </w:t>
      </w:r>
    </w:p>
    <w:p w14:paraId="6928B747" w14:textId="77777777" w:rsidR="002C2770" w:rsidRPr="00A07BE9" w:rsidRDefault="002C2770" w:rsidP="000952B8">
      <w:pPr>
        <w:spacing w:after="0" w:line="276" w:lineRule="auto"/>
        <w:jc w:val="both"/>
        <w:rPr>
          <w:rFonts w:ascii="Times New Roman" w:eastAsia="Times New Roman" w:hAnsi="Times New Roman" w:cs="Times New Roman"/>
          <w:sz w:val="20"/>
          <w:szCs w:val="20"/>
          <w:lang w:eastAsia="es-ES"/>
        </w:rPr>
      </w:pPr>
    </w:p>
    <w:p w14:paraId="614B1288" w14:textId="77777777" w:rsidR="000952B8" w:rsidRPr="00A07BE9" w:rsidRDefault="000952B8" w:rsidP="000952B8">
      <w:pPr>
        <w:spacing w:after="0" w:line="276" w:lineRule="auto"/>
        <w:jc w:val="both"/>
        <w:rPr>
          <w:rFonts w:ascii="Times New Roman" w:eastAsia="Times New Roman" w:hAnsi="Times New Roman" w:cs="Times New Roman"/>
          <w:color w:val="000000"/>
          <w:sz w:val="20"/>
          <w:szCs w:val="20"/>
          <w:lang w:eastAsia="es-ES"/>
        </w:rPr>
      </w:pPr>
      <w:r w:rsidRPr="00A07BE9">
        <w:rPr>
          <w:rFonts w:ascii="Open Sans" w:eastAsia="Times New Roman" w:hAnsi="Open Sans" w:cs="Open Sans"/>
          <w:color w:val="000000"/>
          <w:sz w:val="20"/>
          <w:szCs w:val="20"/>
          <w:lang w:eastAsia="es-ES"/>
        </w:rPr>
        <w:t>No obstante, en relación con la citada solicitud de documentación núm. 1546, el Grupo Parlamentario Popular ha interpuesto recurso contencioso-administrativo por el procedimiento de protección de derechos fundamentales que se encuentra en tramitación, como se expresa en el epígrafe 6.3 de esta Memoria.</w:t>
      </w:r>
    </w:p>
    <w:p w14:paraId="6097F4A6" w14:textId="6FDB9167" w:rsidR="00262F77" w:rsidRDefault="00262F77" w:rsidP="000952B8">
      <w:pPr>
        <w:spacing w:after="0" w:line="276" w:lineRule="auto"/>
        <w:jc w:val="both"/>
        <w:rPr>
          <w:rFonts w:ascii="Open Sans" w:eastAsia="Times New Roman" w:hAnsi="Open Sans" w:cs="Open Sans"/>
          <w:sz w:val="20"/>
          <w:szCs w:val="20"/>
          <w:lang w:eastAsia="es-ES"/>
        </w:rPr>
      </w:pPr>
    </w:p>
    <w:p w14:paraId="55662157" w14:textId="77777777" w:rsidR="00E340E8" w:rsidRPr="00A07BE9" w:rsidRDefault="00E340E8" w:rsidP="000952B8">
      <w:pPr>
        <w:spacing w:after="0" w:line="276" w:lineRule="auto"/>
        <w:jc w:val="both"/>
        <w:rPr>
          <w:rFonts w:ascii="Open Sans" w:eastAsia="Times New Roman" w:hAnsi="Open Sans" w:cs="Open Sans"/>
          <w:sz w:val="20"/>
          <w:szCs w:val="20"/>
          <w:lang w:eastAsia="es-ES"/>
        </w:rPr>
      </w:pPr>
    </w:p>
    <w:p w14:paraId="23485202" w14:textId="37A2C30E" w:rsidR="000952B8" w:rsidRPr="00A07BE9" w:rsidRDefault="000952B8" w:rsidP="000952B8">
      <w:pPr>
        <w:spacing w:after="0" w:line="276" w:lineRule="auto"/>
        <w:jc w:val="both"/>
        <w:rPr>
          <w:rFonts w:ascii="Open Sans" w:eastAsia="Times New Roman" w:hAnsi="Open Sans" w:cs="Open Sans"/>
          <w:b/>
          <w:bCs/>
          <w:smallCaps/>
          <w:color w:val="993333"/>
          <w:spacing w:val="-6"/>
          <w:sz w:val="28"/>
          <w:szCs w:val="32"/>
          <w:lang w:eastAsia="es-ES"/>
        </w:rPr>
      </w:pPr>
      <w:r w:rsidRPr="00A07BE9">
        <w:rPr>
          <w:rFonts w:ascii="Open Sans" w:eastAsia="Times New Roman" w:hAnsi="Open Sans" w:cs="Open Sans"/>
          <w:b/>
          <w:bCs/>
          <w:smallCaps/>
          <w:color w:val="993333"/>
          <w:spacing w:val="-6"/>
          <w:sz w:val="28"/>
          <w:szCs w:val="32"/>
          <w:lang w:eastAsia="es-ES"/>
        </w:rPr>
        <w:t>5.10.2. Comparecencias del director ante comisiones parlamentarias</w:t>
      </w:r>
    </w:p>
    <w:p w14:paraId="7A21AEA6" w14:textId="77777777" w:rsidR="00CF0D5C" w:rsidRPr="00A07BE9" w:rsidRDefault="00CF0D5C" w:rsidP="000952B8">
      <w:pPr>
        <w:spacing w:after="0" w:line="276" w:lineRule="auto"/>
        <w:jc w:val="both"/>
        <w:rPr>
          <w:rFonts w:ascii="Open Sans" w:eastAsia="Times New Roman" w:hAnsi="Open Sans" w:cs="Open Sans"/>
          <w:b/>
          <w:bCs/>
          <w:smallCaps/>
          <w:color w:val="993333"/>
          <w:spacing w:val="-6"/>
          <w:sz w:val="20"/>
          <w:szCs w:val="20"/>
          <w:lang w:eastAsia="es-ES"/>
        </w:rPr>
      </w:pPr>
    </w:p>
    <w:p w14:paraId="287EE507" w14:textId="54987649" w:rsidR="000952B8" w:rsidRPr="00A07BE9" w:rsidRDefault="000952B8" w:rsidP="000952B8">
      <w:pPr>
        <w:spacing w:after="0" w:line="276" w:lineRule="auto"/>
        <w:jc w:val="both"/>
        <w:rPr>
          <w:rFonts w:ascii="Open Sans" w:eastAsia="Times New Roman" w:hAnsi="Open Sans" w:cs="Open Sans"/>
          <w:color w:val="000080"/>
          <w:sz w:val="20"/>
          <w:szCs w:val="20"/>
          <w:u w:val="single"/>
          <w:lang w:eastAsia="es-ES"/>
        </w:rPr>
      </w:pPr>
      <w:r w:rsidRPr="00A07BE9">
        <w:rPr>
          <w:rFonts w:ascii="Open Sans" w:eastAsia="Times New Roman" w:hAnsi="Open Sans" w:cs="Open Sans"/>
          <w:sz w:val="20"/>
          <w:szCs w:val="20"/>
          <w:lang w:eastAsia="es-ES"/>
        </w:rPr>
        <w:t xml:space="preserve">El 24 de septiembre, en cumplimiento del artículo 22 de la </w:t>
      </w:r>
      <w:hyperlink r:id="rId344" w:history="1">
        <w:r w:rsidR="0050097D" w:rsidRPr="00A07BE9">
          <w:rPr>
            <w:rStyle w:val="Hipervnculo"/>
            <w:rFonts w:ascii="Open Sans" w:hAnsi="Open Sans" w:cs="Open Sans"/>
            <w:sz w:val="20"/>
            <w:szCs w:val="20"/>
          </w:rPr>
          <w:t>Ley 11/2016</w:t>
        </w:r>
        <w:r w:rsidR="0050097D" w:rsidRPr="00A07BE9">
          <w:rPr>
            <w:rStyle w:val="Hipervnculo"/>
            <w:rFonts w:ascii="Open Sans" w:hAnsi="Open Sans"/>
            <w:color w:val="auto"/>
            <w:sz w:val="20"/>
            <w:szCs w:val="20"/>
            <w:u w:val="none"/>
          </w:rPr>
          <w:t>, de 28 de noviembre</w:t>
        </w:r>
        <w:r w:rsidR="0050097D" w:rsidRPr="00A07BE9">
          <w:rPr>
            <w:rStyle w:val="Hipervnculo"/>
            <w:rFonts w:ascii="Open Sans" w:hAnsi="Open Sans"/>
            <w:sz w:val="20"/>
            <w:szCs w:val="20"/>
          </w:rPr>
          <w:t xml:space="preserve">, </w:t>
        </w:r>
        <w:r w:rsidR="0050097D" w:rsidRPr="00A07BE9">
          <w:rPr>
            <w:rStyle w:val="Hipervnculo"/>
            <w:rFonts w:ascii="Open Sans" w:hAnsi="Open Sans"/>
            <w:color w:val="auto"/>
            <w:sz w:val="20"/>
            <w:szCs w:val="20"/>
            <w:u w:val="none"/>
          </w:rPr>
          <w:t>de la Generalitat</w:t>
        </w:r>
      </w:hyperlink>
      <w:r w:rsidRPr="00A07BE9">
        <w:rPr>
          <w:rFonts w:ascii="Open Sans" w:eastAsia="Times New Roman" w:hAnsi="Open Sans" w:cs="Open Sans"/>
          <w:sz w:val="20"/>
          <w:szCs w:val="20"/>
          <w:lang w:eastAsia="es-ES"/>
        </w:rPr>
        <w:t xml:space="preserve">, el director de la Agencia presentó la </w:t>
      </w:r>
      <w:hyperlink r:id="rId345" w:history="1">
        <w:r w:rsidRPr="00A07BE9">
          <w:rPr>
            <w:rStyle w:val="Hipervnculo"/>
            <w:rFonts w:ascii="Open Sans" w:eastAsia="Times New Roman" w:hAnsi="Open Sans" w:cs="Open Sans"/>
            <w:sz w:val="20"/>
            <w:szCs w:val="20"/>
            <w:lang w:eastAsia="es-ES"/>
          </w:rPr>
          <w:t>Memoria anual de actividad correspondiente al año 2018</w:t>
        </w:r>
      </w:hyperlink>
      <w:r w:rsidRPr="00A07BE9">
        <w:rPr>
          <w:rFonts w:ascii="Open Sans" w:eastAsia="Times New Roman" w:hAnsi="Open Sans" w:cs="Open Sans"/>
          <w:sz w:val="20"/>
          <w:szCs w:val="20"/>
          <w:lang w:eastAsia="es-ES"/>
        </w:rPr>
        <w:t xml:space="preserve"> ante la Comisión de Economía, Presupuestos y Hacienda. El vídeo íntegro de la comparecencia puede verse aquí: </w:t>
      </w:r>
      <w:hyperlink r:id="rId346">
        <w:r w:rsidRPr="00A07BE9">
          <w:rPr>
            <w:rFonts w:ascii="Open Sans" w:eastAsia="Times New Roman" w:hAnsi="Open Sans" w:cs="Open Sans"/>
            <w:color w:val="000080"/>
            <w:sz w:val="20"/>
            <w:szCs w:val="20"/>
            <w:u w:val="single"/>
            <w:lang w:eastAsia="es-ES"/>
          </w:rPr>
          <w:t>https://youtu.be/0n9XHPdigNs</w:t>
        </w:r>
      </w:hyperlink>
    </w:p>
    <w:p w14:paraId="27251044" w14:textId="77777777" w:rsidR="000952B8" w:rsidRPr="00A07BE9" w:rsidRDefault="000952B8" w:rsidP="000952B8">
      <w:pPr>
        <w:spacing w:after="0" w:line="276" w:lineRule="auto"/>
        <w:jc w:val="both"/>
        <w:rPr>
          <w:rFonts w:ascii="Open Sans" w:eastAsia="Calibri" w:hAnsi="Open Sans" w:cs="Open Sans"/>
          <w:sz w:val="20"/>
          <w:szCs w:val="20"/>
        </w:rPr>
      </w:pPr>
    </w:p>
    <w:p w14:paraId="53EDC88F" w14:textId="77777777" w:rsidR="000952B8" w:rsidRPr="00A07BE9" w:rsidRDefault="000952B8" w:rsidP="000952B8">
      <w:pPr>
        <w:spacing w:after="0" w:line="276" w:lineRule="auto"/>
        <w:jc w:val="both"/>
        <w:rPr>
          <w:rFonts w:ascii="Open Sans" w:eastAsia="Calibri" w:hAnsi="Open Sans" w:cs="Open Sans"/>
          <w:sz w:val="20"/>
          <w:szCs w:val="20"/>
        </w:rPr>
      </w:pPr>
    </w:p>
    <w:p w14:paraId="6433F734" w14:textId="77777777" w:rsidR="000952B8" w:rsidRPr="00A07BE9" w:rsidRDefault="000952B8" w:rsidP="000952B8">
      <w:pPr>
        <w:spacing w:after="0" w:line="276" w:lineRule="auto"/>
        <w:jc w:val="both"/>
        <w:rPr>
          <w:rFonts w:ascii="Open Sans" w:eastAsia="Times New Roman" w:hAnsi="Open Sans" w:cs="Open Sans"/>
          <w:b/>
          <w:bCs/>
          <w:smallCaps/>
          <w:color w:val="993333"/>
          <w:spacing w:val="-6"/>
          <w:sz w:val="32"/>
          <w:szCs w:val="32"/>
          <w:lang w:eastAsia="es-ES"/>
        </w:rPr>
      </w:pPr>
      <w:r w:rsidRPr="00A07BE9">
        <w:rPr>
          <w:rFonts w:ascii="Open Sans" w:eastAsia="Times New Roman" w:hAnsi="Open Sans" w:cs="Open Sans"/>
          <w:b/>
          <w:bCs/>
          <w:smallCaps/>
          <w:color w:val="993333"/>
          <w:spacing w:val="-6"/>
          <w:sz w:val="32"/>
          <w:szCs w:val="32"/>
          <w:lang w:eastAsia="es-ES"/>
        </w:rPr>
        <w:t>5.11. Publicaciones en boletines oficiales</w:t>
      </w:r>
      <w:bookmarkStart w:id="25" w:name="_Hlk32391407"/>
      <w:bookmarkEnd w:id="25"/>
    </w:p>
    <w:p w14:paraId="389F7D41"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p>
    <w:p w14:paraId="5994E7A6" w14:textId="77777777" w:rsidR="000952B8" w:rsidRPr="00A07BE9" w:rsidRDefault="000952B8" w:rsidP="000952B8">
      <w:pPr>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A lo largo del 2019 se efectuaron las siguientes publicaciones en boletines oficiales (</w:t>
      </w:r>
      <w:r w:rsidRPr="00A07BE9">
        <w:rPr>
          <w:rFonts w:ascii="Open Sans" w:eastAsia="Times New Roman" w:hAnsi="Open Sans" w:cs="Open Sans"/>
          <w:i/>
          <w:iCs/>
          <w:sz w:val="20"/>
          <w:szCs w:val="20"/>
          <w:lang w:eastAsia="es-ES"/>
        </w:rPr>
        <w:t>Butlletí Oficial de les Corts Valencianes</w:t>
      </w:r>
      <w:r w:rsidRPr="00A07BE9">
        <w:rPr>
          <w:rFonts w:ascii="Open Sans" w:eastAsia="Times New Roman" w:hAnsi="Open Sans" w:cs="Open Sans"/>
          <w:sz w:val="20"/>
          <w:szCs w:val="20"/>
          <w:lang w:eastAsia="es-ES"/>
        </w:rPr>
        <w:t xml:space="preserve"> y </w:t>
      </w:r>
      <w:r w:rsidRPr="00A07BE9">
        <w:rPr>
          <w:rFonts w:ascii="Open Sans" w:eastAsia="Times New Roman" w:hAnsi="Open Sans" w:cs="Open Sans"/>
          <w:i/>
          <w:iCs/>
          <w:sz w:val="20"/>
          <w:szCs w:val="20"/>
          <w:lang w:eastAsia="es-ES"/>
        </w:rPr>
        <w:t>Diari Oficial de la Generalitat Valenciana</w:t>
      </w:r>
      <w:r w:rsidRPr="00A07BE9">
        <w:rPr>
          <w:rFonts w:ascii="Open Sans" w:eastAsia="Times New Roman" w:hAnsi="Open Sans" w:cs="Open Sans"/>
          <w:sz w:val="20"/>
          <w:szCs w:val="20"/>
          <w:lang w:eastAsia="es-ES"/>
        </w:rPr>
        <w:t>):</w:t>
      </w:r>
    </w:p>
    <w:p w14:paraId="228572B4" w14:textId="77777777" w:rsidR="001E295B" w:rsidRPr="00A07BE9" w:rsidRDefault="001E295B" w:rsidP="000952B8">
      <w:pPr>
        <w:spacing w:after="0" w:line="276" w:lineRule="auto"/>
        <w:jc w:val="both"/>
        <w:rPr>
          <w:rFonts w:ascii="Open Sans" w:eastAsia="Times New Roman" w:hAnsi="Open Sans" w:cs="Open Sans"/>
          <w:sz w:val="20"/>
          <w:szCs w:val="20"/>
          <w:lang w:eastAsia="es-ES"/>
        </w:rPr>
      </w:pPr>
    </w:p>
    <w:p w14:paraId="32A8A225" w14:textId="01E12953" w:rsidR="000952B8" w:rsidRPr="00A07BE9" w:rsidRDefault="000952B8" w:rsidP="000952B8">
      <w:pPr>
        <w:spacing w:after="0" w:line="276" w:lineRule="auto"/>
        <w:jc w:val="both"/>
        <w:rPr>
          <w:rFonts w:ascii="Open Sans" w:eastAsia="Times New Roman" w:hAnsi="Open Sans" w:cs="Open Sans"/>
          <w:b/>
          <w:bCs/>
          <w:sz w:val="20"/>
          <w:szCs w:val="20"/>
          <w:lang w:eastAsia="es-ES"/>
        </w:rPr>
      </w:pPr>
      <w:r w:rsidRPr="00A07BE9">
        <w:rPr>
          <w:rFonts w:ascii="Open Sans" w:eastAsia="Times New Roman" w:hAnsi="Open Sans" w:cs="Open Sans"/>
          <w:b/>
          <w:bCs/>
          <w:color w:val="993333"/>
          <w:sz w:val="20"/>
          <w:szCs w:val="20"/>
          <w:lang w:eastAsia="es-ES"/>
        </w:rPr>
        <w:t xml:space="preserve">Tabla </w:t>
      </w:r>
      <w:r w:rsidR="00640AAC" w:rsidRPr="00A07BE9">
        <w:rPr>
          <w:rFonts w:ascii="Open Sans" w:eastAsia="Times New Roman" w:hAnsi="Open Sans" w:cs="Open Sans"/>
          <w:b/>
          <w:bCs/>
          <w:color w:val="993333"/>
          <w:sz w:val="20"/>
          <w:szCs w:val="20"/>
          <w:lang w:eastAsia="es-ES"/>
        </w:rPr>
        <w:t>18</w:t>
      </w:r>
      <w:r w:rsidRPr="00A07BE9">
        <w:rPr>
          <w:rFonts w:ascii="Open Sans" w:eastAsia="Times New Roman" w:hAnsi="Open Sans" w:cs="Open Sans"/>
          <w:b/>
          <w:bCs/>
          <w:color w:val="993333"/>
          <w:sz w:val="20"/>
          <w:szCs w:val="20"/>
          <w:lang w:eastAsia="es-ES"/>
        </w:rPr>
        <w:t>.</w:t>
      </w:r>
      <w:r w:rsidRPr="00A07BE9">
        <w:rPr>
          <w:rFonts w:ascii="Open Sans" w:eastAsia="Times New Roman" w:hAnsi="Open Sans" w:cs="Open Sans"/>
          <w:sz w:val="20"/>
          <w:szCs w:val="20"/>
          <w:lang w:eastAsia="es-ES"/>
        </w:rPr>
        <w:t xml:space="preserve"> </w:t>
      </w:r>
      <w:r w:rsidRPr="00A07BE9">
        <w:rPr>
          <w:rFonts w:ascii="Open Sans" w:eastAsia="Times New Roman" w:hAnsi="Open Sans" w:cs="Open Sans"/>
          <w:b/>
          <w:bCs/>
          <w:sz w:val="20"/>
          <w:szCs w:val="20"/>
          <w:lang w:eastAsia="es-ES"/>
        </w:rPr>
        <w:t>Publicaciones en boletines oficiales año 2019</w:t>
      </w:r>
    </w:p>
    <w:tbl>
      <w:tblPr>
        <w:tblW w:w="8500" w:type="dxa"/>
        <w:tblCellMar>
          <w:top w:w="55" w:type="dxa"/>
          <w:left w:w="55" w:type="dxa"/>
          <w:bottom w:w="55" w:type="dxa"/>
          <w:right w:w="55" w:type="dxa"/>
        </w:tblCellMar>
        <w:tblLook w:val="0000" w:firstRow="0" w:lastRow="0" w:firstColumn="0" w:lastColumn="0" w:noHBand="0" w:noVBand="0"/>
      </w:tblPr>
      <w:tblGrid>
        <w:gridCol w:w="5098"/>
        <w:gridCol w:w="1701"/>
        <w:gridCol w:w="1701"/>
      </w:tblGrid>
      <w:tr w:rsidR="000952B8" w:rsidRPr="00A07BE9" w14:paraId="6F086D5F" w14:textId="77777777" w:rsidTr="00FB3598">
        <w:trPr>
          <w:tblHeader/>
        </w:trPr>
        <w:tc>
          <w:tcPr>
            <w:tcW w:w="5098" w:type="dxa"/>
            <w:tcBorders>
              <w:top w:val="single" w:sz="4" w:space="0" w:color="000000"/>
              <w:left w:val="single" w:sz="4" w:space="0" w:color="000000"/>
              <w:bottom w:val="single" w:sz="4" w:space="0" w:color="000000"/>
            </w:tcBorders>
            <w:shd w:val="clear" w:color="auto" w:fill="9D2235"/>
          </w:tcPr>
          <w:p w14:paraId="4CB1E243" w14:textId="77777777" w:rsidR="000952B8" w:rsidRPr="00A07BE9" w:rsidRDefault="000952B8" w:rsidP="00A366B3">
            <w:pPr>
              <w:spacing w:line="276" w:lineRule="auto"/>
              <w:ind w:left="113"/>
              <w:jc w:val="both"/>
              <w:rPr>
                <w:rFonts w:ascii="Open Sans" w:eastAsia="Times New Roman" w:hAnsi="Open Sans" w:cs="Open Sans"/>
                <w:b/>
                <w:bCs/>
                <w:color w:val="FFFFFF"/>
                <w:sz w:val="20"/>
                <w:szCs w:val="20"/>
                <w:lang w:eastAsia="es-ES"/>
              </w:rPr>
            </w:pPr>
            <w:r w:rsidRPr="00A07BE9">
              <w:rPr>
                <w:rFonts w:ascii="Open Sans" w:eastAsia="Times New Roman" w:hAnsi="Open Sans" w:cs="Open Sans"/>
                <w:b/>
                <w:bCs/>
                <w:color w:val="FFFFFF"/>
                <w:sz w:val="20"/>
                <w:szCs w:val="20"/>
                <w:lang w:eastAsia="es-ES"/>
              </w:rPr>
              <w:t>Asunto</w:t>
            </w:r>
          </w:p>
        </w:tc>
        <w:tc>
          <w:tcPr>
            <w:tcW w:w="1701" w:type="dxa"/>
            <w:tcBorders>
              <w:top w:val="single" w:sz="4" w:space="0" w:color="000000"/>
              <w:left w:val="single" w:sz="4" w:space="0" w:color="000000"/>
              <w:bottom w:val="single" w:sz="4" w:space="0" w:color="000000"/>
            </w:tcBorders>
            <w:shd w:val="clear" w:color="auto" w:fill="9D2235"/>
          </w:tcPr>
          <w:p w14:paraId="5F420E5D" w14:textId="77777777" w:rsidR="000952B8" w:rsidRPr="00A07BE9" w:rsidRDefault="000952B8" w:rsidP="00A366B3">
            <w:pPr>
              <w:spacing w:line="276" w:lineRule="auto"/>
              <w:jc w:val="center"/>
              <w:rPr>
                <w:rFonts w:ascii="Open Sans" w:eastAsia="Times New Roman" w:hAnsi="Open Sans" w:cs="Open Sans"/>
                <w:b/>
                <w:bCs/>
                <w:color w:val="FFFFFF"/>
                <w:sz w:val="20"/>
                <w:szCs w:val="20"/>
                <w:lang w:eastAsia="es-ES"/>
              </w:rPr>
            </w:pPr>
            <w:r w:rsidRPr="00A07BE9">
              <w:rPr>
                <w:rFonts w:ascii="Open Sans" w:eastAsia="Times New Roman" w:hAnsi="Open Sans" w:cs="Open Sans"/>
                <w:b/>
                <w:bCs/>
                <w:color w:val="FFFFFF"/>
                <w:sz w:val="20"/>
                <w:szCs w:val="20"/>
                <w:lang w:eastAsia="es-ES"/>
              </w:rPr>
              <w:t>BOCV</w:t>
            </w:r>
          </w:p>
        </w:tc>
        <w:tc>
          <w:tcPr>
            <w:tcW w:w="1701" w:type="dxa"/>
            <w:tcBorders>
              <w:top w:val="single" w:sz="4" w:space="0" w:color="000000"/>
              <w:left w:val="single" w:sz="4" w:space="0" w:color="000000"/>
              <w:bottom w:val="single" w:sz="4" w:space="0" w:color="000000"/>
              <w:right w:val="single" w:sz="4" w:space="0" w:color="000000"/>
            </w:tcBorders>
            <w:shd w:val="clear" w:color="auto" w:fill="9D2235"/>
          </w:tcPr>
          <w:p w14:paraId="042DE074" w14:textId="77777777" w:rsidR="000952B8" w:rsidRPr="00A07BE9" w:rsidRDefault="000952B8" w:rsidP="00A366B3">
            <w:pPr>
              <w:spacing w:line="276" w:lineRule="auto"/>
              <w:jc w:val="center"/>
              <w:rPr>
                <w:rFonts w:ascii="Open Sans" w:eastAsia="Times New Roman" w:hAnsi="Open Sans" w:cs="Open Sans"/>
                <w:b/>
                <w:bCs/>
                <w:color w:val="FFFFFF"/>
                <w:sz w:val="20"/>
                <w:szCs w:val="20"/>
                <w:lang w:eastAsia="es-ES"/>
              </w:rPr>
            </w:pPr>
            <w:r w:rsidRPr="00A07BE9">
              <w:rPr>
                <w:rFonts w:ascii="Open Sans" w:eastAsia="Times New Roman" w:hAnsi="Open Sans" w:cs="Open Sans"/>
                <w:b/>
                <w:bCs/>
                <w:color w:val="FFFFFF"/>
                <w:sz w:val="20"/>
                <w:szCs w:val="20"/>
                <w:lang w:eastAsia="es-ES"/>
              </w:rPr>
              <w:t>DOGV</w:t>
            </w:r>
          </w:p>
        </w:tc>
      </w:tr>
      <w:tr w:rsidR="000952B8" w:rsidRPr="00A07BE9" w14:paraId="27325C1A" w14:textId="77777777" w:rsidTr="000952B8">
        <w:tc>
          <w:tcPr>
            <w:tcW w:w="5098" w:type="dxa"/>
            <w:tcBorders>
              <w:left w:val="single" w:sz="4" w:space="0" w:color="000000"/>
              <w:bottom w:val="single" w:sz="4" w:space="0" w:color="000000"/>
            </w:tcBorders>
            <w:shd w:val="clear" w:color="auto" w:fill="auto"/>
          </w:tcPr>
          <w:p w14:paraId="3158CE4C" w14:textId="77777777" w:rsidR="000952B8" w:rsidRPr="00A07BE9" w:rsidRDefault="000952B8" w:rsidP="00A366B3">
            <w:pPr>
              <w:suppressAutoHyphens/>
              <w:spacing w:after="0" w:line="276" w:lineRule="auto"/>
              <w:ind w:left="113"/>
              <w:jc w:val="both"/>
              <w:textAlignment w:val="baseline"/>
              <w:rPr>
                <w:rFonts w:ascii="Open Sans" w:eastAsia="NSimSun" w:hAnsi="Open Sans" w:cs="Open Sans"/>
                <w:kern w:val="2"/>
                <w:sz w:val="19"/>
                <w:szCs w:val="19"/>
                <w:lang w:eastAsia="zh-CN" w:bidi="hi-IN"/>
              </w:rPr>
            </w:pPr>
            <w:r w:rsidRPr="00A07BE9">
              <w:rPr>
                <w:rFonts w:ascii="Open Sans" w:eastAsia="NSimSun" w:hAnsi="Open Sans" w:cs="Open Sans"/>
                <w:b/>
                <w:color w:val="000000"/>
                <w:kern w:val="2"/>
                <w:sz w:val="19"/>
                <w:szCs w:val="19"/>
                <w:lang w:eastAsia="zh-CN" w:bidi="hi-IN"/>
              </w:rPr>
              <w:t>CORRECCIÓN</w:t>
            </w:r>
            <w:r w:rsidRPr="00A07BE9">
              <w:rPr>
                <w:rFonts w:ascii="Open Sans" w:eastAsia="NSimSun" w:hAnsi="Open Sans" w:cs="Open Sans"/>
                <w:color w:val="000000"/>
                <w:kern w:val="2"/>
                <w:sz w:val="19"/>
                <w:szCs w:val="19"/>
                <w:lang w:eastAsia="zh-CN" w:bidi="hi-IN"/>
              </w:rPr>
              <w:t xml:space="preserve"> de errores de la Ley 27/2018, de 27 de diciembre, de la Generalitat, de medidas fiscales, de gestión administrativa y financiera, y de organización de </w:t>
            </w:r>
            <w:r w:rsidRPr="00A07BE9">
              <w:rPr>
                <w:rFonts w:ascii="Open Sans" w:eastAsia="NSimSun" w:hAnsi="Open Sans" w:cs="Open Sans"/>
                <w:color w:val="000000"/>
                <w:kern w:val="2"/>
                <w:sz w:val="19"/>
                <w:szCs w:val="19"/>
                <w:lang w:eastAsia="zh-CN" w:bidi="hi-IN"/>
              </w:rPr>
              <w:lastRenderedPageBreak/>
              <w:t>la Generalitat por el que</w:t>
            </w:r>
            <w:r w:rsidRPr="00A07BE9">
              <w:rPr>
                <w:rFonts w:ascii="Open Sans" w:eastAsia="NSimSun" w:hAnsi="Open Sans" w:cs="Open Sans"/>
                <w:b/>
                <w:bCs/>
                <w:color w:val="000000"/>
                <w:kern w:val="2"/>
                <w:sz w:val="19"/>
                <w:szCs w:val="19"/>
                <w:lang w:eastAsia="zh-CN" w:bidi="hi-IN"/>
              </w:rPr>
              <w:t xml:space="preserve"> se</w:t>
            </w:r>
            <w:r w:rsidRPr="00A07BE9">
              <w:rPr>
                <w:rFonts w:ascii="Open Sans" w:eastAsia="NSimSun" w:hAnsi="Open Sans" w:cs="Open Sans"/>
                <w:b/>
                <w:bCs/>
                <w:kern w:val="2"/>
                <w:sz w:val="19"/>
                <w:szCs w:val="19"/>
                <w:lang w:eastAsia="zh-CN" w:bidi="hi-IN"/>
              </w:rPr>
              <w:t xml:space="preserve"> m</w:t>
            </w:r>
            <w:r w:rsidRPr="00A07BE9">
              <w:rPr>
                <w:rFonts w:ascii="Open Sans" w:eastAsia="NSimSun" w:hAnsi="Open Sans" w:cs="Open Sans"/>
                <w:b/>
                <w:bCs/>
                <w:color w:val="000000"/>
                <w:kern w:val="2"/>
                <w:sz w:val="19"/>
                <w:szCs w:val="19"/>
                <w:lang w:eastAsia="zh-CN" w:bidi="hi-IN"/>
              </w:rPr>
              <w:t>odifica la Ley 11/2016</w:t>
            </w:r>
            <w:r w:rsidRPr="00A07BE9">
              <w:rPr>
                <w:rFonts w:ascii="Open Sans" w:eastAsia="NSimSun" w:hAnsi="Open Sans" w:cs="Open Sans"/>
                <w:color w:val="000000"/>
                <w:kern w:val="2"/>
                <w:sz w:val="19"/>
                <w:szCs w:val="19"/>
                <w:lang w:eastAsia="zh-CN" w:bidi="hi-IN"/>
              </w:rPr>
              <w:t>, de 28 de noviembre, de la Generalitat, de la Agencia de Prevención y Lucha contra el Fraude y la Corrupción de la Comunitat Valenciana.</w:t>
            </w:r>
          </w:p>
        </w:tc>
        <w:tc>
          <w:tcPr>
            <w:tcW w:w="1701" w:type="dxa"/>
            <w:tcBorders>
              <w:left w:val="single" w:sz="4" w:space="0" w:color="000000"/>
              <w:bottom w:val="single" w:sz="4" w:space="0" w:color="000000"/>
            </w:tcBorders>
            <w:shd w:val="clear" w:color="auto" w:fill="auto"/>
          </w:tcPr>
          <w:p w14:paraId="36EF0BF5" w14:textId="77777777" w:rsidR="000952B8" w:rsidRPr="00A07BE9" w:rsidRDefault="000952B8" w:rsidP="00A366B3">
            <w:pPr>
              <w:suppressLineNumbers/>
              <w:spacing w:line="276" w:lineRule="auto"/>
              <w:jc w:val="center"/>
              <w:rPr>
                <w:rFonts w:ascii="Open Sans" w:eastAsia="Calibri" w:hAnsi="Open Sans" w:cs="Open Sans"/>
                <w:b/>
                <w:color w:val="932224"/>
                <w:sz w:val="19"/>
                <w:szCs w:val="19"/>
              </w:rPr>
            </w:pPr>
          </w:p>
        </w:tc>
        <w:tc>
          <w:tcPr>
            <w:tcW w:w="1701" w:type="dxa"/>
            <w:tcBorders>
              <w:left w:val="single" w:sz="4" w:space="0" w:color="000000"/>
              <w:bottom w:val="single" w:sz="4" w:space="0" w:color="000000"/>
              <w:right w:val="single" w:sz="4" w:space="0" w:color="000000"/>
            </w:tcBorders>
            <w:shd w:val="clear" w:color="auto" w:fill="auto"/>
          </w:tcPr>
          <w:p w14:paraId="0BAA8163" w14:textId="77777777" w:rsidR="000952B8" w:rsidRPr="00A07BE9" w:rsidRDefault="00000000" w:rsidP="00A366B3">
            <w:pPr>
              <w:suppressLineNumbers/>
              <w:spacing w:line="276" w:lineRule="auto"/>
              <w:jc w:val="center"/>
              <w:rPr>
                <w:rFonts w:ascii="Open Sans" w:eastAsia="Calibri" w:hAnsi="Open Sans" w:cs="Open Sans"/>
                <w:b/>
                <w:sz w:val="19"/>
                <w:szCs w:val="19"/>
              </w:rPr>
            </w:pPr>
            <w:hyperlink r:id="rId347">
              <w:r w:rsidR="000952B8" w:rsidRPr="00A07BE9">
                <w:rPr>
                  <w:rFonts w:ascii="Open Sans" w:eastAsia="Calibri" w:hAnsi="Open Sans" w:cs="Open Sans"/>
                  <w:color w:val="932224"/>
                  <w:sz w:val="19"/>
                  <w:szCs w:val="19"/>
                </w:rPr>
                <w:t>DOGV 8549 de 16.05.2019</w:t>
              </w:r>
            </w:hyperlink>
          </w:p>
        </w:tc>
      </w:tr>
      <w:tr w:rsidR="000952B8" w:rsidRPr="00A07BE9" w14:paraId="739D4F07" w14:textId="77777777" w:rsidTr="000952B8">
        <w:tc>
          <w:tcPr>
            <w:tcW w:w="5098" w:type="dxa"/>
            <w:tcBorders>
              <w:left w:val="single" w:sz="4" w:space="0" w:color="000000"/>
              <w:bottom w:val="single" w:sz="4" w:space="0" w:color="000000"/>
            </w:tcBorders>
            <w:shd w:val="clear" w:color="auto" w:fill="auto"/>
          </w:tcPr>
          <w:p w14:paraId="52042092" w14:textId="32819941" w:rsidR="000952B8" w:rsidRPr="00A07BE9" w:rsidRDefault="000952B8" w:rsidP="00A366B3">
            <w:pPr>
              <w:suppressAutoHyphens/>
              <w:spacing w:after="0" w:line="276" w:lineRule="auto"/>
              <w:ind w:left="113"/>
              <w:jc w:val="both"/>
              <w:textAlignment w:val="baseline"/>
              <w:rPr>
                <w:rFonts w:ascii="Open Sans" w:eastAsia="NSimSun" w:hAnsi="Open Sans" w:cs="Open Sans"/>
                <w:kern w:val="2"/>
                <w:sz w:val="19"/>
                <w:szCs w:val="19"/>
                <w:lang w:eastAsia="zh-CN" w:bidi="hi-IN"/>
              </w:rPr>
            </w:pPr>
            <w:r w:rsidRPr="00A07BE9">
              <w:rPr>
                <w:rFonts w:ascii="Open Sans" w:eastAsia="NSimSun" w:hAnsi="Open Sans" w:cs="Open Sans"/>
                <w:b/>
                <w:color w:val="000000"/>
                <w:kern w:val="2"/>
                <w:sz w:val="19"/>
                <w:szCs w:val="19"/>
                <w:lang w:eastAsia="zh-CN" w:bidi="hi-IN"/>
              </w:rPr>
              <w:t>RESOLUCIÓN</w:t>
            </w:r>
            <w:r w:rsidRPr="00A07BE9">
              <w:rPr>
                <w:rFonts w:ascii="Open Sans" w:eastAsia="NSimSun" w:hAnsi="Open Sans" w:cs="Open Sans"/>
                <w:color w:val="000000"/>
                <w:kern w:val="2"/>
                <w:sz w:val="19"/>
                <w:szCs w:val="19"/>
                <w:lang w:eastAsia="zh-CN" w:bidi="hi-IN"/>
              </w:rPr>
              <w:t xml:space="preserve"> de 7 de enero de 2019, del director de la Agencia de Prevención y Lucha contra el Fraude y la Corrupción de la Comunitat Valenciana, por la que se </w:t>
            </w:r>
            <w:r w:rsidRPr="00A07BE9">
              <w:rPr>
                <w:rFonts w:ascii="Open Sans" w:eastAsia="NSimSun" w:hAnsi="Open Sans" w:cs="Open Sans"/>
                <w:b/>
                <w:color w:val="000000"/>
                <w:kern w:val="2"/>
                <w:sz w:val="19"/>
                <w:szCs w:val="19"/>
                <w:lang w:eastAsia="zh-CN" w:bidi="hi-IN"/>
              </w:rPr>
              <w:t>crea el Consejo de Dirección</w:t>
            </w:r>
            <w:r w:rsidRPr="00A07BE9">
              <w:rPr>
                <w:rFonts w:ascii="Open Sans" w:eastAsia="NSimSun" w:hAnsi="Open Sans" w:cs="Open Sans"/>
                <w:color w:val="000000"/>
                <w:kern w:val="2"/>
                <w:sz w:val="19"/>
                <w:szCs w:val="19"/>
                <w:lang w:eastAsia="zh-CN" w:bidi="hi-IN"/>
              </w:rPr>
              <w:t xml:space="preserve"> de la Agencia de Prevención y Lucha contra el Fraude y la Corrupción de la Comunitat Valenciana</w:t>
            </w:r>
            <w:r w:rsidR="00A366B3" w:rsidRPr="00A07BE9">
              <w:rPr>
                <w:rFonts w:ascii="Open Sans" w:eastAsia="NSimSun" w:hAnsi="Open Sans" w:cs="Open Sans"/>
                <w:color w:val="000000"/>
                <w:kern w:val="2"/>
                <w:sz w:val="19"/>
                <w:szCs w:val="19"/>
                <w:lang w:eastAsia="zh-CN" w:bidi="hi-IN"/>
              </w:rPr>
              <w:t>.</w:t>
            </w:r>
          </w:p>
        </w:tc>
        <w:tc>
          <w:tcPr>
            <w:tcW w:w="1701" w:type="dxa"/>
            <w:tcBorders>
              <w:left w:val="single" w:sz="4" w:space="0" w:color="000000"/>
              <w:bottom w:val="single" w:sz="4" w:space="0" w:color="000000"/>
            </w:tcBorders>
            <w:shd w:val="clear" w:color="auto" w:fill="auto"/>
          </w:tcPr>
          <w:p w14:paraId="036253B0" w14:textId="32194383" w:rsidR="000952B8" w:rsidRPr="00A07BE9" w:rsidRDefault="00000000" w:rsidP="00A366B3">
            <w:pPr>
              <w:suppressLineNumbers/>
              <w:spacing w:line="276" w:lineRule="auto"/>
              <w:jc w:val="center"/>
              <w:rPr>
                <w:rFonts w:ascii="Open Sans" w:eastAsia="Calibri" w:hAnsi="Open Sans" w:cs="Open Sans"/>
                <w:sz w:val="19"/>
                <w:szCs w:val="19"/>
              </w:rPr>
            </w:pPr>
            <w:hyperlink r:id="rId348" w:anchor="boc/sumari/IX00339000" w:history="1">
              <w:r w:rsidR="000952B8" w:rsidRPr="00A07BE9">
                <w:rPr>
                  <w:rFonts w:ascii="Open Sans" w:eastAsia="Calibri" w:hAnsi="Open Sans" w:cs="Open Sans"/>
                  <w:color w:val="932224"/>
                  <w:sz w:val="19"/>
                  <w:szCs w:val="19"/>
                  <w:shd w:val="clear" w:color="auto" w:fill="FFFFFF"/>
                </w:rPr>
                <w:t>BOCV 339/IX de 28.01.2019</w:t>
              </w:r>
            </w:hyperlink>
          </w:p>
        </w:tc>
        <w:tc>
          <w:tcPr>
            <w:tcW w:w="1701" w:type="dxa"/>
            <w:tcBorders>
              <w:left w:val="single" w:sz="4" w:space="0" w:color="000000"/>
              <w:bottom w:val="single" w:sz="4" w:space="0" w:color="000000"/>
              <w:right w:val="single" w:sz="4" w:space="0" w:color="000000"/>
            </w:tcBorders>
            <w:shd w:val="clear" w:color="auto" w:fill="auto"/>
          </w:tcPr>
          <w:p w14:paraId="6E3147D3" w14:textId="77777777" w:rsidR="000952B8" w:rsidRPr="00A07BE9" w:rsidRDefault="000952B8" w:rsidP="00A366B3">
            <w:pPr>
              <w:suppressLineNumbers/>
              <w:spacing w:line="276" w:lineRule="auto"/>
              <w:jc w:val="center"/>
              <w:rPr>
                <w:rFonts w:ascii="Open Sans" w:eastAsia="Calibri" w:hAnsi="Open Sans" w:cs="Open Sans"/>
                <w:b/>
                <w:color w:val="932224"/>
                <w:sz w:val="19"/>
                <w:szCs w:val="19"/>
              </w:rPr>
            </w:pPr>
          </w:p>
        </w:tc>
      </w:tr>
      <w:tr w:rsidR="000952B8" w:rsidRPr="00A07BE9" w14:paraId="36F7435B" w14:textId="77777777" w:rsidTr="000952B8">
        <w:tc>
          <w:tcPr>
            <w:tcW w:w="5098" w:type="dxa"/>
            <w:tcBorders>
              <w:left w:val="single" w:sz="4" w:space="0" w:color="000000"/>
              <w:bottom w:val="single" w:sz="4" w:space="0" w:color="000000"/>
            </w:tcBorders>
            <w:shd w:val="clear" w:color="auto" w:fill="auto"/>
          </w:tcPr>
          <w:p w14:paraId="74EDB69A" w14:textId="77777777" w:rsidR="000952B8" w:rsidRPr="00A07BE9" w:rsidRDefault="000952B8" w:rsidP="00A366B3">
            <w:pPr>
              <w:suppressAutoHyphens/>
              <w:spacing w:after="0" w:line="276" w:lineRule="auto"/>
              <w:ind w:left="113"/>
              <w:jc w:val="both"/>
              <w:textAlignment w:val="baseline"/>
              <w:rPr>
                <w:rFonts w:ascii="Open Sans" w:eastAsia="NSimSun" w:hAnsi="Open Sans" w:cs="Open Sans"/>
                <w:kern w:val="2"/>
                <w:sz w:val="19"/>
                <w:szCs w:val="19"/>
                <w:lang w:val="en-GB" w:eastAsia="zh-CN" w:bidi="hi-IN"/>
              </w:rPr>
            </w:pPr>
            <w:r w:rsidRPr="00A07BE9">
              <w:rPr>
                <w:rFonts w:ascii="Open Sans" w:eastAsia="NSimSun" w:hAnsi="Open Sans" w:cs="Open Sans"/>
                <w:b/>
                <w:kern w:val="2"/>
                <w:sz w:val="19"/>
                <w:szCs w:val="19"/>
                <w:lang w:eastAsia="zh-CN" w:bidi="hi-IN"/>
              </w:rPr>
              <w:t>RESOLUCIÓN</w:t>
            </w:r>
            <w:r w:rsidRPr="00A07BE9">
              <w:rPr>
                <w:rFonts w:ascii="Open Sans" w:eastAsia="NSimSun" w:hAnsi="Open Sans" w:cs="Open Sans"/>
                <w:kern w:val="2"/>
                <w:sz w:val="19"/>
                <w:szCs w:val="19"/>
                <w:lang w:eastAsia="zh-CN" w:bidi="hi-IN"/>
              </w:rPr>
              <w:t xml:space="preserve"> de 30 de noviembre de 2018, del director de la Agencia de Prevención y Lucha contra el Fraude y la Corrupción de la Comunitat Valenciana, sobre </w:t>
            </w:r>
            <w:r w:rsidRPr="00A07BE9">
              <w:rPr>
                <w:rFonts w:ascii="Open Sans" w:eastAsia="NSimSun" w:hAnsi="Open Sans" w:cs="Open Sans"/>
                <w:b/>
                <w:bCs/>
                <w:kern w:val="2"/>
                <w:sz w:val="19"/>
                <w:szCs w:val="19"/>
                <w:lang w:eastAsia="zh-CN" w:bidi="hi-IN"/>
              </w:rPr>
              <w:t>modificación puntual de las características de varios puestos de trabajo</w:t>
            </w:r>
            <w:r w:rsidRPr="00A07BE9">
              <w:rPr>
                <w:rFonts w:ascii="Open Sans" w:eastAsia="NSimSun" w:hAnsi="Open Sans" w:cs="Open Sans"/>
                <w:kern w:val="2"/>
                <w:sz w:val="19"/>
                <w:szCs w:val="19"/>
                <w:lang w:eastAsia="zh-CN" w:bidi="hi-IN"/>
              </w:rPr>
              <w:t xml:space="preserve"> de la Agencia en el ejercicio de potestades de organización.</w:t>
            </w:r>
          </w:p>
        </w:tc>
        <w:tc>
          <w:tcPr>
            <w:tcW w:w="1701" w:type="dxa"/>
            <w:tcBorders>
              <w:left w:val="single" w:sz="4" w:space="0" w:color="000000"/>
              <w:bottom w:val="single" w:sz="4" w:space="0" w:color="000000"/>
            </w:tcBorders>
            <w:shd w:val="clear" w:color="auto" w:fill="auto"/>
          </w:tcPr>
          <w:p w14:paraId="5E8323E9" w14:textId="77777777" w:rsidR="000952B8" w:rsidRPr="00A07BE9" w:rsidRDefault="000952B8" w:rsidP="00A366B3">
            <w:pPr>
              <w:suppressLineNumbers/>
              <w:spacing w:line="276" w:lineRule="auto"/>
              <w:jc w:val="center"/>
              <w:rPr>
                <w:rFonts w:ascii="Open Sans" w:eastAsia="Calibri" w:hAnsi="Open Sans" w:cs="Open Sans"/>
                <w:b/>
                <w:color w:val="932224"/>
                <w:sz w:val="19"/>
                <w:szCs w:val="19"/>
              </w:rPr>
            </w:pPr>
          </w:p>
        </w:tc>
        <w:tc>
          <w:tcPr>
            <w:tcW w:w="1701" w:type="dxa"/>
            <w:tcBorders>
              <w:left w:val="single" w:sz="4" w:space="0" w:color="000000"/>
              <w:bottom w:val="single" w:sz="4" w:space="0" w:color="000000"/>
              <w:right w:val="single" w:sz="4" w:space="0" w:color="000000"/>
            </w:tcBorders>
            <w:shd w:val="clear" w:color="auto" w:fill="auto"/>
          </w:tcPr>
          <w:p w14:paraId="6805861F" w14:textId="77777777" w:rsidR="000952B8" w:rsidRPr="00A07BE9" w:rsidRDefault="00000000" w:rsidP="00A366B3">
            <w:pPr>
              <w:suppressLineNumbers/>
              <w:spacing w:line="276" w:lineRule="auto"/>
              <w:jc w:val="center"/>
              <w:rPr>
                <w:rFonts w:ascii="Open Sans" w:eastAsia="Calibri" w:hAnsi="Open Sans" w:cs="Open Sans"/>
                <w:sz w:val="19"/>
                <w:szCs w:val="19"/>
              </w:rPr>
            </w:pPr>
            <w:hyperlink r:id="rId349">
              <w:r w:rsidR="000952B8" w:rsidRPr="00A07BE9">
                <w:rPr>
                  <w:rFonts w:ascii="Open Sans" w:eastAsia="Calibri" w:hAnsi="Open Sans" w:cs="Open Sans"/>
                  <w:color w:val="932224"/>
                  <w:sz w:val="19"/>
                  <w:szCs w:val="19"/>
                  <w:shd w:val="clear" w:color="auto" w:fill="FFFFFF"/>
                </w:rPr>
                <w:t>DOGV 8460 de 09.01.2019</w:t>
              </w:r>
            </w:hyperlink>
          </w:p>
        </w:tc>
      </w:tr>
      <w:tr w:rsidR="000952B8" w:rsidRPr="00A07BE9" w14:paraId="441F7384" w14:textId="77777777" w:rsidTr="000952B8">
        <w:tc>
          <w:tcPr>
            <w:tcW w:w="5098" w:type="dxa"/>
            <w:tcBorders>
              <w:left w:val="single" w:sz="4" w:space="0" w:color="000000"/>
              <w:bottom w:val="single" w:sz="4" w:space="0" w:color="000000"/>
            </w:tcBorders>
            <w:shd w:val="clear" w:color="auto" w:fill="auto"/>
          </w:tcPr>
          <w:p w14:paraId="46DFC9B5" w14:textId="77777777" w:rsidR="000952B8" w:rsidRPr="00A07BE9" w:rsidRDefault="000952B8" w:rsidP="00A366B3">
            <w:pPr>
              <w:suppressAutoHyphens/>
              <w:spacing w:after="0" w:line="276" w:lineRule="auto"/>
              <w:ind w:left="113"/>
              <w:jc w:val="both"/>
              <w:textAlignment w:val="baseline"/>
              <w:rPr>
                <w:rFonts w:ascii="Open Sans" w:eastAsia="NSimSun" w:hAnsi="Open Sans" w:cs="Open Sans"/>
                <w:kern w:val="2"/>
                <w:sz w:val="19"/>
                <w:szCs w:val="19"/>
                <w:lang w:eastAsia="zh-CN" w:bidi="hi-IN"/>
              </w:rPr>
            </w:pPr>
            <w:r w:rsidRPr="00A07BE9">
              <w:rPr>
                <w:rFonts w:ascii="Open Sans" w:eastAsia="NSimSun" w:hAnsi="Open Sans" w:cs="Open Sans"/>
                <w:b/>
                <w:kern w:val="2"/>
                <w:sz w:val="19"/>
                <w:szCs w:val="19"/>
                <w:lang w:eastAsia="zh-CN" w:bidi="hi-IN"/>
              </w:rPr>
              <w:t>RESOLUCIÓN</w:t>
            </w:r>
            <w:r w:rsidRPr="00A07BE9">
              <w:rPr>
                <w:rFonts w:ascii="Open Sans" w:eastAsia="NSimSun" w:hAnsi="Open Sans" w:cs="Open Sans"/>
                <w:kern w:val="2"/>
                <w:sz w:val="19"/>
                <w:szCs w:val="19"/>
                <w:lang w:eastAsia="zh-CN" w:bidi="hi-IN"/>
              </w:rPr>
              <w:t xml:space="preserve"> de 21 de diciembre de 2018, del director de la Agencia de Prevención y Lucha contra el Fraude y la Corrupción de la Comunitat Valenciana, por la que se </w:t>
            </w:r>
            <w:r w:rsidRPr="00A07BE9">
              <w:rPr>
                <w:rFonts w:ascii="Open Sans" w:eastAsia="NSimSun" w:hAnsi="Open Sans" w:cs="Open Sans"/>
                <w:b/>
                <w:bCs/>
                <w:kern w:val="2"/>
                <w:sz w:val="19"/>
                <w:szCs w:val="19"/>
                <w:lang w:eastAsia="zh-CN" w:bidi="hi-IN"/>
              </w:rPr>
              <w:t>convoca la provisión,</w:t>
            </w:r>
            <w:r w:rsidRPr="00A07BE9">
              <w:rPr>
                <w:rFonts w:ascii="Open Sans" w:eastAsia="NSimSun" w:hAnsi="Open Sans" w:cs="Open Sans"/>
                <w:kern w:val="2"/>
                <w:sz w:val="19"/>
                <w:szCs w:val="19"/>
                <w:lang w:eastAsia="zh-CN" w:bidi="hi-IN"/>
              </w:rPr>
              <w:t xml:space="preserve"> por el sistema de libre designación, de un </w:t>
            </w:r>
            <w:r w:rsidRPr="00A07BE9">
              <w:rPr>
                <w:rFonts w:ascii="Open Sans" w:eastAsia="NSimSun" w:hAnsi="Open Sans" w:cs="Open Sans"/>
                <w:b/>
                <w:bCs/>
                <w:kern w:val="2"/>
                <w:sz w:val="19"/>
                <w:szCs w:val="19"/>
                <w:lang w:eastAsia="zh-CN" w:bidi="hi-IN"/>
              </w:rPr>
              <w:t xml:space="preserve">puesto de trabajo </w:t>
            </w:r>
            <w:r w:rsidRPr="00A07BE9">
              <w:rPr>
                <w:rFonts w:ascii="Open Sans" w:eastAsia="NSimSun" w:hAnsi="Open Sans" w:cs="Open Sans"/>
                <w:kern w:val="2"/>
                <w:sz w:val="19"/>
                <w:szCs w:val="19"/>
                <w:lang w:eastAsia="zh-CN" w:bidi="hi-IN"/>
              </w:rPr>
              <w:t>vacante de naturaleza funcionarial en la Agencia de Prevención y Lucha contra el Fraude y la Corrupción de la Comunitat Valenciana. Convocatoria 6/2018.</w:t>
            </w:r>
          </w:p>
        </w:tc>
        <w:tc>
          <w:tcPr>
            <w:tcW w:w="1701" w:type="dxa"/>
            <w:tcBorders>
              <w:left w:val="single" w:sz="4" w:space="0" w:color="000000"/>
              <w:bottom w:val="single" w:sz="4" w:space="0" w:color="000000"/>
            </w:tcBorders>
            <w:shd w:val="clear" w:color="auto" w:fill="auto"/>
          </w:tcPr>
          <w:p w14:paraId="124A01D1" w14:textId="77777777" w:rsidR="000952B8" w:rsidRPr="00A07BE9" w:rsidRDefault="000952B8" w:rsidP="00A366B3">
            <w:pPr>
              <w:suppressLineNumbers/>
              <w:spacing w:line="276" w:lineRule="auto"/>
              <w:jc w:val="center"/>
              <w:rPr>
                <w:rFonts w:ascii="Open Sans" w:eastAsia="Calibri" w:hAnsi="Open Sans" w:cs="Open Sans"/>
                <w:b/>
                <w:color w:val="932224"/>
                <w:sz w:val="19"/>
                <w:szCs w:val="19"/>
              </w:rPr>
            </w:pPr>
          </w:p>
        </w:tc>
        <w:tc>
          <w:tcPr>
            <w:tcW w:w="1701" w:type="dxa"/>
            <w:tcBorders>
              <w:left w:val="single" w:sz="4" w:space="0" w:color="000000"/>
              <w:bottom w:val="single" w:sz="4" w:space="0" w:color="000000"/>
              <w:right w:val="single" w:sz="4" w:space="0" w:color="000000"/>
            </w:tcBorders>
            <w:shd w:val="clear" w:color="auto" w:fill="auto"/>
          </w:tcPr>
          <w:p w14:paraId="3C347955" w14:textId="77777777" w:rsidR="000952B8" w:rsidRPr="00A07BE9" w:rsidRDefault="00000000" w:rsidP="00A366B3">
            <w:pPr>
              <w:suppressLineNumbers/>
              <w:spacing w:line="276" w:lineRule="auto"/>
              <w:jc w:val="center"/>
              <w:rPr>
                <w:rFonts w:ascii="Open Sans" w:eastAsia="Calibri" w:hAnsi="Open Sans" w:cs="Open Sans"/>
                <w:sz w:val="19"/>
                <w:szCs w:val="19"/>
              </w:rPr>
            </w:pPr>
            <w:hyperlink r:id="rId350">
              <w:r w:rsidR="000952B8" w:rsidRPr="00A07BE9">
                <w:rPr>
                  <w:rFonts w:ascii="Open Sans" w:eastAsia="Calibri" w:hAnsi="Open Sans" w:cs="Open Sans"/>
                  <w:color w:val="932224"/>
                  <w:sz w:val="19"/>
                  <w:szCs w:val="19"/>
                  <w:shd w:val="clear" w:color="auto" w:fill="FFFFFF"/>
                </w:rPr>
                <w:t>DOGV 8462 de 11.01.2019</w:t>
              </w:r>
            </w:hyperlink>
          </w:p>
        </w:tc>
      </w:tr>
      <w:tr w:rsidR="000952B8" w:rsidRPr="00A07BE9" w14:paraId="255CABBC" w14:textId="77777777" w:rsidTr="000952B8">
        <w:tc>
          <w:tcPr>
            <w:tcW w:w="5098" w:type="dxa"/>
            <w:tcBorders>
              <w:left w:val="single" w:sz="4" w:space="0" w:color="000000"/>
              <w:bottom w:val="single" w:sz="4" w:space="0" w:color="000000"/>
            </w:tcBorders>
            <w:shd w:val="clear" w:color="auto" w:fill="auto"/>
          </w:tcPr>
          <w:p w14:paraId="059F6D4B" w14:textId="77777777" w:rsidR="000952B8" w:rsidRPr="00A07BE9" w:rsidRDefault="000952B8" w:rsidP="00A366B3">
            <w:pPr>
              <w:suppressAutoHyphens/>
              <w:spacing w:after="0" w:line="276" w:lineRule="auto"/>
              <w:ind w:left="113"/>
              <w:jc w:val="both"/>
              <w:textAlignment w:val="baseline"/>
              <w:rPr>
                <w:rFonts w:ascii="Open Sans" w:eastAsia="NSimSun" w:hAnsi="Open Sans" w:cs="Open Sans"/>
                <w:kern w:val="2"/>
                <w:sz w:val="19"/>
                <w:szCs w:val="19"/>
                <w:lang w:val="en-GB" w:eastAsia="zh-CN" w:bidi="hi-IN"/>
              </w:rPr>
            </w:pPr>
            <w:r w:rsidRPr="00A07BE9">
              <w:rPr>
                <w:rFonts w:ascii="Open Sans" w:eastAsia="NSimSun" w:hAnsi="Open Sans" w:cs="Open Sans"/>
                <w:b/>
                <w:kern w:val="2"/>
                <w:sz w:val="19"/>
                <w:szCs w:val="19"/>
                <w:lang w:eastAsia="zh-CN" w:bidi="hi-IN"/>
              </w:rPr>
              <w:t>RESOLUCIÓN</w:t>
            </w:r>
            <w:r w:rsidRPr="00A07BE9">
              <w:rPr>
                <w:rFonts w:ascii="Open Sans" w:eastAsia="NSimSun" w:hAnsi="Open Sans" w:cs="Open Sans"/>
                <w:kern w:val="2"/>
                <w:sz w:val="19"/>
                <w:szCs w:val="19"/>
                <w:lang w:eastAsia="zh-CN" w:bidi="hi-IN"/>
              </w:rPr>
              <w:t xml:space="preserve"> de 18 de enero de 2019, del director de la Agencia de Prevención y Lucha contra el Fraude y la Corrupción de la Comunitat Valenciana, por la que se </w:t>
            </w:r>
            <w:r w:rsidRPr="00A07BE9">
              <w:rPr>
                <w:rFonts w:ascii="Open Sans" w:eastAsia="NSimSun" w:hAnsi="Open Sans" w:cs="Open Sans"/>
                <w:b/>
                <w:bCs/>
                <w:kern w:val="2"/>
                <w:sz w:val="19"/>
                <w:szCs w:val="19"/>
                <w:lang w:eastAsia="zh-CN" w:bidi="hi-IN"/>
              </w:rPr>
              <w:t>convoca la provisión,</w:t>
            </w:r>
            <w:r w:rsidRPr="00A07BE9">
              <w:rPr>
                <w:rFonts w:ascii="Open Sans" w:eastAsia="NSimSun" w:hAnsi="Open Sans" w:cs="Open Sans"/>
                <w:kern w:val="2"/>
                <w:sz w:val="19"/>
                <w:szCs w:val="19"/>
                <w:lang w:eastAsia="zh-CN" w:bidi="hi-IN"/>
              </w:rPr>
              <w:t xml:space="preserve"> por el sistema de libre designación, del puesto de trabajo vacante de naturaleza funcionarial en la Agencia de Prevención y Lucha contra el Fraude y la Corrupción de la Comunitat Valenciana, </w:t>
            </w:r>
            <w:r w:rsidRPr="00A07BE9">
              <w:rPr>
                <w:rFonts w:ascii="Open Sans" w:eastAsia="NSimSun" w:hAnsi="Open Sans" w:cs="Open Sans"/>
                <w:b/>
                <w:kern w:val="2"/>
                <w:sz w:val="19"/>
                <w:szCs w:val="19"/>
                <w:lang w:eastAsia="zh-CN" w:bidi="hi-IN"/>
              </w:rPr>
              <w:t>jefe o jefa del Servicio de Prevención y Documentación</w:t>
            </w:r>
            <w:r w:rsidRPr="00A07BE9">
              <w:rPr>
                <w:rFonts w:ascii="Open Sans" w:eastAsia="NSimSun" w:hAnsi="Open Sans" w:cs="Open Sans"/>
                <w:kern w:val="2"/>
                <w:sz w:val="19"/>
                <w:szCs w:val="19"/>
                <w:lang w:eastAsia="zh-CN" w:bidi="hi-IN"/>
              </w:rPr>
              <w:t>. Convocatoria número 1/2019.</w:t>
            </w:r>
          </w:p>
        </w:tc>
        <w:tc>
          <w:tcPr>
            <w:tcW w:w="1701" w:type="dxa"/>
            <w:tcBorders>
              <w:left w:val="single" w:sz="4" w:space="0" w:color="000000"/>
              <w:bottom w:val="single" w:sz="4" w:space="0" w:color="000000"/>
            </w:tcBorders>
            <w:shd w:val="clear" w:color="auto" w:fill="auto"/>
          </w:tcPr>
          <w:p w14:paraId="50307DA8" w14:textId="77777777" w:rsidR="000952B8" w:rsidRPr="00A07BE9" w:rsidRDefault="000952B8" w:rsidP="00A366B3">
            <w:pPr>
              <w:suppressLineNumbers/>
              <w:spacing w:line="276" w:lineRule="auto"/>
              <w:jc w:val="center"/>
              <w:rPr>
                <w:rFonts w:ascii="Open Sans" w:eastAsia="Calibri" w:hAnsi="Open Sans" w:cs="Open Sans"/>
                <w:b/>
                <w:color w:val="932224"/>
                <w:sz w:val="19"/>
                <w:szCs w:val="19"/>
              </w:rPr>
            </w:pPr>
          </w:p>
        </w:tc>
        <w:tc>
          <w:tcPr>
            <w:tcW w:w="1701" w:type="dxa"/>
            <w:tcBorders>
              <w:left w:val="single" w:sz="4" w:space="0" w:color="000000"/>
              <w:bottom w:val="single" w:sz="4" w:space="0" w:color="000000"/>
              <w:right w:val="single" w:sz="4" w:space="0" w:color="000000"/>
            </w:tcBorders>
            <w:shd w:val="clear" w:color="auto" w:fill="auto"/>
          </w:tcPr>
          <w:p w14:paraId="6F5184B3" w14:textId="77777777" w:rsidR="000952B8" w:rsidRPr="00A07BE9" w:rsidRDefault="00000000" w:rsidP="00A366B3">
            <w:pPr>
              <w:suppressLineNumbers/>
              <w:spacing w:line="276" w:lineRule="auto"/>
              <w:jc w:val="center"/>
              <w:rPr>
                <w:rFonts w:ascii="Open Sans" w:eastAsia="Calibri" w:hAnsi="Open Sans" w:cs="Open Sans"/>
                <w:sz w:val="19"/>
                <w:szCs w:val="19"/>
              </w:rPr>
            </w:pPr>
            <w:hyperlink r:id="rId351">
              <w:r w:rsidR="000952B8" w:rsidRPr="00A07BE9">
                <w:rPr>
                  <w:rFonts w:ascii="Open Sans" w:eastAsia="Calibri" w:hAnsi="Open Sans" w:cs="Open Sans"/>
                  <w:color w:val="932224"/>
                  <w:sz w:val="19"/>
                  <w:szCs w:val="19"/>
                  <w:shd w:val="clear" w:color="auto" w:fill="FFFFFF"/>
                </w:rPr>
                <w:t>DOGV 8477 de 01.02.2019</w:t>
              </w:r>
            </w:hyperlink>
          </w:p>
        </w:tc>
      </w:tr>
      <w:tr w:rsidR="000952B8" w:rsidRPr="00A07BE9" w14:paraId="018CB231" w14:textId="77777777" w:rsidTr="000952B8">
        <w:tc>
          <w:tcPr>
            <w:tcW w:w="5098" w:type="dxa"/>
            <w:tcBorders>
              <w:left w:val="single" w:sz="4" w:space="0" w:color="000000"/>
              <w:bottom w:val="single" w:sz="4" w:space="0" w:color="000000"/>
            </w:tcBorders>
            <w:shd w:val="clear" w:color="auto" w:fill="auto"/>
          </w:tcPr>
          <w:p w14:paraId="6F350391" w14:textId="77777777" w:rsidR="000952B8" w:rsidRPr="00A07BE9" w:rsidRDefault="000952B8" w:rsidP="00A366B3">
            <w:pPr>
              <w:suppressAutoHyphens/>
              <w:spacing w:after="0" w:line="276" w:lineRule="auto"/>
              <w:ind w:left="113"/>
              <w:jc w:val="both"/>
              <w:textAlignment w:val="baseline"/>
              <w:rPr>
                <w:rFonts w:ascii="Open Sans" w:eastAsia="NSimSun" w:hAnsi="Open Sans" w:cs="Open Sans"/>
                <w:kern w:val="2"/>
                <w:sz w:val="19"/>
                <w:szCs w:val="19"/>
                <w:lang w:val="en-GB" w:eastAsia="zh-CN" w:bidi="hi-IN"/>
              </w:rPr>
            </w:pPr>
            <w:r w:rsidRPr="00A07BE9">
              <w:rPr>
                <w:rFonts w:ascii="Open Sans" w:eastAsia="NSimSun" w:hAnsi="Open Sans" w:cs="Open Sans"/>
                <w:b/>
                <w:kern w:val="2"/>
                <w:sz w:val="19"/>
                <w:szCs w:val="19"/>
                <w:lang w:eastAsia="zh-CN" w:bidi="hi-IN"/>
              </w:rPr>
              <w:t>RESOLUCIÓN</w:t>
            </w:r>
            <w:r w:rsidRPr="00A07BE9">
              <w:rPr>
                <w:rFonts w:ascii="Open Sans" w:eastAsia="NSimSun" w:hAnsi="Open Sans" w:cs="Open Sans"/>
                <w:kern w:val="2"/>
                <w:sz w:val="19"/>
                <w:szCs w:val="19"/>
                <w:lang w:eastAsia="zh-CN" w:bidi="hi-IN"/>
              </w:rPr>
              <w:t xml:space="preserve"> de 18 de enero de 2019, del director de la Agencia de Prevención y Lucha contra el Fraude y la Corrupción de la Comunitat Valenciana, por la que se </w:t>
            </w:r>
            <w:r w:rsidRPr="00A07BE9">
              <w:rPr>
                <w:rFonts w:ascii="Open Sans" w:eastAsia="NSimSun" w:hAnsi="Open Sans" w:cs="Open Sans"/>
                <w:b/>
                <w:bCs/>
                <w:kern w:val="2"/>
                <w:sz w:val="19"/>
                <w:szCs w:val="19"/>
                <w:lang w:eastAsia="zh-CN" w:bidi="hi-IN"/>
              </w:rPr>
              <w:t>convoca la provisión</w:t>
            </w:r>
            <w:r w:rsidRPr="00A07BE9">
              <w:rPr>
                <w:rFonts w:ascii="Open Sans" w:eastAsia="NSimSun" w:hAnsi="Open Sans" w:cs="Open Sans"/>
                <w:kern w:val="2"/>
                <w:sz w:val="19"/>
                <w:szCs w:val="19"/>
                <w:lang w:eastAsia="zh-CN" w:bidi="hi-IN"/>
              </w:rPr>
              <w:t xml:space="preserve">, por el sistema de libre designación, de un puesto de trabajo vacante de naturaleza funcionarial en la Agencia de Prevención y Lucha contra el Fraude y la Corrupción de la Comunitat Valenciana, </w:t>
            </w:r>
            <w:r w:rsidRPr="00A07BE9">
              <w:rPr>
                <w:rFonts w:ascii="Open Sans" w:eastAsia="NSimSun" w:hAnsi="Open Sans" w:cs="Open Sans"/>
                <w:b/>
                <w:kern w:val="2"/>
                <w:sz w:val="19"/>
                <w:szCs w:val="19"/>
                <w:lang w:eastAsia="zh-CN" w:bidi="hi-IN"/>
              </w:rPr>
              <w:t xml:space="preserve">jefe o jefa de Servicio de Generalitat y </w:t>
            </w:r>
            <w:r w:rsidRPr="00A07BE9">
              <w:rPr>
                <w:rFonts w:ascii="Open Sans" w:eastAsia="NSimSun" w:hAnsi="Open Sans" w:cs="Open Sans"/>
                <w:b/>
                <w:kern w:val="2"/>
                <w:sz w:val="19"/>
                <w:szCs w:val="19"/>
                <w:lang w:eastAsia="zh-CN" w:bidi="hi-IN"/>
              </w:rPr>
              <w:lastRenderedPageBreak/>
              <w:t>Sector Público Autonómico</w:t>
            </w:r>
            <w:r w:rsidRPr="00A07BE9">
              <w:rPr>
                <w:rFonts w:ascii="Open Sans" w:eastAsia="NSimSun" w:hAnsi="Open Sans" w:cs="Open Sans"/>
                <w:kern w:val="2"/>
                <w:sz w:val="19"/>
                <w:szCs w:val="19"/>
                <w:lang w:eastAsia="zh-CN" w:bidi="hi-IN"/>
              </w:rPr>
              <w:t>. Convocatoria número 2/2019.</w:t>
            </w:r>
          </w:p>
        </w:tc>
        <w:tc>
          <w:tcPr>
            <w:tcW w:w="1701" w:type="dxa"/>
            <w:tcBorders>
              <w:left w:val="single" w:sz="4" w:space="0" w:color="000000"/>
              <w:bottom w:val="single" w:sz="4" w:space="0" w:color="000000"/>
            </w:tcBorders>
            <w:shd w:val="clear" w:color="auto" w:fill="auto"/>
          </w:tcPr>
          <w:p w14:paraId="5FD6BB53" w14:textId="77777777" w:rsidR="000952B8" w:rsidRPr="00A07BE9" w:rsidRDefault="000952B8" w:rsidP="00A366B3">
            <w:pPr>
              <w:suppressLineNumbers/>
              <w:spacing w:line="276" w:lineRule="auto"/>
              <w:jc w:val="center"/>
              <w:rPr>
                <w:rFonts w:ascii="Open Sans" w:eastAsia="Calibri" w:hAnsi="Open Sans" w:cs="Open Sans"/>
                <w:b/>
                <w:color w:val="932224"/>
                <w:sz w:val="19"/>
                <w:szCs w:val="19"/>
              </w:rPr>
            </w:pPr>
          </w:p>
        </w:tc>
        <w:tc>
          <w:tcPr>
            <w:tcW w:w="1701" w:type="dxa"/>
            <w:tcBorders>
              <w:left w:val="single" w:sz="4" w:space="0" w:color="000000"/>
              <w:bottom w:val="single" w:sz="4" w:space="0" w:color="000000"/>
              <w:right w:val="single" w:sz="4" w:space="0" w:color="000000"/>
            </w:tcBorders>
            <w:shd w:val="clear" w:color="auto" w:fill="auto"/>
          </w:tcPr>
          <w:p w14:paraId="4BDD3D7D" w14:textId="77777777" w:rsidR="000952B8" w:rsidRPr="00A07BE9" w:rsidRDefault="00000000" w:rsidP="00A366B3">
            <w:pPr>
              <w:suppressLineNumbers/>
              <w:spacing w:line="276" w:lineRule="auto"/>
              <w:jc w:val="center"/>
              <w:rPr>
                <w:rFonts w:ascii="Open Sans" w:eastAsia="Calibri" w:hAnsi="Open Sans" w:cs="Open Sans"/>
                <w:sz w:val="19"/>
                <w:szCs w:val="19"/>
              </w:rPr>
            </w:pPr>
            <w:hyperlink r:id="rId352">
              <w:r w:rsidR="000952B8" w:rsidRPr="00A07BE9">
                <w:rPr>
                  <w:rFonts w:ascii="Open Sans" w:eastAsia="Calibri" w:hAnsi="Open Sans" w:cs="Open Sans"/>
                  <w:color w:val="932224"/>
                  <w:sz w:val="19"/>
                  <w:szCs w:val="19"/>
                  <w:shd w:val="clear" w:color="auto" w:fill="FFFFFF"/>
                </w:rPr>
                <w:t>DOGV 8477 de 01.02.2019</w:t>
              </w:r>
            </w:hyperlink>
          </w:p>
        </w:tc>
      </w:tr>
      <w:tr w:rsidR="000952B8" w:rsidRPr="00A07BE9" w14:paraId="43592ABA" w14:textId="77777777" w:rsidTr="000952B8">
        <w:tc>
          <w:tcPr>
            <w:tcW w:w="5098" w:type="dxa"/>
            <w:tcBorders>
              <w:left w:val="single" w:sz="4" w:space="0" w:color="000000"/>
              <w:bottom w:val="single" w:sz="4" w:space="0" w:color="000000"/>
            </w:tcBorders>
            <w:shd w:val="clear" w:color="auto" w:fill="auto"/>
          </w:tcPr>
          <w:p w14:paraId="0D9CA3BF" w14:textId="24DFA31F" w:rsidR="000952B8" w:rsidRPr="00A07BE9" w:rsidRDefault="000952B8" w:rsidP="00A366B3">
            <w:pPr>
              <w:suppressAutoHyphens/>
              <w:spacing w:after="0" w:line="276" w:lineRule="auto"/>
              <w:ind w:left="113"/>
              <w:jc w:val="both"/>
              <w:textAlignment w:val="baseline"/>
              <w:rPr>
                <w:rFonts w:ascii="Open Sans" w:eastAsia="NSimSun" w:hAnsi="Open Sans" w:cs="Open Sans"/>
                <w:kern w:val="2"/>
                <w:sz w:val="19"/>
                <w:szCs w:val="19"/>
                <w:lang w:eastAsia="zh-CN" w:bidi="hi-IN"/>
              </w:rPr>
            </w:pPr>
            <w:r w:rsidRPr="00A07BE9">
              <w:rPr>
                <w:rFonts w:ascii="Open Sans" w:eastAsia="NSimSun" w:hAnsi="Open Sans" w:cs="Open Sans"/>
                <w:b/>
                <w:kern w:val="2"/>
                <w:sz w:val="19"/>
                <w:szCs w:val="19"/>
                <w:lang w:eastAsia="zh-CN" w:bidi="hi-IN"/>
              </w:rPr>
              <w:t>RESOLUCIÓN</w:t>
            </w:r>
            <w:r w:rsidRPr="00A07BE9">
              <w:rPr>
                <w:rFonts w:ascii="Open Sans" w:eastAsia="NSimSun" w:hAnsi="Open Sans" w:cs="Open Sans"/>
                <w:kern w:val="2"/>
                <w:sz w:val="19"/>
                <w:szCs w:val="19"/>
                <w:lang w:eastAsia="zh-CN" w:bidi="hi-IN"/>
              </w:rPr>
              <w:t xml:space="preserve"> de 12 de febrero de 2019, del director de la Agencia de Prevención y Lucha contra el Fraude y la Corrupción de la Comunitat Valenciana, por la que se </w:t>
            </w:r>
            <w:r w:rsidRPr="00A07BE9">
              <w:rPr>
                <w:rFonts w:ascii="Open Sans" w:eastAsia="NSimSun" w:hAnsi="Open Sans" w:cs="Open Sans"/>
                <w:b/>
                <w:kern w:val="2"/>
                <w:sz w:val="19"/>
                <w:szCs w:val="19"/>
                <w:lang w:eastAsia="zh-CN" w:bidi="hi-IN"/>
              </w:rPr>
              <w:t>crea el Consejo de Participación</w:t>
            </w:r>
            <w:r w:rsidRPr="00A07BE9">
              <w:rPr>
                <w:rFonts w:ascii="Open Sans" w:eastAsia="NSimSun" w:hAnsi="Open Sans" w:cs="Open Sans"/>
                <w:kern w:val="2"/>
                <w:sz w:val="19"/>
                <w:szCs w:val="19"/>
                <w:lang w:eastAsia="zh-CN" w:bidi="hi-IN"/>
              </w:rPr>
              <w:t xml:space="preserve"> de dicha agencia y se abre plazo para la presentación de candidaturas para ocupar sus vocalías en representación de organizaciones cívicas</w:t>
            </w:r>
            <w:r w:rsidR="00A366B3" w:rsidRPr="00A07BE9">
              <w:rPr>
                <w:rFonts w:ascii="Open Sans" w:eastAsia="NSimSun" w:hAnsi="Open Sans" w:cs="Open Sans"/>
                <w:kern w:val="2"/>
                <w:sz w:val="19"/>
                <w:szCs w:val="19"/>
                <w:lang w:eastAsia="zh-CN" w:bidi="hi-IN"/>
              </w:rPr>
              <w:t>.</w:t>
            </w:r>
          </w:p>
        </w:tc>
        <w:tc>
          <w:tcPr>
            <w:tcW w:w="1701" w:type="dxa"/>
            <w:tcBorders>
              <w:left w:val="single" w:sz="4" w:space="0" w:color="000000"/>
              <w:bottom w:val="single" w:sz="4" w:space="0" w:color="000000"/>
            </w:tcBorders>
            <w:shd w:val="clear" w:color="auto" w:fill="auto"/>
          </w:tcPr>
          <w:p w14:paraId="4D4294BA" w14:textId="4181373F" w:rsidR="000952B8" w:rsidRPr="00A07BE9" w:rsidRDefault="00000000" w:rsidP="00A366B3">
            <w:pPr>
              <w:suppressLineNumbers/>
              <w:spacing w:line="276" w:lineRule="auto"/>
              <w:jc w:val="center"/>
              <w:rPr>
                <w:rFonts w:ascii="Open Sans" w:eastAsia="Calibri" w:hAnsi="Open Sans" w:cs="Open Sans"/>
                <w:sz w:val="19"/>
                <w:szCs w:val="19"/>
              </w:rPr>
            </w:pPr>
            <w:hyperlink r:id="rId353" w:anchor="boc/sumari/IX00346000" w:history="1">
              <w:r w:rsidR="000952B8" w:rsidRPr="00A07BE9">
                <w:rPr>
                  <w:rFonts w:ascii="Open Sans" w:eastAsia="Calibri" w:hAnsi="Open Sans" w:cs="Open Sans"/>
                  <w:color w:val="932224"/>
                  <w:sz w:val="19"/>
                  <w:szCs w:val="19"/>
                  <w:shd w:val="clear" w:color="auto" w:fill="FFFFFF"/>
                </w:rPr>
                <w:t xml:space="preserve">BOCV 346/IX de </w:t>
              </w:r>
            </w:hyperlink>
            <w:hyperlink r:id="rId354" w:anchor="boc/sumari/IX00346000" w:history="1">
              <w:r w:rsidR="000952B8" w:rsidRPr="00A07BE9">
                <w:rPr>
                  <w:rFonts w:ascii="Open Sans" w:eastAsia="Calibri" w:hAnsi="Open Sans" w:cs="Open Sans"/>
                  <w:color w:val="932224"/>
                  <w:sz w:val="19"/>
                  <w:szCs w:val="19"/>
                  <w:shd w:val="clear" w:color="auto" w:fill="FFFFFF"/>
                </w:rPr>
                <w:t>22.02.2019</w:t>
              </w:r>
            </w:hyperlink>
          </w:p>
        </w:tc>
        <w:tc>
          <w:tcPr>
            <w:tcW w:w="1701" w:type="dxa"/>
            <w:tcBorders>
              <w:left w:val="single" w:sz="4" w:space="0" w:color="000000"/>
              <w:bottom w:val="single" w:sz="4" w:space="0" w:color="000000"/>
              <w:right w:val="single" w:sz="4" w:space="0" w:color="000000"/>
            </w:tcBorders>
            <w:shd w:val="clear" w:color="auto" w:fill="auto"/>
          </w:tcPr>
          <w:p w14:paraId="0E508DB6" w14:textId="77777777" w:rsidR="000952B8" w:rsidRPr="00A07BE9" w:rsidRDefault="00000000" w:rsidP="00A366B3">
            <w:pPr>
              <w:suppressLineNumbers/>
              <w:spacing w:line="276" w:lineRule="auto"/>
              <w:jc w:val="center"/>
              <w:rPr>
                <w:rFonts w:ascii="Open Sans" w:eastAsia="Calibri" w:hAnsi="Open Sans" w:cs="Open Sans"/>
                <w:sz w:val="19"/>
                <w:szCs w:val="19"/>
              </w:rPr>
            </w:pPr>
            <w:hyperlink r:id="rId355">
              <w:r w:rsidR="000952B8" w:rsidRPr="00A07BE9">
                <w:rPr>
                  <w:rFonts w:ascii="Open Sans" w:eastAsia="Calibri" w:hAnsi="Open Sans" w:cs="Open Sans"/>
                  <w:color w:val="932224"/>
                  <w:sz w:val="19"/>
                  <w:szCs w:val="19"/>
                  <w:shd w:val="clear" w:color="auto" w:fill="FFFFFF"/>
                </w:rPr>
                <w:t xml:space="preserve">DOGV 8492 de </w:t>
              </w:r>
            </w:hyperlink>
            <w:hyperlink r:id="rId356">
              <w:r w:rsidR="000952B8" w:rsidRPr="00A07BE9">
                <w:rPr>
                  <w:rFonts w:ascii="Open Sans" w:eastAsia="Calibri" w:hAnsi="Open Sans" w:cs="Open Sans"/>
                  <w:color w:val="932224"/>
                  <w:sz w:val="19"/>
                  <w:szCs w:val="19"/>
                  <w:shd w:val="clear" w:color="auto" w:fill="FFFFFF"/>
                </w:rPr>
                <w:t>22.02.2019</w:t>
              </w:r>
            </w:hyperlink>
          </w:p>
        </w:tc>
      </w:tr>
      <w:tr w:rsidR="000952B8" w:rsidRPr="00A07BE9" w14:paraId="26896F0D" w14:textId="77777777" w:rsidTr="000952B8">
        <w:tc>
          <w:tcPr>
            <w:tcW w:w="5098" w:type="dxa"/>
            <w:tcBorders>
              <w:left w:val="single" w:sz="4" w:space="0" w:color="000000"/>
              <w:bottom w:val="single" w:sz="4" w:space="0" w:color="000000"/>
            </w:tcBorders>
            <w:shd w:val="clear" w:color="auto" w:fill="auto"/>
          </w:tcPr>
          <w:p w14:paraId="4EC8F078" w14:textId="77777777" w:rsidR="000952B8" w:rsidRPr="00A07BE9" w:rsidRDefault="000952B8" w:rsidP="00A366B3">
            <w:pPr>
              <w:suppressAutoHyphens/>
              <w:spacing w:after="0" w:line="276" w:lineRule="auto"/>
              <w:ind w:left="113"/>
              <w:jc w:val="both"/>
              <w:textAlignment w:val="baseline"/>
              <w:rPr>
                <w:rFonts w:ascii="Open Sans" w:eastAsia="NSimSun" w:hAnsi="Open Sans" w:cs="Open Sans"/>
                <w:kern w:val="2"/>
                <w:sz w:val="19"/>
                <w:szCs w:val="19"/>
                <w:lang w:eastAsia="zh-CN" w:bidi="hi-IN"/>
              </w:rPr>
            </w:pPr>
            <w:r w:rsidRPr="00A07BE9">
              <w:rPr>
                <w:rFonts w:ascii="Open Sans" w:eastAsia="NSimSun" w:hAnsi="Open Sans" w:cs="Open Sans"/>
                <w:b/>
                <w:kern w:val="2"/>
                <w:sz w:val="19"/>
                <w:szCs w:val="19"/>
                <w:lang w:eastAsia="zh-CN" w:bidi="hi-IN"/>
              </w:rPr>
              <w:t>RESOLUCIÓN</w:t>
            </w:r>
            <w:r w:rsidRPr="00A07BE9">
              <w:rPr>
                <w:rFonts w:ascii="Open Sans" w:eastAsia="NSimSun" w:hAnsi="Open Sans" w:cs="Open Sans"/>
                <w:kern w:val="2"/>
                <w:sz w:val="19"/>
                <w:szCs w:val="19"/>
                <w:lang w:eastAsia="zh-CN" w:bidi="hi-IN"/>
              </w:rPr>
              <w:t xml:space="preserve"> de 13 de febrero de 2019, del director de la Agencia de Prevención y Lucha contra el Fraude y la Corrupción de la Comunitat Valenciana, por la que se </w:t>
            </w:r>
            <w:r w:rsidRPr="00A07BE9">
              <w:rPr>
                <w:rFonts w:ascii="Open Sans" w:eastAsia="NSimSun" w:hAnsi="Open Sans" w:cs="Open Sans"/>
                <w:b/>
                <w:kern w:val="2"/>
                <w:sz w:val="19"/>
                <w:szCs w:val="19"/>
                <w:lang w:eastAsia="zh-CN" w:bidi="hi-IN"/>
              </w:rPr>
              <w:t>provee</w:t>
            </w:r>
            <w:r w:rsidRPr="00A07BE9">
              <w:rPr>
                <w:rFonts w:ascii="Open Sans" w:eastAsia="NSimSun" w:hAnsi="Open Sans" w:cs="Open Sans"/>
                <w:kern w:val="2"/>
                <w:sz w:val="19"/>
                <w:szCs w:val="19"/>
                <w:lang w:eastAsia="zh-CN" w:bidi="hi-IN"/>
              </w:rPr>
              <w:t xml:space="preserve">, por el sistema de libre designación, el puesto de trabajo número 3, </w:t>
            </w:r>
            <w:r w:rsidRPr="00A07BE9">
              <w:rPr>
                <w:rFonts w:ascii="Open Sans" w:eastAsia="NSimSun" w:hAnsi="Open Sans" w:cs="Open Sans"/>
                <w:b/>
                <w:kern w:val="2"/>
                <w:sz w:val="19"/>
                <w:szCs w:val="19"/>
                <w:lang w:eastAsia="zh-CN" w:bidi="hi-IN"/>
              </w:rPr>
              <w:t>director o directora de Análisis e Investigación</w:t>
            </w:r>
            <w:r w:rsidRPr="00A07BE9">
              <w:rPr>
                <w:rFonts w:ascii="Open Sans" w:eastAsia="NSimSun" w:hAnsi="Open Sans" w:cs="Open Sans"/>
                <w:kern w:val="2"/>
                <w:sz w:val="19"/>
                <w:szCs w:val="19"/>
                <w:lang w:eastAsia="zh-CN" w:bidi="hi-IN"/>
              </w:rPr>
              <w:t>, anunciado en la convocatoria número 6/2018, de 21 de diciembre de 2018.</w:t>
            </w:r>
          </w:p>
        </w:tc>
        <w:tc>
          <w:tcPr>
            <w:tcW w:w="1701" w:type="dxa"/>
            <w:tcBorders>
              <w:left w:val="single" w:sz="4" w:space="0" w:color="000000"/>
              <w:bottom w:val="single" w:sz="4" w:space="0" w:color="000000"/>
            </w:tcBorders>
            <w:shd w:val="clear" w:color="auto" w:fill="auto"/>
          </w:tcPr>
          <w:p w14:paraId="0DBE0FB4" w14:textId="77777777" w:rsidR="000952B8" w:rsidRPr="00A07BE9" w:rsidRDefault="000952B8" w:rsidP="00A366B3">
            <w:pPr>
              <w:suppressLineNumbers/>
              <w:spacing w:line="276" w:lineRule="auto"/>
              <w:jc w:val="center"/>
              <w:rPr>
                <w:rFonts w:ascii="Open Sans" w:eastAsia="Calibri" w:hAnsi="Open Sans" w:cs="Open Sans"/>
                <w:b/>
                <w:color w:val="932224"/>
                <w:sz w:val="19"/>
                <w:szCs w:val="19"/>
              </w:rPr>
            </w:pPr>
          </w:p>
        </w:tc>
        <w:tc>
          <w:tcPr>
            <w:tcW w:w="1701" w:type="dxa"/>
            <w:tcBorders>
              <w:left w:val="single" w:sz="4" w:space="0" w:color="000000"/>
              <w:bottom w:val="single" w:sz="4" w:space="0" w:color="000000"/>
              <w:right w:val="single" w:sz="4" w:space="0" w:color="000000"/>
            </w:tcBorders>
            <w:shd w:val="clear" w:color="auto" w:fill="auto"/>
          </w:tcPr>
          <w:p w14:paraId="4F6D1347" w14:textId="77777777" w:rsidR="000952B8" w:rsidRPr="00A07BE9" w:rsidRDefault="00000000" w:rsidP="00A366B3">
            <w:pPr>
              <w:suppressLineNumbers/>
              <w:spacing w:line="276" w:lineRule="auto"/>
              <w:jc w:val="center"/>
              <w:rPr>
                <w:rFonts w:ascii="Open Sans" w:eastAsia="Calibri" w:hAnsi="Open Sans" w:cs="Open Sans"/>
                <w:sz w:val="19"/>
                <w:szCs w:val="19"/>
              </w:rPr>
            </w:pPr>
            <w:hyperlink r:id="rId357">
              <w:r w:rsidR="000952B8" w:rsidRPr="00A07BE9">
                <w:rPr>
                  <w:rFonts w:ascii="Open Sans" w:eastAsia="Calibri" w:hAnsi="Open Sans" w:cs="Open Sans"/>
                  <w:color w:val="932224"/>
                  <w:sz w:val="19"/>
                  <w:szCs w:val="19"/>
                  <w:shd w:val="clear" w:color="auto" w:fill="FFFFFF"/>
                </w:rPr>
                <w:t>DOGV 8495 de 27.02.2019</w:t>
              </w:r>
            </w:hyperlink>
          </w:p>
        </w:tc>
      </w:tr>
      <w:tr w:rsidR="000952B8" w:rsidRPr="00A07BE9" w14:paraId="0C91A0C0" w14:textId="77777777" w:rsidTr="000952B8">
        <w:tc>
          <w:tcPr>
            <w:tcW w:w="5098" w:type="dxa"/>
            <w:tcBorders>
              <w:left w:val="single" w:sz="4" w:space="0" w:color="000000"/>
              <w:bottom w:val="single" w:sz="4" w:space="0" w:color="000000"/>
            </w:tcBorders>
            <w:shd w:val="clear" w:color="auto" w:fill="auto"/>
          </w:tcPr>
          <w:p w14:paraId="0175FA8D" w14:textId="77777777" w:rsidR="000952B8" w:rsidRPr="00A07BE9" w:rsidRDefault="000952B8" w:rsidP="00A366B3">
            <w:pPr>
              <w:suppressAutoHyphens/>
              <w:spacing w:after="0" w:line="276" w:lineRule="auto"/>
              <w:ind w:left="113"/>
              <w:jc w:val="both"/>
              <w:textAlignment w:val="baseline"/>
              <w:rPr>
                <w:rFonts w:ascii="Open Sans" w:eastAsia="NSimSun" w:hAnsi="Open Sans" w:cs="Open Sans"/>
                <w:kern w:val="2"/>
                <w:sz w:val="19"/>
                <w:szCs w:val="19"/>
                <w:lang w:eastAsia="zh-CN" w:bidi="hi-IN"/>
              </w:rPr>
            </w:pPr>
            <w:r w:rsidRPr="00A07BE9">
              <w:rPr>
                <w:rFonts w:ascii="Open Sans" w:eastAsia="NSimSun" w:hAnsi="Open Sans" w:cs="Open Sans"/>
                <w:b/>
                <w:kern w:val="2"/>
                <w:sz w:val="19"/>
                <w:szCs w:val="19"/>
                <w:lang w:eastAsia="zh-CN" w:bidi="hi-IN"/>
              </w:rPr>
              <w:t>RESOLUCIÓN</w:t>
            </w:r>
            <w:r w:rsidRPr="00A07BE9">
              <w:rPr>
                <w:rFonts w:ascii="Open Sans" w:eastAsia="NSimSun" w:hAnsi="Open Sans" w:cs="Open Sans"/>
                <w:kern w:val="2"/>
                <w:sz w:val="19"/>
                <w:szCs w:val="19"/>
                <w:lang w:eastAsia="zh-CN" w:bidi="hi-IN"/>
              </w:rPr>
              <w:t xml:space="preserve"> de 8 de abril de 2019, del director de la Agencia de Prevención y Lucha contra el Fraude y la Corrupción de la Comunitat Valenciana, por la que se </w:t>
            </w:r>
            <w:r w:rsidRPr="00A07BE9">
              <w:rPr>
                <w:rFonts w:ascii="Open Sans" w:eastAsia="NSimSun" w:hAnsi="Open Sans" w:cs="Open Sans"/>
                <w:b/>
                <w:kern w:val="2"/>
                <w:sz w:val="19"/>
                <w:szCs w:val="19"/>
                <w:lang w:eastAsia="zh-CN" w:bidi="hi-IN"/>
              </w:rPr>
              <w:t>provee</w:t>
            </w:r>
            <w:r w:rsidRPr="00A07BE9">
              <w:rPr>
                <w:rFonts w:ascii="Open Sans" w:eastAsia="NSimSun" w:hAnsi="Open Sans" w:cs="Open Sans"/>
                <w:kern w:val="2"/>
                <w:sz w:val="19"/>
                <w:szCs w:val="19"/>
                <w:lang w:eastAsia="zh-CN" w:bidi="hi-IN"/>
              </w:rPr>
              <w:t>, por el sistema de libre designación, el puesto de trabajo número 10</w:t>
            </w:r>
            <w:r w:rsidRPr="00A07BE9">
              <w:rPr>
                <w:rFonts w:ascii="Open Sans" w:eastAsia="NSimSun" w:hAnsi="Open Sans" w:cs="Open Sans"/>
                <w:b/>
                <w:kern w:val="2"/>
                <w:sz w:val="19"/>
                <w:szCs w:val="19"/>
                <w:lang w:eastAsia="zh-CN" w:bidi="hi-IN"/>
              </w:rPr>
              <w:t>, jefe/a del Servicio de Prevención y Documentación</w:t>
            </w:r>
            <w:r w:rsidRPr="00A07BE9">
              <w:rPr>
                <w:rFonts w:ascii="Open Sans" w:eastAsia="NSimSun" w:hAnsi="Open Sans" w:cs="Open Sans"/>
                <w:kern w:val="2"/>
                <w:sz w:val="19"/>
                <w:szCs w:val="19"/>
                <w:lang w:eastAsia="zh-CN" w:bidi="hi-IN"/>
              </w:rPr>
              <w:t>, anunciado en la Convocatoria número 1/2019, de 18 de enero de 2019.</w:t>
            </w:r>
          </w:p>
        </w:tc>
        <w:tc>
          <w:tcPr>
            <w:tcW w:w="1701" w:type="dxa"/>
            <w:tcBorders>
              <w:left w:val="single" w:sz="4" w:space="0" w:color="000000"/>
              <w:bottom w:val="single" w:sz="4" w:space="0" w:color="000000"/>
            </w:tcBorders>
            <w:shd w:val="clear" w:color="auto" w:fill="auto"/>
          </w:tcPr>
          <w:p w14:paraId="2619A8E0" w14:textId="77777777" w:rsidR="000952B8" w:rsidRPr="00A07BE9" w:rsidRDefault="000952B8" w:rsidP="00A366B3">
            <w:pPr>
              <w:suppressLineNumbers/>
              <w:spacing w:line="276" w:lineRule="auto"/>
              <w:jc w:val="center"/>
              <w:rPr>
                <w:rFonts w:ascii="Open Sans" w:eastAsia="Calibri" w:hAnsi="Open Sans" w:cs="Open Sans"/>
                <w:b/>
                <w:color w:val="932224"/>
                <w:sz w:val="19"/>
                <w:szCs w:val="19"/>
              </w:rPr>
            </w:pPr>
          </w:p>
        </w:tc>
        <w:tc>
          <w:tcPr>
            <w:tcW w:w="1701" w:type="dxa"/>
            <w:tcBorders>
              <w:left w:val="single" w:sz="4" w:space="0" w:color="000000"/>
              <w:bottom w:val="single" w:sz="4" w:space="0" w:color="000000"/>
              <w:right w:val="single" w:sz="4" w:space="0" w:color="000000"/>
            </w:tcBorders>
            <w:shd w:val="clear" w:color="auto" w:fill="auto"/>
          </w:tcPr>
          <w:p w14:paraId="41704EF3" w14:textId="77777777" w:rsidR="000952B8" w:rsidRPr="00A07BE9" w:rsidRDefault="00000000" w:rsidP="00A366B3">
            <w:pPr>
              <w:suppressLineNumbers/>
              <w:spacing w:line="276" w:lineRule="auto"/>
              <w:jc w:val="center"/>
              <w:rPr>
                <w:rFonts w:ascii="Open Sans" w:eastAsia="Calibri" w:hAnsi="Open Sans" w:cs="Open Sans"/>
                <w:sz w:val="19"/>
                <w:szCs w:val="19"/>
              </w:rPr>
            </w:pPr>
            <w:hyperlink r:id="rId358">
              <w:r w:rsidR="000952B8" w:rsidRPr="00A07BE9">
                <w:rPr>
                  <w:rFonts w:ascii="Open Sans" w:eastAsia="Calibri" w:hAnsi="Open Sans" w:cs="Open Sans"/>
                  <w:color w:val="932224"/>
                  <w:sz w:val="19"/>
                  <w:szCs w:val="19"/>
                  <w:shd w:val="clear" w:color="auto" w:fill="FFFFFF"/>
                </w:rPr>
                <w:t>DOGV 8526 de 10.04.2019</w:t>
              </w:r>
            </w:hyperlink>
          </w:p>
        </w:tc>
      </w:tr>
      <w:tr w:rsidR="000952B8" w:rsidRPr="00A07BE9" w14:paraId="23E97F3F" w14:textId="77777777" w:rsidTr="000952B8">
        <w:tc>
          <w:tcPr>
            <w:tcW w:w="5098" w:type="dxa"/>
            <w:tcBorders>
              <w:left w:val="single" w:sz="4" w:space="0" w:color="000000"/>
              <w:bottom w:val="single" w:sz="4" w:space="0" w:color="000000"/>
            </w:tcBorders>
            <w:shd w:val="clear" w:color="auto" w:fill="auto"/>
          </w:tcPr>
          <w:p w14:paraId="49D0A716" w14:textId="77777777" w:rsidR="000952B8" w:rsidRPr="00A07BE9" w:rsidRDefault="000952B8" w:rsidP="00A366B3">
            <w:pPr>
              <w:suppressAutoHyphens/>
              <w:spacing w:after="0" w:line="276" w:lineRule="auto"/>
              <w:ind w:left="113"/>
              <w:jc w:val="both"/>
              <w:textAlignment w:val="baseline"/>
              <w:rPr>
                <w:rFonts w:ascii="Open Sans" w:eastAsia="NSimSun" w:hAnsi="Open Sans" w:cs="Open Sans"/>
                <w:kern w:val="2"/>
                <w:sz w:val="19"/>
                <w:szCs w:val="19"/>
                <w:lang w:eastAsia="zh-CN" w:bidi="hi-IN"/>
              </w:rPr>
            </w:pPr>
            <w:r w:rsidRPr="00A07BE9">
              <w:rPr>
                <w:rFonts w:ascii="Open Sans" w:eastAsia="NSimSun" w:hAnsi="Open Sans" w:cs="Open Sans"/>
                <w:b/>
                <w:kern w:val="2"/>
                <w:sz w:val="19"/>
                <w:szCs w:val="19"/>
                <w:lang w:eastAsia="zh-CN" w:bidi="hi-IN"/>
              </w:rPr>
              <w:t>RESOLUCIÓN</w:t>
            </w:r>
            <w:r w:rsidRPr="00A07BE9">
              <w:rPr>
                <w:rFonts w:ascii="Open Sans" w:eastAsia="NSimSun" w:hAnsi="Open Sans" w:cs="Open Sans"/>
                <w:kern w:val="2"/>
                <w:sz w:val="19"/>
                <w:szCs w:val="19"/>
                <w:lang w:eastAsia="zh-CN" w:bidi="hi-IN"/>
              </w:rPr>
              <w:t xml:space="preserve"> de 10 de abril de 2019, del director de la Agencia de Prevención y Lucha contra el Fraude y la Corrupción de la Comunitat Valenciana, por la que se provee, por el sistema de libre designación, el puesto de trabajo número 8, </w:t>
            </w:r>
            <w:r w:rsidRPr="00A07BE9">
              <w:rPr>
                <w:rFonts w:ascii="Open Sans" w:eastAsia="NSimSun" w:hAnsi="Open Sans" w:cs="Open Sans"/>
                <w:b/>
                <w:kern w:val="2"/>
                <w:sz w:val="19"/>
                <w:szCs w:val="19"/>
                <w:lang w:eastAsia="zh-CN" w:bidi="hi-IN"/>
              </w:rPr>
              <w:t>jefe o jefa del Servicio de Generalitat y Sector Público Autonómico</w:t>
            </w:r>
            <w:r w:rsidRPr="00A07BE9">
              <w:rPr>
                <w:rFonts w:ascii="Open Sans" w:eastAsia="NSimSun" w:hAnsi="Open Sans" w:cs="Open Sans"/>
                <w:kern w:val="2"/>
                <w:sz w:val="19"/>
                <w:szCs w:val="19"/>
                <w:lang w:eastAsia="zh-CN" w:bidi="hi-IN"/>
              </w:rPr>
              <w:t>, anunciado en la convocatoria número 2/2019, de 18 de enero de 2019.</w:t>
            </w:r>
          </w:p>
        </w:tc>
        <w:tc>
          <w:tcPr>
            <w:tcW w:w="1701" w:type="dxa"/>
            <w:tcBorders>
              <w:left w:val="single" w:sz="4" w:space="0" w:color="000000"/>
              <w:bottom w:val="single" w:sz="4" w:space="0" w:color="000000"/>
            </w:tcBorders>
            <w:shd w:val="clear" w:color="auto" w:fill="auto"/>
          </w:tcPr>
          <w:p w14:paraId="64A6DFD1" w14:textId="77777777" w:rsidR="000952B8" w:rsidRPr="00A07BE9" w:rsidRDefault="000952B8" w:rsidP="00A366B3">
            <w:pPr>
              <w:suppressLineNumbers/>
              <w:spacing w:line="276" w:lineRule="auto"/>
              <w:jc w:val="center"/>
              <w:rPr>
                <w:rFonts w:ascii="Open Sans" w:eastAsia="Calibri" w:hAnsi="Open Sans" w:cs="Open Sans"/>
                <w:b/>
                <w:color w:val="932224"/>
                <w:sz w:val="19"/>
                <w:szCs w:val="19"/>
              </w:rPr>
            </w:pPr>
          </w:p>
        </w:tc>
        <w:tc>
          <w:tcPr>
            <w:tcW w:w="1701" w:type="dxa"/>
            <w:tcBorders>
              <w:left w:val="single" w:sz="4" w:space="0" w:color="000000"/>
              <w:bottom w:val="single" w:sz="4" w:space="0" w:color="000000"/>
              <w:right w:val="single" w:sz="4" w:space="0" w:color="000000"/>
            </w:tcBorders>
            <w:shd w:val="clear" w:color="auto" w:fill="auto"/>
          </w:tcPr>
          <w:p w14:paraId="70E5332F" w14:textId="77777777" w:rsidR="000952B8" w:rsidRPr="00A07BE9" w:rsidRDefault="00000000" w:rsidP="00A366B3">
            <w:pPr>
              <w:suppressLineNumbers/>
              <w:spacing w:line="276" w:lineRule="auto"/>
              <w:jc w:val="center"/>
              <w:rPr>
                <w:rFonts w:ascii="Open Sans" w:eastAsia="Calibri" w:hAnsi="Open Sans" w:cs="Open Sans"/>
                <w:sz w:val="19"/>
                <w:szCs w:val="19"/>
              </w:rPr>
            </w:pPr>
            <w:hyperlink r:id="rId359">
              <w:r w:rsidR="000952B8" w:rsidRPr="00A07BE9">
                <w:rPr>
                  <w:rFonts w:ascii="Open Sans" w:eastAsia="Calibri" w:hAnsi="Open Sans" w:cs="Open Sans"/>
                  <w:color w:val="932224"/>
                  <w:sz w:val="19"/>
                  <w:szCs w:val="19"/>
                  <w:shd w:val="clear" w:color="auto" w:fill="FFFFFF"/>
                </w:rPr>
                <w:t>DOGV 8529 de 15.04.2019</w:t>
              </w:r>
            </w:hyperlink>
          </w:p>
        </w:tc>
      </w:tr>
      <w:tr w:rsidR="000952B8" w:rsidRPr="00A07BE9" w14:paraId="6FF5EC23" w14:textId="77777777" w:rsidTr="000952B8">
        <w:tc>
          <w:tcPr>
            <w:tcW w:w="5098" w:type="dxa"/>
            <w:tcBorders>
              <w:left w:val="single" w:sz="4" w:space="0" w:color="000000"/>
              <w:bottom w:val="single" w:sz="4" w:space="0" w:color="000000"/>
            </w:tcBorders>
            <w:shd w:val="clear" w:color="auto" w:fill="auto"/>
          </w:tcPr>
          <w:p w14:paraId="4FC36063" w14:textId="77777777" w:rsidR="000952B8" w:rsidRPr="00A07BE9" w:rsidRDefault="000952B8" w:rsidP="00A366B3">
            <w:pPr>
              <w:suppressAutoHyphens/>
              <w:spacing w:after="0" w:line="276" w:lineRule="auto"/>
              <w:ind w:left="113"/>
              <w:jc w:val="both"/>
              <w:textAlignment w:val="baseline"/>
              <w:rPr>
                <w:rFonts w:ascii="Open Sans" w:eastAsia="NSimSun" w:hAnsi="Open Sans" w:cs="Open Sans"/>
                <w:kern w:val="2"/>
                <w:sz w:val="19"/>
                <w:szCs w:val="19"/>
                <w:lang w:eastAsia="zh-CN" w:bidi="hi-IN"/>
              </w:rPr>
            </w:pPr>
            <w:r w:rsidRPr="00A07BE9">
              <w:rPr>
                <w:rFonts w:ascii="Open Sans" w:eastAsia="NSimSun" w:hAnsi="Open Sans" w:cs="Open Sans"/>
                <w:b/>
                <w:kern w:val="2"/>
                <w:sz w:val="19"/>
                <w:szCs w:val="19"/>
                <w:lang w:eastAsia="zh-CN" w:bidi="hi-IN"/>
              </w:rPr>
              <w:t>MEMORIA</w:t>
            </w:r>
            <w:r w:rsidRPr="00A07BE9">
              <w:rPr>
                <w:rFonts w:ascii="Open Sans" w:eastAsia="NSimSun" w:hAnsi="Open Sans" w:cs="Open Sans"/>
                <w:kern w:val="2"/>
                <w:sz w:val="19"/>
                <w:szCs w:val="19"/>
                <w:lang w:eastAsia="zh-CN" w:bidi="hi-IN"/>
              </w:rPr>
              <w:t xml:space="preserve"> de la Agencia de Prevención y Lucha contra el Fraude y la Corrupción de la Comunitat Valenciana correspondiente al </w:t>
            </w:r>
            <w:r w:rsidRPr="00A07BE9">
              <w:rPr>
                <w:rFonts w:ascii="Open Sans" w:eastAsia="NSimSun" w:hAnsi="Open Sans" w:cs="Open Sans"/>
                <w:b/>
                <w:kern w:val="2"/>
                <w:sz w:val="19"/>
                <w:szCs w:val="19"/>
                <w:lang w:eastAsia="zh-CN" w:bidi="hi-IN"/>
              </w:rPr>
              <w:t>ejercicio 2018</w:t>
            </w:r>
            <w:r w:rsidRPr="00A07BE9">
              <w:rPr>
                <w:rFonts w:ascii="Open Sans" w:eastAsia="NSimSun" w:hAnsi="Open Sans" w:cs="Open Sans"/>
                <w:kern w:val="2"/>
                <w:sz w:val="19"/>
                <w:szCs w:val="19"/>
                <w:lang w:eastAsia="zh-CN" w:bidi="hi-IN"/>
              </w:rPr>
              <w:t xml:space="preserve"> (RE número 124.495)</w:t>
            </w:r>
          </w:p>
        </w:tc>
        <w:tc>
          <w:tcPr>
            <w:tcW w:w="1701" w:type="dxa"/>
            <w:tcBorders>
              <w:left w:val="single" w:sz="4" w:space="0" w:color="000000"/>
              <w:bottom w:val="single" w:sz="4" w:space="0" w:color="000000"/>
            </w:tcBorders>
            <w:shd w:val="clear" w:color="auto" w:fill="auto"/>
          </w:tcPr>
          <w:p w14:paraId="1555A144" w14:textId="1C61385C" w:rsidR="000952B8" w:rsidRPr="00A07BE9" w:rsidRDefault="00000000" w:rsidP="00A366B3">
            <w:pPr>
              <w:suppressLineNumbers/>
              <w:spacing w:line="276" w:lineRule="auto"/>
              <w:jc w:val="center"/>
              <w:rPr>
                <w:rFonts w:ascii="Open Sans" w:eastAsia="Calibri" w:hAnsi="Open Sans" w:cs="Open Sans"/>
                <w:sz w:val="19"/>
                <w:szCs w:val="19"/>
              </w:rPr>
            </w:pPr>
            <w:hyperlink r:id="rId360" w:anchor="boc/sumari/IX00358000" w:history="1">
              <w:r w:rsidR="000952B8" w:rsidRPr="00A07BE9">
                <w:rPr>
                  <w:rFonts w:ascii="Open Sans" w:eastAsia="Calibri" w:hAnsi="Open Sans" w:cs="Open Sans"/>
                  <w:color w:val="932224"/>
                  <w:sz w:val="19"/>
                  <w:szCs w:val="19"/>
                  <w:shd w:val="clear" w:color="auto" w:fill="FFFFFF"/>
                </w:rPr>
                <w:t>BOCV 358/IX de 17.04.2019</w:t>
              </w:r>
            </w:hyperlink>
          </w:p>
        </w:tc>
        <w:tc>
          <w:tcPr>
            <w:tcW w:w="1701" w:type="dxa"/>
            <w:tcBorders>
              <w:left w:val="single" w:sz="4" w:space="0" w:color="000000"/>
              <w:bottom w:val="single" w:sz="4" w:space="0" w:color="000000"/>
              <w:right w:val="single" w:sz="4" w:space="0" w:color="000000"/>
            </w:tcBorders>
            <w:shd w:val="clear" w:color="auto" w:fill="auto"/>
          </w:tcPr>
          <w:p w14:paraId="11186561" w14:textId="77777777" w:rsidR="000952B8" w:rsidRPr="00A07BE9" w:rsidRDefault="000952B8" w:rsidP="00A366B3">
            <w:pPr>
              <w:suppressLineNumbers/>
              <w:spacing w:line="276" w:lineRule="auto"/>
              <w:jc w:val="center"/>
              <w:rPr>
                <w:rFonts w:ascii="Open Sans" w:eastAsia="Calibri" w:hAnsi="Open Sans" w:cs="Open Sans"/>
                <w:b/>
                <w:color w:val="932224"/>
                <w:sz w:val="19"/>
                <w:szCs w:val="19"/>
              </w:rPr>
            </w:pPr>
          </w:p>
        </w:tc>
      </w:tr>
      <w:tr w:rsidR="000952B8" w:rsidRPr="00A07BE9" w14:paraId="1834C13F" w14:textId="77777777" w:rsidTr="000952B8">
        <w:tc>
          <w:tcPr>
            <w:tcW w:w="5098" w:type="dxa"/>
            <w:tcBorders>
              <w:left w:val="single" w:sz="4" w:space="0" w:color="000000"/>
              <w:bottom w:val="single" w:sz="4" w:space="0" w:color="000000"/>
            </w:tcBorders>
            <w:shd w:val="clear" w:color="auto" w:fill="auto"/>
          </w:tcPr>
          <w:p w14:paraId="4870F9DE" w14:textId="77777777" w:rsidR="000952B8" w:rsidRPr="00A07BE9" w:rsidRDefault="000952B8" w:rsidP="00A366B3">
            <w:pPr>
              <w:suppressAutoHyphens/>
              <w:spacing w:after="0" w:line="276" w:lineRule="auto"/>
              <w:ind w:left="113"/>
              <w:jc w:val="both"/>
              <w:textAlignment w:val="baseline"/>
              <w:rPr>
                <w:rFonts w:ascii="Open Sans" w:eastAsia="NSimSun" w:hAnsi="Open Sans" w:cs="Open Sans"/>
                <w:color w:val="000000"/>
                <w:kern w:val="2"/>
                <w:sz w:val="19"/>
                <w:szCs w:val="19"/>
                <w:lang w:eastAsia="zh-CN" w:bidi="hi-IN"/>
              </w:rPr>
            </w:pPr>
            <w:r w:rsidRPr="00A07BE9">
              <w:rPr>
                <w:rFonts w:ascii="Open Sans" w:eastAsia="NSimSun" w:hAnsi="Open Sans" w:cs="Open Sans"/>
                <w:b/>
                <w:color w:val="000000"/>
                <w:kern w:val="2"/>
                <w:sz w:val="19"/>
                <w:szCs w:val="19"/>
                <w:lang w:eastAsia="zh-CN" w:bidi="hi-IN"/>
              </w:rPr>
              <w:t>RESOLUCIÓN</w:t>
            </w:r>
            <w:r w:rsidRPr="00A07BE9">
              <w:rPr>
                <w:rFonts w:ascii="Open Sans" w:eastAsia="NSimSun" w:hAnsi="Open Sans" w:cs="Open Sans"/>
                <w:color w:val="000000"/>
                <w:kern w:val="2"/>
                <w:sz w:val="19"/>
                <w:szCs w:val="19"/>
                <w:lang w:eastAsia="zh-CN" w:bidi="hi-IN"/>
              </w:rPr>
              <w:t xml:space="preserve"> de 3 de junio de 2019, del director de la Agencia de Prevención y Lucha contra el Fraude y la Corrupción de la Comunitat Valenciana, por la que se ofrece </w:t>
            </w:r>
            <w:r w:rsidRPr="00A07BE9">
              <w:rPr>
                <w:rFonts w:ascii="Open Sans" w:eastAsia="NSimSun" w:hAnsi="Open Sans" w:cs="Open Sans"/>
                <w:b/>
                <w:color w:val="000000"/>
                <w:kern w:val="2"/>
                <w:sz w:val="19"/>
                <w:szCs w:val="19"/>
                <w:lang w:eastAsia="zh-CN" w:bidi="hi-IN"/>
              </w:rPr>
              <w:t xml:space="preserve">cubrir provisionalmente dos puestos de trabajo </w:t>
            </w:r>
            <w:r w:rsidRPr="00A07BE9">
              <w:rPr>
                <w:rFonts w:ascii="Open Sans" w:eastAsia="NSimSun" w:hAnsi="Open Sans" w:cs="Open Sans"/>
                <w:color w:val="000000"/>
                <w:kern w:val="2"/>
                <w:sz w:val="19"/>
                <w:szCs w:val="19"/>
                <w:lang w:eastAsia="zh-CN" w:bidi="hi-IN"/>
              </w:rPr>
              <w:t>a funcionarios y funcionarias de carrera de las distintas administraciones públicas.</w:t>
            </w:r>
          </w:p>
        </w:tc>
        <w:tc>
          <w:tcPr>
            <w:tcW w:w="1701" w:type="dxa"/>
            <w:tcBorders>
              <w:left w:val="single" w:sz="4" w:space="0" w:color="000000"/>
              <w:bottom w:val="single" w:sz="4" w:space="0" w:color="000000"/>
            </w:tcBorders>
            <w:shd w:val="clear" w:color="auto" w:fill="auto"/>
          </w:tcPr>
          <w:p w14:paraId="312E9CEE" w14:textId="77777777" w:rsidR="000952B8" w:rsidRPr="00A07BE9" w:rsidRDefault="000952B8" w:rsidP="00A366B3">
            <w:pPr>
              <w:suppressLineNumbers/>
              <w:spacing w:line="276" w:lineRule="auto"/>
              <w:jc w:val="center"/>
              <w:rPr>
                <w:rFonts w:ascii="Open Sans" w:eastAsia="Calibri" w:hAnsi="Open Sans" w:cs="Open Sans"/>
                <w:b/>
                <w:color w:val="932224"/>
                <w:sz w:val="19"/>
                <w:szCs w:val="19"/>
              </w:rPr>
            </w:pPr>
          </w:p>
        </w:tc>
        <w:tc>
          <w:tcPr>
            <w:tcW w:w="1701" w:type="dxa"/>
            <w:tcBorders>
              <w:left w:val="single" w:sz="4" w:space="0" w:color="000000"/>
              <w:bottom w:val="single" w:sz="4" w:space="0" w:color="000000"/>
              <w:right w:val="single" w:sz="4" w:space="0" w:color="000000"/>
            </w:tcBorders>
            <w:shd w:val="clear" w:color="auto" w:fill="auto"/>
          </w:tcPr>
          <w:p w14:paraId="644723C9" w14:textId="77777777" w:rsidR="000952B8" w:rsidRPr="00A07BE9" w:rsidRDefault="00000000" w:rsidP="00A366B3">
            <w:pPr>
              <w:suppressLineNumbers/>
              <w:spacing w:line="276" w:lineRule="auto"/>
              <w:jc w:val="center"/>
              <w:rPr>
                <w:rFonts w:ascii="Open Sans" w:eastAsia="Calibri" w:hAnsi="Open Sans" w:cs="Open Sans"/>
                <w:sz w:val="19"/>
                <w:szCs w:val="19"/>
              </w:rPr>
            </w:pPr>
            <w:hyperlink r:id="rId361">
              <w:r w:rsidR="000952B8" w:rsidRPr="00A07BE9">
                <w:rPr>
                  <w:rFonts w:ascii="Open Sans" w:eastAsia="Calibri" w:hAnsi="Open Sans" w:cs="Open Sans"/>
                  <w:color w:val="932224"/>
                  <w:sz w:val="19"/>
                  <w:szCs w:val="19"/>
                  <w:shd w:val="clear" w:color="auto" w:fill="FFFFFF"/>
                </w:rPr>
                <w:t>DOGV 8565 de 07.06.2019</w:t>
              </w:r>
            </w:hyperlink>
          </w:p>
        </w:tc>
      </w:tr>
      <w:tr w:rsidR="000952B8" w:rsidRPr="00A07BE9" w14:paraId="215C92EB" w14:textId="77777777" w:rsidTr="000952B8">
        <w:tc>
          <w:tcPr>
            <w:tcW w:w="5098" w:type="dxa"/>
            <w:tcBorders>
              <w:left w:val="single" w:sz="4" w:space="0" w:color="000000"/>
              <w:bottom w:val="single" w:sz="4" w:space="0" w:color="000000"/>
            </w:tcBorders>
            <w:shd w:val="clear" w:color="auto" w:fill="auto"/>
          </w:tcPr>
          <w:p w14:paraId="3AE63E97" w14:textId="358E0842" w:rsidR="000952B8" w:rsidRPr="00A07BE9" w:rsidRDefault="000952B8" w:rsidP="00A366B3">
            <w:pPr>
              <w:suppressAutoHyphens/>
              <w:spacing w:after="0" w:line="276" w:lineRule="auto"/>
              <w:ind w:left="113"/>
              <w:jc w:val="both"/>
              <w:textAlignment w:val="baseline"/>
              <w:rPr>
                <w:rFonts w:ascii="Open Sans" w:eastAsia="NSimSun" w:hAnsi="Open Sans" w:cs="Open Sans"/>
                <w:kern w:val="2"/>
                <w:sz w:val="19"/>
                <w:szCs w:val="19"/>
                <w:lang w:eastAsia="zh-CN" w:bidi="hi-IN"/>
              </w:rPr>
            </w:pPr>
            <w:r w:rsidRPr="00A07BE9">
              <w:rPr>
                <w:rFonts w:ascii="Open Sans" w:eastAsia="NSimSun" w:hAnsi="Open Sans" w:cs="Open Sans"/>
                <w:b/>
                <w:color w:val="000000"/>
                <w:kern w:val="2"/>
                <w:sz w:val="19"/>
                <w:szCs w:val="19"/>
                <w:lang w:eastAsia="zh-CN" w:bidi="hi-IN"/>
              </w:rPr>
              <w:lastRenderedPageBreak/>
              <w:t>RESOLUCIÓN</w:t>
            </w:r>
            <w:r w:rsidRPr="00A07BE9">
              <w:rPr>
                <w:rFonts w:ascii="Open Sans" w:eastAsia="NSimSun" w:hAnsi="Open Sans" w:cs="Open Sans"/>
                <w:color w:val="000000"/>
                <w:kern w:val="2"/>
                <w:sz w:val="19"/>
                <w:szCs w:val="19"/>
                <w:lang w:eastAsia="zh-CN" w:bidi="hi-IN"/>
              </w:rPr>
              <w:t xml:space="preserve"> de 27 de junio de 2019, del director de la Agencia de Prevención y Lucha contra el Fraude y la Corrupción de la Comunitat Valenciana por la que se aprueba el </w:t>
            </w:r>
            <w:r w:rsidRPr="00A07BE9">
              <w:rPr>
                <w:rFonts w:ascii="Open Sans" w:eastAsia="NSimSun" w:hAnsi="Open Sans" w:cs="Open Sans"/>
                <w:b/>
                <w:color w:val="000000"/>
                <w:kern w:val="2"/>
                <w:sz w:val="19"/>
                <w:szCs w:val="19"/>
                <w:lang w:eastAsia="zh-CN" w:bidi="hi-IN"/>
              </w:rPr>
              <w:t>reglamento de funcionamiento y régimen interior</w:t>
            </w:r>
            <w:r w:rsidRPr="00A07BE9">
              <w:rPr>
                <w:rFonts w:ascii="Open Sans" w:eastAsia="NSimSun" w:hAnsi="Open Sans" w:cs="Open Sans"/>
                <w:color w:val="000000"/>
                <w:kern w:val="2"/>
                <w:sz w:val="19"/>
                <w:szCs w:val="19"/>
                <w:lang w:eastAsia="zh-CN" w:bidi="hi-IN"/>
              </w:rPr>
              <w:t xml:space="preserve"> de la misma, en desarrollo de la Ley 11/2016, de 28 de noviembre, de la Generalitat</w:t>
            </w:r>
            <w:r w:rsidR="00A366B3" w:rsidRPr="00A07BE9">
              <w:rPr>
                <w:rFonts w:ascii="Open Sans" w:eastAsia="NSimSun" w:hAnsi="Open Sans" w:cs="Open Sans"/>
                <w:color w:val="000000"/>
                <w:kern w:val="2"/>
                <w:sz w:val="19"/>
                <w:szCs w:val="19"/>
                <w:lang w:eastAsia="zh-CN" w:bidi="hi-IN"/>
              </w:rPr>
              <w:t>.</w:t>
            </w:r>
          </w:p>
        </w:tc>
        <w:tc>
          <w:tcPr>
            <w:tcW w:w="1701" w:type="dxa"/>
            <w:tcBorders>
              <w:left w:val="single" w:sz="4" w:space="0" w:color="000000"/>
              <w:bottom w:val="single" w:sz="4" w:space="0" w:color="000000"/>
            </w:tcBorders>
            <w:shd w:val="clear" w:color="auto" w:fill="auto"/>
          </w:tcPr>
          <w:p w14:paraId="2DFC033E" w14:textId="3AF1558F" w:rsidR="000952B8" w:rsidRPr="00A07BE9" w:rsidRDefault="00000000" w:rsidP="00A366B3">
            <w:pPr>
              <w:suppressLineNumbers/>
              <w:spacing w:line="276" w:lineRule="auto"/>
              <w:jc w:val="center"/>
              <w:rPr>
                <w:rFonts w:ascii="Open Sans" w:eastAsia="Calibri" w:hAnsi="Open Sans" w:cs="Open Sans"/>
                <w:sz w:val="19"/>
                <w:szCs w:val="19"/>
              </w:rPr>
            </w:pPr>
            <w:hyperlink r:id="rId362" w:anchor="boc/sumari/X00017000" w:history="1">
              <w:r w:rsidR="000952B8" w:rsidRPr="00A07BE9">
                <w:rPr>
                  <w:rFonts w:ascii="Open Sans" w:eastAsia="Calibri" w:hAnsi="Open Sans" w:cs="Open Sans"/>
                  <w:color w:val="932224"/>
                  <w:sz w:val="19"/>
                  <w:szCs w:val="19"/>
                  <w:shd w:val="clear" w:color="auto" w:fill="FFFFFF"/>
                </w:rPr>
                <w:t>BOCV 17/X de 26.07.2019</w:t>
              </w:r>
            </w:hyperlink>
          </w:p>
        </w:tc>
        <w:tc>
          <w:tcPr>
            <w:tcW w:w="1701" w:type="dxa"/>
            <w:tcBorders>
              <w:left w:val="single" w:sz="4" w:space="0" w:color="000000"/>
              <w:bottom w:val="single" w:sz="4" w:space="0" w:color="000000"/>
              <w:right w:val="single" w:sz="4" w:space="0" w:color="000000"/>
            </w:tcBorders>
            <w:shd w:val="clear" w:color="auto" w:fill="auto"/>
          </w:tcPr>
          <w:p w14:paraId="381539F1" w14:textId="77777777" w:rsidR="000952B8" w:rsidRPr="00A07BE9" w:rsidRDefault="00000000" w:rsidP="00A366B3">
            <w:pPr>
              <w:suppressLineNumbers/>
              <w:spacing w:line="276" w:lineRule="auto"/>
              <w:jc w:val="center"/>
              <w:rPr>
                <w:rFonts w:ascii="Open Sans" w:eastAsia="Calibri" w:hAnsi="Open Sans" w:cs="Open Sans"/>
                <w:sz w:val="19"/>
                <w:szCs w:val="19"/>
              </w:rPr>
            </w:pPr>
            <w:hyperlink r:id="rId363">
              <w:r w:rsidR="000952B8" w:rsidRPr="00A07BE9">
                <w:rPr>
                  <w:rFonts w:ascii="Open Sans" w:eastAsia="Calibri" w:hAnsi="Open Sans" w:cs="Open Sans"/>
                  <w:color w:val="932224"/>
                  <w:sz w:val="19"/>
                  <w:szCs w:val="19"/>
                  <w:shd w:val="clear" w:color="auto" w:fill="FFFFFF"/>
                </w:rPr>
                <w:t>DOGV 8582 de 02.07.20</w:t>
              </w:r>
            </w:hyperlink>
            <w:hyperlink r:id="rId364">
              <w:bookmarkStart w:id="26" w:name="_Hlt32317922"/>
              <w:r w:rsidR="000952B8" w:rsidRPr="00A07BE9">
                <w:rPr>
                  <w:rFonts w:ascii="Open Sans" w:eastAsia="Calibri" w:hAnsi="Open Sans" w:cs="Open Sans"/>
                  <w:color w:val="932224"/>
                  <w:sz w:val="19"/>
                  <w:szCs w:val="19"/>
                  <w:shd w:val="clear" w:color="auto" w:fill="FFFFFF"/>
                </w:rPr>
                <w:t>1</w:t>
              </w:r>
            </w:hyperlink>
            <w:hyperlink r:id="rId365">
              <w:bookmarkEnd w:id="26"/>
              <w:r w:rsidR="000952B8" w:rsidRPr="00A07BE9">
                <w:rPr>
                  <w:rFonts w:ascii="Open Sans" w:eastAsia="Calibri" w:hAnsi="Open Sans" w:cs="Open Sans"/>
                  <w:color w:val="932224"/>
                  <w:sz w:val="19"/>
                  <w:szCs w:val="19"/>
                  <w:shd w:val="clear" w:color="auto" w:fill="FFFFFF"/>
                </w:rPr>
                <w:t>9</w:t>
              </w:r>
            </w:hyperlink>
          </w:p>
        </w:tc>
      </w:tr>
      <w:tr w:rsidR="000952B8" w:rsidRPr="00A07BE9" w14:paraId="773E1EBF" w14:textId="77777777" w:rsidTr="000952B8">
        <w:tc>
          <w:tcPr>
            <w:tcW w:w="5098" w:type="dxa"/>
            <w:tcBorders>
              <w:left w:val="single" w:sz="4" w:space="0" w:color="000000"/>
              <w:bottom w:val="single" w:sz="4" w:space="0" w:color="000000"/>
            </w:tcBorders>
            <w:shd w:val="clear" w:color="auto" w:fill="auto"/>
          </w:tcPr>
          <w:p w14:paraId="777CF5F8" w14:textId="77777777" w:rsidR="000952B8" w:rsidRPr="00A07BE9" w:rsidRDefault="000952B8" w:rsidP="00A366B3">
            <w:pPr>
              <w:suppressAutoHyphens/>
              <w:spacing w:after="0" w:line="276" w:lineRule="auto"/>
              <w:ind w:left="113"/>
              <w:jc w:val="both"/>
              <w:textAlignment w:val="baseline"/>
              <w:rPr>
                <w:rFonts w:ascii="Open Sans" w:eastAsia="NSimSun" w:hAnsi="Open Sans" w:cs="Open Sans"/>
                <w:kern w:val="2"/>
                <w:sz w:val="19"/>
                <w:szCs w:val="19"/>
                <w:lang w:eastAsia="zh-CN" w:bidi="hi-IN"/>
              </w:rPr>
            </w:pPr>
            <w:r w:rsidRPr="00A07BE9">
              <w:rPr>
                <w:rFonts w:ascii="Open Sans" w:eastAsia="NSimSun" w:hAnsi="Open Sans" w:cs="Open Sans"/>
                <w:b/>
                <w:color w:val="000000"/>
                <w:kern w:val="2"/>
                <w:sz w:val="19"/>
                <w:szCs w:val="19"/>
                <w:lang w:eastAsia="zh-CN" w:bidi="hi-IN"/>
              </w:rPr>
              <w:t>RESOLUCIÓN</w:t>
            </w:r>
            <w:r w:rsidRPr="00A07BE9">
              <w:rPr>
                <w:rFonts w:ascii="Open Sans" w:eastAsia="NSimSun" w:hAnsi="Open Sans" w:cs="Open Sans"/>
                <w:color w:val="000000"/>
                <w:kern w:val="2"/>
                <w:sz w:val="19"/>
                <w:szCs w:val="19"/>
                <w:lang w:eastAsia="zh-CN" w:bidi="hi-IN"/>
              </w:rPr>
              <w:t xml:space="preserve"> de 8 de julio de 2019, del director, por la que se </w:t>
            </w:r>
            <w:r w:rsidRPr="00A07BE9">
              <w:rPr>
                <w:rFonts w:ascii="Open Sans" w:eastAsia="NSimSun" w:hAnsi="Open Sans" w:cs="Open Sans"/>
                <w:b/>
                <w:color w:val="000000"/>
                <w:kern w:val="2"/>
                <w:sz w:val="19"/>
                <w:szCs w:val="19"/>
                <w:lang w:eastAsia="zh-CN" w:bidi="hi-IN"/>
              </w:rPr>
              <w:t xml:space="preserve">modifica el reglamento de funcionamiento y régimen interior </w:t>
            </w:r>
            <w:r w:rsidRPr="00A07BE9">
              <w:rPr>
                <w:rFonts w:ascii="Open Sans" w:eastAsia="NSimSun" w:hAnsi="Open Sans" w:cs="Open Sans"/>
                <w:color w:val="000000"/>
                <w:kern w:val="2"/>
                <w:sz w:val="19"/>
                <w:szCs w:val="19"/>
                <w:lang w:eastAsia="zh-CN" w:bidi="hi-IN"/>
              </w:rPr>
              <w:t>de esta, en desarrollo de la Ley 11/2016, de 28 de noviembre, de la Generalitat.</w:t>
            </w:r>
          </w:p>
        </w:tc>
        <w:tc>
          <w:tcPr>
            <w:tcW w:w="1701" w:type="dxa"/>
            <w:tcBorders>
              <w:left w:val="single" w:sz="4" w:space="0" w:color="000000"/>
              <w:bottom w:val="single" w:sz="4" w:space="0" w:color="000000"/>
            </w:tcBorders>
            <w:shd w:val="clear" w:color="auto" w:fill="auto"/>
          </w:tcPr>
          <w:p w14:paraId="0FF51891" w14:textId="77777777" w:rsidR="000952B8" w:rsidRPr="00A07BE9" w:rsidRDefault="000952B8" w:rsidP="00A366B3">
            <w:pPr>
              <w:suppressLineNumbers/>
              <w:spacing w:line="276" w:lineRule="auto"/>
              <w:jc w:val="center"/>
              <w:rPr>
                <w:rFonts w:ascii="Open Sans" w:eastAsia="Calibri" w:hAnsi="Open Sans" w:cs="Open Sans"/>
                <w:b/>
                <w:color w:val="932224"/>
                <w:sz w:val="19"/>
                <w:szCs w:val="19"/>
              </w:rPr>
            </w:pPr>
          </w:p>
        </w:tc>
        <w:tc>
          <w:tcPr>
            <w:tcW w:w="1701" w:type="dxa"/>
            <w:tcBorders>
              <w:left w:val="single" w:sz="4" w:space="0" w:color="000000"/>
              <w:bottom w:val="single" w:sz="4" w:space="0" w:color="000000"/>
              <w:right w:val="single" w:sz="4" w:space="0" w:color="000000"/>
            </w:tcBorders>
            <w:shd w:val="clear" w:color="auto" w:fill="auto"/>
          </w:tcPr>
          <w:p w14:paraId="48BC34B0" w14:textId="77777777" w:rsidR="000952B8" w:rsidRPr="00A07BE9" w:rsidRDefault="00000000" w:rsidP="00A366B3">
            <w:pPr>
              <w:suppressLineNumbers/>
              <w:spacing w:line="276" w:lineRule="auto"/>
              <w:jc w:val="center"/>
              <w:rPr>
                <w:rFonts w:ascii="Open Sans" w:eastAsia="Calibri" w:hAnsi="Open Sans" w:cs="Open Sans"/>
                <w:sz w:val="19"/>
                <w:szCs w:val="19"/>
              </w:rPr>
            </w:pPr>
            <w:hyperlink r:id="rId366">
              <w:r w:rsidR="000952B8" w:rsidRPr="00A07BE9">
                <w:rPr>
                  <w:rFonts w:ascii="Open Sans" w:eastAsia="Calibri" w:hAnsi="Open Sans" w:cs="Open Sans"/>
                  <w:color w:val="932224"/>
                  <w:sz w:val="19"/>
                  <w:szCs w:val="19"/>
                  <w:shd w:val="clear" w:color="auto" w:fill="FFFFFF"/>
                </w:rPr>
                <w:t>DOGV 8591 de 15.07.2019</w:t>
              </w:r>
            </w:hyperlink>
          </w:p>
        </w:tc>
      </w:tr>
      <w:tr w:rsidR="000952B8" w:rsidRPr="00A07BE9" w14:paraId="00D708DB" w14:textId="77777777" w:rsidTr="000952B8">
        <w:tc>
          <w:tcPr>
            <w:tcW w:w="5098" w:type="dxa"/>
            <w:tcBorders>
              <w:left w:val="single" w:sz="4" w:space="0" w:color="000000"/>
              <w:bottom w:val="single" w:sz="4" w:space="0" w:color="000000"/>
            </w:tcBorders>
            <w:shd w:val="clear" w:color="auto" w:fill="auto"/>
          </w:tcPr>
          <w:p w14:paraId="252E8B49" w14:textId="30E126E9" w:rsidR="000952B8" w:rsidRPr="00A07BE9" w:rsidRDefault="000952B8" w:rsidP="00A366B3">
            <w:pPr>
              <w:suppressAutoHyphens/>
              <w:spacing w:after="0" w:line="276" w:lineRule="auto"/>
              <w:ind w:left="113"/>
              <w:jc w:val="both"/>
              <w:textAlignment w:val="baseline"/>
              <w:rPr>
                <w:rFonts w:ascii="Open Sans" w:eastAsia="NSimSun" w:hAnsi="Open Sans" w:cs="Open Sans"/>
                <w:kern w:val="2"/>
                <w:sz w:val="19"/>
                <w:szCs w:val="19"/>
                <w:lang w:eastAsia="zh-CN" w:bidi="hi-IN"/>
              </w:rPr>
            </w:pPr>
            <w:r w:rsidRPr="00A07BE9">
              <w:rPr>
                <w:rFonts w:ascii="Open Sans" w:eastAsia="NSimSun" w:hAnsi="Open Sans" w:cs="Open Sans"/>
                <w:b/>
                <w:color w:val="000000"/>
                <w:kern w:val="2"/>
                <w:sz w:val="19"/>
                <w:szCs w:val="19"/>
                <w:lang w:eastAsia="zh-CN" w:bidi="hi-IN"/>
              </w:rPr>
              <w:t>RESOLUCIÓN</w:t>
            </w:r>
            <w:r w:rsidRPr="00A07BE9">
              <w:rPr>
                <w:rFonts w:ascii="Open Sans" w:eastAsia="NSimSun" w:hAnsi="Open Sans" w:cs="Open Sans"/>
                <w:color w:val="000000"/>
                <w:kern w:val="2"/>
                <w:sz w:val="19"/>
                <w:szCs w:val="19"/>
                <w:lang w:eastAsia="zh-CN" w:bidi="hi-IN"/>
              </w:rPr>
              <w:t xml:space="preserve"> de 11 de julio de 2019, del director de la Agencia de Prevención y Lucha contra el Fraude y la Corrupción de la Comunitat Valenciana, por la que se acuerda la publicación del texto íntegro del </w:t>
            </w:r>
            <w:r w:rsidRPr="00A07BE9">
              <w:rPr>
                <w:rFonts w:ascii="Open Sans" w:eastAsia="NSimSun" w:hAnsi="Open Sans" w:cs="Open Sans"/>
                <w:b/>
                <w:color w:val="000000"/>
                <w:kern w:val="2"/>
                <w:sz w:val="19"/>
                <w:szCs w:val="19"/>
                <w:lang w:eastAsia="zh-CN" w:bidi="hi-IN"/>
              </w:rPr>
              <w:t>Convenio marco</w:t>
            </w:r>
            <w:r w:rsidRPr="00A07BE9">
              <w:rPr>
                <w:rFonts w:ascii="Open Sans" w:eastAsia="NSimSun" w:hAnsi="Open Sans" w:cs="Open Sans"/>
                <w:color w:val="000000"/>
                <w:kern w:val="2"/>
                <w:sz w:val="19"/>
                <w:szCs w:val="19"/>
                <w:lang w:eastAsia="zh-CN" w:bidi="hi-IN"/>
              </w:rPr>
              <w:t xml:space="preserve"> suscrito por la asociación sin ánimo de lucro </w:t>
            </w:r>
            <w:r w:rsidRPr="00A07BE9">
              <w:rPr>
                <w:rFonts w:ascii="Open Sans" w:eastAsia="NSimSun" w:hAnsi="Open Sans" w:cs="Open Sans"/>
                <w:b/>
                <w:color w:val="000000"/>
                <w:kern w:val="2"/>
                <w:sz w:val="19"/>
                <w:szCs w:val="19"/>
                <w:lang w:eastAsia="zh-CN" w:bidi="hi-IN"/>
              </w:rPr>
              <w:t>Tactical Whistleblower</w:t>
            </w:r>
            <w:r w:rsidRPr="00A07BE9">
              <w:rPr>
                <w:rFonts w:ascii="Open Sans" w:eastAsia="NSimSun" w:hAnsi="Open Sans" w:cs="Open Sans"/>
                <w:color w:val="000000"/>
                <w:kern w:val="2"/>
                <w:sz w:val="19"/>
                <w:szCs w:val="19"/>
                <w:lang w:eastAsia="zh-CN" w:bidi="hi-IN"/>
              </w:rPr>
              <w:t xml:space="preserve"> y esta agencia, para establecer un canal permanente de comunicación y colaboración para mejorar la eficacia en el cumplimiento de objetivos de interés común</w:t>
            </w:r>
            <w:r w:rsidR="00A366B3" w:rsidRPr="00A07BE9">
              <w:rPr>
                <w:rFonts w:ascii="Open Sans" w:eastAsia="NSimSun" w:hAnsi="Open Sans" w:cs="Open Sans"/>
                <w:color w:val="000000"/>
                <w:kern w:val="2"/>
                <w:sz w:val="19"/>
                <w:szCs w:val="19"/>
                <w:lang w:eastAsia="zh-CN" w:bidi="hi-IN"/>
              </w:rPr>
              <w:t>.</w:t>
            </w:r>
          </w:p>
        </w:tc>
        <w:tc>
          <w:tcPr>
            <w:tcW w:w="1701" w:type="dxa"/>
            <w:tcBorders>
              <w:left w:val="single" w:sz="4" w:space="0" w:color="000000"/>
              <w:bottom w:val="single" w:sz="4" w:space="0" w:color="000000"/>
            </w:tcBorders>
            <w:shd w:val="clear" w:color="auto" w:fill="auto"/>
          </w:tcPr>
          <w:p w14:paraId="05A239C7" w14:textId="6D4B6932" w:rsidR="000952B8" w:rsidRPr="00A07BE9" w:rsidRDefault="00000000" w:rsidP="00A366B3">
            <w:pPr>
              <w:suppressLineNumbers/>
              <w:spacing w:line="276" w:lineRule="auto"/>
              <w:jc w:val="center"/>
              <w:rPr>
                <w:rFonts w:ascii="Open Sans" w:eastAsia="Calibri" w:hAnsi="Open Sans" w:cs="Open Sans"/>
                <w:sz w:val="19"/>
                <w:szCs w:val="19"/>
              </w:rPr>
            </w:pPr>
            <w:hyperlink r:id="rId367" w:anchor="boc/sumari/X00018000" w:history="1">
              <w:r w:rsidR="000952B8" w:rsidRPr="00A07BE9">
                <w:rPr>
                  <w:rFonts w:ascii="Open Sans" w:eastAsia="Calibri" w:hAnsi="Open Sans" w:cs="Open Sans"/>
                  <w:color w:val="932224"/>
                  <w:sz w:val="19"/>
                  <w:szCs w:val="19"/>
                  <w:shd w:val="clear" w:color="auto" w:fill="FFFFFF"/>
                </w:rPr>
                <w:t xml:space="preserve">BOCV 18/X de </w:t>
              </w:r>
            </w:hyperlink>
            <w:hyperlink r:id="rId368" w:anchor="boc/sumari/X00018000" w:history="1">
              <w:r w:rsidR="000952B8" w:rsidRPr="00A07BE9">
                <w:rPr>
                  <w:rFonts w:ascii="Open Sans" w:eastAsia="Calibri" w:hAnsi="Open Sans" w:cs="Open Sans"/>
                  <w:color w:val="932224"/>
                  <w:sz w:val="19"/>
                  <w:szCs w:val="19"/>
                  <w:shd w:val="clear" w:color="auto" w:fill="FFFFFF"/>
                </w:rPr>
                <w:t>31.07.2019</w:t>
              </w:r>
            </w:hyperlink>
          </w:p>
        </w:tc>
        <w:tc>
          <w:tcPr>
            <w:tcW w:w="1701" w:type="dxa"/>
            <w:tcBorders>
              <w:left w:val="single" w:sz="4" w:space="0" w:color="000000"/>
              <w:bottom w:val="single" w:sz="4" w:space="0" w:color="000000"/>
              <w:right w:val="single" w:sz="4" w:space="0" w:color="000000"/>
            </w:tcBorders>
            <w:shd w:val="clear" w:color="auto" w:fill="auto"/>
          </w:tcPr>
          <w:p w14:paraId="3B8F3AFE" w14:textId="77777777" w:rsidR="000952B8" w:rsidRPr="00A07BE9" w:rsidRDefault="00000000" w:rsidP="00A366B3">
            <w:pPr>
              <w:suppressLineNumbers/>
              <w:spacing w:line="276" w:lineRule="auto"/>
              <w:jc w:val="center"/>
              <w:rPr>
                <w:rFonts w:ascii="Open Sans" w:eastAsia="Calibri" w:hAnsi="Open Sans" w:cs="Open Sans"/>
                <w:sz w:val="19"/>
                <w:szCs w:val="19"/>
              </w:rPr>
            </w:pPr>
            <w:hyperlink r:id="rId369">
              <w:r w:rsidR="000952B8" w:rsidRPr="00A07BE9">
                <w:rPr>
                  <w:rFonts w:ascii="Open Sans" w:eastAsia="Calibri" w:hAnsi="Open Sans" w:cs="Open Sans"/>
                  <w:color w:val="932224"/>
                  <w:sz w:val="19"/>
                  <w:szCs w:val="19"/>
                  <w:shd w:val="clear" w:color="auto" w:fill="FFFFFF"/>
                </w:rPr>
                <w:t xml:space="preserve">DOGV 8604 de </w:t>
              </w:r>
            </w:hyperlink>
            <w:hyperlink r:id="rId370">
              <w:r w:rsidR="000952B8" w:rsidRPr="00A07BE9">
                <w:rPr>
                  <w:rFonts w:ascii="Open Sans" w:eastAsia="Calibri" w:hAnsi="Open Sans" w:cs="Open Sans"/>
                  <w:color w:val="932224"/>
                  <w:sz w:val="19"/>
                  <w:szCs w:val="19"/>
                  <w:shd w:val="clear" w:color="auto" w:fill="FFFFFF"/>
                </w:rPr>
                <w:t>01.08.2019</w:t>
              </w:r>
            </w:hyperlink>
          </w:p>
        </w:tc>
      </w:tr>
      <w:tr w:rsidR="000952B8" w:rsidRPr="00A07BE9" w14:paraId="01EE9E52" w14:textId="77777777" w:rsidTr="000952B8">
        <w:tc>
          <w:tcPr>
            <w:tcW w:w="5098" w:type="dxa"/>
            <w:tcBorders>
              <w:left w:val="single" w:sz="4" w:space="0" w:color="000000"/>
              <w:bottom w:val="single" w:sz="4" w:space="0" w:color="000000"/>
            </w:tcBorders>
            <w:shd w:val="clear" w:color="auto" w:fill="auto"/>
          </w:tcPr>
          <w:p w14:paraId="547B6038" w14:textId="02A37C0C" w:rsidR="000952B8" w:rsidRPr="00A07BE9" w:rsidRDefault="000952B8" w:rsidP="00A366B3">
            <w:pPr>
              <w:suppressAutoHyphens/>
              <w:spacing w:after="0" w:line="276" w:lineRule="auto"/>
              <w:ind w:left="113"/>
              <w:jc w:val="both"/>
              <w:textAlignment w:val="baseline"/>
              <w:rPr>
                <w:rFonts w:ascii="Open Sans" w:eastAsia="NSimSun" w:hAnsi="Open Sans" w:cs="Open Sans"/>
                <w:color w:val="000000"/>
                <w:kern w:val="2"/>
                <w:sz w:val="19"/>
                <w:szCs w:val="19"/>
                <w:lang w:eastAsia="zh-CN" w:bidi="hi-IN"/>
              </w:rPr>
            </w:pPr>
            <w:r w:rsidRPr="00A07BE9">
              <w:rPr>
                <w:rFonts w:ascii="Open Sans" w:eastAsia="NSimSun" w:hAnsi="Open Sans" w:cs="Open Sans"/>
                <w:b/>
                <w:color w:val="000000"/>
                <w:kern w:val="2"/>
                <w:sz w:val="19"/>
                <w:szCs w:val="19"/>
                <w:lang w:eastAsia="zh-CN" w:bidi="hi-IN"/>
              </w:rPr>
              <w:t>RESOLUCIÓN</w:t>
            </w:r>
            <w:r w:rsidRPr="00A07BE9">
              <w:rPr>
                <w:rFonts w:ascii="Open Sans" w:eastAsia="NSimSun" w:hAnsi="Open Sans" w:cs="Open Sans"/>
                <w:color w:val="000000"/>
                <w:kern w:val="2"/>
                <w:sz w:val="19"/>
                <w:szCs w:val="19"/>
                <w:lang w:eastAsia="zh-CN" w:bidi="hi-IN"/>
              </w:rPr>
              <w:t xml:space="preserve"> de 6 de septiembre de 2019, del director de la Agencia de Prevención y Lucha contra el Fraude y la Corrupción de la Comunitat Valenciana, por la que se convoca la </w:t>
            </w:r>
            <w:r w:rsidRPr="00A07BE9">
              <w:rPr>
                <w:rFonts w:ascii="Open Sans" w:eastAsia="NSimSun" w:hAnsi="Open Sans" w:cs="Open Sans"/>
                <w:b/>
                <w:color w:val="000000"/>
                <w:kern w:val="2"/>
                <w:sz w:val="19"/>
                <w:szCs w:val="19"/>
                <w:lang w:eastAsia="zh-CN" w:bidi="hi-IN"/>
              </w:rPr>
              <w:t xml:space="preserve">provisión provisional de diferentes puestos </w:t>
            </w:r>
            <w:r w:rsidRPr="00A07BE9">
              <w:rPr>
                <w:rFonts w:ascii="Open Sans" w:eastAsia="NSimSun" w:hAnsi="Open Sans" w:cs="Open Sans"/>
                <w:color w:val="000000"/>
                <w:kern w:val="2"/>
                <w:sz w:val="19"/>
                <w:szCs w:val="19"/>
                <w:lang w:eastAsia="zh-CN" w:bidi="hi-IN"/>
              </w:rPr>
              <w:t>de trabajo de la Agencia a funcionarios y funcionarias de carrera de las distintas administraciones públicas, en régimen de comisión de servicios o adscripción provisional (núm. convocatoria CS.3/2019)</w:t>
            </w:r>
            <w:r w:rsidR="00A366B3" w:rsidRPr="00A07BE9">
              <w:rPr>
                <w:rFonts w:ascii="Open Sans" w:eastAsia="NSimSun" w:hAnsi="Open Sans" w:cs="Open Sans"/>
                <w:color w:val="000000"/>
                <w:kern w:val="2"/>
                <w:sz w:val="19"/>
                <w:szCs w:val="19"/>
                <w:lang w:eastAsia="zh-CN" w:bidi="hi-IN"/>
              </w:rPr>
              <w:t>.</w:t>
            </w:r>
          </w:p>
        </w:tc>
        <w:tc>
          <w:tcPr>
            <w:tcW w:w="1701" w:type="dxa"/>
            <w:tcBorders>
              <w:left w:val="single" w:sz="4" w:space="0" w:color="000000"/>
              <w:bottom w:val="single" w:sz="4" w:space="0" w:color="000000"/>
            </w:tcBorders>
            <w:shd w:val="clear" w:color="auto" w:fill="auto"/>
          </w:tcPr>
          <w:p w14:paraId="1C273A0F" w14:textId="77777777" w:rsidR="000952B8" w:rsidRPr="00A07BE9" w:rsidRDefault="000952B8" w:rsidP="00A366B3">
            <w:pPr>
              <w:suppressLineNumbers/>
              <w:spacing w:line="276" w:lineRule="auto"/>
              <w:jc w:val="center"/>
              <w:rPr>
                <w:rFonts w:ascii="Open Sans" w:eastAsia="Calibri" w:hAnsi="Open Sans" w:cs="Open Sans"/>
                <w:b/>
                <w:color w:val="932224"/>
                <w:sz w:val="19"/>
                <w:szCs w:val="19"/>
              </w:rPr>
            </w:pPr>
          </w:p>
        </w:tc>
        <w:tc>
          <w:tcPr>
            <w:tcW w:w="1701" w:type="dxa"/>
            <w:tcBorders>
              <w:left w:val="single" w:sz="4" w:space="0" w:color="000000"/>
              <w:bottom w:val="single" w:sz="4" w:space="0" w:color="000000"/>
              <w:right w:val="single" w:sz="4" w:space="0" w:color="000000"/>
            </w:tcBorders>
            <w:shd w:val="clear" w:color="auto" w:fill="auto"/>
          </w:tcPr>
          <w:p w14:paraId="27EB1E1A" w14:textId="77777777" w:rsidR="000952B8" w:rsidRPr="00A07BE9" w:rsidRDefault="00000000" w:rsidP="00A366B3">
            <w:pPr>
              <w:suppressLineNumbers/>
              <w:spacing w:line="276" w:lineRule="auto"/>
              <w:jc w:val="center"/>
              <w:rPr>
                <w:rFonts w:ascii="Open Sans" w:eastAsia="Calibri" w:hAnsi="Open Sans" w:cs="Open Sans"/>
                <w:sz w:val="19"/>
                <w:szCs w:val="19"/>
              </w:rPr>
            </w:pPr>
            <w:hyperlink r:id="rId371">
              <w:r w:rsidR="000952B8" w:rsidRPr="00A07BE9">
                <w:rPr>
                  <w:rFonts w:ascii="Open Sans" w:eastAsia="Calibri" w:hAnsi="Open Sans" w:cs="Open Sans"/>
                  <w:color w:val="932224"/>
                  <w:sz w:val="19"/>
                  <w:szCs w:val="19"/>
                  <w:shd w:val="clear" w:color="auto" w:fill="FFFFFF"/>
                </w:rPr>
                <w:t>DOGV 8622 de 12.09.2019</w:t>
              </w:r>
            </w:hyperlink>
          </w:p>
        </w:tc>
      </w:tr>
      <w:tr w:rsidR="000952B8" w:rsidRPr="00A07BE9" w14:paraId="794DD946" w14:textId="77777777" w:rsidTr="000952B8">
        <w:tc>
          <w:tcPr>
            <w:tcW w:w="5098" w:type="dxa"/>
            <w:tcBorders>
              <w:left w:val="single" w:sz="4" w:space="0" w:color="000000"/>
              <w:bottom w:val="single" w:sz="4" w:space="0" w:color="000000"/>
            </w:tcBorders>
            <w:shd w:val="clear" w:color="auto" w:fill="auto"/>
          </w:tcPr>
          <w:p w14:paraId="3A3C5F38" w14:textId="77777777" w:rsidR="000952B8" w:rsidRPr="00A07BE9" w:rsidRDefault="000952B8" w:rsidP="00A366B3">
            <w:pPr>
              <w:suppressAutoHyphens/>
              <w:spacing w:after="0" w:line="276" w:lineRule="auto"/>
              <w:ind w:left="113"/>
              <w:jc w:val="both"/>
              <w:textAlignment w:val="baseline"/>
              <w:rPr>
                <w:rFonts w:ascii="Open Sans" w:eastAsia="NSimSun" w:hAnsi="Open Sans" w:cs="Open Sans"/>
                <w:kern w:val="2"/>
                <w:sz w:val="19"/>
                <w:szCs w:val="19"/>
                <w:lang w:eastAsia="zh-CN" w:bidi="hi-IN"/>
              </w:rPr>
            </w:pPr>
            <w:r w:rsidRPr="00A07BE9">
              <w:rPr>
                <w:rFonts w:ascii="Open Sans" w:eastAsia="NSimSun" w:hAnsi="Open Sans" w:cs="Open Sans"/>
                <w:b/>
                <w:color w:val="000000"/>
                <w:kern w:val="2"/>
                <w:sz w:val="19"/>
                <w:szCs w:val="19"/>
                <w:lang w:eastAsia="zh-CN" w:bidi="hi-IN"/>
              </w:rPr>
              <w:t>RESOLUCIÓN</w:t>
            </w:r>
            <w:r w:rsidRPr="00A07BE9">
              <w:rPr>
                <w:rFonts w:ascii="Open Sans" w:eastAsia="NSimSun" w:hAnsi="Open Sans" w:cs="Open Sans"/>
                <w:color w:val="000000"/>
                <w:kern w:val="2"/>
                <w:sz w:val="19"/>
                <w:szCs w:val="19"/>
                <w:lang w:eastAsia="zh-CN" w:bidi="hi-IN"/>
              </w:rPr>
              <w:t xml:space="preserve"> de 19 de agosto de 2019, del director de la Agencia de Prevención y Lucha contra el Fraude y la corrupción, por la que se aprueba la</w:t>
            </w:r>
            <w:r w:rsidRPr="00A07BE9">
              <w:rPr>
                <w:rFonts w:ascii="Open Sans" w:eastAsia="NSimSun" w:hAnsi="Open Sans" w:cs="Open Sans"/>
                <w:b/>
                <w:color w:val="000000"/>
                <w:kern w:val="2"/>
                <w:sz w:val="19"/>
                <w:szCs w:val="19"/>
                <w:lang w:eastAsia="zh-CN" w:bidi="hi-IN"/>
              </w:rPr>
              <w:t xml:space="preserve"> relación de puestos de trabajo </w:t>
            </w:r>
            <w:r w:rsidRPr="00A07BE9">
              <w:rPr>
                <w:rFonts w:ascii="Open Sans" w:eastAsia="NSimSun" w:hAnsi="Open Sans" w:cs="Open Sans"/>
                <w:color w:val="000000"/>
                <w:kern w:val="2"/>
                <w:sz w:val="19"/>
                <w:szCs w:val="19"/>
                <w:lang w:eastAsia="zh-CN" w:bidi="hi-IN"/>
              </w:rPr>
              <w:t>de la Agencia de Prevención y Lucha contra el Fraude y la Corrupción de la Comunitat Valenciana.</w:t>
            </w:r>
          </w:p>
        </w:tc>
        <w:tc>
          <w:tcPr>
            <w:tcW w:w="1701" w:type="dxa"/>
            <w:tcBorders>
              <w:left w:val="single" w:sz="4" w:space="0" w:color="000000"/>
              <w:bottom w:val="single" w:sz="4" w:space="0" w:color="000000"/>
            </w:tcBorders>
            <w:shd w:val="clear" w:color="auto" w:fill="auto"/>
          </w:tcPr>
          <w:p w14:paraId="391DC05D" w14:textId="4F06C9F6" w:rsidR="000952B8" w:rsidRPr="00A07BE9" w:rsidRDefault="00000000" w:rsidP="00A366B3">
            <w:pPr>
              <w:suppressLineNumbers/>
              <w:spacing w:line="276" w:lineRule="auto"/>
              <w:jc w:val="center"/>
              <w:rPr>
                <w:rFonts w:ascii="Open Sans" w:eastAsia="Calibri" w:hAnsi="Open Sans" w:cs="Open Sans"/>
                <w:sz w:val="19"/>
                <w:szCs w:val="19"/>
              </w:rPr>
            </w:pPr>
            <w:hyperlink r:id="rId372" w:anchor="boc/sumari/X00021000" w:history="1">
              <w:r w:rsidR="000952B8" w:rsidRPr="00A07BE9">
                <w:rPr>
                  <w:rFonts w:ascii="Open Sans" w:eastAsia="Calibri" w:hAnsi="Open Sans" w:cs="Open Sans"/>
                  <w:color w:val="932224"/>
                  <w:sz w:val="19"/>
                  <w:szCs w:val="19"/>
                  <w:shd w:val="clear" w:color="auto" w:fill="FFFFFF"/>
                </w:rPr>
                <w:t>BOCV 21/X de 13.09.2019</w:t>
              </w:r>
            </w:hyperlink>
          </w:p>
        </w:tc>
        <w:tc>
          <w:tcPr>
            <w:tcW w:w="1701" w:type="dxa"/>
            <w:tcBorders>
              <w:left w:val="single" w:sz="4" w:space="0" w:color="000000"/>
              <w:bottom w:val="single" w:sz="4" w:space="0" w:color="000000"/>
              <w:right w:val="single" w:sz="4" w:space="0" w:color="000000"/>
            </w:tcBorders>
            <w:shd w:val="clear" w:color="auto" w:fill="auto"/>
          </w:tcPr>
          <w:p w14:paraId="4569722C" w14:textId="77777777" w:rsidR="000952B8" w:rsidRPr="00A07BE9" w:rsidRDefault="00000000" w:rsidP="00A366B3">
            <w:pPr>
              <w:suppressLineNumbers/>
              <w:spacing w:line="276" w:lineRule="auto"/>
              <w:jc w:val="center"/>
              <w:rPr>
                <w:rFonts w:ascii="Open Sans" w:eastAsia="Calibri" w:hAnsi="Open Sans" w:cs="Open Sans"/>
                <w:sz w:val="19"/>
                <w:szCs w:val="19"/>
              </w:rPr>
            </w:pPr>
            <w:hyperlink r:id="rId373">
              <w:r w:rsidR="000952B8" w:rsidRPr="00A07BE9">
                <w:rPr>
                  <w:rFonts w:ascii="Open Sans" w:eastAsia="Calibri" w:hAnsi="Open Sans" w:cs="Open Sans"/>
                  <w:color w:val="932224"/>
                  <w:sz w:val="19"/>
                  <w:szCs w:val="19"/>
                  <w:shd w:val="clear" w:color="auto" w:fill="FFFFFF"/>
                </w:rPr>
                <w:t>DOGV 8624 de 30.08.2019</w:t>
              </w:r>
            </w:hyperlink>
          </w:p>
        </w:tc>
      </w:tr>
      <w:tr w:rsidR="000952B8" w:rsidRPr="00A07BE9" w14:paraId="46DA106A" w14:textId="77777777" w:rsidTr="000952B8">
        <w:tc>
          <w:tcPr>
            <w:tcW w:w="5098" w:type="dxa"/>
            <w:tcBorders>
              <w:left w:val="single" w:sz="4" w:space="0" w:color="000000"/>
              <w:bottom w:val="single" w:sz="4" w:space="0" w:color="000000"/>
            </w:tcBorders>
            <w:shd w:val="clear" w:color="auto" w:fill="auto"/>
          </w:tcPr>
          <w:p w14:paraId="3A9543B9" w14:textId="1A30A975" w:rsidR="00A366B3" w:rsidRPr="00A07BE9" w:rsidRDefault="000952B8" w:rsidP="00A366B3">
            <w:pPr>
              <w:suppressAutoHyphens/>
              <w:spacing w:after="0" w:line="276" w:lineRule="auto"/>
              <w:ind w:left="113"/>
              <w:jc w:val="both"/>
              <w:textAlignment w:val="baseline"/>
              <w:rPr>
                <w:rFonts w:ascii="Open Sans" w:eastAsia="NSimSun" w:hAnsi="Open Sans" w:cs="Open Sans"/>
                <w:color w:val="000000"/>
                <w:kern w:val="2"/>
                <w:sz w:val="19"/>
                <w:szCs w:val="19"/>
                <w:lang w:eastAsia="zh-CN" w:bidi="hi-IN"/>
              </w:rPr>
            </w:pPr>
            <w:r w:rsidRPr="00A07BE9">
              <w:rPr>
                <w:rFonts w:ascii="Open Sans" w:eastAsia="NSimSun" w:hAnsi="Open Sans" w:cs="Open Sans"/>
                <w:b/>
                <w:color w:val="000000"/>
                <w:kern w:val="2"/>
                <w:sz w:val="19"/>
                <w:szCs w:val="19"/>
                <w:lang w:eastAsia="zh-CN" w:bidi="hi-IN"/>
              </w:rPr>
              <w:t>RESOLUCIÓN</w:t>
            </w:r>
            <w:r w:rsidRPr="00A07BE9">
              <w:rPr>
                <w:rFonts w:ascii="Open Sans" w:eastAsia="NSimSun" w:hAnsi="Open Sans" w:cs="Open Sans"/>
                <w:color w:val="000000"/>
                <w:kern w:val="2"/>
                <w:sz w:val="19"/>
                <w:szCs w:val="19"/>
                <w:lang w:eastAsia="zh-CN" w:bidi="hi-IN"/>
              </w:rPr>
              <w:t xml:space="preserve"> de 18 de septiembre de 2019, del director de la Agencia de Prevención y Lucha contra el Fraude y la Corrupción de la Comunitat Valenciana, por la que se convoca la provisión, por el sistema de libre designación, del puesto de trabajo de naturaleza funcionarial </w:t>
            </w:r>
            <w:r w:rsidRPr="00A07BE9">
              <w:rPr>
                <w:rFonts w:ascii="Open Sans" w:eastAsia="NSimSun" w:hAnsi="Open Sans" w:cs="Open Sans"/>
                <w:b/>
                <w:color w:val="000000"/>
                <w:kern w:val="2"/>
                <w:sz w:val="19"/>
                <w:szCs w:val="19"/>
                <w:lang w:eastAsia="zh-CN" w:bidi="hi-IN"/>
              </w:rPr>
              <w:t>jefe de Unidad de Gestión Económica, número 13</w:t>
            </w:r>
            <w:r w:rsidRPr="00A07BE9">
              <w:rPr>
                <w:rFonts w:ascii="Open Sans" w:eastAsia="NSimSun" w:hAnsi="Open Sans" w:cs="Open Sans"/>
                <w:color w:val="000000"/>
                <w:kern w:val="2"/>
                <w:sz w:val="19"/>
                <w:szCs w:val="19"/>
                <w:lang w:eastAsia="zh-CN" w:bidi="hi-IN"/>
              </w:rPr>
              <w:t>, y se aprueban las bases de la convocatoria</w:t>
            </w:r>
            <w:r w:rsidR="00A366B3" w:rsidRPr="00A07BE9">
              <w:rPr>
                <w:rFonts w:ascii="Open Sans" w:eastAsia="NSimSun" w:hAnsi="Open Sans" w:cs="Open Sans"/>
                <w:color w:val="000000"/>
                <w:kern w:val="2"/>
                <w:sz w:val="19"/>
                <w:szCs w:val="19"/>
                <w:lang w:eastAsia="zh-CN" w:bidi="hi-IN"/>
              </w:rPr>
              <w:t>.</w:t>
            </w:r>
          </w:p>
        </w:tc>
        <w:tc>
          <w:tcPr>
            <w:tcW w:w="1701" w:type="dxa"/>
            <w:tcBorders>
              <w:left w:val="single" w:sz="4" w:space="0" w:color="000000"/>
              <w:bottom w:val="single" w:sz="4" w:space="0" w:color="000000"/>
            </w:tcBorders>
            <w:shd w:val="clear" w:color="auto" w:fill="auto"/>
          </w:tcPr>
          <w:p w14:paraId="0B53DC43" w14:textId="65CD1A72" w:rsidR="000952B8" w:rsidRPr="00A07BE9" w:rsidRDefault="00000000" w:rsidP="00A366B3">
            <w:pPr>
              <w:suppressLineNumbers/>
              <w:spacing w:line="276" w:lineRule="auto"/>
              <w:jc w:val="center"/>
              <w:rPr>
                <w:rFonts w:ascii="Open Sans" w:eastAsia="Calibri" w:hAnsi="Open Sans" w:cs="Open Sans"/>
                <w:sz w:val="19"/>
                <w:szCs w:val="19"/>
              </w:rPr>
            </w:pPr>
            <w:hyperlink r:id="rId374" w:anchor="boc/sumari/X00023000" w:history="1">
              <w:r w:rsidR="000952B8" w:rsidRPr="00A07BE9">
                <w:rPr>
                  <w:rFonts w:ascii="Open Sans" w:eastAsia="Calibri" w:hAnsi="Open Sans" w:cs="Open Sans"/>
                  <w:color w:val="932224"/>
                  <w:sz w:val="19"/>
                  <w:szCs w:val="19"/>
                  <w:shd w:val="clear" w:color="auto" w:fill="FFFFFF"/>
                </w:rPr>
                <w:t>BOCV 23/X de 25.09.2019</w:t>
              </w:r>
            </w:hyperlink>
          </w:p>
        </w:tc>
        <w:tc>
          <w:tcPr>
            <w:tcW w:w="1701" w:type="dxa"/>
            <w:tcBorders>
              <w:left w:val="single" w:sz="4" w:space="0" w:color="000000"/>
              <w:bottom w:val="single" w:sz="4" w:space="0" w:color="000000"/>
              <w:right w:val="single" w:sz="4" w:space="0" w:color="000000"/>
            </w:tcBorders>
            <w:shd w:val="clear" w:color="auto" w:fill="auto"/>
          </w:tcPr>
          <w:p w14:paraId="2B35B7D4" w14:textId="77777777" w:rsidR="000952B8" w:rsidRPr="00A07BE9" w:rsidRDefault="00000000" w:rsidP="00A366B3">
            <w:pPr>
              <w:suppressLineNumbers/>
              <w:spacing w:line="276" w:lineRule="auto"/>
              <w:jc w:val="center"/>
              <w:rPr>
                <w:rFonts w:ascii="Open Sans" w:eastAsia="Calibri" w:hAnsi="Open Sans" w:cs="Open Sans"/>
                <w:sz w:val="19"/>
                <w:szCs w:val="19"/>
              </w:rPr>
            </w:pPr>
            <w:hyperlink r:id="rId375">
              <w:r w:rsidR="000952B8" w:rsidRPr="00A07BE9">
                <w:rPr>
                  <w:rFonts w:ascii="Open Sans" w:eastAsia="Calibri" w:hAnsi="Open Sans" w:cs="Open Sans"/>
                  <w:color w:val="932224"/>
                  <w:sz w:val="19"/>
                  <w:szCs w:val="19"/>
                  <w:shd w:val="clear" w:color="auto" w:fill="FFFFFF"/>
                </w:rPr>
                <w:t>DOGV 8641 de 24.09.2019</w:t>
              </w:r>
            </w:hyperlink>
          </w:p>
        </w:tc>
      </w:tr>
      <w:tr w:rsidR="000952B8" w:rsidRPr="00A07BE9" w14:paraId="26808700" w14:textId="77777777" w:rsidTr="000952B8">
        <w:tc>
          <w:tcPr>
            <w:tcW w:w="5098" w:type="dxa"/>
            <w:tcBorders>
              <w:left w:val="single" w:sz="4" w:space="0" w:color="000000"/>
              <w:bottom w:val="single" w:sz="4" w:space="0" w:color="000000"/>
            </w:tcBorders>
            <w:shd w:val="clear" w:color="auto" w:fill="auto"/>
          </w:tcPr>
          <w:p w14:paraId="36B48887" w14:textId="77777777" w:rsidR="000952B8" w:rsidRPr="00A07BE9" w:rsidRDefault="000952B8" w:rsidP="00A366B3">
            <w:pPr>
              <w:suppressAutoHyphens/>
              <w:spacing w:after="0" w:line="276" w:lineRule="auto"/>
              <w:ind w:left="113"/>
              <w:jc w:val="both"/>
              <w:textAlignment w:val="baseline"/>
              <w:rPr>
                <w:rFonts w:ascii="Open Sans" w:eastAsia="NSimSun" w:hAnsi="Open Sans" w:cs="Open Sans"/>
                <w:kern w:val="2"/>
                <w:sz w:val="19"/>
                <w:szCs w:val="19"/>
                <w:lang w:eastAsia="zh-CN" w:bidi="hi-IN"/>
              </w:rPr>
            </w:pPr>
            <w:r w:rsidRPr="00A07BE9">
              <w:rPr>
                <w:rFonts w:ascii="Open Sans" w:eastAsia="NSimSun" w:hAnsi="Open Sans" w:cs="Open Sans"/>
                <w:b/>
                <w:color w:val="000000"/>
                <w:kern w:val="2"/>
                <w:sz w:val="19"/>
                <w:szCs w:val="19"/>
                <w:lang w:eastAsia="zh-CN" w:bidi="hi-IN"/>
              </w:rPr>
              <w:lastRenderedPageBreak/>
              <w:t>RESOLUCIÓN</w:t>
            </w:r>
            <w:r w:rsidRPr="00A07BE9">
              <w:rPr>
                <w:rFonts w:ascii="Open Sans" w:eastAsia="NSimSun" w:hAnsi="Open Sans" w:cs="Open Sans"/>
                <w:color w:val="000000"/>
                <w:kern w:val="2"/>
                <w:sz w:val="19"/>
                <w:szCs w:val="19"/>
                <w:lang w:eastAsia="zh-CN" w:bidi="hi-IN"/>
              </w:rPr>
              <w:t xml:space="preserve"> de 15 de octubre de 2019, del director de la Agencia de Prevención y Lucha contra el Fraude y la Corrupción de la Comunitat Valenciana, por la que se determina la </w:t>
            </w:r>
            <w:r w:rsidRPr="00A07BE9">
              <w:rPr>
                <w:rFonts w:ascii="Open Sans" w:eastAsia="NSimSun" w:hAnsi="Open Sans" w:cs="Open Sans"/>
                <w:b/>
                <w:bCs/>
                <w:color w:val="000000"/>
                <w:kern w:val="2"/>
                <w:sz w:val="19"/>
                <w:szCs w:val="19"/>
                <w:lang w:eastAsia="zh-CN" w:bidi="hi-IN"/>
              </w:rPr>
              <w:t>composición del Consejo de Participación</w:t>
            </w:r>
            <w:r w:rsidRPr="00A07BE9">
              <w:rPr>
                <w:rFonts w:ascii="Open Sans" w:eastAsia="NSimSun" w:hAnsi="Open Sans" w:cs="Open Sans"/>
                <w:color w:val="000000"/>
                <w:kern w:val="2"/>
                <w:sz w:val="19"/>
                <w:szCs w:val="19"/>
                <w:lang w:eastAsia="zh-CN" w:bidi="hi-IN"/>
              </w:rPr>
              <w:t xml:space="preserve"> de esta agencia</w:t>
            </w:r>
          </w:p>
        </w:tc>
        <w:tc>
          <w:tcPr>
            <w:tcW w:w="1701" w:type="dxa"/>
            <w:tcBorders>
              <w:left w:val="single" w:sz="4" w:space="0" w:color="000000"/>
              <w:bottom w:val="single" w:sz="4" w:space="0" w:color="000000"/>
            </w:tcBorders>
            <w:shd w:val="clear" w:color="auto" w:fill="auto"/>
          </w:tcPr>
          <w:p w14:paraId="46E66A99" w14:textId="2815FBFE" w:rsidR="000952B8" w:rsidRPr="00A07BE9" w:rsidRDefault="00000000" w:rsidP="00A366B3">
            <w:pPr>
              <w:suppressLineNumbers/>
              <w:spacing w:line="276" w:lineRule="auto"/>
              <w:jc w:val="center"/>
              <w:rPr>
                <w:rFonts w:ascii="Open Sans" w:eastAsia="Calibri" w:hAnsi="Open Sans" w:cs="Open Sans"/>
                <w:sz w:val="19"/>
                <w:szCs w:val="19"/>
              </w:rPr>
            </w:pPr>
            <w:hyperlink r:id="rId376" w:anchor="boc/iniciativa/clau/189859345109682" w:history="1">
              <w:r w:rsidR="000952B8" w:rsidRPr="00A07BE9">
                <w:rPr>
                  <w:rFonts w:ascii="Open Sans" w:eastAsia="Calibri" w:hAnsi="Open Sans" w:cs="Open Sans"/>
                  <w:color w:val="932224"/>
                  <w:sz w:val="19"/>
                  <w:szCs w:val="19"/>
                  <w:shd w:val="clear" w:color="auto" w:fill="FFFFFF"/>
                </w:rPr>
                <w:t>BOCV 31/X de 25.10.2019</w:t>
              </w:r>
            </w:hyperlink>
          </w:p>
        </w:tc>
        <w:tc>
          <w:tcPr>
            <w:tcW w:w="1701" w:type="dxa"/>
            <w:tcBorders>
              <w:left w:val="single" w:sz="4" w:space="0" w:color="000000"/>
              <w:bottom w:val="single" w:sz="4" w:space="0" w:color="000000"/>
              <w:right w:val="single" w:sz="4" w:space="0" w:color="000000"/>
            </w:tcBorders>
            <w:shd w:val="clear" w:color="auto" w:fill="auto"/>
          </w:tcPr>
          <w:p w14:paraId="10945B55" w14:textId="77777777" w:rsidR="000952B8" w:rsidRPr="00A07BE9" w:rsidRDefault="00000000" w:rsidP="00A366B3">
            <w:pPr>
              <w:suppressLineNumbers/>
              <w:spacing w:line="276" w:lineRule="auto"/>
              <w:jc w:val="center"/>
              <w:rPr>
                <w:rFonts w:ascii="Open Sans" w:eastAsia="Calibri" w:hAnsi="Open Sans" w:cs="Open Sans"/>
                <w:sz w:val="19"/>
                <w:szCs w:val="19"/>
              </w:rPr>
            </w:pPr>
            <w:hyperlink r:id="rId377">
              <w:r w:rsidR="000952B8" w:rsidRPr="00A07BE9">
                <w:rPr>
                  <w:rFonts w:ascii="Open Sans" w:eastAsia="Calibri" w:hAnsi="Open Sans" w:cs="Open Sans"/>
                  <w:color w:val="932224"/>
                  <w:sz w:val="19"/>
                  <w:szCs w:val="19"/>
                  <w:shd w:val="clear" w:color="auto" w:fill="FFFFFF"/>
                </w:rPr>
                <w:t>DOGV 8665/XLII de 28.10</w:t>
              </w:r>
            </w:hyperlink>
            <w:hyperlink r:id="rId378">
              <w:bookmarkStart w:id="27" w:name="_Hlt32317133"/>
              <w:bookmarkStart w:id="28" w:name="_Hlt32317134"/>
              <w:r w:rsidR="000952B8" w:rsidRPr="00A07BE9">
                <w:rPr>
                  <w:rFonts w:ascii="Open Sans" w:eastAsia="Calibri" w:hAnsi="Open Sans" w:cs="Open Sans"/>
                  <w:color w:val="932224"/>
                  <w:sz w:val="19"/>
                  <w:szCs w:val="19"/>
                  <w:shd w:val="clear" w:color="auto" w:fill="FFFFFF"/>
                </w:rPr>
                <w:t>.</w:t>
              </w:r>
            </w:hyperlink>
            <w:hyperlink r:id="rId379">
              <w:bookmarkEnd w:id="27"/>
              <w:bookmarkEnd w:id="28"/>
              <w:r w:rsidR="000952B8" w:rsidRPr="00A07BE9">
                <w:rPr>
                  <w:rFonts w:ascii="Open Sans" w:eastAsia="Calibri" w:hAnsi="Open Sans" w:cs="Open Sans"/>
                  <w:color w:val="932224"/>
                  <w:sz w:val="19"/>
                  <w:szCs w:val="19"/>
                  <w:shd w:val="clear" w:color="auto" w:fill="FFFFFF"/>
                </w:rPr>
                <w:t>2019</w:t>
              </w:r>
            </w:hyperlink>
          </w:p>
        </w:tc>
      </w:tr>
      <w:tr w:rsidR="000952B8" w:rsidRPr="00A07BE9" w14:paraId="076FB4A2" w14:textId="77777777" w:rsidTr="000952B8">
        <w:tc>
          <w:tcPr>
            <w:tcW w:w="5098" w:type="dxa"/>
            <w:tcBorders>
              <w:left w:val="single" w:sz="4" w:space="0" w:color="000000"/>
              <w:bottom w:val="single" w:sz="4" w:space="0" w:color="000000"/>
            </w:tcBorders>
            <w:shd w:val="clear" w:color="auto" w:fill="auto"/>
          </w:tcPr>
          <w:p w14:paraId="2BC7CA8A" w14:textId="77777777" w:rsidR="000952B8" w:rsidRPr="00A07BE9" w:rsidRDefault="000952B8" w:rsidP="00A366B3">
            <w:pPr>
              <w:suppressAutoHyphens/>
              <w:spacing w:after="0" w:line="276" w:lineRule="auto"/>
              <w:ind w:left="113"/>
              <w:jc w:val="both"/>
              <w:textAlignment w:val="baseline"/>
              <w:rPr>
                <w:rFonts w:ascii="Open Sans" w:eastAsia="NSimSun" w:hAnsi="Open Sans" w:cs="Open Sans"/>
                <w:kern w:val="2"/>
                <w:sz w:val="19"/>
                <w:szCs w:val="19"/>
                <w:lang w:eastAsia="zh-CN" w:bidi="hi-IN"/>
              </w:rPr>
            </w:pPr>
            <w:r w:rsidRPr="00A07BE9">
              <w:rPr>
                <w:rFonts w:ascii="Open Sans" w:eastAsia="NSimSun" w:hAnsi="Open Sans" w:cs="Open Sans"/>
                <w:b/>
                <w:color w:val="000000"/>
                <w:kern w:val="2"/>
                <w:sz w:val="19"/>
                <w:szCs w:val="19"/>
                <w:lang w:eastAsia="zh-CN" w:bidi="hi-IN"/>
              </w:rPr>
              <w:t>RESOLUCIÓN</w:t>
            </w:r>
            <w:r w:rsidRPr="00A07BE9">
              <w:rPr>
                <w:rFonts w:ascii="Open Sans" w:eastAsia="NSimSun" w:hAnsi="Open Sans" w:cs="Open Sans"/>
                <w:color w:val="000000"/>
                <w:kern w:val="2"/>
                <w:sz w:val="19"/>
                <w:szCs w:val="19"/>
                <w:lang w:eastAsia="zh-CN" w:bidi="hi-IN"/>
              </w:rPr>
              <w:t xml:space="preserve"> de 17 de octubre de 2019, del director de la Agencia de Prevención y Lucha contra el Fraude y la Corrupción de la Comunitat Valenciana por la que se convoca la provisión, por el sistema de libre designación, del puesto de trabajo de naturaleza funcionarial, </w:t>
            </w:r>
            <w:r w:rsidRPr="00A07BE9">
              <w:rPr>
                <w:rFonts w:ascii="Open Sans" w:eastAsia="NSimSun" w:hAnsi="Open Sans" w:cs="Open Sans"/>
                <w:b/>
                <w:color w:val="000000"/>
                <w:kern w:val="2"/>
                <w:sz w:val="19"/>
                <w:szCs w:val="19"/>
                <w:lang w:eastAsia="zh-CN" w:bidi="hi-IN"/>
              </w:rPr>
              <w:t>jefe o jefa de la Unidad de Gestión Administrativa</w:t>
            </w:r>
            <w:r w:rsidRPr="00A07BE9">
              <w:rPr>
                <w:rFonts w:ascii="Open Sans" w:eastAsia="NSimSun" w:hAnsi="Open Sans" w:cs="Open Sans"/>
                <w:color w:val="000000"/>
                <w:kern w:val="2"/>
                <w:sz w:val="19"/>
                <w:szCs w:val="19"/>
                <w:lang w:eastAsia="zh-CN" w:bidi="hi-IN"/>
              </w:rPr>
              <w:t>, número 12, y se aprueban las bases de la convocatoria</w:t>
            </w:r>
          </w:p>
        </w:tc>
        <w:tc>
          <w:tcPr>
            <w:tcW w:w="1701" w:type="dxa"/>
            <w:tcBorders>
              <w:left w:val="single" w:sz="4" w:space="0" w:color="000000"/>
              <w:bottom w:val="single" w:sz="4" w:space="0" w:color="000000"/>
            </w:tcBorders>
            <w:shd w:val="clear" w:color="auto" w:fill="auto"/>
          </w:tcPr>
          <w:p w14:paraId="2AB1EB2C" w14:textId="00B8636C" w:rsidR="000952B8" w:rsidRPr="00A07BE9" w:rsidRDefault="00000000" w:rsidP="00A366B3">
            <w:pPr>
              <w:suppressLineNumbers/>
              <w:spacing w:line="276" w:lineRule="auto"/>
              <w:jc w:val="center"/>
              <w:rPr>
                <w:rFonts w:ascii="Open Sans" w:eastAsia="Calibri" w:hAnsi="Open Sans" w:cs="Open Sans"/>
                <w:sz w:val="19"/>
                <w:szCs w:val="19"/>
              </w:rPr>
            </w:pPr>
            <w:hyperlink r:id="rId380" w:anchor="boc/iniciativa/clau/189859345134672" w:history="1">
              <w:r w:rsidR="000952B8" w:rsidRPr="00A07BE9">
                <w:rPr>
                  <w:rFonts w:ascii="Open Sans" w:eastAsia="Calibri" w:hAnsi="Open Sans" w:cs="Open Sans"/>
                  <w:color w:val="932224"/>
                  <w:sz w:val="19"/>
                  <w:szCs w:val="19"/>
                  <w:shd w:val="clear" w:color="auto" w:fill="FFFFFF"/>
                </w:rPr>
                <w:t>BOCV 31/X de 25.10.2019</w:t>
              </w:r>
            </w:hyperlink>
          </w:p>
        </w:tc>
        <w:tc>
          <w:tcPr>
            <w:tcW w:w="1701" w:type="dxa"/>
            <w:tcBorders>
              <w:left w:val="single" w:sz="4" w:space="0" w:color="000000"/>
              <w:bottom w:val="single" w:sz="4" w:space="0" w:color="000000"/>
              <w:right w:val="single" w:sz="4" w:space="0" w:color="000000"/>
            </w:tcBorders>
            <w:shd w:val="clear" w:color="auto" w:fill="auto"/>
          </w:tcPr>
          <w:p w14:paraId="0697C510" w14:textId="77777777" w:rsidR="000952B8" w:rsidRPr="00A07BE9" w:rsidRDefault="000952B8" w:rsidP="00A366B3">
            <w:pPr>
              <w:suppressLineNumbers/>
              <w:spacing w:line="276" w:lineRule="auto"/>
              <w:jc w:val="center"/>
              <w:rPr>
                <w:rFonts w:ascii="Open Sans" w:eastAsia="Calibri" w:hAnsi="Open Sans" w:cs="Open Sans"/>
                <w:color w:val="932224"/>
                <w:sz w:val="19"/>
                <w:szCs w:val="19"/>
              </w:rPr>
            </w:pPr>
            <w:r w:rsidRPr="00A07BE9">
              <w:rPr>
                <w:rFonts w:ascii="Open Sans" w:eastAsia="Calibri" w:hAnsi="Open Sans" w:cs="Open Sans"/>
                <w:color w:val="932224"/>
                <w:sz w:val="19"/>
                <w:szCs w:val="19"/>
                <w:shd w:val="clear" w:color="auto" w:fill="FFFFFF"/>
              </w:rPr>
              <w:t>DOGV 8664 de 25.10.2019</w:t>
            </w:r>
          </w:p>
        </w:tc>
      </w:tr>
      <w:tr w:rsidR="000952B8" w:rsidRPr="00A07BE9" w14:paraId="10F63409" w14:textId="77777777" w:rsidTr="000952B8">
        <w:tc>
          <w:tcPr>
            <w:tcW w:w="5098" w:type="dxa"/>
            <w:tcBorders>
              <w:left w:val="single" w:sz="4" w:space="0" w:color="000000"/>
              <w:bottom w:val="single" w:sz="4" w:space="0" w:color="000000"/>
            </w:tcBorders>
            <w:shd w:val="clear" w:color="auto" w:fill="auto"/>
          </w:tcPr>
          <w:p w14:paraId="637158B5" w14:textId="77777777" w:rsidR="000952B8" w:rsidRPr="00A07BE9" w:rsidRDefault="000952B8" w:rsidP="00A366B3">
            <w:pPr>
              <w:suppressAutoHyphens/>
              <w:spacing w:after="0" w:line="276" w:lineRule="auto"/>
              <w:ind w:left="113"/>
              <w:jc w:val="both"/>
              <w:textAlignment w:val="baseline"/>
              <w:rPr>
                <w:rFonts w:ascii="Open Sans" w:eastAsia="NSimSun" w:hAnsi="Open Sans" w:cs="Open Sans"/>
                <w:kern w:val="2"/>
                <w:sz w:val="19"/>
                <w:szCs w:val="19"/>
                <w:lang w:eastAsia="zh-CN" w:bidi="hi-IN"/>
              </w:rPr>
            </w:pPr>
            <w:r w:rsidRPr="00A07BE9">
              <w:rPr>
                <w:rFonts w:ascii="Open Sans" w:eastAsia="NSimSun" w:hAnsi="Open Sans" w:cs="Open Sans"/>
                <w:b/>
                <w:color w:val="000000"/>
                <w:kern w:val="2"/>
                <w:sz w:val="19"/>
                <w:szCs w:val="19"/>
                <w:lang w:eastAsia="zh-CN" w:bidi="hi-IN"/>
              </w:rPr>
              <w:t>RESOLUCIÓN</w:t>
            </w:r>
            <w:r w:rsidRPr="00A07BE9">
              <w:rPr>
                <w:rFonts w:ascii="Open Sans" w:eastAsia="NSimSun" w:hAnsi="Open Sans" w:cs="Open Sans"/>
                <w:color w:val="000000"/>
                <w:kern w:val="2"/>
                <w:sz w:val="19"/>
                <w:szCs w:val="19"/>
                <w:lang w:eastAsia="zh-CN" w:bidi="hi-IN"/>
              </w:rPr>
              <w:t xml:space="preserve"> de 21 de octubre de 2019, del director de la Agencia de Prevención y Lucha contra el Fraude y la Corrupción de la Comunitat Valenciana por la que se provee, por el sistema de libre designación, el puesto de trabajo número 13,</w:t>
            </w:r>
            <w:r w:rsidRPr="00A07BE9">
              <w:rPr>
                <w:rFonts w:ascii="Open Sans" w:eastAsia="NSimSun" w:hAnsi="Open Sans" w:cs="Open Sans"/>
                <w:b/>
                <w:color w:val="000000"/>
                <w:kern w:val="2"/>
                <w:sz w:val="19"/>
                <w:szCs w:val="19"/>
                <w:lang w:eastAsia="zh-CN" w:bidi="hi-IN"/>
              </w:rPr>
              <w:t xml:space="preserve"> jefe de la Unidad de Gestión Económica</w:t>
            </w:r>
            <w:r w:rsidRPr="00A07BE9">
              <w:rPr>
                <w:rFonts w:ascii="Open Sans" w:eastAsia="NSimSun" w:hAnsi="Open Sans" w:cs="Open Sans"/>
                <w:color w:val="000000"/>
                <w:kern w:val="2"/>
                <w:sz w:val="19"/>
                <w:szCs w:val="19"/>
                <w:lang w:eastAsia="zh-CN" w:bidi="hi-IN"/>
              </w:rPr>
              <w:t>, anunciado en la Convocatoria número 6/2019, de 18 de septiembre de 2019 (DOGV 8.641/24.09.2019)</w:t>
            </w:r>
          </w:p>
        </w:tc>
        <w:tc>
          <w:tcPr>
            <w:tcW w:w="1701" w:type="dxa"/>
            <w:tcBorders>
              <w:left w:val="single" w:sz="4" w:space="0" w:color="000000"/>
              <w:bottom w:val="single" w:sz="4" w:space="0" w:color="000000"/>
            </w:tcBorders>
            <w:shd w:val="clear" w:color="auto" w:fill="auto"/>
          </w:tcPr>
          <w:p w14:paraId="0E64F7E4" w14:textId="4D766822" w:rsidR="000952B8" w:rsidRPr="00A07BE9" w:rsidRDefault="00000000" w:rsidP="00A366B3">
            <w:pPr>
              <w:suppressLineNumbers/>
              <w:spacing w:line="276" w:lineRule="auto"/>
              <w:jc w:val="center"/>
              <w:rPr>
                <w:rFonts w:ascii="Open Sans" w:eastAsia="Calibri" w:hAnsi="Open Sans" w:cs="Open Sans"/>
                <w:sz w:val="19"/>
                <w:szCs w:val="19"/>
              </w:rPr>
            </w:pPr>
            <w:hyperlink r:id="rId381" w:anchor="boc/iniciativa/clau/189871294319312" w:history="1">
              <w:r w:rsidR="000952B8" w:rsidRPr="00A07BE9">
                <w:rPr>
                  <w:rFonts w:ascii="Open Sans" w:eastAsia="Calibri" w:hAnsi="Open Sans" w:cs="Open Sans"/>
                  <w:color w:val="932224"/>
                  <w:sz w:val="19"/>
                  <w:szCs w:val="19"/>
                  <w:shd w:val="clear" w:color="auto" w:fill="FFFFFF"/>
                </w:rPr>
                <w:t>BOCV 35/X de 06.</w:t>
              </w:r>
            </w:hyperlink>
            <w:hyperlink r:id="rId382" w:anchor="boc/iniciativa/clau/189871294319312" w:history="1">
              <w:bookmarkStart w:id="29" w:name="_Hlt32317233"/>
              <w:r w:rsidR="000952B8" w:rsidRPr="00A07BE9">
                <w:rPr>
                  <w:rFonts w:ascii="Open Sans" w:eastAsia="Calibri" w:hAnsi="Open Sans" w:cs="Open Sans"/>
                  <w:color w:val="932224"/>
                  <w:sz w:val="19"/>
                  <w:szCs w:val="19"/>
                  <w:shd w:val="clear" w:color="auto" w:fill="FFFFFF"/>
                </w:rPr>
                <w:t>1</w:t>
              </w:r>
            </w:hyperlink>
            <w:hyperlink r:id="rId383" w:anchor="boc/iniciativa/clau/189871294319312" w:history="1">
              <w:bookmarkEnd w:id="29"/>
              <w:r w:rsidR="000952B8" w:rsidRPr="00A07BE9">
                <w:rPr>
                  <w:rFonts w:ascii="Open Sans" w:eastAsia="Calibri" w:hAnsi="Open Sans" w:cs="Open Sans"/>
                  <w:color w:val="932224"/>
                  <w:sz w:val="19"/>
                  <w:szCs w:val="19"/>
                  <w:shd w:val="clear" w:color="auto" w:fill="FFFFFF"/>
                </w:rPr>
                <w:t>1.2019</w:t>
              </w:r>
            </w:hyperlink>
          </w:p>
        </w:tc>
        <w:tc>
          <w:tcPr>
            <w:tcW w:w="1701" w:type="dxa"/>
            <w:tcBorders>
              <w:left w:val="single" w:sz="4" w:space="0" w:color="000000"/>
              <w:bottom w:val="single" w:sz="4" w:space="0" w:color="000000"/>
              <w:right w:val="single" w:sz="4" w:space="0" w:color="000000"/>
            </w:tcBorders>
            <w:shd w:val="clear" w:color="auto" w:fill="auto"/>
          </w:tcPr>
          <w:p w14:paraId="52869B07" w14:textId="77777777" w:rsidR="000952B8" w:rsidRPr="00A07BE9" w:rsidRDefault="00000000" w:rsidP="00A366B3">
            <w:pPr>
              <w:suppressLineNumbers/>
              <w:spacing w:line="276" w:lineRule="auto"/>
              <w:jc w:val="center"/>
              <w:rPr>
                <w:rFonts w:ascii="Open Sans" w:eastAsia="Calibri" w:hAnsi="Open Sans" w:cs="Open Sans"/>
                <w:sz w:val="19"/>
                <w:szCs w:val="19"/>
              </w:rPr>
            </w:pPr>
            <w:hyperlink r:id="rId384">
              <w:r w:rsidR="000952B8" w:rsidRPr="00A07BE9">
                <w:rPr>
                  <w:rFonts w:ascii="Open Sans" w:eastAsia="Calibri" w:hAnsi="Open Sans" w:cs="Open Sans"/>
                  <w:color w:val="932224"/>
                  <w:sz w:val="19"/>
                  <w:szCs w:val="19"/>
                  <w:shd w:val="clear" w:color="auto" w:fill="FFFFFF"/>
                </w:rPr>
                <w:t>DOGV 8</w:t>
              </w:r>
            </w:hyperlink>
            <w:hyperlink r:id="rId385">
              <w:bookmarkStart w:id="30" w:name="_Hlt32317208"/>
              <w:r w:rsidR="000952B8" w:rsidRPr="00A07BE9">
                <w:rPr>
                  <w:rFonts w:ascii="Open Sans" w:eastAsia="Calibri" w:hAnsi="Open Sans" w:cs="Open Sans"/>
                  <w:color w:val="932224"/>
                  <w:sz w:val="19"/>
                  <w:szCs w:val="19"/>
                  <w:shd w:val="clear" w:color="auto" w:fill="FFFFFF"/>
                </w:rPr>
                <w:t>6</w:t>
              </w:r>
            </w:hyperlink>
            <w:hyperlink r:id="rId386">
              <w:bookmarkEnd w:id="30"/>
              <w:r w:rsidR="000952B8" w:rsidRPr="00A07BE9">
                <w:rPr>
                  <w:rFonts w:ascii="Open Sans" w:eastAsia="Calibri" w:hAnsi="Open Sans" w:cs="Open Sans"/>
                  <w:color w:val="932224"/>
                  <w:sz w:val="19"/>
                  <w:szCs w:val="19"/>
                  <w:shd w:val="clear" w:color="auto" w:fill="FFFFFF"/>
                </w:rPr>
                <w:t>67 de 30.10.2019</w:t>
              </w:r>
            </w:hyperlink>
          </w:p>
        </w:tc>
      </w:tr>
      <w:tr w:rsidR="000952B8" w:rsidRPr="00A07BE9" w14:paraId="1EC12D11" w14:textId="77777777" w:rsidTr="000952B8">
        <w:tc>
          <w:tcPr>
            <w:tcW w:w="5098" w:type="dxa"/>
            <w:tcBorders>
              <w:left w:val="single" w:sz="4" w:space="0" w:color="000000"/>
              <w:bottom w:val="single" w:sz="4" w:space="0" w:color="000000"/>
            </w:tcBorders>
            <w:shd w:val="clear" w:color="auto" w:fill="auto"/>
          </w:tcPr>
          <w:p w14:paraId="5037049A" w14:textId="77777777" w:rsidR="000952B8" w:rsidRPr="00A07BE9" w:rsidRDefault="000952B8" w:rsidP="00A366B3">
            <w:pPr>
              <w:suppressAutoHyphens/>
              <w:spacing w:after="0" w:line="276" w:lineRule="auto"/>
              <w:ind w:left="113"/>
              <w:jc w:val="both"/>
              <w:textAlignment w:val="baseline"/>
              <w:rPr>
                <w:rFonts w:ascii="Open Sans" w:eastAsia="NSimSun" w:hAnsi="Open Sans" w:cs="Open Sans"/>
                <w:color w:val="000000"/>
                <w:kern w:val="2"/>
                <w:sz w:val="19"/>
                <w:szCs w:val="19"/>
                <w:lang w:eastAsia="zh-CN" w:bidi="hi-IN"/>
              </w:rPr>
            </w:pPr>
            <w:r w:rsidRPr="00A07BE9">
              <w:rPr>
                <w:rFonts w:ascii="Open Sans" w:eastAsia="NSimSun" w:hAnsi="Open Sans" w:cs="Open Sans"/>
                <w:b/>
                <w:color w:val="000000"/>
                <w:kern w:val="2"/>
                <w:sz w:val="19"/>
                <w:szCs w:val="19"/>
                <w:lang w:eastAsia="zh-CN" w:bidi="hi-IN"/>
              </w:rPr>
              <w:t>RESOLUCIÓN</w:t>
            </w:r>
            <w:r w:rsidRPr="00A07BE9">
              <w:rPr>
                <w:rFonts w:ascii="Open Sans" w:eastAsia="NSimSun" w:hAnsi="Open Sans" w:cs="Open Sans"/>
                <w:color w:val="000000"/>
                <w:kern w:val="2"/>
                <w:sz w:val="19"/>
                <w:szCs w:val="19"/>
                <w:lang w:eastAsia="zh-CN" w:bidi="hi-IN"/>
              </w:rPr>
              <w:t xml:space="preserve"> de 22 de octubre de 2019, del director de la Agencia de Prevención y Lucha contra el Fraude y la Corrupción de la Comunitat Valenciana, por la que se convoca la provisión, por el sistema de libre designación, del puesto de trabajo de naturaleza funcionarial </w:t>
            </w:r>
            <w:r w:rsidRPr="00A07BE9">
              <w:rPr>
                <w:rFonts w:ascii="Open Sans" w:eastAsia="NSimSun" w:hAnsi="Open Sans" w:cs="Open Sans"/>
                <w:b/>
                <w:color w:val="000000"/>
                <w:kern w:val="2"/>
                <w:sz w:val="19"/>
                <w:szCs w:val="19"/>
                <w:lang w:eastAsia="zh-CN" w:bidi="hi-IN"/>
              </w:rPr>
              <w:t>jefe o jefa del Servicio de Formación</w:t>
            </w:r>
            <w:r w:rsidRPr="00A07BE9">
              <w:rPr>
                <w:rFonts w:ascii="Open Sans" w:eastAsia="NSimSun" w:hAnsi="Open Sans" w:cs="Open Sans"/>
                <w:color w:val="000000"/>
                <w:kern w:val="2"/>
                <w:sz w:val="19"/>
                <w:szCs w:val="19"/>
                <w:lang w:eastAsia="zh-CN" w:bidi="hi-IN"/>
              </w:rPr>
              <w:t>, número 33, y se aprueban las bases de la convocatoria. Convocatoria número LD 3/2019</w:t>
            </w:r>
          </w:p>
        </w:tc>
        <w:tc>
          <w:tcPr>
            <w:tcW w:w="1701" w:type="dxa"/>
            <w:tcBorders>
              <w:left w:val="single" w:sz="4" w:space="0" w:color="000000"/>
              <w:bottom w:val="single" w:sz="4" w:space="0" w:color="000000"/>
            </w:tcBorders>
            <w:shd w:val="clear" w:color="auto" w:fill="auto"/>
          </w:tcPr>
          <w:p w14:paraId="69B85EC9" w14:textId="77777777" w:rsidR="000952B8" w:rsidRPr="00A07BE9" w:rsidRDefault="000952B8" w:rsidP="00A366B3">
            <w:pPr>
              <w:suppressLineNumbers/>
              <w:spacing w:line="276" w:lineRule="auto"/>
              <w:jc w:val="center"/>
              <w:rPr>
                <w:rFonts w:ascii="Open Sans" w:eastAsia="Calibri" w:hAnsi="Open Sans" w:cs="Open Sans"/>
                <w:b/>
                <w:color w:val="932224"/>
                <w:sz w:val="19"/>
                <w:szCs w:val="19"/>
              </w:rPr>
            </w:pPr>
          </w:p>
        </w:tc>
        <w:tc>
          <w:tcPr>
            <w:tcW w:w="1701" w:type="dxa"/>
            <w:tcBorders>
              <w:left w:val="single" w:sz="4" w:space="0" w:color="000000"/>
              <w:bottom w:val="single" w:sz="4" w:space="0" w:color="000000"/>
              <w:right w:val="single" w:sz="4" w:space="0" w:color="000000"/>
            </w:tcBorders>
            <w:shd w:val="clear" w:color="auto" w:fill="auto"/>
          </w:tcPr>
          <w:p w14:paraId="611932DD" w14:textId="77777777" w:rsidR="000952B8" w:rsidRPr="00A07BE9" w:rsidRDefault="00000000" w:rsidP="00A366B3">
            <w:pPr>
              <w:suppressLineNumbers/>
              <w:spacing w:line="276" w:lineRule="auto"/>
              <w:jc w:val="center"/>
              <w:rPr>
                <w:rFonts w:ascii="Open Sans" w:eastAsia="Calibri" w:hAnsi="Open Sans" w:cs="Open Sans"/>
                <w:sz w:val="19"/>
                <w:szCs w:val="19"/>
              </w:rPr>
            </w:pPr>
            <w:hyperlink r:id="rId387">
              <w:r w:rsidR="000952B8" w:rsidRPr="00A07BE9">
                <w:rPr>
                  <w:rFonts w:ascii="Open Sans" w:eastAsia="Calibri" w:hAnsi="Open Sans" w:cs="Open Sans"/>
                  <w:color w:val="932224"/>
                  <w:sz w:val="19"/>
                  <w:szCs w:val="19"/>
                  <w:shd w:val="clear" w:color="auto" w:fill="FFFFFF"/>
                </w:rPr>
                <w:t>DOGV 8678 de 15.11.2019</w:t>
              </w:r>
            </w:hyperlink>
          </w:p>
        </w:tc>
      </w:tr>
      <w:tr w:rsidR="000952B8" w:rsidRPr="00A07BE9" w14:paraId="0C79BE92" w14:textId="77777777" w:rsidTr="000952B8">
        <w:tc>
          <w:tcPr>
            <w:tcW w:w="5098" w:type="dxa"/>
            <w:tcBorders>
              <w:left w:val="single" w:sz="4" w:space="0" w:color="000000"/>
              <w:bottom w:val="single" w:sz="4" w:space="0" w:color="000000"/>
            </w:tcBorders>
            <w:shd w:val="clear" w:color="auto" w:fill="auto"/>
          </w:tcPr>
          <w:p w14:paraId="73EAA46A" w14:textId="77777777" w:rsidR="000952B8" w:rsidRPr="00A07BE9" w:rsidRDefault="000952B8" w:rsidP="00A366B3">
            <w:pPr>
              <w:suppressAutoHyphens/>
              <w:spacing w:after="0" w:line="276" w:lineRule="auto"/>
              <w:ind w:left="113"/>
              <w:jc w:val="both"/>
              <w:textAlignment w:val="baseline"/>
              <w:rPr>
                <w:rFonts w:ascii="Open Sans" w:eastAsia="NSimSun" w:hAnsi="Open Sans" w:cs="Open Sans"/>
                <w:kern w:val="2"/>
                <w:sz w:val="19"/>
                <w:szCs w:val="19"/>
                <w:lang w:val="en-GB" w:eastAsia="zh-CN" w:bidi="hi-IN"/>
              </w:rPr>
            </w:pPr>
            <w:r w:rsidRPr="00A07BE9">
              <w:rPr>
                <w:rFonts w:ascii="Open Sans" w:eastAsia="NSimSun" w:hAnsi="Open Sans" w:cs="Open Sans"/>
                <w:b/>
                <w:color w:val="000000"/>
                <w:kern w:val="2"/>
                <w:sz w:val="19"/>
                <w:szCs w:val="19"/>
                <w:lang w:eastAsia="zh-CN" w:bidi="hi-IN"/>
              </w:rPr>
              <w:t>RESOLUCIÓN</w:t>
            </w:r>
            <w:r w:rsidRPr="00A07BE9">
              <w:rPr>
                <w:rFonts w:ascii="Open Sans" w:eastAsia="NSimSun" w:hAnsi="Open Sans" w:cs="Open Sans"/>
                <w:color w:val="000000"/>
                <w:kern w:val="2"/>
                <w:sz w:val="19"/>
                <w:szCs w:val="19"/>
                <w:lang w:eastAsia="zh-CN" w:bidi="hi-IN"/>
              </w:rPr>
              <w:t xml:space="preserve"> de 22 de octubre de 2019, del director de la Agencia de Prevención y Lucha contra el Fraude y la Corrupción de la Comunitat Valenciana, por la que se convoca la provisión, por el sistema de libre designación, del puesto de trabajo de naturaleza funcionarial </w:t>
            </w:r>
            <w:r w:rsidRPr="00A07BE9">
              <w:rPr>
                <w:rFonts w:ascii="Open Sans" w:eastAsia="NSimSun" w:hAnsi="Open Sans" w:cs="Open Sans"/>
                <w:b/>
                <w:color w:val="000000"/>
                <w:kern w:val="2"/>
                <w:sz w:val="19"/>
                <w:szCs w:val="19"/>
                <w:lang w:eastAsia="zh-CN" w:bidi="hi-IN"/>
              </w:rPr>
              <w:t>jefe o jefa de Servicio de Documentación e Informes</w:t>
            </w:r>
            <w:r w:rsidRPr="00A07BE9">
              <w:rPr>
                <w:rFonts w:ascii="Open Sans" w:eastAsia="NSimSun" w:hAnsi="Open Sans" w:cs="Open Sans"/>
                <w:color w:val="000000"/>
                <w:kern w:val="2"/>
                <w:sz w:val="19"/>
                <w:szCs w:val="19"/>
                <w:lang w:eastAsia="zh-CN" w:bidi="hi-IN"/>
              </w:rPr>
              <w:t>, número 4, y se aprueban las bases de la convocatoria. Convocatoria número LD 4/2019</w:t>
            </w:r>
          </w:p>
        </w:tc>
        <w:tc>
          <w:tcPr>
            <w:tcW w:w="1701" w:type="dxa"/>
            <w:tcBorders>
              <w:left w:val="single" w:sz="4" w:space="0" w:color="000000"/>
              <w:bottom w:val="single" w:sz="4" w:space="0" w:color="000000"/>
            </w:tcBorders>
            <w:shd w:val="clear" w:color="auto" w:fill="auto"/>
          </w:tcPr>
          <w:p w14:paraId="0BB25C0A" w14:textId="77777777" w:rsidR="000952B8" w:rsidRPr="00A07BE9" w:rsidRDefault="000952B8" w:rsidP="00A366B3">
            <w:pPr>
              <w:suppressLineNumbers/>
              <w:spacing w:line="276" w:lineRule="auto"/>
              <w:jc w:val="center"/>
              <w:rPr>
                <w:rFonts w:ascii="Open Sans" w:eastAsia="Calibri" w:hAnsi="Open Sans" w:cs="Open Sans"/>
                <w:b/>
                <w:color w:val="932224"/>
                <w:sz w:val="19"/>
                <w:szCs w:val="19"/>
              </w:rPr>
            </w:pPr>
          </w:p>
        </w:tc>
        <w:tc>
          <w:tcPr>
            <w:tcW w:w="1701" w:type="dxa"/>
            <w:tcBorders>
              <w:left w:val="single" w:sz="4" w:space="0" w:color="000000"/>
              <w:bottom w:val="single" w:sz="4" w:space="0" w:color="000000"/>
              <w:right w:val="single" w:sz="4" w:space="0" w:color="000000"/>
            </w:tcBorders>
            <w:shd w:val="clear" w:color="auto" w:fill="auto"/>
          </w:tcPr>
          <w:p w14:paraId="5481A3E7" w14:textId="77777777" w:rsidR="000952B8" w:rsidRPr="00A07BE9" w:rsidRDefault="00000000" w:rsidP="00A366B3">
            <w:pPr>
              <w:suppressLineNumbers/>
              <w:spacing w:line="276" w:lineRule="auto"/>
              <w:jc w:val="center"/>
              <w:rPr>
                <w:rFonts w:ascii="Open Sans" w:eastAsia="Calibri" w:hAnsi="Open Sans" w:cs="Open Sans"/>
                <w:sz w:val="19"/>
                <w:szCs w:val="19"/>
              </w:rPr>
            </w:pPr>
            <w:hyperlink r:id="rId388">
              <w:r w:rsidR="000952B8" w:rsidRPr="00A07BE9">
                <w:rPr>
                  <w:rFonts w:ascii="Open Sans" w:eastAsia="Calibri" w:hAnsi="Open Sans" w:cs="Open Sans"/>
                  <w:color w:val="932224"/>
                  <w:sz w:val="19"/>
                  <w:szCs w:val="19"/>
                  <w:shd w:val="clear" w:color="auto" w:fill="FFFFFF"/>
                </w:rPr>
                <w:t>DOGV 8678 de 15.11.2019</w:t>
              </w:r>
            </w:hyperlink>
          </w:p>
        </w:tc>
      </w:tr>
      <w:tr w:rsidR="000952B8" w:rsidRPr="00A07BE9" w14:paraId="24CD8BF1" w14:textId="77777777" w:rsidTr="000952B8">
        <w:tc>
          <w:tcPr>
            <w:tcW w:w="5098" w:type="dxa"/>
            <w:tcBorders>
              <w:left w:val="single" w:sz="4" w:space="0" w:color="000000"/>
              <w:bottom w:val="single" w:sz="4" w:space="0" w:color="000000"/>
            </w:tcBorders>
            <w:shd w:val="clear" w:color="auto" w:fill="auto"/>
          </w:tcPr>
          <w:p w14:paraId="35909EDD" w14:textId="77777777" w:rsidR="000952B8" w:rsidRPr="00A07BE9" w:rsidRDefault="000952B8" w:rsidP="00A366B3">
            <w:pPr>
              <w:suppressAutoHyphens/>
              <w:spacing w:after="0" w:line="276" w:lineRule="auto"/>
              <w:ind w:left="113"/>
              <w:jc w:val="both"/>
              <w:textAlignment w:val="baseline"/>
              <w:rPr>
                <w:rFonts w:ascii="Open Sans" w:eastAsia="NSimSun" w:hAnsi="Open Sans" w:cs="Open Sans"/>
                <w:kern w:val="2"/>
                <w:sz w:val="19"/>
                <w:szCs w:val="19"/>
                <w:lang w:eastAsia="zh-CN" w:bidi="hi-IN"/>
              </w:rPr>
            </w:pPr>
            <w:r w:rsidRPr="00A07BE9">
              <w:rPr>
                <w:rFonts w:ascii="Open Sans" w:eastAsia="NSimSun" w:hAnsi="Open Sans" w:cs="Open Sans"/>
                <w:b/>
                <w:color w:val="000000"/>
                <w:kern w:val="2"/>
                <w:sz w:val="19"/>
                <w:szCs w:val="19"/>
                <w:lang w:eastAsia="zh-CN" w:bidi="hi-IN"/>
              </w:rPr>
              <w:t>PROYECTO DE PRESUPUESTO</w:t>
            </w:r>
            <w:r w:rsidRPr="00A07BE9">
              <w:rPr>
                <w:rFonts w:ascii="Open Sans" w:eastAsia="NSimSun" w:hAnsi="Open Sans" w:cs="Open Sans"/>
                <w:color w:val="000000"/>
                <w:kern w:val="2"/>
                <w:sz w:val="19"/>
                <w:szCs w:val="19"/>
                <w:lang w:eastAsia="zh-CN" w:bidi="hi-IN"/>
              </w:rPr>
              <w:t xml:space="preserve"> de la Agencia de Prevención y Lucha contra el Fraude y la Corrupción de la Comunitat Valenciana para el ejercicio 2020 (RE número 7.375)</w:t>
            </w:r>
          </w:p>
        </w:tc>
        <w:tc>
          <w:tcPr>
            <w:tcW w:w="1701" w:type="dxa"/>
            <w:tcBorders>
              <w:left w:val="single" w:sz="4" w:space="0" w:color="000000"/>
              <w:bottom w:val="single" w:sz="4" w:space="0" w:color="000000"/>
            </w:tcBorders>
            <w:shd w:val="clear" w:color="auto" w:fill="auto"/>
          </w:tcPr>
          <w:p w14:paraId="082B4421" w14:textId="71AEBFAA" w:rsidR="000952B8" w:rsidRPr="00A07BE9" w:rsidRDefault="00000000" w:rsidP="00A366B3">
            <w:pPr>
              <w:suppressLineNumbers/>
              <w:spacing w:line="276" w:lineRule="auto"/>
              <w:jc w:val="center"/>
              <w:rPr>
                <w:rFonts w:ascii="Open Sans" w:eastAsia="Calibri" w:hAnsi="Open Sans" w:cs="Open Sans"/>
                <w:sz w:val="19"/>
                <w:szCs w:val="19"/>
              </w:rPr>
            </w:pPr>
            <w:hyperlink r:id="rId389" w:anchor="boc/sumari/X00041000" w:history="1">
              <w:r w:rsidR="000952B8" w:rsidRPr="00A07BE9">
                <w:rPr>
                  <w:rFonts w:ascii="Open Sans" w:eastAsia="Calibri" w:hAnsi="Open Sans" w:cs="Open Sans"/>
                  <w:color w:val="932224"/>
                  <w:sz w:val="19"/>
                  <w:szCs w:val="19"/>
                  <w:shd w:val="clear" w:color="auto" w:fill="FFFFFF"/>
                </w:rPr>
                <w:t>BOCV 41/X de 22.11.2019</w:t>
              </w:r>
            </w:hyperlink>
          </w:p>
        </w:tc>
        <w:tc>
          <w:tcPr>
            <w:tcW w:w="1701" w:type="dxa"/>
            <w:tcBorders>
              <w:left w:val="single" w:sz="4" w:space="0" w:color="000000"/>
              <w:bottom w:val="single" w:sz="4" w:space="0" w:color="000000"/>
              <w:right w:val="single" w:sz="4" w:space="0" w:color="000000"/>
            </w:tcBorders>
            <w:shd w:val="clear" w:color="auto" w:fill="auto"/>
          </w:tcPr>
          <w:p w14:paraId="7EE1502B" w14:textId="77777777" w:rsidR="000952B8" w:rsidRPr="00A07BE9" w:rsidRDefault="000952B8" w:rsidP="00A366B3">
            <w:pPr>
              <w:suppressLineNumbers/>
              <w:spacing w:line="276" w:lineRule="auto"/>
              <w:jc w:val="center"/>
              <w:rPr>
                <w:rFonts w:ascii="Open Sans" w:eastAsia="Calibri" w:hAnsi="Open Sans" w:cs="Open Sans"/>
                <w:b/>
                <w:color w:val="932224"/>
                <w:sz w:val="19"/>
                <w:szCs w:val="19"/>
              </w:rPr>
            </w:pPr>
          </w:p>
        </w:tc>
      </w:tr>
      <w:tr w:rsidR="000952B8" w:rsidRPr="00A07BE9" w14:paraId="4CA723EC" w14:textId="77777777" w:rsidTr="000952B8">
        <w:tc>
          <w:tcPr>
            <w:tcW w:w="5098" w:type="dxa"/>
            <w:tcBorders>
              <w:left w:val="single" w:sz="4" w:space="0" w:color="000000"/>
              <w:bottom w:val="single" w:sz="4" w:space="0" w:color="000000"/>
            </w:tcBorders>
            <w:shd w:val="clear" w:color="auto" w:fill="auto"/>
          </w:tcPr>
          <w:p w14:paraId="7C7E5C03" w14:textId="77777777" w:rsidR="000952B8" w:rsidRPr="00A07BE9" w:rsidRDefault="000952B8" w:rsidP="00A366B3">
            <w:pPr>
              <w:suppressAutoHyphens/>
              <w:spacing w:after="0" w:line="276" w:lineRule="auto"/>
              <w:ind w:left="113"/>
              <w:jc w:val="both"/>
              <w:textAlignment w:val="baseline"/>
              <w:rPr>
                <w:rFonts w:ascii="Open Sans" w:eastAsia="NSimSun" w:hAnsi="Open Sans" w:cs="Open Sans"/>
                <w:kern w:val="2"/>
                <w:sz w:val="19"/>
                <w:szCs w:val="19"/>
                <w:lang w:val="en-GB" w:eastAsia="zh-CN" w:bidi="hi-IN"/>
              </w:rPr>
            </w:pPr>
            <w:r w:rsidRPr="00A07BE9">
              <w:rPr>
                <w:rFonts w:ascii="Open Sans" w:eastAsia="NSimSun" w:hAnsi="Open Sans" w:cs="Open Sans"/>
                <w:b/>
                <w:color w:val="000000"/>
                <w:kern w:val="2"/>
                <w:sz w:val="19"/>
                <w:szCs w:val="19"/>
                <w:lang w:eastAsia="zh-CN" w:bidi="hi-IN"/>
              </w:rPr>
              <w:lastRenderedPageBreak/>
              <w:t>RESOLUCIÓN</w:t>
            </w:r>
            <w:r w:rsidRPr="00A07BE9">
              <w:rPr>
                <w:rFonts w:ascii="Open Sans" w:eastAsia="NSimSun" w:hAnsi="Open Sans" w:cs="Open Sans"/>
                <w:color w:val="000000"/>
                <w:kern w:val="2"/>
                <w:sz w:val="19"/>
                <w:szCs w:val="19"/>
                <w:lang w:eastAsia="zh-CN" w:bidi="hi-IN"/>
              </w:rPr>
              <w:t xml:space="preserve"> de 18 de noviembre de 2019, del director de la Agencia de Prevención y Lucha contra el Fraude y la Corrupción de la Comunitat Valenciana por la que se convoca la provisión, por el sistema de libre designación, de los puestos de trabajo de naturaleza funcionarial, número 11, </w:t>
            </w:r>
            <w:r w:rsidRPr="00A07BE9">
              <w:rPr>
                <w:rFonts w:ascii="Open Sans" w:eastAsia="NSimSun" w:hAnsi="Open Sans" w:cs="Open Sans"/>
                <w:b/>
                <w:color w:val="000000"/>
                <w:kern w:val="2"/>
                <w:sz w:val="19"/>
                <w:szCs w:val="19"/>
                <w:lang w:eastAsia="zh-CN" w:bidi="hi-IN"/>
              </w:rPr>
              <w:t>letrado o letrada</w:t>
            </w:r>
            <w:r w:rsidRPr="00A07BE9">
              <w:rPr>
                <w:rFonts w:ascii="Open Sans" w:eastAsia="NSimSun" w:hAnsi="Open Sans" w:cs="Open Sans"/>
                <w:color w:val="000000"/>
                <w:kern w:val="2"/>
                <w:sz w:val="19"/>
                <w:szCs w:val="19"/>
                <w:lang w:eastAsia="zh-CN" w:bidi="hi-IN"/>
              </w:rPr>
              <w:t xml:space="preserve">, número 37, </w:t>
            </w:r>
            <w:r w:rsidRPr="00A07BE9">
              <w:rPr>
                <w:rFonts w:ascii="Open Sans" w:eastAsia="NSimSun" w:hAnsi="Open Sans" w:cs="Open Sans"/>
                <w:b/>
                <w:color w:val="000000"/>
                <w:kern w:val="2"/>
                <w:sz w:val="19"/>
                <w:szCs w:val="19"/>
                <w:lang w:eastAsia="zh-CN" w:bidi="hi-IN"/>
              </w:rPr>
              <w:t>letrado o letrada</w:t>
            </w:r>
            <w:r w:rsidRPr="00A07BE9">
              <w:rPr>
                <w:rFonts w:ascii="Open Sans" w:eastAsia="NSimSun" w:hAnsi="Open Sans" w:cs="Open Sans"/>
                <w:color w:val="000000"/>
                <w:kern w:val="2"/>
                <w:sz w:val="19"/>
                <w:szCs w:val="19"/>
                <w:lang w:eastAsia="zh-CN" w:bidi="hi-IN"/>
              </w:rPr>
              <w:t xml:space="preserve"> y número 24 </w:t>
            </w:r>
            <w:r w:rsidRPr="00A07BE9">
              <w:rPr>
                <w:rFonts w:ascii="Open Sans" w:eastAsia="NSimSun" w:hAnsi="Open Sans" w:cs="Open Sans"/>
                <w:b/>
                <w:color w:val="000000"/>
                <w:kern w:val="2"/>
                <w:sz w:val="19"/>
                <w:szCs w:val="19"/>
                <w:lang w:eastAsia="zh-CN" w:bidi="hi-IN"/>
              </w:rPr>
              <w:t>jefe de Unidad de Asuntos Jurídicos</w:t>
            </w:r>
            <w:r w:rsidRPr="00A07BE9">
              <w:rPr>
                <w:rFonts w:ascii="Open Sans" w:eastAsia="NSimSun" w:hAnsi="Open Sans" w:cs="Open Sans"/>
                <w:color w:val="000000"/>
                <w:kern w:val="2"/>
                <w:sz w:val="19"/>
                <w:szCs w:val="19"/>
                <w:lang w:eastAsia="zh-CN" w:bidi="hi-IN"/>
              </w:rPr>
              <w:t>, y se aprueban las bases que rigen la convocatoria. Convocatoria número LD 7/2019</w:t>
            </w:r>
          </w:p>
        </w:tc>
        <w:tc>
          <w:tcPr>
            <w:tcW w:w="1701" w:type="dxa"/>
            <w:tcBorders>
              <w:left w:val="single" w:sz="4" w:space="0" w:color="000000"/>
              <w:bottom w:val="single" w:sz="4" w:space="0" w:color="000000"/>
            </w:tcBorders>
            <w:shd w:val="clear" w:color="auto" w:fill="auto"/>
          </w:tcPr>
          <w:p w14:paraId="169CD987" w14:textId="73BA8226" w:rsidR="000952B8" w:rsidRPr="00A07BE9" w:rsidRDefault="00000000" w:rsidP="00A366B3">
            <w:pPr>
              <w:suppressLineNumbers/>
              <w:spacing w:line="276" w:lineRule="auto"/>
              <w:jc w:val="center"/>
              <w:rPr>
                <w:rFonts w:ascii="Open Sans" w:eastAsia="Calibri" w:hAnsi="Open Sans" w:cs="Open Sans"/>
                <w:sz w:val="19"/>
                <w:szCs w:val="19"/>
              </w:rPr>
            </w:pPr>
            <w:hyperlink r:id="rId390" w:anchor="boc/sumari/X00042000" w:history="1">
              <w:r w:rsidR="000952B8" w:rsidRPr="00A07BE9">
                <w:rPr>
                  <w:rFonts w:ascii="Open Sans" w:eastAsia="Calibri" w:hAnsi="Open Sans" w:cs="Open Sans"/>
                  <w:color w:val="932224"/>
                  <w:sz w:val="19"/>
                  <w:szCs w:val="19"/>
                  <w:shd w:val="clear" w:color="auto" w:fill="FFFFFF"/>
                </w:rPr>
                <w:t>BOCV 42/X de 27.11.2019</w:t>
              </w:r>
            </w:hyperlink>
          </w:p>
        </w:tc>
        <w:tc>
          <w:tcPr>
            <w:tcW w:w="1701" w:type="dxa"/>
            <w:tcBorders>
              <w:left w:val="single" w:sz="4" w:space="0" w:color="000000"/>
              <w:bottom w:val="single" w:sz="4" w:space="0" w:color="000000"/>
              <w:right w:val="single" w:sz="4" w:space="0" w:color="000000"/>
            </w:tcBorders>
            <w:shd w:val="clear" w:color="auto" w:fill="auto"/>
          </w:tcPr>
          <w:p w14:paraId="1A51BC07" w14:textId="77777777" w:rsidR="000952B8" w:rsidRPr="00A07BE9" w:rsidRDefault="00000000" w:rsidP="00A366B3">
            <w:pPr>
              <w:suppressLineNumbers/>
              <w:spacing w:line="276" w:lineRule="auto"/>
              <w:jc w:val="center"/>
              <w:rPr>
                <w:rFonts w:ascii="Open Sans" w:eastAsia="Calibri" w:hAnsi="Open Sans" w:cs="Open Sans"/>
                <w:sz w:val="19"/>
                <w:szCs w:val="19"/>
              </w:rPr>
            </w:pPr>
            <w:hyperlink r:id="rId391">
              <w:r w:rsidR="000952B8" w:rsidRPr="00A07BE9">
                <w:rPr>
                  <w:rFonts w:ascii="Open Sans" w:eastAsia="Calibri" w:hAnsi="Open Sans" w:cs="Open Sans"/>
                  <w:color w:val="932224"/>
                  <w:sz w:val="19"/>
                  <w:szCs w:val="19"/>
                  <w:shd w:val="clear" w:color="auto" w:fill="FFFFFF"/>
                </w:rPr>
                <w:t>DOGV 8685 de 26.11.2019</w:t>
              </w:r>
            </w:hyperlink>
          </w:p>
        </w:tc>
      </w:tr>
      <w:tr w:rsidR="000952B8" w:rsidRPr="00A07BE9" w14:paraId="2817807E" w14:textId="77777777" w:rsidTr="000952B8">
        <w:tc>
          <w:tcPr>
            <w:tcW w:w="5098" w:type="dxa"/>
            <w:tcBorders>
              <w:left w:val="single" w:sz="4" w:space="0" w:color="000000"/>
              <w:bottom w:val="single" w:sz="4" w:space="0" w:color="000000"/>
            </w:tcBorders>
            <w:shd w:val="clear" w:color="auto" w:fill="auto"/>
          </w:tcPr>
          <w:p w14:paraId="4319E43C" w14:textId="1BB44CF2" w:rsidR="000952B8" w:rsidRPr="00A07BE9" w:rsidRDefault="000952B8" w:rsidP="00A366B3">
            <w:pPr>
              <w:suppressAutoHyphens/>
              <w:spacing w:after="0" w:line="276" w:lineRule="auto"/>
              <w:ind w:left="113"/>
              <w:jc w:val="both"/>
              <w:textAlignment w:val="baseline"/>
              <w:rPr>
                <w:rFonts w:ascii="Open Sans" w:eastAsia="NSimSun" w:hAnsi="Open Sans" w:cs="Open Sans"/>
                <w:kern w:val="2"/>
                <w:sz w:val="19"/>
                <w:szCs w:val="19"/>
                <w:lang w:eastAsia="zh-CN" w:bidi="hi-IN"/>
              </w:rPr>
            </w:pPr>
            <w:r w:rsidRPr="00A07BE9">
              <w:rPr>
                <w:rFonts w:ascii="Open Sans" w:eastAsia="NSimSun" w:hAnsi="Open Sans" w:cs="Open Sans"/>
                <w:b/>
                <w:color w:val="000000"/>
                <w:kern w:val="2"/>
                <w:sz w:val="19"/>
                <w:szCs w:val="19"/>
                <w:lang w:eastAsia="zh-CN" w:bidi="hi-IN"/>
              </w:rPr>
              <w:t>RESOLUCIÓN</w:t>
            </w:r>
            <w:r w:rsidRPr="00A07BE9">
              <w:rPr>
                <w:rFonts w:ascii="Open Sans" w:eastAsia="NSimSun" w:hAnsi="Open Sans" w:cs="Open Sans"/>
                <w:color w:val="000000"/>
                <w:kern w:val="2"/>
                <w:sz w:val="19"/>
                <w:szCs w:val="19"/>
                <w:lang w:eastAsia="zh-CN" w:bidi="hi-IN"/>
              </w:rPr>
              <w:t xml:space="preserve"> de 21 de noviembre de 2019, del director de la Agencia de Prevención y Lucha contra el Fraude y la Corrupción de la Comunitat Valenciana por la que se convoca, con motivo de la </w:t>
            </w:r>
            <w:r w:rsidRPr="00A07BE9">
              <w:rPr>
                <w:rFonts w:ascii="Open Sans" w:eastAsia="NSimSun" w:hAnsi="Open Sans" w:cs="Open Sans"/>
                <w:b/>
                <w:color w:val="000000"/>
                <w:kern w:val="2"/>
                <w:sz w:val="19"/>
                <w:szCs w:val="19"/>
                <w:lang w:eastAsia="zh-CN" w:bidi="hi-IN"/>
              </w:rPr>
              <w:t>celebración del Día Internacional de Naciones Unidas contra la Corrupción</w:t>
            </w:r>
            <w:r w:rsidRPr="00A07BE9">
              <w:rPr>
                <w:rFonts w:ascii="Open Sans" w:eastAsia="NSimSun" w:hAnsi="Open Sans" w:cs="Open Sans"/>
                <w:color w:val="000000"/>
                <w:kern w:val="2"/>
                <w:sz w:val="19"/>
                <w:szCs w:val="19"/>
                <w:lang w:eastAsia="zh-CN" w:bidi="hi-IN"/>
              </w:rPr>
              <w:t xml:space="preserve">, una jornada, en sesión de tarde, el día 9 de diciembre de 2019, sobre la </w:t>
            </w:r>
            <w:r w:rsidR="008D4884" w:rsidRPr="00A07BE9">
              <w:rPr>
                <w:rFonts w:ascii="Open Sans" w:eastAsia="NSimSun" w:hAnsi="Open Sans" w:cs="Open Sans"/>
                <w:color w:val="000000"/>
                <w:kern w:val="2"/>
                <w:sz w:val="19"/>
                <w:szCs w:val="19"/>
                <w:lang w:eastAsia="zh-CN" w:bidi="hi-IN"/>
              </w:rPr>
              <w:t>D</w:t>
            </w:r>
            <w:r w:rsidRPr="00A07BE9">
              <w:rPr>
                <w:rFonts w:ascii="Open Sans" w:eastAsia="NSimSun" w:hAnsi="Open Sans" w:cs="Open Sans"/>
                <w:color w:val="000000"/>
                <w:kern w:val="2"/>
                <w:sz w:val="19"/>
                <w:szCs w:val="19"/>
                <w:lang w:eastAsia="zh-CN" w:bidi="hi-IN"/>
              </w:rPr>
              <w:t>irectiva de la Unión Europea sobre protección de los alertadores y denunciantes de corrupción</w:t>
            </w:r>
          </w:p>
        </w:tc>
        <w:tc>
          <w:tcPr>
            <w:tcW w:w="1701" w:type="dxa"/>
            <w:tcBorders>
              <w:left w:val="single" w:sz="4" w:space="0" w:color="000000"/>
              <w:bottom w:val="single" w:sz="4" w:space="0" w:color="000000"/>
            </w:tcBorders>
            <w:shd w:val="clear" w:color="auto" w:fill="auto"/>
          </w:tcPr>
          <w:p w14:paraId="5355A0EC" w14:textId="44158167" w:rsidR="000952B8" w:rsidRPr="00A07BE9" w:rsidRDefault="00000000" w:rsidP="00A366B3">
            <w:pPr>
              <w:suppressLineNumbers/>
              <w:spacing w:line="276" w:lineRule="auto"/>
              <w:jc w:val="center"/>
              <w:rPr>
                <w:rFonts w:ascii="Open Sans" w:eastAsia="Calibri" w:hAnsi="Open Sans" w:cs="Open Sans"/>
                <w:sz w:val="19"/>
                <w:szCs w:val="19"/>
              </w:rPr>
            </w:pPr>
            <w:hyperlink r:id="rId392" w:anchor="boc/sumari/X00043000" w:history="1">
              <w:r w:rsidR="000952B8" w:rsidRPr="00A07BE9">
                <w:rPr>
                  <w:rFonts w:ascii="Open Sans" w:eastAsia="Calibri" w:hAnsi="Open Sans" w:cs="Open Sans"/>
                  <w:color w:val="932224"/>
                  <w:sz w:val="19"/>
                  <w:szCs w:val="19"/>
                  <w:shd w:val="clear" w:color="auto" w:fill="FFFFFF"/>
                </w:rPr>
                <w:t>BOCV 43/X de 29.11.2019</w:t>
              </w:r>
            </w:hyperlink>
          </w:p>
        </w:tc>
        <w:tc>
          <w:tcPr>
            <w:tcW w:w="1701" w:type="dxa"/>
            <w:tcBorders>
              <w:left w:val="single" w:sz="4" w:space="0" w:color="000000"/>
              <w:bottom w:val="single" w:sz="4" w:space="0" w:color="000000"/>
              <w:right w:val="single" w:sz="4" w:space="0" w:color="000000"/>
            </w:tcBorders>
            <w:shd w:val="clear" w:color="auto" w:fill="auto"/>
          </w:tcPr>
          <w:p w14:paraId="170B5062" w14:textId="77777777" w:rsidR="000952B8" w:rsidRPr="00A07BE9" w:rsidRDefault="000952B8" w:rsidP="00A366B3">
            <w:pPr>
              <w:suppressLineNumbers/>
              <w:spacing w:line="276" w:lineRule="auto"/>
              <w:jc w:val="center"/>
              <w:rPr>
                <w:rFonts w:ascii="Open Sans" w:eastAsia="Calibri" w:hAnsi="Open Sans" w:cs="Open Sans"/>
                <w:b/>
                <w:color w:val="932224"/>
                <w:sz w:val="19"/>
                <w:szCs w:val="19"/>
              </w:rPr>
            </w:pPr>
          </w:p>
        </w:tc>
      </w:tr>
      <w:tr w:rsidR="000952B8" w:rsidRPr="00A07BE9" w14:paraId="39BCE527" w14:textId="77777777" w:rsidTr="000952B8">
        <w:tc>
          <w:tcPr>
            <w:tcW w:w="5098" w:type="dxa"/>
            <w:tcBorders>
              <w:left w:val="single" w:sz="4" w:space="0" w:color="000000"/>
              <w:bottom w:val="single" w:sz="4" w:space="0" w:color="000000"/>
            </w:tcBorders>
            <w:shd w:val="clear" w:color="auto" w:fill="auto"/>
          </w:tcPr>
          <w:p w14:paraId="28A920CA" w14:textId="77777777" w:rsidR="000952B8" w:rsidRPr="00A07BE9" w:rsidRDefault="000952B8" w:rsidP="00A366B3">
            <w:pPr>
              <w:suppressAutoHyphens/>
              <w:spacing w:after="0" w:line="276" w:lineRule="auto"/>
              <w:ind w:left="113"/>
              <w:jc w:val="both"/>
              <w:textAlignment w:val="baseline"/>
              <w:rPr>
                <w:rFonts w:ascii="Open Sans" w:eastAsia="NSimSun" w:hAnsi="Open Sans" w:cs="Open Sans"/>
                <w:kern w:val="2"/>
                <w:sz w:val="19"/>
                <w:szCs w:val="19"/>
                <w:lang w:eastAsia="zh-CN" w:bidi="hi-IN"/>
              </w:rPr>
            </w:pPr>
            <w:r w:rsidRPr="00A07BE9">
              <w:rPr>
                <w:rFonts w:ascii="Open Sans" w:eastAsia="NSimSun" w:hAnsi="Open Sans" w:cs="Open Sans"/>
                <w:b/>
                <w:color w:val="000000"/>
                <w:kern w:val="2"/>
                <w:sz w:val="19"/>
                <w:szCs w:val="19"/>
                <w:shd w:val="clear" w:color="auto" w:fill="FFFFFF"/>
                <w:lang w:eastAsia="zh-CN" w:bidi="hi-IN"/>
              </w:rPr>
              <w:t>RESOLUCIÓN</w:t>
            </w:r>
            <w:r w:rsidRPr="00A07BE9">
              <w:rPr>
                <w:rFonts w:ascii="Open Sans" w:eastAsia="NSimSun" w:hAnsi="Open Sans" w:cs="Open Sans"/>
                <w:color w:val="000000"/>
                <w:kern w:val="2"/>
                <w:sz w:val="19"/>
                <w:szCs w:val="19"/>
                <w:shd w:val="clear" w:color="auto" w:fill="FFFFFF"/>
                <w:lang w:eastAsia="zh-CN" w:bidi="hi-IN"/>
              </w:rPr>
              <w:t xml:space="preserve"> de 22 de noviembre de 2019, del director de la Agencia de Prevención y Lucha contra el Fraude y la Corrupción de la Comunitat Valenciana, por la que se </w:t>
            </w:r>
            <w:r w:rsidRPr="00A07BE9">
              <w:rPr>
                <w:rFonts w:ascii="Open Sans" w:eastAsia="NSimSun" w:hAnsi="Open Sans" w:cs="Open Sans"/>
                <w:b/>
                <w:color w:val="000000"/>
                <w:kern w:val="2"/>
                <w:sz w:val="19"/>
                <w:szCs w:val="19"/>
                <w:shd w:val="clear" w:color="auto" w:fill="FFFFFF"/>
                <w:lang w:eastAsia="zh-CN" w:bidi="hi-IN"/>
              </w:rPr>
              <w:t>provee</w:t>
            </w:r>
            <w:r w:rsidRPr="00A07BE9">
              <w:rPr>
                <w:rFonts w:ascii="Open Sans" w:eastAsia="NSimSun" w:hAnsi="Open Sans" w:cs="Open Sans"/>
                <w:color w:val="000000"/>
                <w:kern w:val="2"/>
                <w:sz w:val="19"/>
                <w:szCs w:val="19"/>
                <w:shd w:val="clear" w:color="auto" w:fill="FFFFFF"/>
                <w:lang w:eastAsia="zh-CN" w:bidi="hi-IN"/>
              </w:rPr>
              <w:t xml:space="preserve">, por el sistema de libre designación, el puesto de trabajo número 12, </w:t>
            </w:r>
            <w:r w:rsidRPr="00A07BE9">
              <w:rPr>
                <w:rFonts w:ascii="Open Sans" w:eastAsia="NSimSun" w:hAnsi="Open Sans" w:cs="Open Sans"/>
                <w:b/>
                <w:color w:val="000000"/>
                <w:kern w:val="2"/>
                <w:sz w:val="19"/>
                <w:szCs w:val="19"/>
                <w:shd w:val="clear" w:color="auto" w:fill="FFFFFF"/>
                <w:lang w:eastAsia="zh-CN" w:bidi="hi-IN"/>
              </w:rPr>
              <w:t>jefe o jefa de la Unidad de Gestión Administrativa</w:t>
            </w:r>
            <w:r w:rsidRPr="00A07BE9">
              <w:rPr>
                <w:rFonts w:ascii="Open Sans" w:eastAsia="NSimSun" w:hAnsi="Open Sans" w:cs="Open Sans"/>
                <w:color w:val="000000"/>
                <w:kern w:val="2"/>
                <w:sz w:val="19"/>
                <w:szCs w:val="19"/>
                <w:shd w:val="clear" w:color="auto" w:fill="FFFFFF"/>
                <w:lang w:eastAsia="zh-CN" w:bidi="hi-IN"/>
              </w:rPr>
              <w:t>, anunciado en la convocatoria número 5/2019, de 17 de octubre de 2019 (DOGV número 8.664, de 25 de octubre de 2019)</w:t>
            </w:r>
          </w:p>
        </w:tc>
        <w:tc>
          <w:tcPr>
            <w:tcW w:w="1701" w:type="dxa"/>
            <w:tcBorders>
              <w:left w:val="single" w:sz="4" w:space="0" w:color="000000"/>
              <w:bottom w:val="single" w:sz="4" w:space="0" w:color="000000"/>
            </w:tcBorders>
            <w:shd w:val="clear" w:color="auto" w:fill="auto"/>
          </w:tcPr>
          <w:p w14:paraId="7B5BB601" w14:textId="3B94A0AD" w:rsidR="000952B8" w:rsidRPr="00A07BE9" w:rsidRDefault="00000000" w:rsidP="00A366B3">
            <w:pPr>
              <w:suppressLineNumbers/>
              <w:spacing w:line="276" w:lineRule="auto"/>
              <w:jc w:val="center"/>
              <w:rPr>
                <w:rFonts w:ascii="Open Sans" w:eastAsia="Calibri" w:hAnsi="Open Sans" w:cs="Open Sans"/>
                <w:sz w:val="19"/>
                <w:szCs w:val="19"/>
              </w:rPr>
            </w:pPr>
            <w:hyperlink r:id="rId393" w:anchor="boc/sumari/X00044000" w:history="1">
              <w:r w:rsidR="000952B8" w:rsidRPr="00A07BE9">
                <w:rPr>
                  <w:rFonts w:ascii="Open Sans" w:eastAsia="Calibri" w:hAnsi="Open Sans" w:cs="Open Sans"/>
                  <w:color w:val="932224"/>
                  <w:sz w:val="19"/>
                  <w:szCs w:val="19"/>
                  <w:shd w:val="clear" w:color="auto" w:fill="FFFFFF"/>
                </w:rPr>
                <w:t>BOCV 44/X de 05.12.2019</w:t>
              </w:r>
            </w:hyperlink>
          </w:p>
        </w:tc>
        <w:tc>
          <w:tcPr>
            <w:tcW w:w="1701" w:type="dxa"/>
            <w:tcBorders>
              <w:left w:val="single" w:sz="4" w:space="0" w:color="000000"/>
              <w:bottom w:val="single" w:sz="4" w:space="0" w:color="000000"/>
              <w:right w:val="single" w:sz="4" w:space="0" w:color="000000"/>
            </w:tcBorders>
            <w:shd w:val="clear" w:color="auto" w:fill="auto"/>
          </w:tcPr>
          <w:p w14:paraId="08622F4A" w14:textId="77777777" w:rsidR="000952B8" w:rsidRPr="00A07BE9" w:rsidRDefault="00000000" w:rsidP="00A366B3">
            <w:pPr>
              <w:suppressLineNumbers/>
              <w:spacing w:line="276" w:lineRule="auto"/>
              <w:jc w:val="center"/>
              <w:rPr>
                <w:rFonts w:ascii="Open Sans" w:eastAsia="Calibri" w:hAnsi="Open Sans" w:cs="Open Sans"/>
                <w:sz w:val="19"/>
                <w:szCs w:val="19"/>
              </w:rPr>
            </w:pPr>
            <w:hyperlink r:id="rId394">
              <w:r w:rsidR="000952B8" w:rsidRPr="00A07BE9">
                <w:rPr>
                  <w:rFonts w:ascii="Open Sans" w:eastAsia="Calibri" w:hAnsi="Open Sans" w:cs="Open Sans"/>
                  <w:color w:val="932224"/>
                  <w:sz w:val="19"/>
                  <w:szCs w:val="19"/>
                  <w:shd w:val="clear" w:color="auto" w:fill="FFFFFF"/>
                </w:rPr>
                <w:t>DOGV 8688 de 29.11.2019</w:t>
              </w:r>
            </w:hyperlink>
          </w:p>
        </w:tc>
      </w:tr>
      <w:tr w:rsidR="000952B8" w:rsidRPr="00A07BE9" w14:paraId="3DD7A172" w14:textId="77777777" w:rsidTr="000952B8">
        <w:tc>
          <w:tcPr>
            <w:tcW w:w="5098" w:type="dxa"/>
            <w:tcBorders>
              <w:left w:val="single" w:sz="4" w:space="0" w:color="000000"/>
              <w:bottom w:val="single" w:sz="4" w:space="0" w:color="000000"/>
            </w:tcBorders>
            <w:shd w:val="clear" w:color="auto" w:fill="auto"/>
          </w:tcPr>
          <w:p w14:paraId="1EAFD6A5" w14:textId="77777777" w:rsidR="000952B8" w:rsidRPr="00A07BE9" w:rsidRDefault="000952B8" w:rsidP="00A366B3">
            <w:pPr>
              <w:suppressAutoHyphens/>
              <w:spacing w:after="0" w:line="276" w:lineRule="auto"/>
              <w:ind w:left="113"/>
              <w:jc w:val="both"/>
              <w:textAlignment w:val="baseline"/>
              <w:rPr>
                <w:rFonts w:ascii="Open Sans" w:eastAsia="NSimSun" w:hAnsi="Open Sans" w:cs="Open Sans"/>
                <w:kern w:val="2"/>
                <w:sz w:val="19"/>
                <w:szCs w:val="19"/>
                <w:lang w:eastAsia="zh-CN" w:bidi="hi-IN"/>
              </w:rPr>
            </w:pPr>
            <w:r w:rsidRPr="00A07BE9">
              <w:rPr>
                <w:rFonts w:ascii="Open Sans" w:eastAsia="NSimSun" w:hAnsi="Open Sans" w:cs="Open Sans"/>
                <w:b/>
                <w:color w:val="000000"/>
                <w:kern w:val="2"/>
                <w:sz w:val="19"/>
                <w:szCs w:val="19"/>
                <w:lang w:eastAsia="zh-CN" w:bidi="hi-IN"/>
              </w:rPr>
              <w:t>RESOLUCIÓN</w:t>
            </w:r>
            <w:r w:rsidRPr="00A07BE9">
              <w:rPr>
                <w:rFonts w:ascii="Open Sans" w:eastAsia="NSimSun" w:hAnsi="Open Sans" w:cs="Open Sans"/>
                <w:color w:val="000000"/>
                <w:kern w:val="2"/>
                <w:sz w:val="19"/>
                <w:szCs w:val="19"/>
                <w:lang w:eastAsia="zh-CN" w:bidi="hi-IN"/>
              </w:rPr>
              <w:t xml:space="preserve"> de 13 de diciembre de 2019, del director de la Agencia de Prevención y Lucha contra el Fraude y la Corrupción de la Comunitat Valenciana, por la que </w:t>
            </w:r>
            <w:r w:rsidRPr="00A07BE9">
              <w:rPr>
                <w:rFonts w:ascii="Open Sans" w:eastAsia="NSimSun" w:hAnsi="Open Sans" w:cs="Open Sans"/>
                <w:b/>
                <w:color w:val="000000"/>
                <w:kern w:val="2"/>
                <w:sz w:val="19"/>
                <w:szCs w:val="19"/>
                <w:lang w:eastAsia="zh-CN" w:bidi="hi-IN"/>
              </w:rPr>
              <w:t>se crea la sede electrónica y el registro electrónico</w:t>
            </w:r>
            <w:r w:rsidRPr="00A07BE9">
              <w:rPr>
                <w:rFonts w:ascii="Open Sans" w:eastAsia="NSimSun" w:hAnsi="Open Sans" w:cs="Open Sans"/>
                <w:color w:val="000000"/>
                <w:kern w:val="2"/>
                <w:sz w:val="19"/>
                <w:szCs w:val="19"/>
                <w:lang w:eastAsia="zh-CN" w:bidi="hi-IN"/>
              </w:rPr>
              <w:t xml:space="preserve"> de esta agencia y se regula su funcionamiento</w:t>
            </w:r>
          </w:p>
          <w:p w14:paraId="5ACA4ABC" w14:textId="77777777" w:rsidR="000952B8" w:rsidRPr="00A07BE9" w:rsidRDefault="000952B8" w:rsidP="00A366B3">
            <w:pPr>
              <w:suppressAutoHyphens/>
              <w:spacing w:after="0" w:line="276" w:lineRule="auto"/>
              <w:ind w:left="113"/>
              <w:jc w:val="both"/>
              <w:textAlignment w:val="baseline"/>
              <w:rPr>
                <w:rFonts w:ascii="Open Sans" w:eastAsia="NSimSun" w:hAnsi="Open Sans" w:cs="Open Sans"/>
                <w:color w:val="000000"/>
                <w:kern w:val="2"/>
                <w:sz w:val="19"/>
                <w:szCs w:val="19"/>
                <w:lang w:eastAsia="zh-CN" w:bidi="hi-IN"/>
              </w:rPr>
            </w:pPr>
            <w:r w:rsidRPr="00A07BE9">
              <w:rPr>
                <w:rFonts w:ascii="Open Sans" w:eastAsia="NSimSun" w:hAnsi="Open Sans" w:cs="Open Sans"/>
                <w:color w:val="000000"/>
                <w:kern w:val="2"/>
                <w:sz w:val="19"/>
                <w:szCs w:val="19"/>
                <w:lang w:eastAsia="zh-CN" w:bidi="hi-IN"/>
              </w:rPr>
              <w:t>PRESIDENCIA DE LES CORTS VALENCIANES</w:t>
            </w:r>
          </w:p>
        </w:tc>
        <w:tc>
          <w:tcPr>
            <w:tcW w:w="1701" w:type="dxa"/>
            <w:tcBorders>
              <w:left w:val="single" w:sz="4" w:space="0" w:color="000000"/>
              <w:bottom w:val="single" w:sz="4" w:space="0" w:color="000000"/>
            </w:tcBorders>
            <w:shd w:val="clear" w:color="auto" w:fill="auto"/>
          </w:tcPr>
          <w:p w14:paraId="1DA2037D" w14:textId="18ACBF8E" w:rsidR="000952B8" w:rsidRPr="00A07BE9" w:rsidRDefault="00000000" w:rsidP="00A366B3">
            <w:pPr>
              <w:suppressLineNumbers/>
              <w:spacing w:line="276" w:lineRule="auto"/>
              <w:jc w:val="center"/>
              <w:rPr>
                <w:rFonts w:ascii="Open Sans" w:eastAsia="Calibri" w:hAnsi="Open Sans" w:cs="Open Sans"/>
                <w:sz w:val="19"/>
                <w:szCs w:val="19"/>
              </w:rPr>
            </w:pPr>
            <w:hyperlink r:id="rId395" w:anchor="boc/sumari/X00051000" w:history="1">
              <w:r w:rsidR="000952B8" w:rsidRPr="00A07BE9">
                <w:rPr>
                  <w:rFonts w:ascii="Open Sans" w:eastAsia="Calibri" w:hAnsi="Open Sans" w:cs="Open Sans"/>
                  <w:color w:val="932224"/>
                  <w:sz w:val="19"/>
                  <w:szCs w:val="19"/>
                  <w:shd w:val="clear" w:color="auto" w:fill="FFFFFF"/>
                </w:rPr>
                <w:t xml:space="preserve">BOCV 51/X de </w:t>
              </w:r>
            </w:hyperlink>
            <w:hyperlink r:id="rId396" w:anchor="boc/sumari/X00051000" w:history="1">
              <w:r w:rsidR="000952B8" w:rsidRPr="00A07BE9">
                <w:rPr>
                  <w:rFonts w:ascii="Open Sans" w:eastAsia="Calibri" w:hAnsi="Open Sans" w:cs="Open Sans"/>
                  <w:color w:val="932224"/>
                  <w:sz w:val="19"/>
                  <w:szCs w:val="19"/>
                  <w:shd w:val="clear" w:color="auto" w:fill="FFFFFF"/>
                </w:rPr>
                <w:t>30.12.2019</w:t>
              </w:r>
            </w:hyperlink>
          </w:p>
        </w:tc>
        <w:tc>
          <w:tcPr>
            <w:tcW w:w="1701" w:type="dxa"/>
            <w:tcBorders>
              <w:left w:val="single" w:sz="4" w:space="0" w:color="000000"/>
              <w:bottom w:val="single" w:sz="4" w:space="0" w:color="000000"/>
              <w:right w:val="single" w:sz="4" w:space="0" w:color="000000"/>
            </w:tcBorders>
            <w:shd w:val="clear" w:color="auto" w:fill="auto"/>
          </w:tcPr>
          <w:p w14:paraId="6B6C892E" w14:textId="77777777" w:rsidR="000952B8" w:rsidRPr="00A07BE9" w:rsidRDefault="00000000" w:rsidP="00A366B3">
            <w:pPr>
              <w:suppressLineNumbers/>
              <w:spacing w:line="276" w:lineRule="auto"/>
              <w:jc w:val="center"/>
              <w:rPr>
                <w:rFonts w:ascii="Open Sans" w:eastAsia="Calibri" w:hAnsi="Open Sans" w:cs="Open Sans"/>
                <w:sz w:val="19"/>
                <w:szCs w:val="19"/>
              </w:rPr>
            </w:pPr>
            <w:hyperlink r:id="rId397">
              <w:r w:rsidR="000952B8" w:rsidRPr="00A07BE9">
                <w:rPr>
                  <w:rFonts w:ascii="Open Sans" w:eastAsia="Calibri" w:hAnsi="Open Sans" w:cs="Open Sans"/>
                  <w:color w:val="932224"/>
                  <w:sz w:val="19"/>
                  <w:szCs w:val="19"/>
                  <w:shd w:val="clear" w:color="auto" w:fill="FFFFFF"/>
                </w:rPr>
                <w:t xml:space="preserve">DOGV 8708 de </w:t>
              </w:r>
            </w:hyperlink>
            <w:hyperlink r:id="rId398">
              <w:r w:rsidR="000952B8" w:rsidRPr="00A07BE9">
                <w:rPr>
                  <w:rFonts w:ascii="Open Sans" w:eastAsia="Calibri" w:hAnsi="Open Sans" w:cs="Open Sans"/>
                  <w:color w:val="932224"/>
                  <w:sz w:val="19"/>
                  <w:szCs w:val="19"/>
                  <w:shd w:val="clear" w:color="auto" w:fill="FFFFFF"/>
                </w:rPr>
                <w:t>31.12.2019</w:t>
              </w:r>
            </w:hyperlink>
          </w:p>
        </w:tc>
      </w:tr>
      <w:tr w:rsidR="000952B8" w:rsidRPr="00A07BE9" w14:paraId="1E9CBC73" w14:textId="77777777" w:rsidTr="000952B8">
        <w:tc>
          <w:tcPr>
            <w:tcW w:w="5098" w:type="dxa"/>
            <w:tcBorders>
              <w:left w:val="single" w:sz="4" w:space="0" w:color="000000"/>
              <w:bottom w:val="single" w:sz="4" w:space="0" w:color="000000"/>
            </w:tcBorders>
            <w:shd w:val="clear" w:color="auto" w:fill="auto"/>
          </w:tcPr>
          <w:p w14:paraId="14597672" w14:textId="77777777" w:rsidR="000952B8" w:rsidRPr="00A07BE9" w:rsidRDefault="000952B8" w:rsidP="00A366B3">
            <w:pPr>
              <w:suppressAutoHyphens/>
              <w:spacing w:after="0" w:line="276" w:lineRule="auto"/>
              <w:ind w:left="113"/>
              <w:jc w:val="both"/>
              <w:textAlignment w:val="baseline"/>
              <w:rPr>
                <w:rFonts w:ascii="Open Sans" w:eastAsia="NSimSun" w:hAnsi="Open Sans" w:cs="Open Sans"/>
                <w:kern w:val="2"/>
                <w:sz w:val="19"/>
                <w:szCs w:val="19"/>
                <w:lang w:eastAsia="zh-CN" w:bidi="hi-IN"/>
              </w:rPr>
            </w:pPr>
            <w:r w:rsidRPr="00A07BE9">
              <w:rPr>
                <w:rFonts w:ascii="Open Sans" w:eastAsia="NSimSun" w:hAnsi="Open Sans" w:cs="Open Sans"/>
                <w:b/>
                <w:color w:val="000000"/>
                <w:kern w:val="2"/>
                <w:sz w:val="19"/>
                <w:szCs w:val="19"/>
                <w:lang w:eastAsia="zh-CN" w:bidi="hi-IN"/>
              </w:rPr>
              <w:t>RESOLUCIÓN</w:t>
            </w:r>
            <w:r w:rsidRPr="00A07BE9">
              <w:rPr>
                <w:rFonts w:ascii="Open Sans" w:eastAsia="NSimSun" w:hAnsi="Open Sans" w:cs="Open Sans"/>
                <w:color w:val="000000"/>
                <w:kern w:val="2"/>
                <w:sz w:val="19"/>
                <w:szCs w:val="19"/>
                <w:lang w:eastAsia="zh-CN" w:bidi="hi-IN"/>
              </w:rPr>
              <w:t xml:space="preserve"> de 12 de diciembre de 2019, del director de la Agencia de Prevención y Lucha contra el Fraude y la Corrupción de la Comunitat Valenciana, por la que se acuerda la publicación del texto íntegro del </w:t>
            </w:r>
            <w:r w:rsidRPr="00A07BE9">
              <w:rPr>
                <w:rFonts w:ascii="Open Sans" w:eastAsia="NSimSun" w:hAnsi="Open Sans" w:cs="Open Sans"/>
                <w:b/>
                <w:color w:val="000000"/>
                <w:kern w:val="2"/>
                <w:sz w:val="19"/>
                <w:szCs w:val="19"/>
                <w:lang w:eastAsia="zh-CN" w:bidi="hi-IN"/>
              </w:rPr>
              <w:t>Convenio marco</w:t>
            </w:r>
            <w:r w:rsidRPr="00A07BE9">
              <w:rPr>
                <w:rFonts w:ascii="Open Sans" w:eastAsia="NSimSun" w:hAnsi="Open Sans" w:cs="Open Sans"/>
                <w:color w:val="000000"/>
                <w:kern w:val="2"/>
                <w:sz w:val="19"/>
                <w:szCs w:val="19"/>
                <w:lang w:eastAsia="zh-CN" w:bidi="hi-IN"/>
              </w:rPr>
              <w:t xml:space="preserve"> de colaboración entre la </w:t>
            </w:r>
            <w:r w:rsidRPr="00A07BE9">
              <w:rPr>
                <w:rFonts w:ascii="Open Sans" w:eastAsia="NSimSun" w:hAnsi="Open Sans" w:cs="Open Sans"/>
                <w:b/>
                <w:color w:val="000000"/>
                <w:kern w:val="2"/>
                <w:sz w:val="19"/>
                <w:szCs w:val="19"/>
                <w:lang w:eastAsia="zh-CN" w:bidi="hi-IN"/>
              </w:rPr>
              <w:t>Universitat de València</w:t>
            </w:r>
            <w:r w:rsidRPr="00A07BE9">
              <w:rPr>
                <w:rFonts w:ascii="Open Sans" w:eastAsia="NSimSun" w:hAnsi="Open Sans" w:cs="Open Sans"/>
                <w:color w:val="000000"/>
                <w:kern w:val="2"/>
                <w:sz w:val="19"/>
                <w:szCs w:val="19"/>
                <w:lang w:eastAsia="zh-CN" w:bidi="hi-IN"/>
              </w:rPr>
              <w:t xml:space="preserve"> y la Agencia de Prevención y Lucha contra el Fraude y la Corrupción de la Comunitat Valenciana</w:t>
            </w:r>
          </w:p>
        </w:tc>
        <w:tc>
          <w:tcPr>
            <w:tcW w:w="1701" w:type="dxa"/>
            <w:tcBorders>
              <w:left w:val="single" w:sz="4" w:space="0" w:color="000000"/>
              <w:bottom w:val="single" w:sz="4" w:space="0" w:color="000000"/>
            </w:tcBorders>
            <w:shd w:val="clear" w:color="auto" w:fill="auto"/>
          </w:tcPr>
          <w:p w14:paraId="4721B9B2" w14:textId="6E4DDAF4" w:rsidR="000952B8" w:rsidRPr="00A07BE9" w:rsidRDefault="00000000" w:rsidP="00A366B3">
            <w:pPr>
              <w:suppressLineNumbers/>
              <w:spacing w:line="276" w:lineRule="auto"/>
              <w:jc w:val="center"/>
              <w:rPr>
                <w:rFonts w:ascii="Open Sans" w:eastAsia="Calibri" w:hAnsi="Open Sans" w:cs="Open Sans"/>
                <w:sz w:val="19"/>
                <w:szCs w:val="19"/>
              </w:rPr>
            </w:pPr>
            <w:hyperlink r:id="rId399" w:anchor="boc/sumari/X00051000" w:history="1">
              <w:r w:rsidR="000952B8" w:rsidRPr="00A07BE9">
                <w:rPr>
                  <w:rFonts w:ascii="Open Sans" w:eastAsia="Calibri" w:hAnsi="Open Sans" w:cs="Open Sans"/>
                  <w:color w:val="932224"/>
                  <w:sz w:val="19"/>
                  <w:szCs w:val="19"/>
                  <w:shd w:val="clear" w:color="auto" w:fill="FFFFFF"/>
                </w:rPr>
                <w:t>BOCV 51/X de 30.12.2019</w:t>
              </w:r>
            </w:hyperlink>
          </w:p>
        </w:tc>
        <w:tc>
          <w:tcPr>
            <w:tcW w:w="1701" w:type="dxa"/>
            <w:tcBorders>
              <w:left w:val="single" w:sz="4" w:space="0" w:color="000000"/>
              <w:bottom w:val="single" w:sz="4" w:space="0" w:color="000000"/>
              <w:right w:val="single" w:sz="4" w:space="0" w:color="000000"/>
            </w:tcBorders>
            <w:shd w:val="clear" w:color="auto" w:fill="auto"/>
          </w:tcPr>
          <w:p w14:paraId="73DDCA09" w14:textId="77777777" w:rsidR="000952B8" w:rsidRPr="00A07BE9" w:rsidRDefault="000952B8" w:rsidP="00A366B3">
            <w:pPr>
              <w:suppressLineNumbers/>
              <w:spacing w:line="276" w:lineRule="auto"/>
              <w:jc w:val="center"/>
              <w:rPr>
                <w:rFonts w:ascii="Open Sans" w:eastAsia="Calibri" w:hAnsi="Open Sans" w:cs="Open Sans"/>
                <w:b/>
                <w:color w:val="932224"/>
                <w:sz w:val="19"/>
                <w:szCs w:val="19"/>
              </w:rPr>
            </w:pPr>
          </w:p>
        </w:tc>
      </w:tr>
    </w:tbl>
    <w:p w14:paraId="3040589E" w14:textId="365323AE" w:rsidR="002D0FF9" w:rsidRPr="00A07BE9" w:rsidRDefault="002D0FF9">
      <w:pPr>
        <w:rPr>
          <w:rFonts w:ascii="Open Sans" w:hAnsi="Open Sans" w:cs="Open Sans"/>
          <w:color w:val="000000" w:themeColor="text1"/>
          <w:sz w:val="21"/>
          <w:szCs w:val="21"/>
        </w:rPr>
      </w:pPr>
      <w:r w:rsidRPr="00A07BE9">
        <w:rPr>
          <w:rFonts w:ascii="Open Sans" w:hAnsi="Open Sans" w:cs="Open Sans"/>
          <w:color w:val="000000" w:themeColor="text1"/>
          <w:sz w:val="21"/>
          <w:szCs w:val="21"/>
        </w:rPr>
        <w:br w:type="page"/>
      </w:r>
    </w:p>
    <w:p w14:paraId="55913C0F" w14:textId="7E18F2FD" w:rsidR="00D572EA" w:rsidRPr="00A07BE9" w:rsidRDefault="00D572EA" w:rsidP="00D572EA">
      <w:pPr>
        <w:suppressAutoHyphens/>
        <w:autoSpaceDN w:val="0"/>
        <w:spacing w:after="0" w:line="240" w:lineRule="auto"/>
        <w:jc w:val="both"/>
        <w:textAlignment w:val="baseline"/>
        <w:rPr>
          <w:rFonts w:ascii="Open Sans" w:eastAsia="Calibri" w:hAnsi="Open Sans" w:cs="Open Sans"/>
          <w:b/>
          <w:bCs/>
          <w:color w:val="9D2235"/>
          <w:sz w:val="20"/>
          <w:szCs w:val="20"/>
        </w:rPr>
      </w:pPr>
      <w:bookmarkStart w:id="31" w:name="Marcador_39"/>
    </w:p>
    <w:p w14:paraId="1E2EC547" w14:textId="77777777" w:rsidR="00D075FF" w:rsidRPr="00A07BE9" w:rsidRDefault="00D075FF" w:rsidP="00D572EA">
      <w:pPr>
        <w:suppressAutoHyphens/>
        <w:autoSpaceDN w:val="0"/>
        <w:spacing w:after="0" w:line="240" w:lineRule="auto"/>
        <w:jc w:val="both"/>
        <w:textAlignment w:val="baseline"/>
        <w:rPr>
          <w:rFonts w:ascii="Open Sans" w:eastAsia="Calibri" w:hAnsi="Open Sans" w:cs="Open Sans"/>
          <w:b/>
          <w:bCs/>
          <w:color w:val="9D2235"/>
          <w:sz w:val="20"/>
          <w:szCs w:val="20"/>
        </w:rPr>
      </w:pPr>
    </w:p>
    <w:p w14:paraId="3FB9EBCF"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b/>
          <w:bCs/>
          <w:color w:val="9D2235"/>
          <w:sz w:val="200"/>
          <w:szCs w:val="200"/>
        </w:rPr>
      </w:pPr>
      <w:r w:rsidRPr="00A07BE9">
        <w:rPr>
          <w:rFonts w:ascii="Open Sans" w:eastAsia="Calibri" w:hAnsi="Open Sans" w:cs="Open Sans"/>
          <w:b/>
          <w:bCs/>
          <w:color w:val="9D2235"/>
          <w:sz w:val="200"/>
          <w:szCs w:val="200"/>
        </w:rPr>
        <w:t>06</w:t>
      </w:r>
    </w:p>
    <w:p w14:paraId="5A982E4D" w14:textId="777400E3" w:rsidR="00D572EA" w:rsidRPr="00A07BE9" w:rsidRDefault="00D572EA" w:rsidP="00D572EA">
      <w:pPr>
        <w:suppressAutoHyphens/>
        <w:autoSpaceDN w:val="0"/>
        <w:spacing w:after="0" w:line="240" w:lineRule="auto"/>
        <w:jc w:val="both"/>
        <w:textAlignment w:val="baseline"/>
        <w:rPr>
          <w:rFonts w:ascii="Liberation Serif" w:eastAsia="Droid Sans Fallback" w:hAnsi="Liberation Serif" w:cs="FreeSans"/>
          <w:color w:val="9D2235"/>
          <w:kern w:val="3"/>
          <w:sz w:val="60"/>
          <w:szCs w:val="60"/>
          <w:lang w:eastAsia="zh-CN" w:bidi="hi-IN"/>
        </w:rPr>
      </w:pPr>
      <w:r w:rsidRPr="00A07BE9">
        <w:rPr>
          <w:rFonts w:ascii="Open Sans" w:eastAsia="Calibri" w:hAnsi="Open Sans" w:cs="Open Sans"/>
          <w:b/>
          <w:bCs/>
          <w:color w:val="9D2235"/>
          <w:sz w:val="60"/>
          <w:szCs w:val="60"/>
        </w:rPr>
        <w:t xml:space="preserve">Administración, </w:t>
      </w:r>
      <w:r w:rsidR="00AB08BA" w:rsidRPr="00A07BE9">
        <w:rPr>
          <w:rFonts w:ascii="Open Sans" w:eastAsia="Calibri" w:hAnsi="Open Sans" w:cs="Open Sans"/>
          <w:b/>
          <w:bCs/>
          <w:color w:val="9D2235"/>
          <w:sz w:val="60"/>
          <w:szCs w:val="60"/>
        </w:rPr>
        <w:t>o</w:t>
      </w:r>
      <w:r w:rsidRPr="00A07BE9">
        <w:rPr>
          <w:rFonts w:ascii="Open Sans" w:eastAsia="Calibri" w:hAnsi="Open Sans" w:cs="Open Sans"/>
          <w:b/>
          <w:bCs/>
          <w:color w:val="9D2235"/>
          <w:sz w:val="60"/>
          <w:szCs w:val="60"/>
        </w:rPr>
        <w:t xml:space="preserve">rganización y </w:t>
      </w:r>
      <w:r w:rsidR="00AB08BA" w:rsidRPr="00A07BE9">
        <w:rPr>
          <w:rFonts w:ascii="Open Sans" w:eastAsia="Calibri" w:hAnsi="Open Sans" w:cs="Open Sans"/>
          <w:b/>
          <w:bCs/>
          <w:color w:val="9D2235"/>
          <w:sz w:val="60"/>
          <w:szCs w:val="60"/>
        </w:rPr>
        <w:t>r</w:t>
      </w:r>
      <w:r w:rsidRPr="00A07BE9">
        <w:rPr>
          <w:rFonts w:ascii="Open Sans" w:eastAsia="Calibri" w:hAnsi="Open Sans" w:cs="Open Sans"/>
          <w:b/>
          <w:bCs/>
          <w:color w:val="9D2235"/>
          <w:sz w:val="60"/>
          <w:szCs w:val="60"/>
        </w:rPr>
        <w:t>ecursos</w:t>
      </w:r>
      <w:bookmarkEnd w:id="31"/>
    </w:p>
    <w:p w14:paraId="1B353277" w14:textId="6E1B3059" w:rsidR="00D572EA" w:rsidRPr="00A07BE9" w:rsidRDefault="00D572EA" w:rsidP="00D572EA">
      <w:pPr>
        <w:widowControl w:val="0"/>
        <w:suppressAutoHyphens/>
        <w:autoSpaceDN w:val="0"/>
        <w:spacing w:after="0" w:line="240" w:lineRule="auto"/>
        <w:jc w:val="both"/>
        <w:textAlignment w:val="baseline"/>
        <w:rPr>
          <w:rFonts w:ascii="Open Sans" w:eastAsia="Droid Sans Fallback" w:hAnsi="Open Sans" w:cs="Open Sans"/>
          <w:color w:val="9D2235"/>
          <w:kern w:val="3"/>
          <w:sz w:val="32"/>
          <w:szCs w:val="32"/>
          <w:lang w:eastAsia="zh-CN" w:bidi="hi-IN"/>
        </w:rPr>
      </w:pPr>
    </w:p>
    <w:p w14:paraId="241AC111" w14:textId="77777777" w:rsidR="00813688" w:rsidRPr="00A07BE9" w:rsidRDefault="00813688" w:rsidP="00D572EA">
      <w:pPr>
        <w:widowControl w:val="0"/>
        <w:suppressAutoHyphens/>
        <w:autoSpaceDN w:val="0"/>
        <w:spacing w:after="0" w:line="240" w:lineRule="auto"/>
        <w:jc w:val="both"/>
        <w:textAlignment w:val="baseline"/>
        <w:rPr>
          <w:rFonts w:ascii="Open Sans" w:eastAsia="Droid Sans Fallback" w:hAnsi="Open Sans" w:cs="Open Sans"/>
          <w:color w:val="9D2235"/>
          <w:kern w:val="3"/>
          <w:sz w:val="32"/>
          <w:szCs w:val="32"/>
          <w:lang w:eastAsia="zh-CN" w:bidi="hi-IN"/>
        </w:rPr>
      </w:pPr>
    </w:p>
    <w:p w14:paraId="62DDC7AF" w14:textId="77777777" w:rsidR="00D572EA" w:rsidRPr="00A07BE9" w:rsidRDefault="00D572EA" w:rsidP="00D572EA">
      <w:pPr>
        <w:widowControl w:val="0"/>
        <w:suppressAutoHyphens/>
        <w:autoSpaceDN w:val="0"/>
        <w:spacing w:after="0" w:line="240" w:lineRule="auto"/>
        <w:jc w:val="both"/>
        <w:textAlignment w:val="baseline"/>
        <w:rPr>
          <w:rFonts w:ascii="Liberation Serif" w:eastAsia="Droid Sans Fallback" w:hAnsi="Liberation Serif" w:cs="FreeSans"/>
          <w:color w:val="9D2235"/>
          <w:kern w:val="3"/>
          <w:sz w:val="32"/>
          <w:szCs w:val="32"/>
          <w:lang w:eastAsia="zh-CN" w:bidi="hi-IN"/>
        </w:rPr>
      </w:pPr>
      <w:r w:rsidRPr="00A07BE9">
        <w:rPr>
          <w:rFonts w:ascii="Open Sans" w:eastAsia="Droid Sans Fallback" w:hAnsi="Open Sans" w:cs="Open Sans"/>
          <w:b/>
          <w:bCs/>
          <w:smallCaps/>
          <w:color w:val="9D2235"/>
          <w:kern w:val="3"/>
          <w:sz w:val="32"/>
          <w:szCs w:val="32"/>
          <w:lang w:eastAsia="zh-CN" w:bidi="hi-IN"/>
        </w:rPr>
        <w:t>6.1.</w:t>
      </w:r>
      <w:bookmarkStart w:id="32" w:name="Marcador_40"/>
      <w:r w:rsidRPr="00A07BE9">
        <w:rPr>
          <w:rFonts w:ascii="Open Sans" w:eastAsia="Droid Sans Fallback" w:hAnsi="Open Sans" w:cs="Open Sans"/>
          <w:b/>
          <w:bCs/>
          <w:smallCaps/>
          <w:color w:val="9D2235"/>
          <w:kern w:val="3"/>
          <w:sz w:val="32"/>
          <w:szCs w:val="32"/>
          <w:lang w:eastAsia="zh-CN" w:bidi="hi-IN"/>
        </w:rPr>
        <w:t xml:space="preserve"> Estructura organizativa</w:t>
      </w:r>
      <w:bookmarkEnd w:id="32"/>
    </w:p>
    <w:p w14:paraId="71427736" w14:textId="77777777"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b/>
          <w:bCs/>
          <w:kern w:val="3"/>
          <w:sz w:val="20"/>
          <w:szCs w:val="20"/>
          <w:lang w:eastAsia="zh-CN" w:bidi="hi-IN"/>
        </w:rPr>
      </w:pPr>
    </w:p>
    <w:p w14:paraId="1DE44F60" w14:textId="2DF2B527"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r w:rsidRPr="00A07BE9">
        <w:rPr>
          <w:rFonts w:ascii="Open Sans" w:eastAsia="Droid Sans Fallback" w:hAnsi="Open Sans" w:cs="Open Sans"/>
          <w:kern w:val="3"/>
          <w:sz w:val="20"/>
          <w:szCs w:val="20"/>
          <w:lang w:eastAsia="zh-CN" w:bidi="hi-IN"/>
        </w:rPr>
        <w:t xml:space="preserve">La </w:t>
      </w:r>
      <w:hyperlink r:id="rId400" w:history="1">
        <w:r w:rsidRPr="00A07BE9">
          <w:rPr>
            <w:rStyle w:val="Hipervnculo"/>
            <w:rFonts w:ascii="Open Sans" w:eastAsia="Droid Sans Fallback" w:hAnsi="Open Sans" w:cs="Open Sans"/>
            <w:kern w:val="3"/>
            <w:sz w:val="20"/>
            <w:szCs w:val="20"/>
            <w:lang w:eastAsia="zh-CN" w:bidi="hi-IN"/>
          </w:rPr>
          <w:t>Ley 11/2016, de 28 de noviembre, de la Generalitat</w:t>
        </w:r>
      </w:hyperlink>
      <w:r w:rsidRPr="00A07BE9">
        <w:rPr>
          <w:rFonts w:ascii="Open Sans" w:eastAsia="Droid Sans Fallback" w:hAnsi="Open Sans" w:cs="Open Sans"/>
          <w:kern w:val="3"/>
          <w:sz w:val="20"/>
          <w:szCs w:val="20"/>
          <w:lang w:eastAsia="zh-CN" w:bidi="hi-IN"/>
        </w:rPr>
        <w:t xml:space="preserve">, de la Agencia de Prevención y Lucha contra el Fraude y la Corrupción de la Comunitat Valenciana, dedica la Sección 2 del Capítulo V a la determinación del régimen jurídico del personal al servicio de la Agencia; estas previsiones han sido objeto de desarrollo a través del </w:t>
      </w:r>
      <w:hyperlink r:id="rId401" w:history="1">
        <w:r w:rsidRPr="00A07BE9">
          <w:rPr>
            <w:rStyle w:val="Hipervnculo"/>
            <w:rFonts w:ascii="Open Sans" w:eastAsia="Droid Sans Fallback" w:hAnsi="Open Sans" w:cs="Open Sans"/>
            <w:kern w:val="3"/>
            <w:sz w:val="20"/>
            <w:szCs w:val="20"/>
            <w:lang w:eastAsia="zh-CN" w:bidi="hi-IN"/>
          </w:rPr>
          <w:t>Reglamento de funcionamiento y régimen interior de la Agencia</w:t>
        </w:r>
      </w:hyperlink>
      <w:r w:rsidRPr="00A07BE9">
        <w:rPr>
          <w:rFonts w:ascii="Open Sans" w:eastAsia="Droid Sans Fallback" w:hAnsi="Open Sans" w:cs="Open Sans"/>
          <w:kern w:val="3"/>
          <w:sz w:val="20"/>
          <w:szCs w:val="20"/>
          <w:lang w:eastAsia="zh-CN" w:bidi="hi-IN"/>
        </w:rPr>
        <w:t>, en su Título IX (DOGV núm. 8591</w:t>
      </w:r>
      <w:r w:rsidR="00BB091B" w:rsidRPr="00A07BE9">
        <w:rPr>
          <w:rFonts w:ascii="Open Sans" w:eastAsia="Droid Sans Fallback" w:hAnsi="Open Sans" w:cs="Open Sans"/>
          <w:kern w:val="3"/>
          <w:sz w:val="20"/>
          <w:szCs w:val="20"/>
          <w:lang w:eastAsia="zh-CN" w:bidi="hi-IN"/>
        </w:rPr>
        <w:t xml:space="preserve"> de 15 de julio de </w:t>
      </w:r>
      <w:r w:rsidRPr="00A07BE9">
        <w:rPr>
          <w:rFonts w:ascii="Open Sans" w:eastAsia="Droid Sans Fallback" w:hAnsi="Open Sans" w:cs="Open Sans"/>
          <w:kern w:val="3"/>
          <w:sz w:val="20"/>
          <w:szCs w:val="20"/>
          <w:lang w:eastAsia="zh-CN" w:bidi="hi-IN"/>
        </w:rPr>
        <w:t>2019)</w:t>
      </w:r>
      <w:r w:rsidR="00BB091B" w:rsidRPr="00A07BE9">
        <w:rPr>
          <w:rFonts w:ascii="Open Sans" w:eastAsia="Droid Sans Fallback" w:hAnsi="Open Sans" w:cs="Open Sans"/>
          <w:kern w:val="3"/>
          <w:sz w:val="20"/>
          <w:szCs w:val="20"/>
          <w:lang w:eastAsia="zh-CN" w:bidi="hi-IN"/>
        </w:rPr>
        <w:t>.</w:t>
      </w:r>
    </w:p>
    <w:p w14:paraId="5AC5D9FC" w14:textId="77777777"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734876A7" w14:textId="77777777"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r w:rsidRPr="00A07BE9">
        <w:rPr>
          <w:rFonts w:ascii="Open Sans" w:eastAsia="Droid Sans Fallback" w:hAnsi="Open Sans" w:cs="Open Sans"/>
          <w:kern w:val="3"/>
          <w:sz w:val="20"/>
          <w:szCs w:val="20"/>
          <w:lang w:eastAsia="zh-CN" w:bidi="hi-IN"/>
        </w:rPr>
        <w:t>Con este marco normativo, desde sus inicios, la Agencia ha desarrollado su estructura organizativa y económica, adaptando sus recursos humanos y económicos, con objeto de posibilitar el cumplimiento de sus fines y la actividad por sus unidades administrativas.</w:t>
      </w:r>
    </w:p>
    <w:p w14:paraId="3DFCEA44" w14:textId="77777777" w:rsidR="00D572EA" w:rsidRPr="00A07BE9" w:rsidRDefault="00D572EA" w:rsidP="00D572EA">
      <w:pPr>
        <w:widowControl w:val="0"/>
        <w:suppressAutoHyphens/>
        <w:autoSpaceDN w:val="0"/>
        <w:spacing w:after="0" w:line="276" w:lineRule="auto"/>
        <w:jc w:val="both"/>
        <w:textAlignment w:val="baseline"/>
        <w:rPr>
          <w:rFonts w:ascii="Liberation Serif" w:eastAsia="Droid Sans Fallback" w:hAnsi="Liberation Serif" w:cs="FreeSans"/>
          <w:kern w:val="3"/>
          <w:sz w:val="20"/>
          <w:szCs w:val="20"/>
          <w:lang w:eastAsia="zh-CN" w:bidi="hi-IN"/>
        </w:rPr>
      </w:pPr>
    </w:p>
    <w:p w14:paraId="3C03D678" w14:textId="77777777" w:rsidR="00D572EA" w:rsidRPr="00A07BE9" w:rsidRDefault="00D572EA" w:rsidP="00D572EA">
      <w:pPr>
        <w:widowControl w:val="0"/>
        <w:suppressAutoHyphens/>
        <w:autoSpaceDN w:val="0"/>
        <w:spacing w:after="0" w:line="276" w:lineRule="auto"/>
        <w:jc w:val="both"/>
        <w:textAlignment w:val="baseline"/>
        <w:rPr>
          <w:rFonts w:ascii="Open Sans" w:eastAsia="Calibri" w:hAnsi="Open Sans" w:cs="Open Sans"/>
          <w:color w:val="00000A"/>
          <w:sz w:val="20"/>
          <w:szCs w:val="20"/>
        </w:rPr>
      </w:pPr>
      <w:r w:rsidRPr="00A07BE9">
        <w:rPr>
          <w:rFonts w:ascii="Open Sans" w:eastAsia="Calibri" w:hAnsi="Open Sans" w:cs="Open Sans"/>
          <w:color w:val="00000A"/>
          <w:sz w:val="20"/>
          <w:szCs w:val="20"/>
        </w:rPr>
        <w:t>Desde esta perspectiva, y en relación con el análisis de la actividad de la Agencia incidente en su estructura organizativa durante el ejercicio 2019, varios son los ítems que se desarrollan.</w:t>
      </w:r>
    </w:p>
    <w:p w14:paraId="5578F855" w14:textId="77777777" w:rsidR="00AC4E4C" w:rsidRPr="00A07BE9" w:rsidRDefault="00AC4E4C"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2AB40773" w14:textId="689D99EB" w:rsidR="00AC4E4C" w:rsidRPr="00A07BE9" w:rsidRDefault="00AC4E4C" w:rsidP="00813688">
      <w:pPr>
        <w:pStyle w:val="Standard"/>
        <w:spacing w:line="276" w:lineRule="auto"/>
        <w:jc w:val="both"/>
        <w:rPr>
          <w:rFonts w:ascii="Open Sans" w:eastAsiaTheme="minorEastAsia" w:hAnsi="Open Sans" w:cs="Open Sans"/>
          <w:w w:val="105"/>
          <w:sz w:val="20"/>
          <w:szCs w:val="20"/>
          <w:lang w:eastAsia="en-US" w:bidi="ar-SA"/>
        </w:rPr>
        <w:sectPr w:rsidR="00AC4E4C" w:rsidRPr="00A07BE9" w:rsidSect="0014011E">
          <w:headerReference w:type="default" r:id="rId402"/>
          <w:pgSz w:w="11906" w:h="16838"/>
          <w:pgMar w:top="1134" w:right="1701" w:bottom="1134" w:left="1701" w:header="720" w:footer="227" w:gutter="0"/>
          <w:cols w:space="720"/>
          <w:docGrid w:linePitch="299"/>
        </w:sectPr>
      </w:pPr>
    </w:p>
    <w:p w14:paraId="578E8AF6" w14:textId="1C627A9C" w:rsidR="00D572EA" w:rsidRPr="00A07BE9" w:rsidRDefault="00AD7566" w:rsidP="00D572EA">
      <w:pPr>
        <w:widowControl w:val="0"/>
        <w:suppressAutoHyphens/>
        <w:autoSpaceDN w:val="0"/>
        <w:spacing w:after="0" w:line="360" w:lineRule="auto"/>
        <w:jc w:val="both"/>
        <w:textAlignment w:val="baseline"/>
        <w:rPr>
          <w:rFonts w:ascii="Open Sans" w:eastAsia="Calibri" w:hAnsi="Open Sans" w:cs="Open Sans"/>
          <w:b/>
          <w:bCs/>
          <w:smallCaps/>
          <w:color w:val="94070A"/>
          <w:sz w:val="28"/>
          <w:szCs w:val="28"/>
        </w:rPr>
      </w:pPr>
      <w:r w:rsidRPr="00A07BE9">
        <w:rPr>
          <w:rFonts w:ascii="Liberation Serif" w:eastAsia="Droid Sans Fallback" w:hAnsi="Liberation Serif" w:cs="FreeSans"/>
          <w:noProof/>
          <w:kern w:val="3"/>
          <w:sz w:val="24"/>
          <w:szCs w:val="24"/>
          <w:lang w:eastAsia="zh-CN" w:bidi="hi-IN"/>
        </w:rPr>
        <w:lastRenderedPageBreak/>
        <w:drawing>
          <wp:anchor distT="0" distB="0" distL="114300" distR="114300" simplePos="0" relativeHeight="251891712" behindDoc="1" locked="0" layoutInCell="1" allowOverlap="1" wp14:anchorId="4D5D98FF" wp14:editId="690C2DD1">
            <wp:simplePos x="0" y="0"/>
            <wp:positionH relativeFrom="margin">
              <wp:posOffset>462915</wp:posOffset>
            </wp:positionH>
            <wp:positionV relativeFrom="paragraph">
              <wp:posOffset>254000</wp:posOffset>
            </wp:positionV>
            <wp:extent cx="7096125" cy="4019550"/>
            <wp:effectExtent l="0" t="0" r="9525" b="0"/>
            <wp:wrapTight wrapText="bothSides">
              <wp:wrapPolygon edited="0">
                <wp:start x="0" y="0"/>
                <wp:lineTo x="0" y="21498"/>
                <wp:lineTo x="21571" y="21498"/>
                <wp:lineTo x="21571" y="0"/>
                <wp:lineTo x="0" y="0"/>
              </wp:wrapPolygon>
            </wp:wrapTight>
            <wp:docPr id="105" name="Imagen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cstate="screen">
                      <a:lum/>
                      <a:alphaModFix/>
                      <a:extLst>
                        <a:ext uri="{28A0092B-C50C-407E-A947-70E740481C1C}">
                          <a14:useLocalDpi xmlns:a14="http://schemas.microsoft.com/office/drawing/2010/main"/>
                        </a:ext>
                      </a:extLst>
                    </a:blip>
                    <a:srcRect/>
                    <a:stretch>
                      <a:fillRect/>
                    </a:stretch>
                  </pic:blipFill>
                  <pic:spPr>
                    <a:xfrm>
                      <a:off x="0" y="0"/>
                      <a:ext cx="7096125" cy="4019550"/>
                    </a:xfrm>
                    <a:prstGeom prst="rect">
                      <a:avLst/>
                    </a:prstGeom>
                  </pic:spPr>
                </pic:pic>
              </a:graphicData>
            </a:graphic>
            <wp14:sizeRelH relativeFrom="margin">
              <wp14:pctWidth>0</wp14:pctWidth>
            </wp14:sizeRelH>
            <wp14:sizeRelV relativeFrom="margin">
              <wp14:pctHeight>0</wp14:pctHeight>
            </wp14:sizeRelV>
          </wp:anchor>
        </w:drawing>
      </w:r>
      <w:r w:rsidR="00D572EA" w:rsidRPr="00A07BE9">
        <w:rPr>
          <w:rFonts w:ascii="Open Sans" w:eastAsia="Calibri" w:hAnsi="Open Sans" w:cs="Open Sans"/>
          <w:b/>
          <w:bCs/>
          <w:smallCaps/>
          <w:color w:val="94070A"/>
          <w:sz w:val="28"/>
          <w:szCs w:val="28"/>
        </w:rPr>
        <w:t>6.1.1. Organigrama</w:t>
      </w:r>
    </w:p>
    <w:p w14:paraId="1275E473" w14:textId="696860D1" w:rsidR="00D572EA" w:rsidRPr="00A07BE9" w:rsidRDefault="00D572EA" w:rsidP="00D572EA">
      <w:pPr>
        <w:suppressAutoHyphens/>
        <w:autoSpaceDN w:val="0"/>
        <w:spacing w:after="0" w:line="240" w:lineRule="auto"/>
        <w:jc w:val="both"/>
        <w:textAlignment w:val="baseline"/>
        <w:rPr>
          <w:rFonts w:ascii="Liberation Serif" w:eastAsia="Droid Sans Fallback" w:hAnsi="Liberation Serif" w:cs="FreeSans"/>
          <w:kern w:val="3"/>
          <w:sz w:val="24"/>
          <w:szCs w:val="24"/>
          <w:lang w:eastAsia="zh-CN" w:bidi="hi-IN"/>
        </w:rPr>
      </w:pPr>
    </w:p>
    <w:p w14:paraId="4FC9C487"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color w:val="00000A"/>
          <w:sz w:val="18"/>
          <w:szCs w:val="18"/>
        </w:rPr>
      </w:pPr>
    </w:p>
    <w:p w14:paraId="0A854417"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color w:val="00000A"/>
          <w:sz w:val="18"/>
          <w:szCs w:val="18"/>
        </w:rPr>
      </w:pPr>
    </w:p>
    <w:p w14:paraId="3591E00D"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color w:val="00000A"/>
          <w:sz w:val="18"/>
          <w:szCs w:val="18"/>
        </w:rPr>
      </w:pPr>
    </w:p>
    <w:p w14:paraId="384D2751"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color w:val="00000A"/>
          <w:sz w:val="18"/>
          <w:szCs w:val="18"/>
        </w:rPr>
      </w:pPr>
    </w:p>
    <w:p w14:paraId="02EA2B0B"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color w:val="00000A"/>
          <w:sz w:val="18"/>
          <w:szCs w:val="18"/>
        </w:rPr>
      </w:pPr>
    </w:p>
    <w:p w14:paraId="6C81E596"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color w:val="00000A"/>
          <w:sz w:val="18"/>
          <w:szCs w:val="18"/>
        </w:rPr>
      </w:pPr>
    </w:p>
    <w:p w14:paraId="4E51AC39"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color w:val="00000A"/>
          <w:sz w:val="18"/>
          <w:szCs w:val="18"/>
        </w:rPr>
      </w:pPr>
    </w:p>
    <w:p w14:paraId="2E48D383"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color w:val="00000A"/>
          <w:sz w:val="18"/>
          <w:szCs w:val="18"/>
        </w:rPr>
      </w:pPr>
    </w:p>
    <w:p w14:paraId="3AE70309"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color w:val="00000A"/>
          <w:sz w:val="18"/>
          <w:szCs w:val="18"/>
        </w:rPr>
      </w:pPr>
    </w:p>
    <w:p w14:paraId="4B6C3DD2"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color w:val="00000A"/>
          <w:sz w:val="18"/>
          <w:szCs w:val="18"/>
        </w:rPr>
      </w:pPr>
    </w:p>
    <w:p w14:paraId="128C7B0E"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color w:val="00000A"/>
          <w:sz w:val="18"/>
          <w:szCs w:val="18"/>
        </w:rPr>
      </w:pPr>
    </w:p>
    <w:p w14:paraId="325992CA"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color w:val="00000A"/>
          <w:sz w:val="18"/>
          <w:szCs w:val="18"/>
        </w:rPr>
      </w:pPr>
    </w:p>
    <w:p w14:paraId="31612CE5"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color w:val="00000A"/>
          <w:sz w:val="18"/>
          <w:szCs w:val="18"/>
        </w:rPr>
      </w:pPr>
    </w:p>
    <w:p w14:paraId="78041B0A"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color w:val="00000A"/>
          <w:sz w:val="18"/>
          <w:szCs w:val="18"/>
        </w:rPr>
      </w:pPr>
    </w:p>
    <w:p w14:paraId="508E4445"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color w:val="00000A"/>
          <w:sz w:val="18"/>
          <w:szCs w:val="18"/>
        </w:rPr>
      </w:pPr>
    </w:p>
    <w:p w14:paraId="7CDDEBCC"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color w:val="00000A"/>
          <w:sz w:val="18"/>
          <w:szCs w:val="18"/>
        </w:rPr>
      </w:pPr>
    </w:p>
    <w:p w14:paraId="68ABDE0E"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color w:val="00000A"/>
          <w:sz w:val="18"/>
          <w:szCs w:val="18"/>
        </w:rPr>
      </w:pPr>
    </w:p>
    <w:p w14:paraId="24729D1F"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color w:val="00000A"/>
          <w:sz w:val="18"/>
          <w:szCs w:val="18"/>
        </w:rPr>
      </w:pPr>
    </w:p>
    <w:p w14:paraId="5C028687" w14:textId="2DFB4A69" w:rsidR="00D572EA" w:rsidRPr="00A07BE9" w:rsidRDefault="00D572EA" w:rsidP="00D572EA">
      <w:pPr>
        <w:suppressAutoHyphens/>
        <w:autoSpaceDN w:val="0"/>
        <w:spacing w:after="0" w:line="240" w:lineRule="auto"/>
        <w:jc w:val="both"/>
        <w:textAlignment w:val="baseline"/>
        <w:rPr>
          <w:rFonts w:ascii="Open Sans" w:eastAsia="Calibri" w:hAnsi="Open Sans" w:cs="Open Sans"/>
          <w:color w:val="00000A"/>
          <w:sz w:val="18"/>
          <w:szCs w:val="18"/>
        </w:rPr>
      </w:pPr>
    </w:p>
    <w:p w14:paraId="67EFC1D5" w14:textId="73EF1D01" w:rsidR="00D572EA" w:rsidRPr="00A07BE9" w:rsidRDefault="00D572EA" w:rsidP="00D572EA">
      <w:pPr>
        <w:suppressAutoHyphens/>
        <w:autoSpaceDN w:val="0"/>
        <w:spacing w:after="0" w:line="240" w:lineRule="auto"/>
        <w:jc w:val="both"/>
        <w:textAlignment w:val="baseline"/>
        <w:rPr>
          <w:rFonts w:ascii="Open Sans" w:eastAsia="Calibri" w:hAnsi="Open Sans" w:cs="Open Sans"/>
          <w:color w:val="00000A"/>
          <w:sz w:val="18"/>
          <w:szCs w:val="18"/>
        </w:rPr>
      </w:pPr>
    </w:p>
    <w:p w14:paraId="73EBEB95" w14:textId="54CB56CF" w:rsidR="00D572EA" w:rsidRPr="00A07BE9" w:rsidRDefault="00D572EA" w:rsidP="00D572EA">
      <w:pPr>
        <w:suppressAutoHyphens/>
        <w:autoSpaceDN w:val="0"/>
        <w:spacing w:after="0" w:line="240" w:lineRule="auto"/>
        <w:jc w:val="both"/>
        <w:textAlignment w:val="baseline"/>
        <w:rPr>
          <w:rFonts w:ascii="Open Sans" w:eastAsia="Calibri" w:hAnsi="Open Sans" w:cs="Open Sans"/>
          <w:color w:val="00000A"/>
          <w:sz w:val="18"/>
          <w:szCs w:val="18"/>
        </w:rPr>
      </w:pPr>
    </w:p>
    <w:p w14:paraId="3CB99FDA" w14:textId="1D3A152C" w:rsidR="00D572EA" w:rsidRPr="00A07BE9" w:rsidRDefault="00D572EA" w:rsidP="00D572EA">
      <w:pPr>
        <w:suppressAutoHyphens/>
        <w:autoSpaceDN w:val="0"/>
        <w:spacing w:after="0" w:line="240" w:lineRule="auto"/>
        <w:jc w:val="both"/>
        <w:textAlignment w:val="baseline"/>
        <w:rPr>
          <w:rFonts w:ascii="Open Sans" w:eastAsia="Calibri" w:hAnsi="Open Sans" w:cs="Open Sans"/>
          <w:color w:val="00000A"/>
          <w:sz w:val="18"/>
          <w:szCs w:val="18"/>
        </w:rPr>
      </w:pPr>
    </w:p>
    <w:p w14:paraId="12F26FEA" w14:textId="73BCEC01" w:rsidR="00D572EA" w:rsidRPr="00A07BE9" w:rsidRDefault="00D572EA" w:rsidP="00D572EA">
      <w:pPr>
        <w:suppressAutoHyphens/>
        <w:autoSpaceDN w:val="0"/>
        <w:spacing w:after="0" w:line="240" w:lineRule="auto"/>
        <w:jc w:val="both"/>
        <w:textAlignment w:val="baseline"/>
        <w:rPr>
          <w:rFonts w:ascii="Liberation Serif" w:eastAsia="Droid Sans Fallback" w:hAnsi="Liberation Serif" w:cs="FreeSans"/>
          <w:kern w:val="3"/>
          <w:sz w:val="24"/>
          <w:szCs w:val="24"/>
          <w:lang w:eastAsia="zh-CN" w:bidi="hi-IN"/>
        </w:rPr>
      </w:pPr>
    </w:p>
    <w:p w14:paraId="2A2C3EAD" w14:textId="59325276" w:rsidR="00D572EA" w:rsidRPr="00A07BE9" w:rsidRDefault="00D572EA" w:rsidP="00D572EA">
      <w:pPr>
        <w:suppressAutoHyphens/>
        <w:autoSpaceDN w:val="0"/>
        <w:spacing w:after="0" w:line="240" w:lineRule="auto"/>
        <w:jc w:val="both"/>
        <w:textAlignment w:val="baseline"/>
        <w:rPr>
          <w:rFonts w:ascii="Liberation Serif" w:eastAsia="Droid Sans Fallback" w:hAnsi="Liberation Serif" w:cs="FreeSans"/>
          <w:kern w:val="3"/>
          <w:sz w:val="24"/>
          <w:szCs w:val="24"/>
          <w:lang w:eastAsia="zh-CN" w:bidi="hi-IN"/>
        </w:rPr>
        <w:sectPr w:rsidR="00D572EA" w:rsidRPr="00A07BE9" w:rsidSect="00D256F0">
          <w:headerReference w:type="default" r:id="rId404"/>
          <w:pgSz w:w="16838" w:h="11906" w:orient="landscape"/>
          <w:pgMar w:top="1134" w:right="1701" w:bottom="1134" w:left="1701" w:header="1134" w:footer="227" w:gutter="0"/>
          <w:cols w:space="720"/>
          <w:docGrid w:linePitch="299"/>
        </w:sectPr>
      </w:pPr>
      <w:r w:rsidRPr="00A07BE9">
        <w:rPr>
          <w:rFonts w:ascii="Open Sans" w:eastAsia="Calibri" w:hAnsi="Open Sans" w:cs="Open Sans"/>
          <w:color w:val="00000A"/>
          <w:sz w:val="18"/>
          <w:szCs w:val="18"/>
        </w:rPr>
        <w:t>FiguraOrganigramahttps://www.antifraucv.es/wp-content/uploads/2020/02/191217_organigrama_vlc.png</w:t>
      </w:r>
    </w:p>
    <w:p w14:paraId="7E6D4E1B" w14:textId="77777777" w:rsidR="00D572EA" w:rsidRPr="00A07BE9" w:rsidRDefault="00D572EA" w:rsidP="00D572EA">
      <w:pPr>
        <w:widowControl w:val="0"/>
        <w:suppressAutoHyphens/>
        <w:autoSpaceDN w:val="0"/>
        <w:spacing w:after="0" w:line="360" w:lineRule="auto"/>
        <w:jc w:val="both"/>
        <w:textAlignment w:val="baseline"/>
        <w:rPr>
          <w:rFonts w:ascii="Open Sans" w:eastAsia="Calibri" w:hAnsi="Open Sans" w:cs="Open Sans"/>
          <w:b/>
          <w:bCs/>
          <w:smallCaps/>
          <w:color w:val="9D2235"/>
          <w:sz w:val="28"/>
          <w:szCs w:val="28"/>
        </w:rPr>
      </w:pPr>
      <w:r w:rsidRPr="00A07BE9">
        <w:rPr>
          <w:rFonts w:ascii="Open Sans" w:eastAsia="Calibri" w:hAnsi="Open Sans" w:cs="Open Sans"/>
          <w:b/>
          <w:bCs/>
          <w:smallCaps/>
          <w:color w:val="9D2235"/>
          <w:sz w:val="28"/>
          <w:szCs w:val="28"/>
        </w:rPr>
        <w:lastRenderedPageBreak/>
        <w:t>6</w:t>
      </w:r>
      <w:bookmarkStart w:id="33" w:name="Marcador_41"/>
      <w:r w:rsidRPr="00A07BE9">
        <w:rPr>
          <w:rFonts w:ascii="Open Sans" w:eastAsia="Calibri" w:hAnsi="Open Sans" w:cs="Open Sans"/>
          <w:b/>
          <w:bCs/>
          <w:smallCaps/>
          <w:color w:val="9D2235"/>
          <w:sz w:val="28"/>
          <w:szCs w:val="28"/>
        </w:rPr>
        <w:t xml:space="preserve">.1.2. Relación </w:t>
      </w:r>
      <w:bookmarkEnd w:id="33"/>
      <w:r w:rsidRPr="00A07BE9">
        <w:rPr>
          <w:rFonts w:ascii="Open Sans" w:eastAsia="Calibri" w:hAnsi="Open Sans" w:cs="Open Sans"/>
          <w:b/>
          <w:bCs/>
          <w:smallCaps/>
          <w:color w:val="9D2235"/>
          <w:sz w:val="28"/>
          <w:szCs w:val="28"/>
        </w:rPr>
        <w:t>de puestos de trabajo</w:t>
      </w:r>
    </w:p>
    <w:p w14:paraId="425A6B27" w14:textId="77777777" w:rsidR="00D572EA" w:rsidRPr="00A07BE9" w:rsidRDefault="00D572EA" w:rsidP="00741601">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21CD8F10" w14:textId="1E6B1F36" w:rsidR="00D572EA" w:rsidRPr="00A07BE9" w:rsidRDefault="00D572EA" w:rsidP="00741601">
      <w:pPr>
        <w:suppressAutoHyphens/>
        <w:autoSpaceDN w:val="0"/>
        <w:spacing w:after="0" w:line="276" w:lineRule="auto"/>
        <w:jc w:val="both"/>
        <w:textAlignment w:val="baseline"/>
        <w:rPr>
          <w:rFonts w:ascii="Open Sans" w:eastAsia="Calibri" w:hAnsi="Open Sans" w:cs="Open Sans"/>
          <w:color w:val="00000A"/>
          <w:sz w:val="20"/>
          <w:szCs w:val="20"/>
        </w:rPr>
      </w:pPr>
      <w:r w:rsidRPr="00A07BE9">
        <w:rPr>
          <w:rFonts w:ascii="Open Sans" w:eastAsia="Calibri" w:hAnsi="Open Sans" w:cs="Open Sans"/>
          <w:color w:val="00000A"/>
          <w:sz w:val="20"/>
          <w:szCs w:val="20"/>
        </w:rPr>
        <w:t xml:space="preserve">La relación de puestos de trabajo de la Agencia, aprobada por </w:t>
      </w:r>
      <w:r w:rsidR="00CE2DC9">
        <w:rPr>
          <w:rFonts w:ascii="Open Sans" w:eastAsia="Calibri" w:hAnsi="Open Sans" w:cs="Open Sans"/>
          <w:color w:val="00000A"/>
          <w:sz w:val="20"/>
          <w:szCs w:val="20"/>
        </w:rPr>
        <w:t>R</w:t>
      </w:r>
      <w:r w:rsidRPr="00A07BE9">
        <w:rPr>
          <w:rFonts w:ascii="Open Sans" w:eastAsia="Calibri" w:hAnsi="Open Sans" w:cs="Open Sans"/>
          <w:color w:val="00000A"/>
          <w:sz w:val="20"/>
          <w:szCs w:val="20"/>
        </w:rPr>
        <w:t xml:space="preserve">esolución del director de 1 de marzo de 2018, modificada por </w:t>
      </w:r>
      <w:r w:rsidR="00AB08BA" w:rsidRPr="00A07BE9">
        <w:rPr>
          <w:rFonts w:ascii="Open Sans" w:eastAsia="Calibri" w:hAnsi="Open Sans" w:cs="Open Sans"/>
          <w:color w:val="00000A"/>
          <w:sz w:val="20"/>
          <w:szCs w:val="20"/>
        </w:rPr>
        <w:t>R</w:t>
      </w:r>
      <w:r w:rsidRPr="00A07BE9">
        <w:rPr>
          <w:rFonts w:ascii="Open Sans" w:eastAsia="Calibri" w:hAnsi="Open Sans" w:cs="Open Sans"/>
          <w:color w:val="00000A"/>
          <w:sz w:val="20"/>
          <w:szCs w:val="20"/>
        </w:rPr>
        <w:t>esolución de 30 de noviembre de 2018</w:t>
      </w:r>
      <w:r w:rsidR="00AB08BA" w:rsidRPr="00A07BE9">
        <w:rPr>
          <w:rFonts w:ascii="Open Sans" w:eastAsia="Calibri" w:hAnsi="Open Sans" w:cs="Open Sans"/>
          <w:color w:val="00000A"/>
          <w:sz w:val="20"/>
          <w:szCs w:val="20"/>
        </w:rPr>
        <w:t>,</w:t>
      </w:r>
      <w:r w:rsidRPr="00A07BE9">
        <w:rPr>
          <w:rFonts w:ascii="Open Sans" w:eastAsia="Calibri" w:hAnsi="Open Sans" w:cs="Open Sans"/>
          <w:color w:val="00000A"/>
          <w:sz w:val="20"/>
          <w:szCs w:val="20"/>
        </w:rPr>
        <w:t xml:space="preserve"> y el presupuesto de la Agencia aprobado por la </w:t>
      </w:r>
      <w:hyperlink r:id="rId405" w:history="1">
        <w:r w:rsidRPr="00A07BE9">
          <w:rPr>
            <w:rStyle w:val="Hipervnculo"/>
            <w:rFonts w:ascii="Open Sans" w:eastAsia="Calibri" w:hAnsi="Open Sans" w:cs="Open Sans"/>
            <w:sz w:val="20"/>
            <w:szCs w:val="20"/>
          </w:rPr>
          <w:t>Ley 28/2018, de 28 de diciembre, de presupuestos de la Generalitat para el ejercicio 2019</w:t>
        </w:r>
      </w:hyperlink>
      <w:r w:rsidRPr="00A07BE9">
        <w:rPr>
          <w:rFonts w:ascii="Open Sans" w:eastAsia="Calibri" w:hAnsi="Open Sans" w:cs="Open Sans"/>
          <w:color w:val="00000A"/>
          <w:sz w:val="20"/>
          <w:szCs w:val="20"/>
        </w:rPr>
        <w:t>, constituyen el punto de partida y ámbito material sobre el que recae desde el inicio del ejercicio 2019 la acción de la Agencia; todo ello con la finalidad de procurarse de un instrumento técnico que permita, transcurridos dos años desde el inicio de sus actividades y funcionamiento, la organización, racionalización y ordenación de su personal funcionario.</w:t>
      </w:r>
    </w:p>
    <w:p w14:paraId="65F60EC2" w14:textId="77777777" w:rsidR="00D572EA" w:rsidRPr="00A07BE9" w:rsidRDefault="00D572EA" w:rsidP="00741601">
      <w:pPr>
        <w:suppressAutoHyphens/>
        <w:autoSpaceDN w:val="0"/>
        <w:spacing w:after="0" w:line="276" w:lineRule="auto"/>
        <w:jc w:val="both"/>
        <w:textAlignment w:val="baseline"/>
        <w:rPr>
          <w:rFonts w:ascii="Liberation Serif" w:eastAsia="Droid Sans Fallback" w:hAnsi="Liberation Serif" w:cs="FreeSans"/>
          <w:kern w:val="3"/>
          <w:sz w:val="24"/>
          <w:szCs w:val="24"/>
          <w:lang w:eastAsia="zh-CN" w:bidi="hi-IN"/>
        </w:rPr>
      </w:pPr>
    </w:p>
    <w:p w14:paraId="2BA1204A" w14:textId="77777777" w:rsidR="00D572EA" w:rsidRPr="00A07BE9" w:rsidRDefault="00D572EA" w:rsidP="00741601">
      <w:pPr>
        <w:suppressAutoHyphens/>
        <w:autoSpaceDN w:val="0"/>
        <w:spacing w:after="0" w:line="276" w:lineRule="auto"/>
        <w:jc w:val="both"/>
        <w:textAlignment w:val="baseline"/>
        <w:rPr>
          <w:rFonts w:ascii="Open Sans" w:eastAsia="Calibri" w:hAnsi="Open Sans" w:cs="Open Sans"/>
          <w:color w:val="00000A"/>
          <w:sz w:val="20"/>
          <w:szCs w:val="20"/>
        </w:rPr>
      </w:pPr>
      <w:r w:rsidRPr="00A07BE9">
        <w:rPr>
          <w:rFonts w:ascii="Open Sans" w:eastAsia="Calibri" w:hAnsi="Open Sans" w:cs="Open Sans"/>
          <w:color w:val="00000A"/>
          <w:sz w:val="20"/>
          <w:szCs w:val="20"/>
        </w:rPr>
        <w:t>La aprobación del presupuesto de la Agencia correspondiente al ejercicio 2019 contiene la dotación presupuestaria necesaria para la creación de nuevos puestos de trabajo respondiendo a las necesidades puestas de manifiesto por la actividad desplegada desde cada unidad administrativa, según se estimó en el momento de la elaboración de ese instrumento económico</w:t>
      </w:r>
      <w:r w:rsidRPr="00A07BE9">
        <w:rPr>
          <w:rFonts w:ascii="Open Sans" w:eastAsia="Calibri" w:hAnsi="Open Sans" w:cs="Open Sans"/>
          <w:color w:val="00000A"/>
          <w:sz w:val="20"/>
          <w:szCs w:val="20"/>
          <w:vertAlign w:val="superscript"/>
        </w:rPr>
        <w:footnoteReference w:id="1"/>
      </w:r>
      <w:r w:rsidRPr="00A07BE9">
        <w:rPr>
          <w:rFonts w:ascii="Open Sans" w:eastAsia="Calibri" w:hAnsi="Open Sans" w:cs="Open Sans"/>
          <w:color w:val="00000A"/>
          <w:sz w:val="20"/>
          <w:szCs w:val="20"/>
        </w:rPr>
        <w:t>.</w:t>
      </w:r>
    </w:p>
    <w:p w14:paraId="5F607B5E" w14:textId="77777777" w:rsidR="00D572EA" w:rsidRPr="00A07BE9" w:rsidRDefault="00D572EA" w:rsidP="00741601">
      <w:pPr>
        <w:suppressAutoHyphens/>
        <w:autoSpaceDN w:val="0"/>
        <w:spacing w:after="0" w:line="276" w:lineRule="auto"/>
        <w:jc w:val="both"/>
        <w:textAlignment w:val="baseline"/>
        <w:rPr>
          <w:rFonts w:ascii="Liberation Serif" w:eastAsia="Droid Sans Fallback" w:hAnsi="Liberation Serif" w:cs="FreeSans"/>
          <w:kern w:val="3"/>
          <w:sz w:val="24"/>
          <w:szCs w:val="24"/>
          <w:lang w:eastAsia="zh-CN" w:bidi="hi-IN"/>
        </w:rPr>
      </w:pPr>
    </w:p>
    <w:p w14:paraId="5BE94B4D" w14:textId="6D82CB7F" w:rsidR="008C0C5A" w:rsidRPr="00A07BE9" w:rsidRDefault="00D572EA" w:rsidP="008C0C5A">
      <w:pPr>
        <w:suppressAutoHyphens/>
        <w:autoSpaceDN w:val="0"/>
        <w:spacing w:after="0" w:line="276" w:lineRule="auto"/>
        <w:jc w:val="both"/>
        <w:textAlignment w:val="baseline"/>
        <w:rPr>
          <w:rFonts w:ascii="Open Sans" w:eastAsia="Calibri" w:hAnsi="Open Sans" w:cs="Open Sans"/>
          <w:sz w:val="20"/>
          <w:szCs w:val="20"/>
        </w:rPr>
      </w:pPr>
      <w:r w:rsidRPr="00A07BE9">
        <w:rPr>
          <w:rFonts w:ascii="Open Sans" w:eastAsia="Calibri" w:hAnsi="Open Sans" w:cs="Open Sans"/>
          <w:sz w:val="20"/>
          <w:szCs w:val="20"/>
        </w:rPr>
        <w:t xml:space="preserve">Resultado de ello es la aprobación, mediando la previa negociación sindical, de la Relación de Puestos de Trabajo por </w:t>
      </w:r>
      <w:r w:rsidR="00CE2DC9">
        <w:rPr>
          <w:rFonts w:ascii="Open Sans" w:eastAsia="Calibri" w:hAnsi="Open Sans" w:cs="Open Sans"/>
          <w:sz w:val="20"/>
          <w:szCs w:val="20"/>
        </w:rPr>
        <w:t>R</w:t>
      </w:r>
      <w:r w:rsidRPr="00A07BE9">
        <w:rPr>
          <w:rFonts w:ascii="Open Sans" w:eastAsia="Calibri" w:hAnsi="Open Sans" w:cs="Open Sans"/>
          <w:sz w:val="20"/>
          <w:szCs w:val="20"/>
        </w:rPr>
        <w:t>esolución de 19 de agosto de 2019. La citada resolución ha sido publicada en el DOGV núm. 8624</w:t>
      </w:r>
      <w:r w:rsidR="00BB091B" w:rsidRPr="00A07BE9">
        <w:rPr>
          <w:rFonts w:ascii="Open Sans" w:eastAsia="Calibri" w:hAnsi="Open Sans" w:cs="Open Sans"/>
          <w:sz w:val="20"/>
          <w:szCs w:val="20"/>
        </w:rPr>
        <w:t xml:space="preserve"> de 30 de agosto de </w:t>
      </w:r>
      <w:r w:rsidRPr="00A07BE9">
        <w:rPr>
          <w:rFonts w:ascii="Open Sans" w:eastAsia="Calibri" w:hAnsi="Open Sans" w:cs="Open Sans"/>
          <w:sz w:val="20"/>
          <w:szCs w:val="20"/>
        </w:rPr>
        <w:t>2019 y puede ser objeto de consulta en:</w:t>
      </w:r>
      <w:r w:rsidRPr="00A07BE9">
        <w:rPr>
          <w:rFonts w:ascii="Liberation Serif" w:eastAsia="Droid Sans Fallback" w:hAnsi="Liberation Serif" w:cs="FreeSans"/>
          <w:kern w:val="3"/>
          <w:sz w:val="24"/>
          <w:szCs w:val="24"/>
          <w:lang w:eastAsia="zh-CN" w:bidi="hi-IN"/>
        </w:rPr>
        <w:t xml:space="preserve"> </w:t>
      </w:r>
      <w:hyperlink r:id="rId406" w:history="1">
        <w:r w:rsidR="008C0C5A" w:rsidRPr="00A07BE9">
          <w:rPr>
            <w:rStyle w:val="Hipervnculo"/>
            <w:rFonts w:ascii="Open Sans" w:eastAsia="Calibri" w:hAnsi="Open Sans" w:cs="Open Sans"/>
            <w:sz w:val="20"/>
            <w:szCs w:val="20"/>
          </w:rPr>
          <w:t>http://www.dogv.gva.es/datos/2019/08/30/pdf/2019_8299.pdf</w:t>
        </w:r>
      </w:hyperlink>
      <w:r w:rsidR="008C0C5A" w:rsidRPr="00A07BE9">
        <w:rPr>
          <w:rFonts w:ascii="Open Sans" w:eastAsia="Calibri" w:hAnsi="Open Sans" w:cs="Open Sans"/>
          <w:sz w:val="20"/>
          <w:szCs w:val="20"/>
        </w:rPr>
        <w:t xml:space="preserve"> </w:t>
      </w:r>
    </w:p>
    <w:p w14:paraId="13699FBD" w14:textId="59640BFE" w:rsidR="00D572EA" w:rsidRPr="00A07BE9" w:rsidRDefault="00D572EA" w:rsidP="008C0C5A">
      <w:pPr>
        <w:suppressAutoHyphens/>
        <w:autoSpaceDN w:val="0"/>
        <w:spacing w:after="0" w:line="276" w:lineRule="auto"/>
        <w:jc w:val="both"/>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sz w:val="20"/>
          <w:szCs w:val="20"/>
        </w:rPr>
        <w:t>y</w:t>
      </w:r>
      <w:r w:rsidRPr="00A07BE9">
        <w:rPr>
          <w:rFonts w:ascii="Liberation Serif" w:eastAsia="Droid Sans Fallback" w:hAnsi="Liberation Serif" w:cs="FreeSans"/>
          <w:kern w:val="3"/>
          <w:sz w:val="24"/>
          <w:szCs w:val="24"/>
          <w:lang w:eastAsia="zh-CN" w:bidi="hi-IN"/>
        </w:rPr>
        <w:t xml:space="preserve"> </w:t>
      </w:r>
      <w:hyperlink r:id="rId407" w:history="1">
        <w:r w:rsidRPr="00A07BE9">
          <w:rPr>
            <w:rStyle w:val="Hipervnculo"/>
            <w:rFonts w:ascii="Open Sans" w:eastAsia="Calibri" w:hAnsi="Open Sans" w:cs="Open Sans"/>
            <w:sz w:val="20"/>
            <w:szCs w:val="20"/>
          </w:rPr>
          <w:t>https://www.antifraucv.es/portal-de-transparencia/informacio-institucional/</w:t>
        </w:r>
      </w:hyperlink>
    </w:p>
    <w:p w14:paraId="5621E04A" w14:textId="77777777" w:rsidR="00D572EA" w:rsidRPr="00A07BE9" w:rsidRDefault="00D572EA" w:rsidP="00741601">
      <w:pPr>
        <w:suppressAutoHyphens/>
        <w:autoSpaceDN w:val="0"/>
        <w:spacing w:after="0" w:line="276" w:lineRule="auto"/>
        <w:jc w:val="both"/>
        <w:textAlignment w:val="baseline"/>
        <w:rPr>
          <w:rFonts w:ascii="Open Sans" w:eastAsia="Calibri" w:hAnsi="Open Sans" w:cs="Open Sans"/>
          <w:sz w:val="20"/>
          <w:szCs w:val="20"/>
        </w:rPr>
      </w:pPr>
    </w:p>
    <w:p w14:paraId="76B18062" w14:textId="40915F1E" w:rsidR="00BB091B" w:rsidRPr="00A07BE9" w:rsidRDefault="00D572EA" w:rsidP="00741601">
      <w:pPr>
        <w:suppressAutoHyphens/>
        <w:autoSpaceDN w:val="0"/>
        <w:spacing w:after="0" w:line="276" w:lineRule="auto"/>
        <w:jc w:val="both"/>
        <w:textAlignment w:val="baseline"/>
        <w:rPr>
          <w:rFonts w:ascii="Open Sans" w:eastAsia="Calibri" w:hAnsi="Open Sans" w:cs="Open Sans"/>
          <w:sz w:val="20"/>
          <w:szCs w:val="20"/>
        </w:rPr>
      </w:pPr>
      <w:r w:rsidRPr="00A07BE9">
        <w:rPr>
          <w:rFonts w:ascii="Open Sans" w:eastAsia="Calibri" w:hAnsi="Open Sans" w:cs="Open Sans"/>
          <w:sz w:val="20"/>
          <w:szCs w:val="20"/>
        </w:rPr>
        <w:t>A 31 de diciembre de 2019, la estructura orgánica de cada una de las unidades administrativas es la que seguidamente se indica:</w:t>
      </w:r>
    </w:p>
    <w:p w14:paraId="5138F963" w14:textId="11C426D4" w:rsidR="00262F77" w:rsidRPr="00A07BE9" w:rsidRDefault="00262F77" w:rsidP="00741601">
      <w:pPr>
        <w:suppressAutoHyphens/>
        <w:autoSpaceDN w:val="0"/>
        <w:spacing w:after="0" w:line="276" w:lineRule="auto"/>
        <w:jc w:val="both"/>
        <w:textAlignment w:val="baseline"/>
        <w:rPr>
          <w:rFonts w:ascii="Open Sans" w:eastAsia="Calibri" w:hAnsi="Open Sans" w:cs="Open Sans"/>
          <w:sz w:val="20"/>
          <w:szCs w:val="20"/>
        </w:rPr>
      </w:pPr>
    </w:p>
    <w:p w14:paraId="40E2CBE8" w14:textId="57B54B70" w:rsidR="00262F77" w:rsidRPr="00A07BE9" w:rsidRDefault="00262F77" w:rsidP="00741601">
      <w:pPr>
        <w:suppressAutoHyphens/>
        <w:autoSpaceDN w:val="0"/>
        <w:spacing w:after="0" w:line="276" w:lineRule="auto"/>
        <w:jc w:val="both"/>
        <w:textAlignment w:val="baseline"/>
        <w:rPr>
          <w:rFonts w:ascii="Open Sans" w:eastAsia="Calibri" w:hAnsi="Open Sans" w:cs="Open Sans"/>
          <w:sz w:val="20"/>
          <w:szCs w:val="20"/>
        </w:rPr>
      </w:pPr>
    </w:p>
    <w:p w14:paraId="611BDE74" w14:textId="5C00014D" w:rsidR="00262F77" w:rsidRDefault="00262F77" w:rsidP="00741601">
      <w:pPr>
        <w:suppressAutoHyphens/>
        <w:autoSpaceDN w:val="0"/>
        <w:spacing w:after="0" w:line="276" w:lineRule="auto"/>
        <w:jc w:val="both"/>
        <w:textAlignment w:val="baseline"/>
        <w:rPr>
          <w:rFonts w:ascii="Open Sans" w:eastAsia="Calibri" w:hAnsi="Open Sans" w:cs="Open Sans"/>
          <w:sz w:val="20"/>
          <w:szCs w:val="20"/>
        </w:rPr>
      </w:pPr>
    </w:p>
    <w:p w14:paraId="073EBB92" w14:textId="0CAE864A" w:rsidR="00FE5DDE" w:rsidRDefault="00FE5DDE" w:rsidP="00741601">
      <w:pPr>
        <w:suppressAutoHyphens/>
        <w:autoSpaceDN w:val="0"/>
        <w:spacing w:after="0" w:line="276" w:lineRule="auto"/>
        <w:jc w:val="both"/>
        <w:textAlignment w:val="baseline"/>
        <w:rPr>
          <w:rFonts w:ascii="Open Sans" w:eastAsia="Calibri" w:hAnsi="Open Sans" w:cs="Open Sans"/>
          <w:sz w:val="20"/>
          <w:szCs w:val="20"/>
        </w:rPr>
      </w:pPr>
    </w:p>
    <w:p w14:paraId="1E628BD8" w14:textId="459B9178" w:rsidR="00FE5DDE" w:rsidRDefault="00FE5DDE" w:rsidP="00741601">
      <w:pPr>
        <w:suppressAutoHyphens/>
        <w:autoSpaceDN w:val="0"/>
        <w:spacing w:after="0" w:line="276" w:lineRule="auto"/>
        <w:jc w:val="both"/>
        <w:textAlignment w:val="baseline"/>
        <w:rPr>
          <w:rFonts w:ascii="Open Sans" w:eastAsia="Calibri" w:hAnsi="Open Sans" w:cs="Open Sans"/>
          <w:sz w:val="20"/>
          <w:szCs w:val="20"/>
        </w:rPr>
      </w:pPr>
    </w:p>
    <w:p w14:paraId="7C2884AD" w14:textId="3976EA1E" w:rsidR="00FE5DDE" w:rsidRDefault="00FE5DDE" w:rsidP="00741601">
      <w:pPr>
        <w:suppressAutoHyphens/>
        <w:autoSpaceDN w:val="0"/>
        <w:spacing w:after="0" w:line="276" w:lineRule="auto"/>
        <w:jc w:val="both"/>
        <w:textAlignment w:val="baseline"/>
        <w:rPr>
          <w:rFonts w:ascii="Open Sans" w:eastAsia="Calibri" w:hAnsi="Open Sans" w:cs="Open Sans"/>
          <w:sz w:val="20"/>
          <w:szCs w:val="20"/>
        </w:rPr>
      </w:pPr>
    </w:p>
    <w:p w14:paraId="220051C0" w14:textId="014CE5DB" w:rsidR="00FE5DDE" w:rsidRDefault="00FE5DDE" w:rsidP="00741601">
      <w:pPr>
        <w:suppressAutoHyphens/>
        <w:autoSpaceDN w:val="0"/>
        <w:spacing w:after="0" w:line="276" w:lineRule="auto"/>
        <w:jc w:val="both"/>
        <w:textAlignment w:val="baseline"/>
        <w:rPr>
          <w:rFonts w:ascii="Open Sans" w:eastAsia="Calibri" w:hAnsi="Open Sans" w:cs="Open Sans"/>
          <w:sz w:val="20"/>
          <w:szCs w:val="20"/>
        </w:rPr>
      </w:pPr>
    </w:p>
    <w:p w14:paraId="7E1AB163" w14:textId="611410F6" w:rsidR="00FE5DDE" w:rsidRDefault="00FE5DDE" w:rsidP="00741601">
      <w:pPr>
        <w:suppressAutoHyphens/>
        <w:autoSpaceDN w:val="0"/>
        <w:spacing w:after="0" w:line="276" w:lineRule="auto"/>
        <w:jc w:val="both"/>
        <w:textAlignment w:val="baseline"/>
        <w:rPr>
          <w:rFonts w:ascii="Open Sans" w:eastAsia="Calibri" w:hAnsi="Open Sans" w:cs="Open Sans"/>
          <w:sz w:val="20"/>
          <w:szCs w:val="20"/>
        </w:rPr>
      </w:pPr>
    </w:p>
    <w:p w14:paraId="59DB8542" w14:textId="5594114A" w:rsidR="00FE5DDE" w:rsidRDefault="00FE5DDE" w:rsidP="00741601">
      <w:pPr>
        <w:suppressAutoHyphens/>
        <w:autoSpaceDN w:val="0"/>
        <w:spacing w:after="0" w:line="276" w:lineRule="auto"/>
        <w:jc w:val="both"/>
        <w:textAlignment w:val="baseline"/>
        <w:rPr>
          <w:rFonts w:ascii="Open Sans" w:eastAsia="Calibri" w:hAnsi="Open Sans" w:cs="Open Sans"/>
          <w:sz w:val="20"/>
          <w:szCs w:val="20"/>
        </w:rPr>
      </w:pPr>
    </w:p>
    <w:p w14:paraId="2C681555" w14:textId="3007225D" w:rsidR="00FE5DDE" w:rsidRDefault="00FE5DDE" w:rsidP="00741601">
      <w:pPr>
        <w:suppressAutoHyphens/>
        <w:autoSpaceDN w:val="0"/>
        <w:spacing w:after="0" w:line="276" w:lineRule="auto"/>
        <w:jc w:val="both"/>
        <w:textAlignment w:val="baseline"/>
        <w:rPr>
          <w:rFonts w:ascii="Open Sans" w:eastAsia="Calibri" w:hAnsi="Open Sans" w:cs="Open Sans"/>
          <w:sz w:val="20"/>
          <w:szCs w:val="20"/>
        </w:rPr>
      </w:pPr>
    </w:p>
    <w:p w14:paraId="1CBE2460" w14:textId="45864181" w:rsidR="00FE5DDE" w:rsidRDefault="00FE5DDE" w:rsidP="00741601">
      <w:pPr>
        <w:suppressAutoHyphens/>
        <w:autoSpaceDN w:val="0"/>
        <w:spacing w:after="0" w:line="276" w:lineRule="auto"/>
        <w:jc w:val="both"/>
        <w:textAlignment w:val="baseline"/>
        <w:rPr>
          <w:rFonts w:ascii="Open Sans" w:eastAsia="Calibri" w:hAnsi="Open Sans" w:cs="Open Sans"/>
          <w:sz w:val="20"/>
          <w:szCs w:val="20"/>
        </w:rPr>
      </w:pPr>
    </w:p>
    <w:p w14:paraId="4A8BC868" w14:textId="6F940FC0" w:rsidR="00FE5DDE" w:rsidRDefault="00FE5DDE" w:rsidP="00741601">
      <w:pPr>
        <w:suppressAutoHyphens/>
        <w:autoSpaceDN w:val="0"/>
        <w:spacing w:after="0" w:line="276" w:lineRule="auto"/>
        <w:jc w:val="both"/>
        <w:textAlignment w:val="baseline"/>
        <w:rPr>
          <w:rFonts w:ascii="Open Sans" w:eastAsia="Calibri" w:hAnsi="Open Sans" w:cs="Open Sans"/>
          <w:sz w:val="20"/>
          <w:szCs w:val="20"/>
        </w:rPr>
      </w:pPr>
    </w:p>
    <w:p w14:paraId="1E2D2E04" w14:textId="77777777" w:rsidR="00FE5DDE" w:rsidRPr="00A07BE9" w:rsidRDefault="00FE5DDE" w:rsidP="00741601">
      <w:pPr>
        <w:suppressAutoHyphens/>
        <w:autoSpaceDN w:val="0"/>
        <w:spacing w:after="0" w:line="276" w:lineRule="auto"/>
        <w:jc w:val="both"/>
        <w:textAlignment w:val="baseline"/>
        <w:rPr>
          <w:rFonts w:ascii="Open Sans" w:eastAsia="Calibri" w:hAnsi="Open Sans" w:cs="Open Sans"/>
          <w:sz w:val="20"/>
          <w:szCs w:val="20"/>
        </w:rPr>
      </w:pPr>
    </w:p>
    <w:p w14:paraId="4FC65E30" w14:textId="77777777" w:rsidR="00262F77" w:rsidRPr="00A07BE9" w:rsidRDefault="00262F77" w:rsidP="00741601">
      <w:pPr>
        <w:suppressAutoHyphens/>
        <w:autoSpaceDN w:val="0"/>
        <w:spacing w:after="0" w:line="276" w:lineRule="auto"/>
        <w:jc w:val="both"/>
        <w:textAlignment w:val="baseline"/>
        <w:rPr>
          <w:rFonts w:ascii="Open Sans" w:eastAsia="Calibri" w:hAnsi="Open Sans" w:cs="Open Sans"/>
          <w:sz w:val="20"/>
          <w:szCs w:val="20"/>
        </w:rPr>
      </w:pPr>
    </w:p>
    <w:p w14:paraId="34A1D519" w14:textId="7CF41EF7" w:rsidR="007E59E7" w:rsidRPr="00A07BE9" w:rsidRDefault="00D572EA" w:rsidP="00D572EA">
      <w:pPr>
        <w:suppressAutoHyphens/>
        <w:autoSpaceDN w:val="0"/>
        <w:spacing w:after="0" w:line="276" w:lineRule="auto"/>
        <w:jc w:val="both"/>
        <w:textAlignment w:val="baseline"/>
        <w:rPr>
          <w:rFonts w:ascii="Open Sans" w:eastAsia="Calibri" w:hAnsi="Open Sans" w:cs="Open Sans"/>
          <w:b/>
          <w:bCs/>
          <w:sz w:val="20"/>
          <w:szCs w:val="20"/>
        </w:rPr>
      </w:pPr>
      <w:r w:rsidRPr="00A07BE9">
        <w:rPr>
          <w:rFonts w:ascii="Open Sans" w:eastAsia="Calibri" w:hAnsi="Open Sans" w:cs="Open Sans"/>
          <w:b/>
          <w:bCs/>
          <w:color w:val="9D2235"/>
          <w:sz w:val="20"/>
          <w:szCs w:val="20"/>
        </w:rPr>
        <w:lastRenderedPageBreak/>
        <w:t xml:space="preserve">Tabla </w:t>
      </w:r>
      <w:r w:rsidR="00035167" w:rsidRPr="00A07BE9">
        <w:rPr>
          <w:rFonts w:ascii="Open Sans" w:eastAsia="Calibri" w:hAnsi="Open Sans" w:cs="Open Sans"/>
          <w:b/>
          <w:bCs/>
          <w:color w:val="9D2235"/>
          <w:sz w:val="20"/>
          <w:szCs w:val="20"/>
        </w:rPr>
        <w:t>19</w:t>
      </w:r>
      <w:r w:rsidR="00AC7D1A">
        <w:rPr>
          <w:rFonts w:ascii="Open Sans" w:eastAsia="Calibri" w:hAnsi="Open Sans" w:cs="Open Sans"/>
          <w:b/>
          <w:bCs/>
          <w:color w:val="9D2235"/>
          <w:sz w:val="20"/>
          <w:szCs w:val="20"/>
        </w:rPr>
        <w:t>.</w:t>
      </w:r>
      <w:r w:rsidRPr="00A07BE9">
        <w:rPr>
          <w:rFonts w:ascii="Open Sans" w:eastAsia="Calibri" w:hAnsi="Open Sans" w:cs="Open Sans"/>
          <w:b/>
          <w:bCs/>
          <w:sz w:val="20"/>
          <w:szCs w:val="20"/>
        </w:rPr>
        <w:t xml:space="preserve"> Puestos de trabajo adscritos a las unidades administrativas en las que se organiza la Agencia.</w:t>
      </w:r>
    </w:p>
    <w:p w14:paraId="746AAF0A" w14:textId="77777777" w:rsidR="00262F77" w:rsidRPr="00A07BE9" w:rsidRDefault="00262F77" w:rsidP="00D572EA">
      <w:pPr>
        <w:suppressAutoHyphens/>
        <w:autoSpaceDN w:val="0"/>
        <w:spacing w:after="0" w:line="276" w:lineRule="auto"/>
        <w:jc w:val="both"/>
        <w:textAlignment w:val="baseline"/>
        <w:rPr>
          <w:rFonts w:ascii="Open Sans" w:eastAsia="Calibri" w:hAnsi="Open Sans" w:cs="Open Sans"/>
          <w:b/>
          <w:bCs/>
          <w:sz w:val="20"/>
          <w:szCs w:val="20"/>
        </w:rPr>
      </w:pPr>
    </w:p>
    <w:tbl>
      <w:tblPr>
        <w:tblW w:w="8642" w:type="dxa"/>
        <w:tblLayout w:type="fixed"/>
        <w:tblCellMar>
          <w:left w:w="10" w:type="dxa"/>
          <w:right w:w="10" w:type="dxa"/>
        </w:tblCellMar>
        <w:tblLook w:val="0000" w:firstRow="0" w:lastRow="0" w:firstColumn="0" w:lastColumn="0" w:noHBand="0" w:noVBand="0"/>
      </w:tblPr>
      <w:tblGrid>
        <w:gridCol w:w="16"/>
        <w:gridCol w:w="788"/>
        <w:gridCol w:w="10"/>
        <w:gridCol w:w="3862"/>
        <w:gridCol w:w="422"/>
        <w:gridCol w:w="309"/>
        <w:gridCol w:w="258"/>
        <w:gridCol w:w="567"/>
        <w:gridCol w:w="198"/>
        <w:gridCol w:w="511"/>
        <w:gridCol w:w="74"/>
        <w:gridCol w:w="585"/>
        <w:gridCol w:w="50"/>
        <w:gridCol w:w="974"/>
        <w:gridCol w:w="18"/>
      </w:tblGrid>
      <w:tr w:rsidR="00D572EA" w:rsidRPr="00A07BE9" w14:paraId="431E7447" w14:textId="77777777" w:rsidTr="007E59E7">
        <w:trPr>
          <w:gridBefore w:val="1"/>
          <w:wBefore w:w="16" w:type="dxa"/>
        </w:trPr>
        <w:tc>
          <w:tcPr>
            <w:tcW w:w="8626" w:type="dxa"/>
            <w:gridSpan w:val="14"/>
            <w:tcBorders>
              <w:top w:val="single" w:sz="4" w:space="0" w:color="auto"/>
              <w:left w:val="single" w:sz="4" w:space="0" w:color="auto"/>
              <w:bottom w:val="single" w:sz="4" w:space="0" w:color="auto"/>
              <w:right w:val="single" w:sz="4" w:space="0" w:color="auto"/>
            </w:tcBorders>
            <w:shd w:val="clear" w:color="auto" w:fill="9D2235"/>
          </w:tcPr>
          <w:p w14:paraId="07E04E09"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color w:val="FFFFFF"/>
                <w:sz w:val="18"/>
                <w:szCs w:val="18"/>
              </w:rPr>
            </w:pPr>
            <w:r w:rsidRPr="00A07BE9">
              <w:rPr>
                <w:rFonts w:ascii="Open Sans" w:eastAsia="Calibri" w:hAnsi="Open Sans" w:cs="Open Sans"/>
                <w:b/>
                <w:bCs/>
                <w:color w:val="FFFFFF"/>
                <w:sz w:val="18"/>
                <w:szCs w:val="18"/>
              </w:rPr>
              <w:t>ÁREA DE GABINETE DE RELACIONES INSTITUCIONALES, COMUNICACIÓN Y PARTICIPACIÓN</w:t>
            </w:r>
          </w:p>
        </w:tc>
      </w:tr>
      <w:tr w:rsidR="00D572EA" w:rsidRPr="00A07BE9" w14:paraId="74AB5984" w14:textId="77777777" w:rsidTr="007E59E7">
        <w:trPr>
          <w:gridBefore w:val="1"/>
          <w:wBefore w:w="16" w:type="dxa"/>
        </w:trPr>
        <w:tc>
          <w:tcPr>
            <w:tcW w:w="788"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025FACCD"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N.º puesto</w:t>
            </w:r>
          </w:p>
        </w:tc>
        <w:tc>
          <w:tcPr>
            <w:tcW w:w="4294" w:type="dxa"/>
            <w:gridSpan w:val="3"/>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2B74E241"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Denominación</w:t>
            </w:r>
          </w:p>
        </w:tc>
        <w:tc>
          <w:tcPr>
            <w:tcW w:w="567" w:type="dxa"/>
            <w:gridSpan w:val="2"/>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3E18B0C8"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Reg. Jco.</w:t>
            </w:r>
          </w:p>
        </w:tc>
        <w:tc>
          <w:tcPr>
            <w:tcW w:w="567"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5442B8FA"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GR.</w:t>
            </w:r>
          </w:p>
        </w:tc>
        <w:tc>
          <w:tcPr>
            <w:tcW w:w="709" w:type="dxa"/>
            <w:gridSpan w:val="2"/>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1EBF443C"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Nivel CD</w:t>
            </w:r>
          </w:p>
        </w:tc>
        <w:tc>
          <w:tcPr>
            <w:tcW w:w="709" w:type="dxa"/>
            <w:gridSpan w:val="3"/>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2AA97D7A"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Nivel CE</w:t>
            </w:r>
          </w:p>
        </w:tc>
        <w:tc>
          <w:tcPr>
            <w:tcW w:w="992" w:type="dxa"/>
            <w:gridSpan w:val="2"/>
            <w:tcBorders>
              <w:top w:val="single" w:sz="4" w:space="0" w:color="auto"/>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433F7654"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Forma provisión</w:t>
            </w:r>
          </w:p>
        </w:tc>
      </w:tr>
      <w:tr w:rsidR="00D572EA" w:rsidRPr="00A07BE9" w14:paraId="0C139698" w14:textId="77777777" w:rsidTr="007E59E7">
        <w:trPr>
          <w:gridBefore w:val="1"/>
          <w:wBefore w:w="16" w:type="dxa"/>
        </w:trPr>
        <w:tc>
          <w:tcPr>
            <w:tcW w:w="78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C961775"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1</w:t>
            </w:r>
          </w:p>
        </w:tc>
        <w:tc>
          <w:tcPr>
            <w:tcW w:w="4294" w:type="dxa"/>
            <w:gridSpan w:val="3"/>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50EE31B"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Jefe/a de Gabinete de Relaciones Institucionales, Comunicación y Participación</w:t>
            </w:r>
          </w:p>
        </w:tc>
        <w:tc>
          <w:tcPr>
            <w:tcW w:w="567" w:type="dxa"/>
            <w:gridSpan w:val="2"/>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72B6989"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77C87BC"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A1</w:t>
            </w:r>
          </w:p>
        </w:tc>
        <w:tc>
          <w:tcPr>
            <w:tcW w:w="709" w:type="dxa"/>
            <w:gridSpan w:val="2"/>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F6FFE68"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30</w:t>
            </w:r>
          </w:p>
        </w:tc>
        <w:tc>
          <w:tcPr>
            <w:tcW w:w="709" w:type="dxa"/>
            <w:gridSpan w:val="3"/>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67F9DB8"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50</w:t>
            </w:r>
          </w:p>
        </w:tc>
        <w:tc>
          <w:tcPr>
            <w:tcW w:w="992" w:type="dxa"/>
            <w:gridSpan w:val="2"/>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08D26FB1"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LD - AP</w:t>
            </w:r>
          </w:p>
        </w:tc>
      </w:tr>
      <w:tr w:rsidR="00D572EA" w:rsidRPr="00A07BE9" w14:paraId="06D6CD2C" w14:textId="77777777" w:rsidTr="007E59E7">
        <w:trPr>
          <w:gridBefore w:val="1"/>
          <w:wBefore w:w="16" w:type="dxa"/>
        </w:trPr>
        <w:tc>
          <w:tcPr>
            <w:tcW w:w="78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6850F05"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25</w:t>
            </w:r>
          </w:p>
        </w:tc>
        <w:tc>
          <w:tcPr>
            <w:tcW w:w="4294" w:type="dxa"/>
            <w:gridSpan w:val="3"/>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99E2FCD"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Secretario/a de Dirección</w:t>
            </w:r>
          </w:p>
        </w:tc>
        <w:tc>
          <w:tcPr>
            <w:tcW w:w="567" w:type="dxa"/>
            <w:gridSpan w:val="2"/>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49C7E0C"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29C8380"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C1</w:t>
            </w:r>
          </w:p>
        </w:tc>
        <w:tc>
          <w:tcPr>
            <w:tcW w:w="709" w:type="dxa"/>
            <w:gridSpan w:val="2"/>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96DA9FB"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20</w:t>
            </w:r>
          </w:p>
        </w:tc>
        <w:tc>
          <w:tcPr>
            <w:tcW w:w="709" w:type="dxa"/>
            <w:gridSpan w:val="3"/>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F1ECBE9"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35</w:t>
            </w:r>
          </w:p>
        </w:tc>
        <w:tc>
          <w:tcPr>
            <w:tcW w:w="992" w:type="dxa"/>
            <w:gridSpan w:val="2"/>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0B819FA9"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LD - AP</w:t>
            </w:r>
          </w:p>
        </w:tc>
      </w:tr>
      <w:tr w:rsidR="00D572EA" w:rsidRPr="00A07BE9" w14:paraId="1D58A3AF" w14:textId="77777777" w:rsidTr="007E59E7">
        <w:trPr>
          <w:gridBefore w:val="1"/>
          <w:wBefore w:w="16" w:type="dxa"/>
        </w:trPr>
        <w:tc>
          <w:tcPr>
            <w:tcW w:w="78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989BBFD"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31</w:t>
            </w:r>
          </w:p>
        </w:tc>
        <w:tc>
          <w:tcPr>
            <w:tcW w:w="4294" w:type="dxa"/>
            <w:gridSpan w:val="3"/>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3FDE327"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Jefe/a de negociado de soporte comunicación institucional</w:t>
            </w:r>
          </w:p>
        </w:tc>
        <w:tc>
          <w:tcPr>
            <w:tcW w:w="567" w:type="dxa"/>
            <w:gridSpan w:val="2"/>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E002DF4"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7EFBADD"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C1/C2</w:t>
            </w:r>
          </w:p>
        </w:tc>
        <w:tc>
          <w:tcPr>
            <w:tcW w:w="709" w:type="dxa"/>
            <w:gridSpan w:val="2"/>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2E0863B"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18</w:t>
            </w:r>
          </w:p>
        </w:tc>
        <w:tc>
          <w:tcPr>
            <w:tcW w:w="709" w:type="dxa"/>
            <w:gridSpan w:val="3"/>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A8A4606"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35</w:t>
            </w:r>
          </w:p>
        </w:tc>
        <w:tc>
          <w:tcPr>
            <w:tcW w:w="992" w:type="dxa"/>
            <w:gridSpan w:val="2"/>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45AD1DAF"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CE – AP</w:t>
            </w:r>
          </w:p>
        </w:tc>
      </w:tr>
      <w:tr w:rsidR="00D572EA" w:rsidRPr="00A07BE9" w14:paraId="46637D7D" w14:textId="77777777" w:rsidTr="007E59E7">
        <w:trPr>
          <w:gridAfter w:val="1"/>
          <w:wAfter w:w="18" w:type="dxa"/>
          <w:tblHeader/>
        </w:trPr>
        <w:tc>
          <w:tcPr>
            <w:tcW w:w="8624" w:type="dxa"/>
            <w:gridSpan w:val="14"/>
            <w:tcBorders>
              <w:top w:val="single" w:sz="4" w:space="0" w:color="auto"/>
              <w:left w:val="single" w:sz="4" w:space="0" w:color="auto"/>
              <w:bottom w:val="single" w:sz="4" w:space="0" w:color="auto"/>
              <w:right w:val="single" w:sz="4" w:space="0" w:color="auto"/>
            </w:tcBorders>
            <w:shd w:val="clear" w:color="auto" w:fill="9D2235"/>
            <w:tcMar>
              <w:top w:w="0" w:type="dxa"/>
              <w:left w:w="0" w:type="dxa"/>
              <w:bottom w:w="0" w:type="dxa"/>
              <w:right w:w="0" w:type="dxa"/>
            </w:tcMar>
          </w:tcPr>
          <w:p w14:paraId="59A5BD7E" w14:textId="77777777" w:rsidR="00D572EA" w:rsidRPr="00A07BE9" w:rsidRDefault="00D572EA" w:rsidP="00D572EA">
            <w:pPr>
              <w:suppressAutoHyphens/>
              <w:autoSpaceDN w:val="0"/>
              <w:spacing w:after="0" w:line="360" w:lineRule="auto"/>
              <w:jc w:val="center"/>
              <w:textAlignment w:val="baseline"/>
              <w:rPr>
                <w:rFonts w:ascii="Open Sans" w:eastAsia="Calibri" w:hAnsi="Open Sans" w:cs="Open Sans"/>
                <w:b/>
                <w:bCs/>
                <w:color w:val="FFFFFF"/>
                <w:sz w:val="18"/>
                <w:szCs w:val="18"/>
              </w:rPr>
            </w:pPr>
            <w:r w:rsidRPr="00A07BE9">
              <w:rPr>
                <w:rFonts w:ascii="Open Sans" w:eastAsia="Calibri" w:hAnsi="Open Sans" w:cs="Open Sans"/>
                <w:b/>
                <w:bCs/>
                <w:color w:val="FFFFFF"/>
                <w:sz w:val="18"/>
                <w:szCs w:val="18"/>
              </w:rPr>
              <w:t>ÁREA DE ADMINISTRACIÓN, RECURSOS HUMANOS Y GESTIÓN ECONÓMICA</w:t>
            </w:r>
          </w:p>
        </w:tc>
      </w:tr>
      <w:tr w:rsidR="00D572EA" w:rsidRPr="00A07BE9" w14:paraId="6DE6CAF2" w14:textId="77777777" w:rsidTr="007E59E7">
        <w:trPr>
          <w:gridAfter w:val="1"/>
          <w:wAfter w:w="18" w:type="dxa"/>
        </w:trPr>
        <w:tc>
          <w:tcPr>
            <w:tcW w:w="814" w:type="dxa"/>
            <w:gridSpan w:val="3"/>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71D201C5"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N.º puesto</w:t>
            </w:r>
          </w:p>
        </w:tc>
        <w:tc>
          <w:tcPr>
            <w:tcW w:w="3862"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209AC8D9"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Denominación</w:t>
            </w:r>
          </w:p>
        </w:tc>
        <w:tc>
          <w:tcPr>
            <w:tcW w:w="731" w:type="dxa"/>
            <w:gridSpan w:val="2"/>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6D17DE0F"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Reg. Jco.</w:t>
            </w:r>
          </w:p>
        </w:tc>
        <w:tc>
          <w:tcPr>
            <w:tcW w:w="1023" w:type="dxa"/>
            <w:gridSpan w:val="3"/>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47AECC40"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GR.</w:t>
            </w:r>
          </w:p>
        </w:tc>
        <w:tc>
          <w:tcPr>
            <w:tcW w:w="585" w:type="dxa"/>
            <w:gridSpan w:val="2"/>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17DE952F"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Nivel CD</w:t>
            </w:r>
          </w:p>
        </w:tc>
        <w:tc>
          <w:tcPr>
            <w:tcW w:w="585"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510DEF0F"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Nivel CE</w:t>
            </w:r>
          </w:p>
        </w:tc>
        <w:tc>
          <w:tcPr>
            <w:tcW w:w="1024" w:type="dxa"/>
            <w:gridSpan w:val="2"/>
            <w:tcBorders>
              <w:top w:val="single" w:sz="4" w:space="0" w:color="auto"/>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1E98FB20"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Forma provisión.</w:t>
            </w:r>
          </w:p>
        </w:tc>
      </w:tr>
      <w:tr w:rsidR="00D572EA" w:rsidRPr="00A07BE9" w14:paraId="7AD88B17" w14:textId="77777777" w:rsidTr="007E59E7">
        <w:trPr>
          <w:gridAfter w:val="1"/>
          <w:wAfter w:w="18" w:type="dxa"/>
        </w:trPr>
        <w:tc>
          <w:tcPr>
            <w:tcW w:w="814" w:type="dxa"/>
            <w:gridSpan w:val="3"/>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A049B54"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w:t>
            </w:r>
          </w:p>
        </w:tc>
        <w:tc>
          <w:tcPr>
            <w:tcW w:w="3862"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DC7B145"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Jefe/a de Área de Administración, Recursos Humanos y Gestión Económica</w:t>
            </w:r>
          </w:p>
        </w:tc>
        <w:tc>
          <w:tcPr>
            <w:tcW w:w="731" w:type="dxa"/>
            <w:gridSpan w:val="2"/>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0E8700B"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1023" w:type="dxa"/>
            <w:gridSpan w:val="3"/>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01F36E1"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A1</w:t>
            </w:r>
          </w:p>
        </w:tc>
        <w:tc>
          <w:tcPr>
            <w:tcW w:w="585" w:type="dxa"/>
            <w:gridSpan w:val="2"/>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8892A42"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30</w:t>
            </w:r>
          </w:p>
        </w:tc>
        <w:tc>
          <w:tcPr>
            <w:tcW w:w="585"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126FB9F"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50</w:t>
            </w:r>
          </w:p>
        </w:tc>
        <w:tc>
          <w:tcPr>
            <w:tcW w:w="1024" w:type="dxa"/>
            <w:gridSpan w:val="2"/>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6F8FCDD6"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LD - AP</w:t>
            </w:r>
          </w:p>
        </w:tc>
      </w:tr>
      <w:tr w:rsidR="00D572EA" w:rsidRPr="00A07BE9" w14:paraId="78768F4A" w14:textId="77777777" w:rsidTr="007E59E7">
        <w:trPr>
          <w:gridAfter w:val="1"/>
          <w:wAfter w:w="18" w:type="dxa"/>
        </w:trPr>
        <w:tc>
          <w:tcPr>
            <w:tcW w:w="814" w:type="dxa"/>
            <w:gridSpan w:val="3"/>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05CF767"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12</w:t>
            </w:r>
          </w:p>
        </w:tc>
        <w:tc>
          <w:tcPr>
            <w:tcW w:w="3862"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98C029B"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Jefe/a de Unidad de Gestión Administrativa</w:t>
            </w:r>
          </w:p>
        </w:tc>
        <w:tc>
          <w:tcPr>
            <w:tcW w:w="731" w:type="dxa"/>
            <w:gridSpan w:val="2"/>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B4CEC7F"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1023" w:type="dxa"/>
            <w:gridSpan w:val="3"/>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119851A"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A1/A2</w:t>
            </w:r>
          </w:p>
        </w:tc>
        <w:tc>
          <w:tcPr>
            <w:tcW w:w="585" w:type="dxa"/>
            <w:gridSpan w:val="2"/>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B13FC6E"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26</w:t>
            </w:r>
          </w:p>
        </w:tc>
        <w:tc>
          <w:tcPr>
            <w:tcW w:w="585"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8C7D476"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49</w:t>
            </w:r>
          </w:p>
        </w:tc>
        <w:tc>
          <w:tcPr>
            <w:tcW w:w="1024" w:type="dxa"/>
            <w:gridSpan w:val="2"/>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552E9E2A"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LD - AP</w:t>
            </w:r>
          </w:p>
        </w:tc>
      </w:tr>
      <w:tr w:rsidR="00D572EA" w:rsidRPr="00A07BE9" w14:paraId="2B885F1E" w14:textId="77777777" w:rsidTr="007E59E7">
        <w:trPr>
          <w:gridAfter w:val="1"/>
          <w:wAfter w:w="18" w:type="dxa"/>
        </w:trPr>
        <w:tc>
          <w:tcPr>
            <w:tcW w:w="814" w:type="dxa"/>
            <w:gridSpan w:val="3"/>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7640882"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13</w:t>
            </w:r>
          </w:p>
        </w:tc>
        <w:tc>
          <w:tcPr>
            <w:tcW w:w="3862"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3A76287"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Jefe/a de Unidad de Gestión Económica</w:t>
            </w:r>
          </w:p>
        </w:tc>
        <w:tc>
          <w:tcPr>
            <w:tcW w:w="731" w:type="dxa"/>
            <w:gridSpan w:val="2"/>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77BC642"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1023" w:type="dxa"/>
            <w:gridSpan w:val="3"/>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271BD6D"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A1/A2</w:t>
            </w:r>
          </w:p>
        </w:tc>
        <w:tc>
          <w:tcPr>
            <w:tcW w:w="585" w:type="dxa"/>
            <w:gridSpan w:val="2"/>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07CC435"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26</w:t>
            </w:r>
          </w:p>
        </w:tc>
        <w:tc>
          <w:tcPr>
            <w:tcW w:w="585"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D7FF546"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49</w:t>
            </w:r>
          </w:p>
        </w:tc>
        <w:tc>
          <w:tcPr>
            <w:tcW w:w="1024" w:type="dxa"/>
            <w:gridSpan w:val="2"/>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60F17E55"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LD - AP</w:t>
            </w:r>
          </w:p>
        </w:tc>
      </w:tr>
      <w:tr w:rsidR="00D572EA" w:rsidRPr="00A07BE9" w14:paraId="6C9D0DAC" w14:textId="77777777" w:rsidTr="007E59E7">
        <w:trPr>
          <w:gridAfter w:val="1"/>
          <w:wAfter w:w="18" w:type="dxa"/>
        </w:trPr>
        <w:tc>
          <w:tcPr>
            <w:tcW w:w="814" w:type="dxa"/>
            <w:gridSpan w:val="3"/>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9B5CC61"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23</w:t>
            </w:r>
          </w:p>
        </w:tc>
        <w:tc>
          <w:tcPr>
            <w:tcW w:w="3862"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E6E6DD8"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Técnico/a Superior de contratación y personal</w:t>
            </w:r>
          </w:p>
        </w:tc>
        <w:tc>
          <w:tcPr>
            <w:tcW w:w="731" w:type="dxa"/>
            <w:gridSpan w:val="2"/>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D78D1AF"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1023" w:type="dxa"/>
            <w:gridSpan w:val="3"/>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F10F4BA"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A1</w:t>
            </w:r>
          </w:p>
        </w:tc>
        <w:tc>
          <w:tcPr>
            <w:tcW w:w="585" w:type="dxa"/>
            <w:gridSpan w:val="2"/>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889485B"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24</w:t>
            </w:r>
          </w:p>
        </w:tc>
        <w:tc>
          <w:tcPr>
            <w:tcW w:w="585"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5A99B28"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48</w:t>
            </w:r>
          </w:p>
        </w:tc>
        <w:tc>
          <w:tcPr>
            <w:tcW w:w="1024" w:type="dxa"/>
            <w:gridSpan w:val="2"/>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36B22E0A"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CE - AP</w:t>
            </w:r>
          </w:p>
        </w:tc>
      </w:tr>
      <w:tr w:rsidR="00D572EA" w:rsidRPr="00A07BE9" w14:paraId="77648CAE" w14:textId="77777777" w:rsidTr="007E59E7">
        <w:trPr>
          <w:gridAfter w:val="1"/>
          <w:wAfter w:w="18" w:type="dxa"/>
        </w:trPr>
        <w:tc>
          <w:tcPr>
            <w:tcW w:w="814" w:type="dxa"/>
            <w:gridSpan w:val="3"/>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02269BB"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26</w:t>
            </w:r>
          </w:p>
        </w:tc>
        <w:tc>
          <w:tcPr>
            <w:tcW w:w="3862"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33F1AA7"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Jefe/a de Equipo de Gestión Económica y Contratación</w:t>
            </w:r>
          </w:p>
        </w:tc>
        <w:tc>
          <w:tcPr>
            <w:tcW w:w="731" w:type="dxa"/>
            <w:gridSpan w:val="2"/>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6EE4BD7"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1023" w:type="dxa"/>
            <w:gridSpan w:val="3"/>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EE04269"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C1</w:t>
            </w:r>
          </w:p>
        </w:tc>
        <w:tc>
          <w:tcPr>
            <w:tcW w:w="585" w:type="dxa"/>
            <w:gridSpan w:val="2"/>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C607EAD"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20</w:t>
            </w:r>
          </w:p>
        </w:tc>
        <w:tc>
          <w:tcPr>
            <w:tcW w:w="585"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CE88617"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35</w:t>
            </w:r>
          </w:p>
        </w:tc>
        <w:tc>
          <w:tcPr>
            <w:tcW w:w="1024" w:type="dxa"/>
            <w:gridSpan w:val="2"/>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5F6D18FD"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CE – AP</w:t>
            </w:r>
          </w:p>
        </w:tc>
      </w:tr>
      <w:tr w:rsidR="00D572EA" w:rsidRPr="00A07BE9" w14:paraId="146C566F" w14:textId="77777777" w:rsidTr="007E59E7">
        <w:trPr>
          <w:gridAfter w:val="1"/>
          <w:wAfter w:w="18" w:type="dxa"/>
        </w:trPr>
        <w:tc>
          <w:tcPr>
            <w:tcW w:w="814" w:type="dxa"/>
            <w:gridSpan w:val="3"/>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775E931"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28</w:t>
            </w:r>
          </w:p>
        </w:tc>
        <w:tc>
          <w:tcPr>
            <w:tcW w:w="3862"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17FF1EA"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Jefe/a de negociado de soporte administrativo y dirección</w:t>
            </w:r>
          </w:p>
        </w:tc>
        <w:tc>
          <w:tcPr>
            <w:tcW w:w="731" w:type="dxa"/>
            <w:gridSpan w:val="2"/>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470742E"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1023" w:type="dxa"/>
            <w:gridSpan w:val="3"/>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925B7D7"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C1/C2</w:t>
            </w:r>
          </w:p>
        </w:tc>
        <w:tc>
          <w:tcPr>
            <w:tcW w:w="585" w:type="dxa"/>
            <w:gridSpan w:val="2"/>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70A969B"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18</w:t>
            </w:r>
          </w:p>
        </w:tc>
        <w:tc>
          <w:tcPr>
            <w:tcW w:w="585"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C40C0E7"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35</w:t>
            </w:r>
          </w:p>
        </w:tc>
        <w:tc>
          <w:tcPr>
            <w:tcW w:w="1024" w:type="dxa"/>
            <w:gridSpan w:val="2"/>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0B353CDB"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CE– AP</w:t>
            </w:r>
          </w:p>
        </w:tc>
      </w:tr>
      <w:tr w:rsidR="00D572EA" w:rsidRPr="00A07BE9" w14:paraId="4B1744BB" w14:textId="77777777" w:rsidTr="007E59E7">
        <w:trPr>
          <w:gridAfter w:val="1"/>
          <w:wAfter w:w="18" w:type="dxa"/>
        </w:trPr>
        <w:tc>
          <w:tcPr>
            <w:tcW w:w="814" w:type="dxa"/>
            <w:gridSpan w:val="3"/>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B3C8EA2"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32</w:t>
            </w:r>
          </w:p>
        </w:tc>
        <w:tc>
          <w:tcPr>
            <w:tcW w:w="3862"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D389A11"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Subalterno/a supervisor/a</w:t>
            </w:r>
          </w:p>
        </w:tc>
        <w:tc>
          <w:tcPr>
            <w:tcW w:w="731" w:type="dxa"/>
            <w:gridSpan w:val="2"/>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F7B675F"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1023" w:type="dxa"/>
            <w:gridSpan w:val="3"/>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C39A89D"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APF 01-01</w:t>
            </w:r>
          </w:p>
        </w:tc>
        <w:tc>
          <w:tcPr>
            <w:tcW w:w="585" w:type="dxa"/>
            <w:gridSpan w:val="2"/>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B0667AE"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12</w:t>
            </w:r>
          </w:p>
        </w:tc>
        <w:tc>
          <w:tcPr>
            <w:tcW w:w="585"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FC42D1F"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20</w:t>
            </w:r>
          </w:p>
        </w:tc>
        <w:tc>
          <w:tcPr>
            <w:tcW w:w="1024" w:type="dxa"/>
            <w:gridSpan w:val="2"/>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7403A67F"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CE -AP</w:t>
            </w:r>
          </w:p>
        </w:tc>
      </w:tr>
    </w:tbl>
    <w:p w14:paraId="59B3C9EC" w14:textId="77777777" w:rsidR="007D7616" w:rsidRPr="00A07BE9" w:rsidRDefault="007D7616" w:rsidP="00D572EA">
      <w:pPr>
        <w:suppressAutoHyphens/>
        <w:autoSpaceDN w:val="0"/>
        <w:spacing w:after="0" w:line="360" w:lineRule="auto"/>
        <w:jc w:val="both"/>
        <w:textAlignment w:val="baseline"/>
        <w:rPr>
          <w:rFonts w:ascii="Open Sans" w:eastAsia="Calibri" w:hAnsi="Open Sans" w:cs="Open Sans"/>
          <w:sz w:val="20"/>
          <w:szCs w:val="20"/>
        </w:rPr>
      </w:pPr>
    </w:p>
    <w:tbl>
      <w:tblPr>
        <w:tblW w:w="8624" w:type="dxa"/>
        <w:tblLayout w:type="fixed"/>
        <w:tblCellMar>
          <w:left w:w="10" w:type="dxa"/>
          <w:right w:w="10" w:type="dxa"/>
        </w:tblCellMar>
        <w:tblLook w:val="0000" w:firstRow="0" w:lastRow="0" w:firstColumn="0" w:lastColumn="0" w:noHBand="0" w:noVBand="0"/>
      </w:tblPr>
      <w:tblGrid>
        <w:gridCol w:w="709"/>
        <w:gridCol w:w="4248"/>
        <w:gridCol w:w="567"/>
        <w:gridCol w:w="850"/>
        <w:gridCol w:w="567"/>
        <w:gridCol w:w="567"/>
        <w:gridCol w:w="1116"/>
      </w:tblGrid>
      <w:tr w:rsidR="00D572EA" w:rsidRPr="00A07BE9" w14:paraId="3FBD43A6" w14:textId="77777777" w:rsidTr="009544F0">
        <w:trPr>
          <w:tblHeader/>
        </w:trPr>
        <w:tc>
          <w:tcPr>
            <w:tcW w:w="8624" w:type="dxa"/>
            <w:gridSpan w:val="7"/>
            <w:tcBorders>
              <w:top w:val="single" w:sz="4" w:space="0" w:color="auto"/>
              <w:left w:val="single" w:sz="4" w:space="0" w:color="auto"/>
              <w:bottom w:val="single" w:sz="4" w:space="0" w:color="auto"/>
              <w:right w:val="single" w:sz="4" w:space="0" w:color="auto"/>
            </w:tcBorders>
            <w:shd w:val="clear" w:color="auto" w:fill="9D2235"/>
          </w:tcPr>
          <w:p w14:paraId="692B5DE0" w14:textId="77777777" w:rsidR="00D572EA" w:rsidRPr="00A07BE9" w:rsidRDefault="00D572EA" w:rsidP="00D572EA">
            <w:pPr>
              <w:suppressAutoHyphens/>
              <w:autoSpaceDN w:val="0"/>
              <w:spacing w:after="0" w:line="360" w:lineRule="auto"/>
              <w:jc w:val="center"/>
              <w:textAlignment w:val="baseline"/>
              <w:rPr>
                <w:rFonts w:ascii="Open Sans" w:eastAsia="Calibri" w:hAnsi="Open Sans" w:cs="Open Sans"/>
                <w:b/>
                <w:bCs/>
                <w:color w:val="FFFFFF"/>
                <w:sz w:val="18"/>
                <w:szCs w:val="18"/>
              </w:rPr>
            </w:pPr>
            <w:r w:rsidRPr="00A07BE9">
              <w:rPr>
                <w:rFonts w:ascii="Open Sans" w:eastAsia="Calibri" w:hAnsi="Open Sans" w:cs="Open Sans"/>
                <w:b/>
                <w:bCs/>
                <w:color w:val="FFFFFF"/>
                <w:sz w:val="18"/>
                <w:szCs w:val="18"/>
              </w:rPr>
              <w:t>DIRECCIÓN DE ANÁLISIS E INVESTIGACIÓN</w:t>
            </w:r>
          </w:p>
        </w:tc>
      </w:tr>
      <w:tr w:rsidR="00D572EA" w:rsidRPr="00A07BE9" w14:paraId="12F6ED5F" w14:textId="77777777" w:rsidTr="009544F0">
        <w:tc>
          <w:tcPr>
            <w:tcW w:w="709"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5AD91903"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N.º puesto</w:t>
            </w:r>
          </w:p>
        </w:tc>
        <w:tc>
          <w:tcPr>
            <w:tcW w:w="4248"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55A15C88"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Denominación</w:t>
            </w:r>
          </w:p>
        </w:tc>
        <w:tc>
          <w:tcPr>
            <w:tcW w:w="567"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2A67C272"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Reg. Jco.</w:t>
            </w:r>
          </w:p>
        </w:tc>
        <w:tc>
          <w:tcPr>
            <w:tcW w:w="850"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699B5E9C"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GR.</w:t>
            </w:r>
          </w:p>
        </w:tc>
        <w:tc>
          <w:tcPr>
            <w:tcW w:w="567"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088986A7"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Nivel CD</w:t>
            </w:r>
          </w:p>
        </w:tc>
        <w:tc>
          <w:tcPr>
            <w:tcW w:w="567"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1EFF7170"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Nivel CE</w:t>
            </w:r>
          </w:p>
        </w:tc>
        <w:tc>
          <w:tcPr>
            <w:tcW w:w="1116" w:type="dxa"/>
            <w:tcBorders>
              <w:top w:val="single" w:sz="4" w:space="0" w:color="auto"/>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48AF9514"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Forma provisión.</w:t>
            </w:r>
          </w:p>
        </w:tc>
      </w:tr>
      <w:tr w:rsidR="00D572EA" w:rsidRPr="00A07BE9" w14:paraId="32E5C04B" w14:textId="77777777" w:rsidTr="009544F0">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5FD0578"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3</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6C789A8"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Director/a de Análisis e Investigación</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FF8F3A8"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850"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CA85729"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A1</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124A5A6"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30</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5F39E8E"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50</w:t>
            </w:r>
          </w:p>
        </w:tc>
        <w:tc>
          <w:tcPr>
            <w:tcW w:w="1116"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2E1691D7"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LD - AP</w:t>
            </w:r>
          </w:p>
        </w:tc>
      </w:tr>
      <w:tr w:rsidR="00D572EA" w:rsidRPr="00A07BE9" w14:paraId="304E32FC" w14:textId="77777777" w:rsidTr="009544F0">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30ED942"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6</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BB194EA"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Jefe/a de Servicio de Análisis e Investigación I</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6AAA9FA"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850"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C47B4EA"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A1</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5F4275D"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28</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296D0AA"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50</w:t>
            </w:r>
          </w:p>
        </w:tc>
        <w:tc>
          <w:tcPr>
            <w:tcW w:w="1116"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6ECFADDF"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LD - AP</w:t>
            </w:r>
          </w:p>
        </w:tc>
      </w:tr>
      <w:tr w:rsidR="00D572EA" w:rsidRPr="00A07BE9" w14:paraId="1E58D0C9" w14:textId="77777777" w:rsidTr="009544F0">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306B866"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7</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3DD0C80"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Jefe de Servicio de Apoyo y Pericia</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235767A"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850"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80ED00E"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A1</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B508998"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28</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BBB7B43"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50</w:t>
            </w:r>
          </w:p>
        </w:tc>
        <w:tc>
          <w:tcPr>
            <w:tcW w:w="1116"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12749A86"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LD - AP</w:t>
            </w:r>
          </w:p>
        </w:tc>
      </w:tr>
      <w:tr w:rsidR="00D572EA" w:rsidRPr="00A07BE9" w14:paraId="3EF6AD77" w14:textId="77777777" w:rsidTr="009544F0">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04E7B25"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8</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DD72942"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Jefe/a de Servicio de Análisis e Investigación II</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256BB9D"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850"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46872F2"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A1</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60E5999"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28</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F901873"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50</w:t>
            </w:r>
          </w:p>
        </w:tc>
        <w:tc>
          <w:tcPr>
            <w:tcW w:w="1116"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3606D3C3"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LD - AP</w:t>
            </w:r>
          </w:p>
        </w:tc>
      </w:tr>
      <w:tr w:rsidR="00D572EA" w:rsidRPr="00A07BE9" w14:paraId="3E7E73B3" w14:textId="77777777" w:rsidTr="009544F0">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8698EF7"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9</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49E6051"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Jefe/a de Servicio de Sistemas de Información</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AE1BAF2"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850"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0CDC69B"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A1</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1490958"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28</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9F83124"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50</w:t>
            </w:r>
          </w:p>
        </w:tc>
        <w:tc>
          <w:tcPr>
            <w:tcW w:w="1116"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1181E016"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LD - AP</w:t>
            </w:r>
          </w:p>
        </w:tc>
      </w:tr>
      <w:tr w:rsidR="00D572EA" w:rsidRPr="00A07BE9" w14:paraId="46C46C75" w14:textId="77777777" w:rsidTr="009544F0">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4296D5A"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14</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454C893"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Jefe/a de Unidad de Análisis e Investigación I</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39F6FB2"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850"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68CAD4B"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A1/A2</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DE107D6"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26</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CF684AA"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49</w:t>
            </w:r>
          </w:p>
        </w:tc>
        <w:tc>
          <w:tcPr>
            <w:tcW w:w="1116"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184C6B7E"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LD - AP</w:t>
            </w:r>
          </w:p>
        </w:tc>
      </w:tr>
      <w:tr w:rsidR="00D572EA" w:rsidRPr="00A07BE9" w14:paraId="3E9C8859" w14:textId="77777777" w:rsidTr="009544F0">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8819A5E"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15</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F0C0E7F"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Jefe/a de Unidad de Análisis e Investigación II</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C94EBD7"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850"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8285871"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A1/A2</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ED5CFDF"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26</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B94A2A3"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49</w:t>
            </w:r>
          </w:p>
        </w:tc>
        <w:tc>
          <w:tcPr>
            <w:tcW w:w="1116"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30300E2C"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LD - AP</w:t>
            </w:r>
          </w:p>
        </w:tc>
      </w:tr>
      <w:tr w:rsidR="00D572EA" w:rsidRPr="00A07BE9" w14:paraId="50FB80B5" w14:textId="77777777" w:rsidTr="009544F0">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6279A6C"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16</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85BDDC8"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Jefe/a de Unidad de Análisis e Investigación III</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757EC24"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850"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30AFA8C"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A1/A2</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73A7BB1"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26</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9A7FCF0"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49</w:t>
            </w:r>
          </w:p>
        </w:tc>
        <w:tc>
          <w:tcPr>
            <w:tcW w:w="1116"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0C9F292E"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LD - AP</w:t>
            </w:r>
          </w:p>
        </w:tc>
      </w:tr>
      <w:tr w:rsidR="00D572EA" w:rsidRPr="00A07BE9" w14:paraId="632BD083" w14:textId="77777777" w:rsidTr="009544F0">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B858608"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17</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C73B86D"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Jefe/a de Unidad de Apoyo y Pericia</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E76E711"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850"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28B5D3A"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A1/A2</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7846333"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26</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CDE48EF"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49</w:t>
            </w:r>
          </w:p>
        </w:tc>
        <w:tc>
          <w:tcPr>
            <w:tcW w:w="1116"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06A0D584"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LD - AP</w:t>
            </w:r>
          </w:p>
        </w:tc>
      </w:tr>
      <w:tr w:rsidR="00D572EA" w:rsidRPr="00A07BE9" w14:paraId="21287BC0" w14:textId="77777777" w:rsidTr="009544F0">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2EB2E33"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18</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35810A0"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Jefe/a de Unidad de Coordinación Informática</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482A982"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850"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3ADC2D5"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A1/A2</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C1840B8"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26</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977966E"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49</w:t>
            </w:r>
          </w:p>
        </w:tc>
        <w:tc>
          <w:tcPr>
            <w:tcW w:w="1116"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3BD2CDA8"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LD - AP</w:t>
            </w:r>
          </w:p>
        </w:tc>
      </w:tr>
      <w:tr w:rsidR="00D572EA" w:rsidRPr="00A07BE9" w14:paraId="2DF8F8CB" w14:textId="77777777" w:rsidTr="009544F0">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92046CC"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19</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648D5FA"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Jefe/a de Unidad de Producción y Explotación de los Sistemas Informáticos</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345B7CE"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850"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4A92776"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A1/A2</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85BBA99"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26</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2126C88"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49</w:t>
            </w:r>
          </w:p>
        </w:tc>
        <w:tc>
          <w:tcPr>
            <w:tcW w:w="1116"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17DA54EE"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LD - AP</w:t>
            </w:r>
          </w:p>
        </w:tc>
      </w:tr>
      <w:tr w:rsidR="00D572EA" w:rsidRPr="00A07BE9" w14:paraId="7D1D8417" w14:textId="77777777" w:rsidTr="009544F0">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36D556B"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21</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472C342"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Investigador/a I</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1B9AF90"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850"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B91196D"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A1</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8895CF0"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24</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8BF4411"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48</w:t>
            </w:r>
          </w:p>
        </w:tc>
        <w:tc>
          <w:tcPr>
            <w:tcW w:w="1116"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5CA33B0F"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CE - AP</w:t>
            </w:r>
          </w:p>
        </w:tc>
      </w:tr>
      <w:tr w:rsidR="00D572EA" w:rsidRPr="00A07BE9" w14:paraId="5131C9A5" w14:textId="77777777" w:rsidTr="009544F0">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06157CB"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22</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172073F"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Investigador/a II</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E8CE981"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850"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EE6F01A"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A1</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C95E132"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24</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CED2D81"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48</w:t>
            </w:r>
          </w:p>
        </w:tc>
        <w:tc>
          <w:tcPr>
            <w:tcW w:w="1116"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41F78EE5"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CE - AP</w:t>
            </w:r>
          </w:p>
        </w:tc>
      </w:tr>
      <w:tr w:rsidR="00D572EA" w:rsidRPr="00A07BE9" w14:paraId="7EB72547" w14:textId="77777777" w:rsidTr="009544F0">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E11B2B4"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27</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8019596"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Jefe/a de Equipo de Análisis e Investigación</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FD44813"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850"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DDDDDAA"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C1</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38D97A7"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20</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9FFB3C9"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35</w:t>
            </w:r>
          </w:p>
        </w:tc>
        <w:tc>
          <w:tcPr>
            <w:tcW w:w="1116"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61A12938"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CE – AP</w:t>
            </w:r>
          </w:p>
        </w:tc>
      </w:tr>
    </w:tbl>
    <w:p w14:paraId="7CC2EE94" w14:textId="77777777" w:rsidR="007D7616" w:rsidRPr="00A07BE9" w:rsidRDefault="007D7616" w:rsidP="00D572EA">
      <w:pPr>
        <w:suppressAutoHyphens/>
        <w:autoSpaceDN w:val="0"/>
        <w:spacing w:after="0" w:line="360" w:lineRule="auto"/>
        <w:jc w:val="both"/>
        <w:textAlignment w:val="baseline"/>
        <w:rPr>
          <w:rFonts w:ascii="Open Sans" w:eastAsia="Calibri" w:hAnsi="Open Sans" w:cs="Open Sans"/>
          <w:sz w:val="20"/>
          <w:szCs w:val="20"/>
        </w:rPr>
      </w:pPr>
    </w:p>
    <w:tbl>
      <w:tblPr>
        <w:tblW w:w="8624" w:type="dxa"/>
        <w:tblLayout w:type="fixed"/>
        <w:tblCellMar>
          <w:left w:w="10" w:type="dxa"/>
          <w:right w:w="10" w:type="dxa"/>
        </w:tblCellMar>
        <w:tblLook w:val="0000" w:firstRow="0" w:lastRow="0" w:firstColumn="0" w:lastColumn="0" w:noHBand="0" w:noVBand="0"/>
      </w:tblPr>
      <w:tblGrid>
        <w:gridCol w:w="709"/>
        <w:gridCol w:w="4248"/>
        <w:gridCol w:w="567"/>
        <w:gridCol w:w="609"/>
        <w:gridCol w:w="608"/>
        <w:gridCol w:w="651"/>
        <w:gridCol w:w="1232"/>
      </w:tblGrid>
      <w:tr w:rsidR="00D572EA" w:rsidRPr="00A07BE9" w14:paraId="735928EF" w14:textId="77777777" w:rsidTr="007A0132">
        <w:trPr>
          <w:tblHeader/>
        </w:trPr>
        <w:tc>
          <w:tcPr>
            <w:tcW w:w="8624" w:type="dxa"/>
            <w:gridSpan w:val="7"/>
            <w:tcBorders>
              <w:top w:val="single" w:sz="4" w:space="0" w:color="auto"/>
              <w:left w:val="single" w:sz="4" w:space="0" w:color="auto"/>
              <w:bottom w:val="single" w:sz="4" w:space="0" w:color="auto"/>
              <w:right w:val="single" w:sz="4" w:space="0" w:color="auto"/>
            </w:tcBorders>
            <w:shd w:val="clear" w:color="auto" w:fill="9D2235"/>
          </w:tcPr>
          <w:p w14:paraId="435D74DD" w14:textId="77777777" w:rsidR="00D572EA" w:rsidRPr="00A07BE9" w:rsidRDefault="00D572EA" w:rsidP="00D572EA">
            <w:pPr>
              <w:suppressAutoHyphens/>
              <w:autoSpaceDN w:val="0"/>
              <w:spacing w:after="0" w:line="360" w:lineRule="auto"/>
              <w:jc w:val="center"/>
              <w:textAlignment w:val="baseline"/>
              <w:rPr>
                <w:rFonts w:ascii="Open Sans" w:eastAsia="Calibri" w:hAnsi="Open Sans" w:cs="Open Sans"/>
                <w:b/>
                <w:bCs/>
                <w:color w:val="FFFFFF"/>
                <w:sz w:val="18"/>
                <w:szCs w:val="18"/>
              </w:rPr>
            </w:pPr>
            <w:r w:rsidRPr="00A07BE9">
              <w:rPr>
                <w:rFonts w:ascii="Open Sans" w:eastAsia="Calibri" w:hAnsi="Open Sans" w:cs="Open Sans"/>
                <w:b/>
                <w:bCs/>
                <w:color w:val="FFFFFF"/>
                <w:sz w:val="18"/>
                <w:szCs w:val="18"/>
              </w:rPr>
              <w:lastRenderedPageBreak/>
              <w:t>DIRECCIÓN DE PREVENCIÓN, FORMACIÓN Y DOCUMENTACIÓN</w:t>
            </w:r>
          </w:p>
        </w:tc>
      </w:tr>
      <w:tr w:rsidR="00D572EA" w:rsidRPr="00A07BE9" w14:paraId="1112B423" w14:textId="77777777" w:rsidTr="007A0132">
        <w:tc>
          <w:tcPr>
            <w:tcW w:w="709"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3E84532F"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N.º puesto</w:t>
            </w:r>
          </w:p>
        </w:tc>
        <w:tc>
          <w:tcPr>
            <w:tcW w:w="4248"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7577FD60"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Denominación</w:t>
            </w:r>
          </w:p>
        </w:tc>
        <w:tc>
          <w:tcPr>
            <w:tcW w:w="567"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17403AC6"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Reg. Jco.</w:t>
            </w:r>
          </w:p>
        </w:tc>
        <w:tc>
          <w:tcPr>
            <w:tcW w:w="609"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161B6AD1"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GR.</w:t>
            </w:r>
          </w:p>
        </w:tc>
        <w:tc>
          <w:tcPr>
            <w:tcW w:w="608"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34DD7FD6"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Nivel CD</w:t>
            </w:r>
          </w:p>
        </w:tc>
        <w:tc>
          <w:tcPr>
            <w:tcW w:w="651"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307DF927"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Nivel CE</w:t>
            </w:r>
          </w:p>
        </w:tc>
        <w:tc>
          <w:tcPr>
            <w:tcW w:w="1232" w:type="dxa"/>
            <w:tcBorders>
              <w:top w:val="single" w:sz="4" w:space="0" w:color="auto"/>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6BCC20C9"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Forma provisión.</w:t>
            </w:r>
          </w:p>
        </w:tc>
      </w:tr>
      <w:tr w:rsidR="00D572EA" w:rsidRPr="00A07BE9" w14:paraId="1358F232" w14:textId="77777777" w:rsidTr="007A0132">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5955299"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4</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C8E6DAF"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Director/a de Prevención, Formación y Documentación</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F128B99"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6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58228D4"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A1</w:t>
            </w:r>
          </w:p>
        </w:tc>
        <w:tc>
          <w:tcPr>
            <w:tcW w:w="6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D6501FE"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30</w:t>
            </w:r>
          </w:p>
        </w:tc>
        <w:tc>
          <w:tcPr>
            <w:tcW w:w="651"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70A30DB"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50</w:t>
            </w:r>
          </w:p>
        </w:tc>
        <w:tc>
          <w:tcPr>
            <w:tcW w:w="1232"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5D013B9E"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LD -AP</w:t>
            </w:r>
          </w:p>
        </w:tc>
      </w:tr>
      <w:tr w:rsidR="00D572EA" w:rsidRPr="00A07BE9" w14:paraId="035D9FDC" w14:textId="77777777" w:rsidTr="007A0132">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6501AD1"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10</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A2195AC"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Jefe/a de Servicio de Prevención</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577C7D7"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6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F3A7392"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A1</w:t>
            </w:r>
          </w:p>
        </w:tc>
        <w:tc>
          <w:tcPr>
            <w:tcW w:w="6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0709A88"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28</w:t>
            </w:r>
          </w:p>
        </w:tc>
        <w:tc>
          <w:tcPr>
            <w:tcW w:w="651"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AE51BDC"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50</w:t>
            </w:r>
          </w:p>
        </w:tc>
        <w:tc>
          <w:tcPr>
            <w:tcW w:w="1232"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726AB98F"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LD -AP</w:t>
            </w:r>
          </w:p>
        </w:tc>
      </w:tr>
      <w:tr w:rsidR="00D572EA" w:rsidRPr="00A07BE9" w14:paraId="1A3E75C6" w14:textId="77777777" w:rsidTr="007A0132">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9CA669B"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20</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4CF1E2E"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Técnico/a de Formación</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8C58455"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6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C727E82"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A1</w:t>
            </w:r>
          </w:p>
        </w:tc>
        <w:tc>
          <w:tcPr>
            <w:tcW w:w="6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F6BFB99"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24</w:t>
            </w:r>
          </w:p>
        </w:tc>
        <w:tc>
          <w:tcPr>
            <w:tcW w:w="651"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C9FE32B"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48</w:t>
            </w:r>
          </w:p>
        </w:tc>
        <w:tc>
          <w:tcPr>
            <w:tcW w:w="1232"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6CDAA024"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CE -AP</w:t>
            </w:r>
          </w:p>
        </w:tc>
      </w:tr>
      <w:tr w:rsidR="00D572EA" w:rsidRPr="00A07BE9" w14:paraId="0ABB868F" w14:textId="77777777" w:rsidTr="007A0132">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938E799"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30</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719BB0A"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Jefe/a de negociado de soporte a prevención, formación y documentación.</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1293C09"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6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5F0F118"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C1/C2</w:t>
            </w:r>
          </w:p>
        </w:tc>
        <w:tc>
          <w:tcPr>
            <w:tcW w:w="6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75E1F07"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18</w:t>
            </w:r>
          </w:p>
        </w:tc>
        <w:tc>
          <w:tcPr>
            <w:tcW w:w="651"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0D92C4E"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35</w:t>
            </w:r>
          </w:p>
        </w:tc>
        <w:tc>
          <w:tcPr>
            <w:tcW w:w="1232"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4685813B"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CE – AP</w:t>
            </w:r>
          </w:p>
        </w:tc>
      </w:tr>
      <w:tr w:rsidR="00D572EA" w:rsidRPr="00A07BE9" w14:paraId="10FFD946" w14:textId="77777777" w:rsidTr="007A0132">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725D26C"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33</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1065518"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Jefe/a de Servicio de Formación</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AFB6E15"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6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ABAF8D7"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A1</w:t>
            </w:r>
          </w:p>
        </w:tc>
        <w:tc>
          <w:tcPr>
            <w:tcW w:w="6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1E92872"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28</w:t>
            </w:r>
          </w:p>
        </w:tc>
        <w:tc>
          <w:tcPr>
            <w:tcW w:w="651"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8C17D2C"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50</w:t>
            </w:r>
          </w:p>
        </w:tc>
        <w:tc>
          <w:tcPr>
            <w:tcW w:w="1232"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41EBE012"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LD -AP</w:t>
            </w:r>
          </w:p>
        </w:tc>
      </w:tr>
      <w:tr w:rsidR="00D572EA" w:rsidRPr="00A07BE9" w14:paraId="36A05EFC" w14:textId="77777777" w:rsidTr="007A0132">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23F17E3"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34</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98447EB"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Jefe/a de Servicio de Documentación e Informes</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2C7BDCA"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6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3C8C9CC"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A1</w:t>
            </w:r>
          </w:p>
        </w:tc>
        <w:tc>
          <w:tcPr>
            <w:tcW w:w="6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8F261AA"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28</w:t>
            </w:r>
          </w:p>
        </w:tc>
        <w:tc>
          <w:tcPr>
            <w:tcW w:w="651"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5998655"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50</w:t>
            </w:r>
          </w:p>
        </w:tc>
        <w:tc>
          <w:tcPr>
            <w:tcW w:w="1232"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2DC340F9"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LD -AP</w:t>
            </w:r>
          </w:p>
        </w:tc>
      </w:tr>
      <w:tr w:rsidR="00D572EA" w:rsidRPr="00A07BE9" w14:paraId="6C3E32BF" w14:textId="77777777" w:rsidTr="007A0132">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168AACF"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35</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76DA90E"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Técnico/a de Prevención</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4FB6077"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6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AB0A206"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A1</w:t>
            </w:r>
          </w:p>
        </w:tc>
        <w:tc>
          <w:tcPr>
            <w:tcW w:w="6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544B67F"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24</w:t>
            </w:r>
          </w:p>
        </w:tc>
        <w:tc>
          <w:tcPr>
            <w:tcW w:w="651"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819D259"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48</w:t>
            </w:r>
          </w:p>
        </w:tc>
        <w:tc>
          <w:tcPr>
            <w:tcW w:w="1232"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61A75A40"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CE – AP</w:t>
            </w:r>
          </w:p>
        </w:tc>
      </w:tr>
      <w:tr w:rsidR="00D572EA" w:rsidRPr="00A07BE9" w14:paraId="49A599CA" w14:textId="77777777" w:rsidTr="007A0132">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92DC000"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36</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B2B8828"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Técnico/a de Formación</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0133D4D"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6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D23737C"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A1</w:t>
            </w:r>
          </w:p>
        </w:tc>
        <w:tc>
          <w:tcPr>
            <w:tcW w:w="6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41244F3"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24</w:t>
            </w:r>
          </w:p>
        </w:tc>
        <w:tc>
          <w:tcPr>
            <w:tcW w:w="651"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BEBDD24"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48</w:t>
            </w:r>
          </w:p>
        </w:tc>
        <w:tc>
          <w:tcPr>
            <w:tcW w:w="1232"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328F9721"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CE – AP</w:t>
            </w:r>
          </w:p>
        </w:tc>
      </w:tr>
    </w:tbl>
    <w:p w14:paraId="7438D670" w14:textId="77777777" w:rsidR="007D7616" w:rsidRPr="00A07BE9" w:rsidRDefault="007D7616" w:rsidP="00D572EA">
      <w:pPr>
        <w:suppressAutoHyphens/>
        <w:autoSpaceDN w:val="0"/>
        <w:spacing w:after="0" w:line="360" w:lineRule="auto"/>
        <w:jc w:val="both"/>
        <w:textAlignment w:val="baseline"/>
        <w:rPr>
          <w:rFonts w:ascii="Open Sans" w:eastAsia="Calibri" w:hAnsi="Open Sans" w:cs="Open Sans"/>
          <w:sz w:val="20"/>
          <w:szCs w:val="20"/>
        </w:rPr>
      </w:pPr>
    </w:p>
    <w:tbl>
      <w:tblPr>
        <w:tblW w:w="8624" w:type="dxa"/>
        <w:tblLayout w:type="fixed"/>
        <w:tblCellMar>
          <w:left w:w="10" w:type="dxa"/>
          <w:right w:w="10" w:type="dxa"/>
        </w:tblCellMar>
        <w:tblLook w:val="0000" w:firstRow="0" w:lastRow="0" w:firstColumn="0" w:lastColumn="0" w:noHBand="0" w:noVBand="0"/>
      </w:tblPr>
      <w:tblGrid>
        <w:gridCol w:w="709"/>
        <w:gridCol w:w="4248"/>
        <w:gridCol w:w="567"/>
        <w:gridCol w:w="609"/>
        <w:gridCol w:w="608"/>
        <w:gridCol w:w="651"/>
        <w:gridCol w:w="1232"/>
      </w:tblGrid>
      <w:tr w:rsidR="00D572EA" w:rsidRPr="00A07BE9" w14:paraId="639C9A88" w14:textId="77777777" w:rsidTr="00DF7646">
        <w:trPr>
          <w:tblHeader/>
        </w:trPr>
        <w:tc>
          <w:tcPr>
            <w:tcW w:w="8624" w:type="dxa"/>
            <w:gridSpan w:val="7"/>
            <w:tcBorders>
              <w:top w:val="single" w:sz="4" w:space="0" w:color="auto"/>
              <w:left w:val="single" w:sz="4" w:space="0" w:color="auto"/>
              <w:bottom w:val="single" w:sz="4" w:space="0" w:color="auto"/>
              <w:right w:val="single" w:sz="4" w:space="0" w:color="auto"/>
            </w:tcBorders>
            <w:shd w:val="clear" w:color="auto" w:fill="9D2235"/>
          </w:tcPr>
          <w:p w14:paraId="1D5F145B" w14:textId="77777777" w:rsidR="00D572EA" w:rsidRPr="00A07BE9" w:rsidRDefault="00D572EA" w:rsidP="00D572EA">
            <w:pPr>
              <w:suppressAutoHyphens/>
              <w:autoSpaceDN w:val="0"/>
              <w:spacing w:after="0" w:line="360" w:lineRule="auto"/>
              <w:jc w:val="center"/>
              <w:textAlignment w:val="baseline"/>
              <w:rPr>
                <w:rFonts w:ascii="Open Sans" w:eastAsia="Calibri" w:hAnsi="Open Sans" w:cs="Open Sans"/>
                <w:b/>
                <w:bCs/>
                <w:color w:val="FFFFFF"/>
                <w:sz w:val="18"/>
                <w:szCs w:val="18"/>
              </w:rPr>
            </w:pPr>
            <w:r w:rsidRPr="00A07BE9">
              <w:rPr>
                <w:rFonts w:ascii="Open Sans" w:eastAsia="Calibri" w:hAnsi="Open Sans" w:cs="Open Sans"/>
                <w:b/>
                <w:bCs/>
                <w:color w:val="FFFFFF"/>
                <w:sz w:val="18"/>
                <w:szCs w:val="18"/>
              </w:rPr>
              <w:t>DIRECCIÓN DE ASUNTOS JURÍDICOS</w:t>
            </w:r>
          </w:p>
        </w:tc>
      </w:tr>
      <w:tr w:rsidR="00D572EA" w:rsidRPr="00A07BE9" w14:paraId="09D8DCCA" w14:textId="77777777" w:rsidTr="00DF7646">
        <w:tc>
          <w:tcPr>
            <w:tcW w:w="709"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09E14B72"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N.º puesto</w:t>
            </w:r>
          </w:p>
        </w:tc>
        <w:tc>
          <w:tcPr>
            <w:tcW w:w="4248"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23180771"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Denominación</w:t>
            </w:r>
          </w:p>
        </w:tc>
        <w:tc>
          <w:tcPr>
            <w:tcW w:w="567"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6BE24846"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Reg. Jco.</w:t>
            </w:r>
          </w:p>
        </w:tc>
        <w:tc>
          <w:tcPr>
            <w:tcW w:w="609"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62FB978B"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GR.</w:t>
            </w:r>
          </w:p>
        </w:tc>
        <w:tc>
          <w:tcPr>
            <w:tcW w:w="608"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68F1A1E9"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Nivel CD</w:t>
            </w:r>
          </w:p>
        </w:tc>
        <w:tc>
          <w:tcPr>
            <w:tcW w:w="651" w:type="dxa"/>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vAlign w:val="center"/>
          </w:tcPr>
          <w:p w14:paraId="18DD4F7F"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Nivel CE</w:t>
            </w:r>
          </w:p>
        </w:tc>
        <w:tc>
          <w:tcPr>
            <w:tcW w:w="1232" w:type="dxa"/>
            <w:tcBorders>
              <w:top w:val="single" w:sz="4" w:space="0" w:color="auto"/>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7D3F8B88"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b/>
                <w:bCs/>
                <w:sz w:val="18"/>
                <w:szCs w:val="18"/>
              </w:rPr>
            </w:pPr>
            <w:r w:rsidRPr="00A07BE9">
              <w:rPr>
                <w:rFonts w:ascii="Open Sans" w:eastAsia="Calibri" w:hAnsi="Open Sans" w:cs="Open Sans"/>
                <w:b/>
                <w:bCs/>
                <w:sz w:val="18"/>
                <w:szCs w:val="18"/>
              </w:rPr>
              <w:t>Forma provisión.</w:t>
            </w:r>
          </w:p>
        </w:tc>
      </w:tr>
      <w:tr w:rsidR="00D572EA" w:rsidRPr="00A07BE9" w14:paraId="3CADDED8" w14:textId="77777777" w:rsidTr="00DF7646">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F9AF8F0"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5</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74CFAEF"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Director/a de Asuntos Jurídicos</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F43844E"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6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C378A3E"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A1</w:t>
            </w:r>
          </w:p>
        </w:tc>
        <w:tc>
          <w:tcPr>
            <w:tcW w:w="6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9BF2133"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30</w:t>
            </w:r>
          </w:p>
        </w:tc>
        <w:tc>
          <w:tcPr>
            <w:tcW w:w="651"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4696F9A"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50</w:t>
            </w:r>
          </w:p>
        </w:tc>
        <w:tc>
          <w:tcPr>
            <w:tcW w:w="1232"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6BEB4B1F"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LD -AP</w:t>
            </w:r>
          </w:p>
        </w:tc>
      </w:tr>
      <w:tr w:rsidR="00D572EA" w:rsidRPr="00A07BE9" w14:paraId="14200E3E" w14:textId="77777777" w:rsidTr="00DF7646">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54AE499"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11</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530C382"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Letrado/a</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AC92ADE"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6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27E5BEB"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A1</w:t>
            </w:r>
          </w:p>
        </w:tc>
        <w:tc>
          <w:tcPr>
            <w:tcW w:w="6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49914F8"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28</w:t>
            </w:r>
          </w:p>
        </w:tc>
        <w:tc>
          <w:tcPr>
            <w:tcW w:w="651"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FC65CB0"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50</w:t>
            </w:r>
          </w:p>
        </w:tc>
        <w:tc>
          <w:tcPr>
            <w:tcW w:w="1232"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57DEA9AC"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LD -AP</w:t>
            </w:r>
          </w:p>
        </w:tc>
      </w:tr>
      <w:tr w:rsidR="00D572EA" w:rsidRPr="00A07BE9" w14:paraId="54B5F790" w14:textId="77777777" w:rsidTr="00DF7646">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CCF2370"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24</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18F3B08"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Jefe/a de Unidad de Asuntos Jurídicos</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ED8765B"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6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141295F"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A1</w:t>
            </w:r>
          </w:p>
        </w:tc>
        <w:tc>
          <w:tcPr>
            <w:tcW w:w="6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BDCF0B6"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26</w:t>
            </w:r>
          </w:p>
        </w:tc>
        <w:tc>
          <w:tcPr>
            <w:tcW w:w="651"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60B4FBB"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49</w:t>
            </w:r>
          </w:p>
        </w:tc>
        <w:tc>
          <w:tcPr>
            <w:tcW w:w="1232"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3AFE9C10"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LD -AP</w:t>
            </w:r>
          </w:p>
        </w:tc>
      </w:tr>
      <w:tr w:rsidR="00D572EA" w:rsidRPr="00A07BE9" w14:paraId="7B0A9A4E" w14:textId="77777777" w:rsidTr="00DF7646">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3E742C6"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29</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9F9A29C"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Jefe/a de negociado de soporte administrativo y jurídico</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8E01E1A"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6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8EFA6B6"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C1/C2</w:t>
            </w:r>
          </w:p>
        </w:tc>
        <w:tc>
          <w:tcPr>
            <w:tcW w:w="6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CDB50BB"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18</w:t>
            </w:r>
          </w:p>
        </w:tc>
        <w:tc>
          <w:tcPr>
            <w:tcW w:w="651"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4B5141D"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35</w:t>
            </w:r>
          </w:p>
        </w:tc>
        <w:tc>
          <w:tcPr>
            <w:tcW w:w="1232"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21D171E1"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CE – AP</w:t>
            </w:r>
          </w:p>
        </w:tc>
      </w:tr>
      <w:tr w:rsidR="00D572EA" w:rsidRPr="00A07BE9" w14:paraId="64AB4562" w14:textId="77777777" w:rsidTr="00DF7646">
        <w:tc>
          <w:tcPr>
            <w:tcW w:w="7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0CE8CCF"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37</w:t>
            </w:r>
          </w:p>
        </w:tc>
        <w:tc>
          <w:tcPr>
            <w:tcW w:w="424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EFCBF62" w14:textId="77777777" w:rsidR="00D572EA" w:rsidRPr="00A07BE9" w:rsidRDefault="00D572EA" w:rsidP="00D572EA">
            <w:pPr>
              <w:suppressAutoHyphens/>
              <w:autoSpaceDN w:val="0"/>
              <w:spacing w:after="0" w:line="240" w:lineRule="auto"/>
              <w:jc w:val="both"/>
              <w:textAlignment w:val="baseline"/>
              <w:rPr>
                <w:rFonts w:ascii="Open Sans" w:eastAsia="Calibri" w:hAnsi="Open Sans" w:cs="Open Sans"/>
                <w:sz w:val="18"/>
                <w:szCs w:val="18"/>
              </w:rPr>
            </w:pPr>
            <w:r w:rsidRPr="00A07BE9">
              <w:rPr>
                <w:rFonts w:ascii="Open Sans" w:eastAsia="Calibri" w:hAnsi="Open Sans" w:cs="Open Sans"/>
                <w:sz w:val="18"/>
                <w:szCs w:val="18"/>
              </w:rPr>
              <w:t>Letrado/a</w:t>
            </w:r>
          </w:p>
        </w:tc>
        <w:tc>
          <w:tcPr>
            <w:tcW w:w="5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146F8CD"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F</w:t>
            </w:r>
          </w:p>
        </w:tc>
        <w:tc>
          <w:tcPr>
            <w:tcW w:w="609"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AC3C762"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A1</w:t>
            </w:r>
          </w:p>
        </w:tc>
        <w:tc>
          <w:tcPr>
            <w:tcW w:w="60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3C4DEA1"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28</w:t>
            </w:r>
          </w:p>
        </w:tc>
        <w:tc>
          <w:tcPr>
            <w:tcW w:w="651"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29DB322"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50</w:t>
            </w:r>
          </w:p>
        </w:tc>
        <w:tc>
          <w:tcPr>
            <w:tcW w:w="1232"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36EE07BA" w14:textId="77777777" w:rsidR="00D572EA" w:rsidRPr="00A07BE9" w:rsidRDefault="00D572EA" w:rsidP="00D572EA">
            <w:pPr>
              <w:suppressAutoHyphens/>
              <w:autoSpaceDN w:val="0"/>
              <w:spacing w:after="0" w:line="240" w:lineRule="auto"/>
              <w:jc w:val="center"/>
              <w:textAlignment w:val="baseline"/>
              <w:rPr>
                <w:rFonts w:ascii="Open Sans" w:eastAsia="Calibri" w:hAnsi="Open Sans" w:cs="Open Sans"/>
                <w:sz w:val="18"/>
                <w:szCs w:val="18"/>
              </w:rPr>
            </w:pPr>
            <w:r w:rsidRPr="00A07BE9">
              <w:rPr>
                <w:rFonts w:ascii="Open Sans" w:eastAsia="Calibri" w:hAnsi="Open Sans" w:cs="Open Sans"/>
                <w:sz w:val="18"/>
                <w:szCs w:val="18"/>
              </w:rPr>
              <w:t>LD -AP</w:t>
            </w:r>
          </w:p>
        </w:tc>
      </w:tr>
    </w:tbl>
    <w:p w14:paraId="1991A023" w14:textId="77777777" w:rsidR="00D572EA" w:rsidRPr="00A07BE9" w:rsidRDefault="00D572EA" w:rsidP="00DF7646">
      <w:pPr>
        <w:suppressAutoHyphens/>
        <w:autoSpaceDN w:val="0"/>
        <w:spacing w:after="0" w:line="276" w:lineRule="auto"/>
        <w:jc w:val="both"/>
        <w:textAlignment w:val="baseline"/>
        <w:rPr>
          <w:rFonts w:ascii="Open Sans" w:eastAsia="Calibri" w:hAnsi="Open Sans" w:cs="Open Sans"/>
          <w:sz w:val="20"/>
          <w:szCs w:val="20"/>
        </w:rPr>
      </w:pPr>
    </w:p>
    <w:p w14:paraId="02B928E6" w14:textId="77777777" w:rsidR="00D572EA" w:rsidRPr="00A07BE9" w:rsidRDefault="00D572EA" w:rsidP="00DF7646">
      <w:pPr>
        <w:suppressAutoHyphens/>
        <w:autoSpaceDN w:val="0"/>
        <w:spacing w:after="0" w:line="276" w:lineRule="auto"/>
        <w:jc w:val="both"/>
        <w:textAlignment w:val="baseline"/>
        <w:rPr>
          <w:rFonts w:ascii="Open Sans" w:eastAsia="Calibri" w:hAnsi="Open Sans" w:cs="Open Sans"/>
          <w:color w:val="000000"/>
          <w:sz w:val="20"/>
          <w:szCs w:val="20"/>
        </w:rPr>
      </w:pPr>
      <w:r w:rsidRPr="00A07BE9">
        <w:rPr>
          <w:rFonts w:ascii="Open Sans" w:eastAsia="Calibri" w:hAnsi="Open Sans" w:cs="Open Sans"/>
          <w:color w:val="000000"/>
          <w:sz w:val="20"/>
          <w:szCs w:val="20"/>
        </w:rPr>
        <w:t>Desde la creación de la Agencia, podemos obtener ya unas comparativas interesantes sobre la evolución de la estructura de cada una de las unidades administrativas que la integran, adecuándolas a las exigencias, tanto cualitativas como cuantitativas, que surgen del despliegue de su acción.</w:t>
      </w:r>
    </w:p>
    <w:p w14:paraId="1462AC4A" w14:textId="77777777" w:rsidR="00D572EA" w:rsidRPr="00A07BE9" w:rsidRDefault="00D572EA" w:rsidP="00DF7646">
      <w:pPr>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28785739" w14:textId="77777777" w:rsidR="00D572EA" w:rsidRPr="00A07BE9" w:rsidRDefault="00D572EA" w:rsidP="00DF7646">
      <w:pPr>
        <w:suppressAutoHyphens/>
        <w:autoSpaceDN w:val="0"/>
        <w:spacing w:after="0" w:line="276" w:lineRule="auto"/>
        <w:jc w:val="both"/>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color w:val="000000"/>
          <w:sz w:val="20"/>
          <w:szCs w:val="20"/>
        </w:rPr>
        <w:t>En el siguiente gráfico puede verse cómo se ha ido configurado la estructura de cada una de las unidades administrativas de la Agencia desde su creación:</w:t>
      </w:r>
    </w:p>
    <w:p w14:paraId="2BB6E300" w14:textId="0142A89C" w:rsidR="00D572EA" w:rsidRPr="00A07BE9" w:rsidRDefault="00D572EA" w:rsidP="00DF7646">
      <w:pPr>
        <w:suppressAutoHyphens/>
        <w:autoSpaceDN w:val="0"/>
        <w:spacing w:after="0" w:line="276" w:lineRule="auto"/>
        <w:jc w:val="both"/>
        <w:textAlignment w:val="baseline"/>
        <w:rPr>
          <w:rFonts w:ascii="Liberation Serif" w:eastAsia="Droid Sans Fallback" w:hAnsi="Liberation Serif" w:cs="FreeSans"/>
          <w:kern w:val="3"/>
          <w:sz w:val="24"/>
          <w:szCs w:val="24"/>
          <w:lang w:eastAsia="zh-CN" w:bidi="hi-IN"/>
        </w:rPr>
      </w:pPr>
    </w:p>
    <w:p w14:paraId="6BABBC68" w14:textId="78C43E34" w:rsidR="00D572EA" w:rsidRPr="00A07BE9" w:rsidRDefault="00D83CA9" w:rsidP="00A620EB">
      <w:pPr>
        <w:suppressAutoHyphens/>
        <w:autoSpaceDN w:val="0"/>
        <w:spacing w:after="0" w:line="276" w:lineRule="auto"/>
        <w:jc w:val="both"/>
        <w:rPr>
          <w:rFonts w:ascii="Open Sans" w:eastAsia="Droid Sans Fallback" w:hAnsi="Open Sans" w:cs="Open Sans"/>
          <w:kern w:val="3"/>
          <w:sz w:val="20"/>
          <w:szCs w:val="20"/>
          <w:lang w:eastAsia="zh-CN" w:bidi="hi-IN"/>
        </w:rPr>
      </w:pPr>
      <w:r w:rsidRPr="00A07BE9">
        <w:rPr>
          <w:rFonts w:ascii="Liberation Serif" w:eastAsia="Droid Sans Fallback" w:hAnsi="Liberation Serif" w:cs="FreeSans"/>
          <w:noProof/>
          <w:kern w:val="3"/>
          <w:sz w:val="24"/>
          <w:szCs w:val="24"/>
          <w:lang w:eastAsia="zh-CN" w:bidi="hi-IN"/>
        </w:rPr>
        <w:lastRenderedPageBreak/>
        <w:drawing>
          <wp:anchor distT="0" distB="0" distL="114300" distR="114300" simplePos="0" relativeHeight="251899904" behindDoc="1" locked="0" layoutInCell="1" allowOverlap="1" wp14:anchorId="4FA68EAA" wp14:editId="16AC844C">
            <wp:simplePos x="0" y="0"/>
            <wp:positionH relativeFrom="margin">
              <wp:align>right</wp:align>
            </wp:positionH>
            <wp:positionV relativeFrom="paragraph">
              <wp:posOffset>424815</wp:posOffset>
            </wp:positionV>
            <wp:extent cx="5403850" cy="3190875"/>
            <wp:effectExtent l="0" t="0" r="6350" b="0"/>
            <wp:wrapTight wrapText="bothSides">
              <wp:wrapPolygon edited="0">
                <wp:start x="0" y="0"/>
                <wp:lineTo x="0" y="21407"/>
                <wp:lineTo x="21549" y="21407"/>
                <wp:lineTo x="21549" y="0"/>
                <wp:lineTo x="0" y="0"/>
              </wp:wrapPolygon>
            </wp:wrapTight>
            <wp:docPr id="106" name="Gráfico 106">
              <a:extLst xmlns:a="http://schemas.openxmlformats.org/drawingml/2006/main">
                <a:ext uri="{FF2B5EF4-FFF2-40B4-BE49-F238E27FC236}">
                  <a16:creationId xmlns:a16="http://schemas.microsoft.com/office/drawing/2014/main" id="{1EBD8E69-564F-4E7D-AFCD-5959BF55D1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8"/>
              </a:graphicData>
            </a:graphic>
            <wp14:sizeRelH relativeFrom="margin">
              <wp14:pctWidth>0</wp14:pctWidth>
            </wp14:sizeRelH>
            <wp14:sizeRelV relativeFrom="margin">
              <wp14:pctHeight>0</wp14:pctHeight>
            </wp14:sizeRelV>
          </wp:anchor>
        </w:drawing>
      </w:r>
      <w:r w:rsidR="00D572EA" w:rsidRPr="00A07BE9">
        <w:rPr>
          <w:rFonts w:ascii="Open Sans" w:eastAsia="Times New Roman" w:hAnsi="Open Sans" w:cs="Open Sans"/>
          <w:b/>
          <w:bCs/>
          <w:color w:val="9D2235"/>
          <w:sz w:val="20"/>
          <w:szCs w:val="20"/>
          <w:lang w:eastAsia="es-ES"/>
        </w:rPr>
        <w:t xml:space="preserve">Gráfico </w:t>
      </w:r>
      <w:r w:rsidR="00C04A22" w:rsidRPr="00A07BE9">
        <w:rPr>
          <w:rFonts w:ascii="Open Sans" w:eastAsia="Times New Roman" w:hAnsi="Open Sans" w:cs="Open Sans"/>
          <w:b/>
          <w:bCs/>
          <w:color w:val="9D2235"/>
          <w:sz w:val="20"/>
          <w:szCs w:val="20"/>
          <w:lang w:eastAsia="es-ES"/>
        </w:rPr>
        <w:t>3</w:t>
      </w:r>
      <w:r w:rsidR="00D201B5" w:rsidRPr="00A07BE9">
        <w:rPr>
          <w:rFonts w:ascii="Open Sans" w:eastAsia="Times New Roman" w:hAnsi="Open Sans" w:cs="Open Sans"/>
          <w:b/>
          <w:bCs/>
          <w:color w:val="9D2235"/>
          <w:sz w:val="20"/>
          <w:szCs w:val="20"/>
          <w:lang w:eastAsia="es-ES"/>
        </w:rPr>
        <w:t>4</w:t>
      </w:r>
      <w:r w:rsidR="00AC7D1A">
        <w:rPr>
          <w:rFonts w:ascii="Open Sans" w:eastAsia="Times New Roman" w:hAnsi="Open Sans" w:cs="Open Sans"/>
          <w:b/>
          <w:bCs/>
          <w:color w:val="9D2235"/>
          <w:sz w:val="20"/>
          <w:szCs w:val="20"/>
          <w:lang w:eastAsia="es-ES"/>
        </w:rPr>
        <w:t>.</w:t>
      </w:r>
      <w:r w:rsidR="00D572EA" w:rsidRPr="00A07BE9">
        <w:rPr>
          <w:rFonts w:ascii="Open Sans" w:eastAsia="Times New Roman" w:hAnsi="Open Sans" w:cs="Open Sans"/>
          <w:b/>
          <w:bCs/>
          <w:color w:val="000000"/>
          <w:sz w:val="20"/>
          <w:szCs w:val="20"/>
          <w:lang w:eastAsia="es-ES"/>
        </w:rPr>
        <w:t xml:space="preserve"> </w:t>
      </w:r>
      <w:r w:rsidR="00D572EA" w:rsidRPr="00A07BE9">
        <w:rPr>
          <w:rFonts w:ascii="Open Sans" w:eastAsia="Times New Roman" w:hAnsi="Open Sans" w:cs="Open Sans"/>
          <w:b/>
          <w:bCs/>
          <w:color w:val="00000A"/>
          <w:sz w:val="20"/>
          <w:szCs w:val="20"/>
          <w:lang w:eastAsia="es-ES"/>
        </w:rPr>
        <w:t>Número de puestos de trabajo de las unidades administrativas de la Agencia desde su creación</w:t>
      </w:r>
    </w:p>
    <w:p w14:paraId="5503E181" w14:textId="77777777" w:rsidR="007D7616" w:rsidRPr="00A07BE9" w:rsidRDefault="007D7616" w:rsidP="007D7616">
      <w:pPr>
        <w:suppressAutoHyphens/>
        <w:autoSpaceDN w:val="0"/>
        <w:spacing w:after="0" w:line="276" w:lineRule="auto"/>
        <w:jc w:val="both"/>
        <w:textAlignment w:val="baseline"/>
        <w:rPr>
          <w:rFonts w:ascii="Open Sans" w:eastAsia="Calibri" w:hAnsi="Open Sans" w:cs="Open Sans"/>
          <w:b/>
          <w:bCs/>
          <w:color w:val="94070A"/>
          <w:sz w:val="20"/>
          <w:szCs w:val="20"/>
        </w:rPr>
      </w:pPr>
    </w:p>
    <w:p w14:paraId="76B8FB4C" w14:textId="77777777" w:rsidR="007D7616" w:rsidRPr="00A07BE9" w:rsidRDefault="007D7616" w:rsidP="007D7616">
      <w:pPr>
        <w:suppressAutoHyphens/>
        <w:autoSpaceDN w:val="0"/>
        <w:spacing w:after="0" w:line="276" w:lineRule="auto"/>
        <w:jc w:val="both"/>
        <w:textAlignment w:val="baseline"/>
        <w:rPr>
          <w:rFonts w:ascii="Open Sans" w:eastAsia="Calibri" w:hAnsi="Open Sans" w:cs="Open Sans"/>
          <w:b/>
          <w:bCs/>
          <w:color w:val="94070A"/>
          <w:sz w:val="20"/>
          <w:szCs w:val="20"/>
        </w:rPr>
      </w:pPr>
    </w:p>
    <w:p w14:paraId="3667C669" w14:textId="2DFA4F17" w:rsidR="00D572EA" w:rsidRPr="00A07BE9" w:rsidRDefault="00D572EA" w:rsidP="00D572EA">
      <w:pPr>
        <w:suppressAutoHyphens/>
        <w:autoSpaceDN w:val="0"/>
        <w:spacing w:after="0" w:line="360" w:lineRule="auto"/>
        <w:jc w:val="both"/>
        <w:textAlignment w:val="baseline"/>
        <w:rPr>
          <w:rFonts w:ascii="Open Sans" w:eastAsia="Calibri" w:hAnsi="Open Sans" w:cs="Open Sans"/>
          <w:b/>
          <w:bCs/>
          <w:smallCaps/>
          <w:color w:val="94070A"/>
          <w:sz w:val="28"/>
          <w:szCs w:val="28"/>
        </w:rPr>
      </w:pPr>
      <w:r w:rsidRPr="00A07BE9">
        <w:rPr>
          <w:rFonts w:ascii="Open Sans" w:eastAsia="Calibri" w:hAnsi="Open Sans" w:cs="Open Sans"/>
          <w:b/>
          <w:bCs/>
          <w:color w:val="94070A"/>
          <w:sz w:val="28"/>
          <w:szCs w:val="28"/>
        </w:rPr>
        <w:t>6</w:t>
      </w:r>
      <w:r w:rsidRPr="00A07BE9">
        <w:rPr>
          <w:rFonts w:ascii="Open Sans" w:eastAsia="Calibri" w:hAnsi="Open Sans" w:cs="Open Sans"/>
          <w:b/>
          <w:bCs/>
          <w:smallCaps/>
          <w:color w:val="94070A"/>
          <w:sz w:val="28"/>
          <w:szCs w:val="28"/>
        </w:rPr>
        <w:t>.1.3. Los procesos de selección de personal</w:t>
      </w:r>
      <w:bookmarkStart w:id="34" w:name="Marcador_412"/>
      <w:bookmarkEnd w:id="34"/>
    </w:p>
    <w:p w14:paraId="463381E3" w14:textId="77777777" w:rsidR="00D572EA" w:rsidRPr="00A07BE9" w:rsidRDefault="00D572EA" w:rsidP="00D572EA">
      <w:pPr>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410AAFD7" w14:textId="73F9A949" w:rsidR="00D572EA" w:rsidRPr="00A07BE9" w:rsidRDefault="00D572EA" w:rsidP="00D572EA">
      <w:pPr>
        <w:suppressAutoHyphens/>
        <w:autoSpaceDN w:val="0"/>
        <w:spacing w:after="0" w:line="276" w:lineRule="auto"/>
        <w:jc w:val="both"/>
        <w:textAlignment w:val="baseline"/>
        <w:rPr>
          <w:rFonts w:ascii="Open Sans" w:eastAsia="Calibri" w:hAnsi="Open Sans" w:cs="Open Sans"/>
          <w:color w:val="00000A"/>
          <w:sz w:val="20"/>
          <w:szCs w:val="20"/>
        </w:rPr>
      </w:pPr>
      <w:r w:rsidRPr="00A07BE9">
        <w:rPr>
          <w:rFonts w:ascii="Open Sans" w:eastAsia="Calibri" w:hAnsi="Open Sans" w:cs="Open Sans"/>
          <w:color w:val="00000A"/>
          <w:sz w:val="20"/>
          <w:szCs w:val="20"/>
        </w:rPr>
        <w:t xml:space="preserve">La </w:t>
      </w:r>
      <w:hyperlink r:id="rId409" w:history="1">
        <w:r w:rsidRPr="00A07BE9">
          <w:rPr>
            <w:rStyle w:val="Hipervnculo"/>
            <w:rFonts w:ascii="Open Sans" w:eastAsia="Calibri" w:hAnsi="Open Sans" w:cs="Open Sans"/>
            <w:sz w:val="20"/>
            <w:szCs w:val="20"/>
          </w:rPr>
          <w:t>Ley 11/2016</w:t>
        </w:r>
        <w:r w:rsidRPr="00A07BE9">
          <w:rPr>
            <w:rStyle w:val="Hipervnculo"/>
            <w:rFonts w:ascii="Open Sans" w:eastAsia="Calibri" w:hAnsi="Open Sans" w:cs="Open Sans"/>
            <w:color w:val="auto"/>
            <w:sz w:val="20"/>
            <w:szCs w:val="20"/>
            <w:u w:val="none"/>
          </w:rPr>
          <w:t xml:space="preserve">, </w:t>
        </w:r>
        <w:r w:rsidR="002A1E9E" w:rsidRPr="00A07BE9">
          <w:rPr>
            <w:rStyle w:val="Hipervnculo"/>
            <w:rFonts w:ascii="Open Sans" w:eastAsia="Calibri" w:hAnsi="Open Sans" w:cs="Open Sans"/>
            <w:color w:val="auto"/>
            <w:sz w:val="20"/>
            <w:szCs w:val="20"/>
            <w:u w:val="none"/>
          </w:rPr>
          <w:t>de 28 de noviembre, de la Generalitat</w:t>
        </w:r>
      </w:hyperlink>
      <w:r w:rsidR="002A1E9E" w:rsidRPr="00A07BE9">
        <w:rPr>
          <w:rFonts w:ascii="Open Sans" w:eastAsia="Calibri" w:hAnsi="Open Sans" w:cs="Open Sans"/>
          <w:color w:val="00000A"/>
          <w:sz w:val="20"/>
          <w:szCs w:val="20"/>
        </w:rPr>
        <w:t xml:space="preserve">, </w:t>
      </w:r>
      <w:r w:rsidRPr="00A07BE9">
        <w:rPr>
          <w:rFonts w:ascii="Open Sans" w:eastAsia="Calibri" w:hAnsi="Open Sans" w:cs="Open Sans"/>
          <w:color w:val="00000A"/>
          <w:sz w:val="20"/>
          <w:szCs w:val="20"/>
        </w:rPr>
        <w:t xml:space="preserve">prevé que los puestos de trabajo de la Agencia se provean de acuerdo con las normas de la </w:t>
      </w:r>
      <w:hyperlink r:id="rId410" w:history="1">
        <w:bookmarkStart w:id="35" w:name="_Hlk36200803"/>
        <w:r w:rsidRPr="00A07BE9">
          <w:rPr>
            <w:rStyle w:val="Hipervnculo"/>
            <w:rFonts w:ascii="Open Sans" w:eastAsia="Calibri" w:hAnsi="Open Sans" w:cs="Open Sans"/>
            <w:sz w:val="20"/>
            <w:szCs w:val="20"/>
          </w:rPr>
          <w:t xml:space="preserve">Ley </w:t>
        </w:r>
        <w:r w:rsidR="002A1E9E" w:rsidRPr="00A07BE9">
          <w:rPr>
            <w:rStyle w:val="Hipervnculo"/>
            <w:rFonts w:ascii="Open Sans" w:eastAsia="Calibri" w:hAnsi="Open Sans" w:cs="Open Sans"/>
            <w:sz w:val="20"/>
            <w:szCs w:val="20"/>
          </w:rPr>
          <w:t>10/201</w:t>
        </w:r>
        <w:r w:rsidR="005D277B">
          <w:rPr>
            <w:rStyle w:val="Hipervnculo"/>
            <w:rFonts w:ascii="Open Sans" w:eastAsia="Calibri" w:hAnsi="Open Sans" w:cs="Open Sans"/>
            <w:sz w:val="20"/>
            <w:szCs w:val="20"/>
          </w:rPr>
          <w:t>0</w:t>
        </w:r>
        <w:r w:rsidR="002A1E9E" w:rsidRPr="00A07BE9">
          <w:rPr>
            <w:rStyle w:val="Hipervnculo"/>
            <w:rFonts w:ascii="Open Sans" w:eastAsia="Calibri" w:hAnsi="Open Sans" w:cs="Open Sans"/>
            <w:sz w:val="20"/>
            <w:szCs w:val="20"/>
          </w:rPr>
          <w:t>, de 9 de julio</w:t>
        </w:r>
        <w:r w:rsidR="005D277B">
          <w:rPr>
            <w:rStyle w:val="Hipervnculo"/>
            <w:rFonts w:ascii="Open Sans" w:eastAsia="Calibri" w:hAnsi="Open Sans" w:cs="Open Sans"/>
            <w:sz w:val="20"/>
            <w:szCs w:val="20"/>
          </w:rPr>
          <w:t>,</w:t>
        </w:r>
        <w:r w:rsidR="002A1E9E" w:rsidRPr="00A07BE9">
          <w:rPr>
            <w:rStyle w:val="Hipervnculo"/>
            <w:rFonts w:ascii="Open Sans" w:eastAsia="Calibri" w:hAnsi="Open Sans" w:cs="Open Sans"/>
            <w:sz w:val="20"/>
            <w:szCs w:val="20"/>
          </w:rPr>
          <w:t xml:space="preserve"> </w:t>
        </w:r>
        <w:r w:rsidRPr="00A07BE9">
          <w:rPr>
            <w:rStyle w:val="Hipervnculo"/>
            <w:rFonts w:ascii="Open Sans" w:eastAsia="Calibri" w:hAnsi="Open Sans" w:cs="Open Sans"/>
            <w:sz w:val="20"/>
            <w:szCs w:val="20"/>
          </w:rPr>
          <w:t xml:space="preserve">de </w:t>
        </w:r>
        <w:r w:rsidR="002A1E9E" w:rsidRPr="00A07BE9">
          <w:rPr>
            <w:rStyle w:val="Hipervnculo"/>
            <w:rFonts w:ascii="Open Sans" w:eastAsia="Calibri" w:hAnsi="Open Sans" w:cs="Open Sans"/>
            <w:sz w:val="20"/>
            <w:szCs w:val="20"/>
          </w:rPr>
          <w:t>ordenación y gestión de la Función P</w:t>
        </w:r>
        <w:r w:rsidRPr="00A07BE9">
          <w:rPr>
            <w:rStyle w:val="Hipervnculo"/>
            <w:rFonts w:ascii="Open Sans" w:eastAsia="Calibri" w:hAnsi="Open Sans" w:cs="Open Sans"/>
            <w:sz w:val="20"/>
            <w:szCs w:val="20"/>
          </w:rPr>
          <w:t xml:space="preserve">ública </w:t>
        </w:r>
        <w:r w:rsidR="002A1E9E" w:rsidRPr="00A07BE9">
          <w:rPr>
            <w:rStyle w:val="Hipervnculo"/>
            <w:rFonts w:ascii="Open Sans" w:eastAsia="Calibri" w:hAnsi="Open Sans" w:cs="Open Sans"/>
            <w:sz w:val="20"/>
            <w:szCs w:val="20"/>
          </w:rPr>
          <w:t>V</w:t>
        </w:r>
        <w:r w:rsidRPr="00A07BE9">
          <w:rPr>
            <w:rStyle w:val="Hipervnculo"/>
            <w:rFonts w:ascii="Open Sans" w:eastAsia="Calibri" w:hAnsi="Open Sans" w:cs="Open Sans"/>
            <w:sz w:val="20"/>
            <w:szCs w:val="20"/>
          </w:rPr>
          <w:t>alenciana</w:t>
        </w:r>
        <w:bookmarkEnd w:id="35"/>
        <w:r w:rsidRPr="00A07BE9">
          <w:rPr>
            <w:rStyle w:val="Hipervnculo"/>
            <w:rFonts w:ascii="Open Sans" w:eastAsia="Calibri" w:hAnsi="Open Sans" w:cs="Open Sans"/>
            <w:sz w:val="20"/>
            <w:szCs w:val="20"/>
          </w:rPr>
          <w:t>,</w:t>
        </w:r>
      </w:hyperlink>
      <w:r w:rsidRPr="00A07BE9">
        <w:rPr>
          <w:rFonts w:ascii="Open Sans" w:eastAsia="Calibri" w:hAnsi="Open Sans" w:cs="Open Sans"/>
          <w:color w:val="00000A"/>
          <w:sz w:val="20"/>
          <w:szCs w:val="20"/>
        </w:rPr>
        <w:t xml:space="preserve"> y así se ha llevado a cabo en la Agencia.</w:t>
      </w:r>
    </w:p>
    <w:p w14:paraId="4767DD28" w14:textId="77777777" w:rsidR="00C00BC7" w:rsidRPr="00A07BE9" w:rsidRDefault="00C00BC7" w:rsidP="00D572EA">
      <w:pPr>
        <w:suppressAutoHyphens/>
        <w:autoSpaceDN w:val="0"/>
        <w:spacing w:after="0" w:line="276" w:lineRule="auto"/>
        <w:jc w:val="both"/>
        <w:textAlignment w:val="baseline"/>
        <w:rPr>
          <w:rFonts w:ascii="Liberation Serif" w:eastAsia="Droid Sans Fallback" w:hAnsi="Liberation Serif" w:cs="FreeSans"/>
          <w:kern w:val="3"/>
          <w:sz w:val="24"/>
          <w:szCs w:val="24"/>
          <w:lang w:eastAsia="zh-CN" w:bidi="hi-IN"/>
        </w:rPr>
      </w:pPr>
    </w:p>
    <w:p w14:paraId="5208A4CB" w14:textId="77777777" w:rsidR="00D572EA" w:rsidRPr="00A07BE9" w:rsidRDefault="00D572EA" w:rsidP="00D572EA">
      <w:pPr>
        <w:suppressAutoHyphens/>
        <w:autoSpaceDN w:val="0"/>
        <w:spacing w:after="0" w:line="276" w:lineRule="auto"/>
        <w:jc w:val="both"/>
        <w:textAlignment w:val="baseline"/>
        <w:rPr>
          <w:rFonts w:ascii="Open Sans" w:eastAsia="Calibri" w:hAnsi="Open Sans" w:cs="Open Sans"/>
          <w:color w:val="00000A"/>
          <w:sz w:val="20"/>
          <w:szCs w:val="20"/>
        </w:rPr>
      </w:pPr>
      <w:r w:rsidRPr="00A07BE9">
        <w:rPr>
          <w:rFonts w:ascii="Open Sans" w:eastAsia="Calibri" w:hAnsi="Open Sans" w:cs="Open Sans"/>
          <w:color w:val="00000A"/>
          <w:sz w:val="20"/>
          <w:szCs w:val="20"/>
        </w:rPr>
        <w:t>Durante el ejercicio 2019 se han incoado diez procedimientos para la provisión de un total de 17 puestos de trabajo, 8 con carácter provisional a través del sistema de comisión de servicios, y, 9 procedimientos para la provisión con carácter definitivo a través del sistema de libre designación.</w:t>
      </w:r>
    </w:p>
    <w:p w14:paraId="30A6E9D9" w14:textId="77777777" w:rsidR="00D572EA" w:rsidRPr="00A07BE9" w:rsidRDefault="00D572EA" w:rsidP="00D572EA">
      <w:pPr>
        <w:suppressAutoHyphens/>
        <w:autoSpaceDN w:val="0"/>
        <w:spacing w:after="0" w:line="276" w:lineRule="auto"/>
        <w:jc w:val="both"/>
        <w:textAlignment w:val="baseline"/>
        <w:rPr>
          <w:rFonts w:ascii="Liberation Serif" w:eastAsia="Droid Sans Fallback" w:hAnsi="Liberation Serif" w:cs="FreeSans"/>
          <w:kern w:val="3"/>
          <w:sz w:val="24"/>
          <w:szCs w:val="24"/>
          <w:lang w:eastAsia="zh-CN" w:bidi="hi-IN"/>
        </w:rPr>
      </w:pPr>
    </w:p>
    <w:p w14:paraId="0E65E51B" w14:textId="77777777" w:rsidR="00D572EA" w:rsidRPr="00A07BE9" w:rsidRDefault="00D572EA" w:rsidP="00D572EA">
      <w:pPr>
        <w:suppressAutoHyphens/>
        <w:autoSpaceDN w:val="0"/>
        <w:spacing w:after="0" w:line="276" w:lineRule="auto"/>
        <w:jc w:val="both"/>
        <w:textAlignment w:val="baseline"/>
        <w:rPr>
          <w:rFonts w:ascii="Open Sans" w:eastAsia="Calibri" w:hAnsi="Open Sans" w:cs="Open Sans"/>
          <w:color w:val="00000A"/>
          <w:sz w:val="20"/>
          <w:szCs w:val="20"/>
        </w:rPr>
      </w:pPr>
      <w:r w:rsidRPr="00A07BE9">
        <w:rPr>
          <w:rFonts w:ascii="Open Sans" w:eastAsia="Calibri" w:hAnsi="Open Sans" w:cs="Open Sans"/>
          <w:color w:val="00000A"/>
          <w:sz w:val="20"/>
          <w:szCs w:val="20"/>
        </w:rPr>
        <w:t>En estas fechas, marzo de 2020, de los procedimientos que se indican solo queda pendiente de resolver el procedimiento LD 3/2019.</w:t>
      </w:r>
    </w:p>
    <w:p w14:paraId="7612E3EB" w14:textId="77777777" w:rsidR="00D572EA" w:rsidRPr="00A07BE9" w:rsidRDefault="00D572EA" w:rsidP="00D572EA">
      <w:pPr>
        <w:suppressAutoHyphens/>
        <w:autoSpaceDN w:val="0"/>
        <w:spacing w:after="0" w:line="276" w:lineRule="auto"/>
        <w:jc w:val="both"/>
        <w:textAlignment w:val="baseline"/>
        <w:rPr>
          <w:rFonts w:ascii="Liberation Serif" w:eastAsia="Droid Sans Fallback" w:hAnsi="Liberation Serif" w:cs="FreeSans"/>
          <w:kern w:val="3"/>
          <w:sz w:val="24"/>
          <w:szCs w:val="24"/>
          <w:lang w:eastAsia="zh-CN" w:bidi="hi-IN"/>
        </w:rPr>
      </w:pPr>
    </w:p>
    <w:p w14:paraId="4DBEA788" w14:textId="332E3A59" w:rsidR="00D572EA" w:rsidRPr="00A07BE9" w:rsidRDefault="00D572EA" w:rsidP="00D572EA">
      <w:pPr>
        <w:suppressAutoHyphens/>
        <w:autoSpaceDN w:val="0"/>
        <w:spacing w:after="0" w:line="276" w:lineRule="auto"/>
        <w:jc w:val="both"/>
        <w:textAlignment w:val="baseline"/>
        <w:rPr>
          <w:rFonts w:ascii="Liberation Serif" w:eastAsia="Droid Sans Fallback" w:hAnsi="Liberation Serif" w:cs="FreeSans"/>
          <w:kern w:val="3"/>
          <w:sz w:val="20"/>
          <w:szCs w:val="20"/>
          <w:lang w:eastAsia="zh-CN" w:bidi="hi-IN"/>
        </w:rPr>
      </w:pPr>
      <w:r w:rsidRPr="00A07BE9">
        <w:rPr>
          <w:rFonts w:ascii="Open Sans" w:eastAsia="Calibri" w:hAnsi="Open Sans" w:cs="Open Sans"/>
          <w:color w:val="00000A"/>
          <w:sz w:val="20"/>
          <w:szCs w:val="20"/>
        </w:rPr>
        <w:t xml:space="preserve">Los procedimientos incoados son los que seguidamente se indican, cuyo desarrollo puede ser objeto de consulta en </w:t>
      </w:r>
      <w:hyperlink r:id="rId411" w:history="1">
        <w:r w:rsidRPr="00A07BE9">
          <w:rPr>
            <w:rStyle w:val="Hipervnculo"/>
            <w:rFonts w:ascii="Open Sans" w:eastAsia="Droid Sans Fallback" w:hAnsi="Open Sans" w:cs="FreeSans"/>
            <w:kern w:val="3"/>
            <w:sz w:val="20"/>
            <w:szCs w:val="20"/>
            <w:lang w:eastAsia="zh-CN" w:bidi="hi-IN"/>
          </w:rPr>
          <w:t>https://www.antifraucv.es/portal-de-transparencia/informacio-institucional/</w:t>
        </w:r>
      </w:hyperlink>
      <w:r w:rsidR="00C00BC7" w:rsidRPr="00A07BE9">
        <w:rPr>
          <w:rFonts w:ascii="Open Sans" w:eastAsia="Droid Sans Fallback" w:hAnsi="Open Sans" w:cs="FreeSans"/>
          <w:kern w:val="3"/>
          <w:sz w:val="20"/>
          <w:szCs w:val="20"/>
          <w:lang w:eastAsia="zh-CN" w:bidi="hi-IN"/>
        </w:rPr>
        <w:t xml:space="preserve"> .</w:t>
      </w:r>
    </w:p>
    <w:p w14:paraId="6EA70A49" w14:textId="0531EF05" w:rsidR="007D7616" w:rsidRPr="00A07BE9" w:rsidRDefault="007D7616" w:rsidP="00D572EA">
      <w:pPr>
        <w:suppressAutoHyphens/>
        <w:autoSpaceDN w:val="0"/>
        <w:spacing w:after="0" w:line="360" w:lineRule="auto"/>
        <w:jc w:val="both"/>
        <w:textAlignment w:val="baseline"/>
        <w:rPr>
          <w:rFonts w:ascii="Open Sans" w:eastAsia="Droid Sans Fallback" w:hAnsi="Open Sans" w:cs="Open Sans"/>
          <w:kern w:val="3"/>
          <w:sz w:val="20"/>
          <w:szCs w:val="20"/>
          <w:lang w:eastAsia="zh-CN" w:bidi="hi-IN"/>
        </w:rPr>
      </w:pPr>
    </w:p>
    <w:p w14:paraId="2C7240C9" w14:textId="77777777" w:rsidR="00262F77" w:rsidRPr="00A07BE9" w:rsidRDefault="00262F77" w:rsidP="00D572EA">
      <w:pPr>
        <w:suppressAutoHyphens/>
        <w:autoSpaceDN w:val="0"/>
        <w:spacing w:after="0" w:line="360" w:lineRule="auto"/>
        <w:jc w:val="both"/>
        <w:textAlignment w:val="baseline"/>
        <w:rPr>
          <w:rFonts w:ascii="Open Sans" w:eastAsia="Droid Sans Fallback" w:hAnsi="Open Sans" w:cs="Open Sans"/>
          <w:kern w:val="3"/>
          <w:sz w:val="20"/>
          <w:szCs w:val="20"/>
          <w:lang w:eastAsia="zh-CN" w:bidi="hi-IN"/>
        </w:rPr>
      </w:pPr>
    </w:p>
    <w:p w14:paraId="766E8953" w14:textId="4E1FC6FA" w:rsidR="008B6E1F" w:rsidRPr="00A07BE9" w:rsidRDefault="00D572EA" w:rsidP="00D572EA">
      <w:pPr>
        <w:suppressAutoHyphens/>
        <w:autoSpaceDN w:val="0"/>
        <w:spacing w:after="0" w:line="360" w:lineRule="auto"/>
        <w:jc w:val="both"/>
        <w:textAlignment w:val="baseline"/>
        <w:rPr>
          <w:rFonts w:ascii="Open Sans" w:eastAsia="Calibri" w:hAnsi="Open Sans" w:cs="Open Sans"/>
          <w:b/>
          <w:bCs/>
          <w:color w:val="00000A"/>
          <w:sz w:val="20"/>
          <w:szCs w:val="20"/>
        </w:rPr>
      </w:pPr>
      <w:r w:rsidRPr="00A07BE9">
        <w:rPr>
          <w:rFonts w:ascii="Open Sans" w:eastAsia="Calibri" w:hAnsi="Open Sans" w:cs="Open Sans"/>
          <w:b/>
          <w:bCs/>
          <w:color w:val="9D2235"/>
          <w:sz w:val="20"/>
          <w:szCs w:val="20"/>
        </w:rPr>
        <w:lastRenderedPageBreak/>
        <w:t xml:space="preserve">Tabla </w:t>
      </w:r>
      <w:r w:rsidR="00C00BC7" w:rsidRPr="00A07BE9">
        <w:rPr>
          <w:rFonts w:ascii="Open Sans" w:eastAsia="Calibri" w:hAnsi="Open Sans" w:cs="Open Sans"/>
          <w:b/>
          <w:bCs/>
          <w:color w:val="9D2235"/>
          <w:sz w:val="20"/>
          <w:szCs w:val="20"/>
        </w:rPr>
        <w:t>20</w:t>
      </w:r>
      <w:r w:rsidR="00AC7D1A">
        <w:rPr>
          <w:rFonts w:ascii="Open Sans" w:eastAsia="Calibri" w:hAnsi="Open Sans" w:cs="Open Sans"/>
          <w:b/>
          <w:bCs/>
          <w:color w:val="9D2235"/>
          <w:sz w:val="20"/>
          <w:szCs w:val="20"/>
        </w:rPr>
        <w:t>.</w:t>
      </w:r>
      <w:r w:rsidRPr="00A07BE9">
        <w:rPr>
          <w:rFonts w:ascii="Open Sans" w:eastAsia="Calibri" w:hAnsi="Open Sans" w:cs="Open Sans"/>
          <w:b/>
          <w:bCs/>
          <w:color w:val="00000A"/>
          <w:sz w:val="20"/>
          <w:szCs w:val="20"/>
        </w:rPr>
        <w:t xml:space="preserve"> Procesos de provisión de puestos de trabajo durante el ejercicio 2019</w:t>
      </w:r>
    </w:p>
    <w:tbl>
      <w:tblPr>
        <w:tblpPr w:leftFromText="141" w:rightFromText="141" w:vertAnchor="text" w:tblpX="-5" w:tblpY="1"/>
        <w:tblOverlap w:val="never"/>
        <w:tblW w:w="8624" w:type="dxa"/>
        <w:tblLayout w:type="fixed"/>
        <w:tblCellMar>
          <w:left w:w="10" w:type="dxa"/>
          <w:right w:w="10" w:type="dxa"/>
        </w:tblCellMar>
        <w:tblLook w:val="0000" w:firstRow="0" w:lastRow="0" w:firstColumn="0" w:lastColumn="0" w:noHBand="0" w:noVBand="0"/>
      </w:tblPr>
      <w:tblGrid>
        <w:gridCol w:w="1276"/>
        <w:gridCol w:w="1418"/>
        <w:gridCol w:w="1417"/>
        <w:gridCol w:w="4513"/>
      </w:tblGrid>
      <w:tr w:rsidR="00D572EA" w:rsidRPr="00A07BE9" w14:paraId="52471DD9" w14:textId="77777777" w:rsidTr="00A620EB">
        <w:trPr>
          <w:tblHeader/>
        </w:trPr>
        <w:tc>
          <w:tcPr>
            <w:tcW w:w="1276" w:type="dxa"/>
            <w:tcBorders>
              <w:top w:val="single" w:sz="4" w:space="0" w:color="000000"/>
              <w:left w:val="single" w:sz="4" w:space="0" w:color="000000"/>
              <w:bottom w:val="single" w:sz="4" w:space="0" w:color="000000"/>
              <w:right w:val="single" w:sz="4" w:space="0" w:color="000000"/>
            </w:tcBorders>
            <w:shd w:val="clear" w:color="auto" w:fill="9D2235"/>
            <w:tcMar>
              <w:top w:w="0" w:type="dxa"/>
              <w:left w:w="108" w:type="dxa"/>
              <w:bottom w:w="0" w:type="dxa"/>
              <w:right w:w="108" w:type="dxa"/>
            </w:tcMar>
            <w:vAlign w:val="center"/>
          </w:tcPr>
          <w:p w14:paraId="52B3734D" w14:textId="77777777" w:rsidR="00D572EA" w:rsidRPr="00A07BE9" w:rsidRDefault="00D572EA" w:rsidP="00A620EB">
            <w:pPr>
              <w:suppressAutoHyphens/>
              <w:autoSpaceDN w:val="0"/>
              <w:spacing w:after="0" w:line="240" w:lineRule="auto"/>
              <w:jc w:val="center"/>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b/>
                <w:color w:val="FFFFFF"/>
                <w:sz w:val="18"/>
                <w:szCs w:val="18"/>
              </w:rPr>
              <w:t>Proceso de provisión temporal</w:t>
            </w:r>
          </w:p>
        </w:tc>
        <w:tc>
          <w:tcPr>
            <w:tcW w:w="1418" w:type="dxa"/>
            <w:tcBorders>
              <w:top w:val="single" w:sz="4" w:space="0" w:color="000000"/>
              <w:left w:val="single" w:sz="4" w:space="0" w:color="000000"/>
              <w:bottom w:val="single" w:sz="4" w:space="0" w:color="000000"/>
              <w:right w:val="single" w:sz="4" w:space="0" w:color="000000"/>
            </w:tcBorders>
            <w:shd w:val="clear" w:color="auto" w:fill="9D2235"/>
            <w:tcMar>
              <w:top w:w="0" w:type="dxa"/>
              <w:left w:w="108" w:type="dxa"/>
              <w:bottom w:w="0" w:type="dxa"/>
              <w:right w:w="108" w:type="dxa"/>
            </w:tcMar>
            <w:vAlign w:val="center"/>
          </w:tcPr>
          <w:p w14:paraId="495B353A" w14:textId="77777777" w:rsidR="00D572EA" w:rsidRPr="00A07BE9" w:rsidRDefault="00D572EA" w:rsidP="00A620EB">
            <w:pPr>
              <w:suppressAutoHyphens/>
              <w:autoSpaceDN w:val="0"/>
              <w:spacing w:after="0" w:line="240" w:lineRule="auto"/>
              <w:jc w:val="center"/>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b/>
                <w:color w:val="FFFFFF"/>
                <w:sz w:val="18"/>
                <w:szCs w:val="18"/>
              </w:rPr>
              <w:t>Proceso de provisión definitivo</w:t>
            </w:r>
          </w:p>
        </w:tc>
        <w:tc>
          <w:tcPr>
            <w:tcW w:w="1417" w:type="dxa"/>
            <w:tcBorders>
              <w:top w:val="single" w:sz="4" w:space="0" w:color="000000"/>
              <w:left w:val="single" w:sz="4" w:space="0" w:color="000000"/>
              <w:bottom w:val="single" w:sz="4" w:space="0" w:color="000000"/>
            </w:tcBorders>
            <w:shd w:val="clear" w:color="auto" w:fill="9D2235"/>
            <w:tcMar>
              <w:top w:w="0" w:type="dxa"/>
              <w:left w:w="108" w:type="dxa"/>
              <w:bottom w:w="0" w:type="dxa"/>
              <w:right w:w="108" w:type="dxa"/>
            </w:tcMar>
            <w:vAlign w:val="center"/>
          </w:tcPr>
          <w:p w14:paraId="4B15CD42" w14:textId="77777777" w:rsidR="00D572EA" w:rsidRPr="00A07BE9" w:rsidRDefault="00D572EA" w:rsidP="00A620EB">
            <w:pPr>
              <w:suppressAutoHyphens/>
              <w:autoSpaceDN w:val="0"/>
              <w:spacing w:after="0" w:line="240" w:lineRule="auto"/>
              <w:jc w:val="center"/>
              <w:textAlignment w:val="baseline"/>
              <w:rPr>
                <w:rFonts w:ascii="Open Sans" w:eastAsia="Droid Sans Fallback" w:hAnsi="Open Sans" w:cs="FreeSans"/>
                <w:b/>
                <w:bCs/>
                <w:color w:val="FFFFFF"/>
                <w:kern w:val="3"/>
                <w:sz w:val="18"/>
                <w:szCs w:val="18"/>
                <w:lang w:eastAsia="zh-CN" w:bidi="hi-IN"/>
              </w:rPr>
            </w:pPr>
            <w:r w:rsidRPr="00A07BE9">
              <w:rPr>
                <w:rFonts w:ascii="Open Sans" w:eastAsia="Droid Sans Fallback" w:hAnsi="Open Sans" w:cs="FreeSans"/>
                <w:b/>
                <w:bCs/>
                <w:color w:val="FFFFFF"/>
                <w:kern w:val="3"/>
                <w:sz w:val="18"/>
                <w:szCs w:val="18"/>
                <w:lang w:eastAsia="zh-CN" w:bidi="hi-IN"/>
              </w:rPr>
              <w:t>Número puesto de trabajo</w:t>
            </w:r>
          </w:p>
        </w:tc>
        <w:tc>
          <w:tcPr>
            <w:tcW w:w="4513" w:type="dxa"/>
            <w:tcBorders>
              <w:top w:val="single" w:sz="4" w:space="0" w:color="000000"/>
              <w:left w:val="single" w:sz="4" w:space="0" w:color="000000"/>
              <w:bottom w:val="single" w:sz="4" w:space="0" w:color="000000"/>
              <w:right w:val="single" w:sz="4" w:space="0" w:color="000000"/>
            </w:tcBorders>
            <w:shd w:val="clear" w:color="auto" w:fill="9D2235"/>
            <w:tcMar>
              <w:top w:w="0" w:type="dxa"/>
              <w:left w:w="108" w:type="dxa"/>
              <w:bottom w:w="0" w:type="dxa"/>
              <w:right w:w="108" w:type="dxa"/>
            </w:tcMar>
            <w:vAlign w:val="center"/>
          </w:tcPr>
          <w:p w14:paraId="1E7038FE" w14:textId="77777777" w:rsidR="00D572EA" w:rsidRPr="00A07BE9" w:rsidRDefault="00D572EA" w:rsidP="00A620EB">
            <w:pPr>
              <w:suppressAutoHyphens/>
              <w:autoSpaceDN w:val="0"/>
              <w:spacing w:after="0" w:line="240" w:lineRule="auto"/>
              <w:jc w:val="center"/>
              <w:textAlignment w:val="baseline"/>
              <w:rPr>
                <w:rFonts w:ascii="Open Sans" w:eastAsia="Droid Sans Fallback" w:hAnsi="Open Sans" w:cs="FreeSans"/>
                <w:b/>
                <w:bCs/>
                <w:color w:val="FFFFFF" w:themeColor="background1"/>
                <w:kern w:val="3"/>
                <w:sz w:val="20"/>
                <w:szCs w:val="20"/>
                <w:lang w:eastAsia="zh-CN" w:bidi="hi-IN"/>
              </w:rPr>
            </w:pPr>
            <w:r w:rsidRPr="00A07BE9">
              <w:rPr>
                <w:rFonts w:ascii="Open Sans" w:eastAsia="Calibri" w:hAnsi="Open Sans" w:cs="Open Sans"/>
                <w:b/>
                <w:bCs/>
                <w:color w:val="FFFFFF" w:themeColor="background1"/>
                <w:sz w:val="20"/>
                <w:szCs w:val="20"/>
              </w:rPr>
              <w:t>Fecha incorporación</w:t>
            </w:r>
          </w:p>
        </w:tc>
      </w:tr>
      <w:tr w:rsidR="00D572EA" w:rsidRPr="00A07BE9" w14:paraId="4940F722" w14:textId="77777777" w:rsidTr="00A620EB">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50E2CE" w14:textId="77777777" w:rsidR="00D572EA" w:rsidRPr="00A07BE9" w:rsidRDefault="00D572EA" w:rsidP="00A620EB">
            <w:pPr>
              <w:suppressAutoHyphens/>
              <w:autoSpaceDN w:val="0"/>
              <w:spacing w:after="0" w:line="360" w:lineRule="auto"/>
              <w:jc w:val="center"/>
              <w:textAlignment w:val="baseline"/>
              <w:rPr>
                <w:rFonts w:ascii="Liberation Serif" w:eastAsia="Droid Sans Fallback" w:hAnsi="Liberation Serif" w:cs="FreeSans"/>
                <w:b/>
                <w:kern w:val="3"/>
                <w:sz w:val="24"/>
                <w:szCs w:val="24"/>
                <w:lang w:eastAsia="zh-CN" w:bidi="hi-IN"/>
              </w:rPr>
            </w:pPr>
            <w:r w:rsidRPr="00A07BE9">
              <w:rPr>
                <w:rFonts w:ascii="Open Sans" w:eastAsia="Calibri" w:hAnsi="Open Sans" w:cs="Open Sans"/>
                <w:b/>
                <w:color w:val="00000A"/>
                <w:sz w:val="18"/>
                <w:szCs w:val="18"/>
              </w:rPr>
              <w:t>CS 1/2019</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19AB8F" w14:textId="77777777" w:rsidR="00D572EA" w:rsidRPr="00A07BE9" w:rsidRDefault="00D572EA" w:rsidP="00A620EB">
            <w:pPr>
              <w:suppressAutoHyphens/>
              <w:autoSpaceDN w:val="0"/>
              <w:spacing w:after="0" w:line="360" w:lineRule="auto"/>
              <w:jc w:val="center"/>
              <w:textAlignment w:val="baseline"/>
              <w:rPr>
                <w:rFonts w:ascii="Open Sans" w:eastAsia="Calibri" w:hAnsi="Open Sans" w:cs="Open Sans"/>
                <w:color w:val="00000A"/>
                <w:sz w:val="21"/>
                <w:szCs w:val="21"/>
              </w:rPr>
            </w:pPr>
          </w:p>
        </w:tc>
        <w:tc>
          <w:tcPr>
            <w:tcW w:w="141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AD78C07" w14:textId="77777777" w:rsidR="00D572EA" w:rsidRPr="00A07BE9" w:rsidRDefault="00D572EA" w:rsidP="00A620EB">
            <w:pPr>
              <w:suppressAutoHyphens/>
              <w:autoSpaceDN w:val="0"/>
              <w:spacing w:after="0" w:line="240" w:lineRule="auto"/>
              <w:jc w:val="center"/>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color w:val="00000A"/>
                <w:sz w:val="18"/>
                <w:szCs w:val="18"/>
              </w:rPr>
              <w:t>27</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23C4C7" w14:textId="5846EA09" w:rsidR="00D572EA" w:rsidRPr="00A07BE9" w:rsidRDefault="00D572EA" w:rsidP="00FB43B6">
            <w:pPr>
              <w:suppressAutoHyphens/>
              <w:autoSpaceDN w:val="0"/>
              <w:spacing w:after="0" w:line="240" w:lineRule="auto"/>
              <w:jc w:val="right"/>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color w:val="00000A"/>
                <w:sz w:val="18"/>
                <w:szCs w:val="18"/>
              </w:rPr>
              <w:t>1</w:t>
            </w:r>
            <w:r w:rsidR="00FB43B6">
              <w:rPr>
                <w:rFonts w:ascii="Open Sans" w:eastAsia="Calibri" w:hAnsi="Open Sans" w:cs="Open Sans"/>
                <w:color w:val="00000A"/>
                <w:sz w:val="18"/>
                <w:szCs w:val="18"/>
              </w:rPr>
              <w:t xml:space="preserve"> </w:t>
            </w:r>
            <w:r w:rsidR="00C00BC7" w:rsidRPr="00A07BE9">
              <w:rPr>
                <w:rFonts w:ascii="Open Sans" w:eastAsia="Calibri" w:hAnsi="Open Sans" w:cs="Open Sans"/>
                <w:color w:val="00000A"/>
                <w:sz w:val="18"/>
                <w:szCs w:val="18"/>
              </w:rPr>
              <w:t>de marzo de</w:t>
            </w:r>
            <w:r w:rsidR="00FB43B6">
              <w:rPr>
                <w:rFonts w:ascii="Open Sans" w:eastAsia="Calibri" w:hAnsi="Open Sans" w:cs="Open Sans"/>
                <w:color w:val="00000A"/>
                <w:sz w:val="18"/>
                <w:szCs w:val="18"/>
              </w:rPr>
              <w:t xml:space="preserve"> </w:t>
            </w:r>
            <w:r w:rsidRPr="00A07BE9">
              <w:rPr>
                <w:rFonts w:ascii="Open Sans" w:eastAsia="Calibri" w:hAnsi="Open Sans" w:cs="Open Sans"/>
                <w:color w:val="00000A"/>
                <w:sz w:val="18"/>
                <w:szCs w:val="18"/>
              </w:rPr>
              <w:t>2019</w:t>
            </w:r>
          </w:p>
        </w:tc>
      </w:tr>
      <w:tr w:rsidR="00D572EA" w:rsidRPr="00A07BE9" w14:paraId="5E62EDE5" w14:textId="77777777" w:rsidTr="00A620EB">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55C278" w14:textId="77777777" w:rsidR="00D572EA" w:rsidRPr="00A07BE9" w:rsidRDefault="00D572EA" w:rsidP="00A620EB">
            <w:pPr>
              <w:suppressAutoHyphens/>
              <w:autoSpaceDN w:val="0"/>
              <w:spacing w:after="0" w:line="360" w:lineRule="auto"/>
              <w:jc w:val="center"/>
              <w:textAlignment w:val="baseline"/>
              <w:rPr>
                <w:rFonts w:ascii="Liberation Serif" w:eastAsia="Droid Sans Fallback" w:hAnsi="Liberation Serif" w:cs="FreeSans"/>
                <w:b/>
                <w:kern w:val="3"/>
                <w:sz w:val="24"/>
                <w:szCs w:val="24"/>
                <w:lang w:eastAsia="zh-CN" w:bidi="hi-IN"/>
              </w:rPr>
            </w:pPr>
            <w:r w:rsidRPr="00A07BE9">
              <w:rPr>
                <w:rFonts w:ascii="Open Sans" w:eastAsia="Calibri" w:hAnsi="Open Sans" w:cs="Open Sans"/>
                <w:b/>
                <w:color w:val="00000A"/>
                <w:sz w:val="18"/>
                <w:szCs w:val="18"/>
              </w:rPr>
              <w:t>CS 2/2019</w:t>
            </w: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125DBE" w14:textId="77777777" w:rsidR="00D572EA" w:rsidRPr="00A07BE9" w:rsidRDefault="00D572EA" w:rsidP="00A620EB">
            <w:pPr>
              <w:widowControl w:val="0"/>
              <w:suppressAutoHyphens/>
              <w:autoSpaceDN w:val="0"/>
              <w:spacing w:after="0" w:line="240" w:lineRule="auto"/>
              <w:textAlignment w:val="baseline"/>
              <w:rPr>
                <w:rFonts w:ascii="Calibri" w:eastAsia="Calibri" w:hAnsi="Calibri" w:cs="Tahoma"/>
                <w:sz w:val="24"/>
              </w:rPr>
            </w:pPr>
          </w:p>
        </w:tc>
        <w:tc>
          <w:tcPr>
            <w:tcW w:w="141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8A32E4C" w14:textId="77777777" w:rsidR="00D572EA" w:rsidRPr="00A07BE9" w:rsidRDefault="00D572EA" w:rsidP="00A620EB">
            <w:pPr>
              <w:suppressAutoHyphens/>
              <w:autoSpaceDN w:val="0"/>
              <w:spacing w:after="0" w:line="240" w:lineRule="auto"/>
              <w:jc w:val="center"/>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color w:val="00000A"/>
                <w:sz w:val="18"/>
                <w:szCs w:val="18"/>
              </w:rPr>
              <w:t>30</w:t>
            </w:r>
          </w:p>
          <w:p w14:paraId="4733DF25" w14:textId="77777777" w:rsidR="00D572EA" w:rsidRPr="00A07BE9" w:rsidRDefault="00D572EA" w:rsidP="00A620EB">
            <w:pPr>
              <w:suppressAutoHyphens/>
              <w:autoSpaceDN w:val="0"/>
              <w:spacing w:after="0" w:line="240" w:lineRule="auto"/>
              <w:jc w:val="center"/>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color w:val="00000A"/>
                <w:sz w:val="18"/>
                <w:szCs w:val="18"/>
              </w:rPr>
              <w:t>31</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04577F" w14:textId="1963F526" w:rsidR="00D572EA" w:rsidRPr="00A07BE9" w:rsidRDefault="00D572EA" w:rsidP="00FB43B6">
            <w:pPr>
              <w:suppressAutoHyphens/>
              <w:autoSpaceDN w:val="0"/>
              <w:spacing w:after="0" w:line="240" w:lineRule="auto"/>
              <w:jc w:val="right"/>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color w:val="00000A"/>
                <w:sz w:val="18"/>
                <w:szCs w:val="18"/>
              </w:rPr>
              <w:t>17</w:t>
            </w:r>
            <w:r w:rsidR="00C00BC7" w:rsidRPr="00A07BE9">
              <w:rPr>
                <w:rFonts w:ascii="Open Sans" w:eastAsia="Calibri" w:hAnsi="Open Sans" w:cs="Open Sans"/>
                <w:color w:val="00000A"/>
                <w:sz w:val="18"/>
                <w:szCs w:val="18"/>
              </w:rPr>
              <w:t xml:space="preserve"> de julio de </w:t>
            </w:r>
            <w:r w:rsidRPr="00A07BE9">
              <w:rPr>
                <w:rFonts w:ascii="Open Sans" w:eastAsia="Calibri" w:hAnsi="Open Sans" w:cs="Open Sans"/>
                <w:color w:val="00000A"/>
                <w:sz w:val="18"/>
                <w:szCs w:val="18"/>
              </w:rPr>
              <w:t>2019</w:t>
            </w:r>
          </w:p>
          <w:p w14:paraId="3D9D80CC" w14:textId="60AB692D" w:rsidR="00D572EA" w:rsidRPr="00A07BE9" w:rsidRDefault="00D572EA" w:rsidP="00FB43B6">
            <w:pPr>
              <w:suppressAutoHyphens/>
              <w:autoSpaceDN w:val="0"/>
              <w:spacing w:after="0" w:line="240" w:lineRule="auto"/>
              <w:jc w:val="right"/>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color w:val="00000A"/>
                <w:sz w:val="18"/>
                <w:szCs w:val="18"/>
              </w:rPr>
              <w:t>1</w:t>
            </w:r>
            <w:r w:rsidR="00C00BC7" w:rsidRPr="00A07BE9">
              <w:rPr>
                <w:rFonts w:ascii="Open Sans" w:eastAsia="Calibri" w:hAnsi="Open Sans" w:cs="Open Sans"/>
                <w:color w:val="00000A"/>
                <w:sz w:val="18"/>
                <w:szCs w:val="18"/>
              </w:rPr>
              <w:t xml:space="preserve"> de septiembre de </w:t>
            </w:r>
            <w:r w:rsidRPr="00A07BE9">
              <w:rPr>
                <w:rFonts w:ascii="Open Sans" w:eastAsia="Calibri" w:hAnsi="Open Sans" w:cs="Open Sans"/>
                <w:color w:val="00000A"/>
                <w:sz w:val="18"/>
                <w:szCs w:val="18"/>
              </w:rPr>
              <w:t>2019</w:t>
            </w:r>
          </w:p>
        </w:tc>
      </w:tr>
      <w:tr w:rsidR="00D572EA" w:rsidRPr="00A07BE9" w14:paraId="5A22C650" w14:textId="77777777" w:rsidTr="00A620EB">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4D5797" w14:textId="77777777" w:rsidR="00D572EA" w:rsidRPr="00A07BE9" w:rsidRDefault="00D572EA" w:rsidP="00A620EB">
            <w:pPr>
              <w:suppressAutoHyphens/>
              <w:autoSpaceDN w:val="0"/>
              <w:spacing w:after="0" w:line="360" w:lineRule="auto"/>
              <w:jc w:val="center"/>
              <w:textAlignment w:val="baseline"/>
              <w:rPr>
                <w:rFonts w:ascii="Liberation Serif" w:eastAsia="Droid Sans Fallback" w:hAnsi="Liberation Serif" w:cs="FreeSans"/>
                <w:b/>
                <w:kern w:val="3"/>
                <w:sz w:val="24"/>
                <w:szCs w:val="24"/>
                <w:lang w:eastAsia="zh-CN" w:bidi="hi-IN"/>
              </w:rPr>
            </w:pPr>
            <w:r w:rsidRPr="00A07BE9">
              <w:rPr>
                <w:rFonts w:ascii="Open Sans" w:eastAsia="Calibri" w:hAnsi="Open Sans" w:cs="Open Sans"/>
                <w:b/>
                <w:color w:val="00000A"/>
                <w:sz w:val="18"/>
                <w:szCs w:val="18"/>
              </w:rPr>
              <w:t>CS 3/2019</w:t>
            </w: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25F6D2" w14:textId="77777777" w:rsidR="00D572EA" w:rsidRPr="00A07BE9" w:rsidRDefault="00D572EA" w:rsidP="00A620EB">
            <w:pPr>
              <w:widowControl w:val="0"/>
              <w:suppressAutoHyphens/>
              <w:autoSpaceDN w:val="0"/>
              <w:spacing w:after="0" w:line="240" w:lineRule="auto"/>
              <w:textAlignment w:val="baseline"/>
              <w:rPr>
                <w:rFonts w:ascii="Calibri" w:eastAsia="Calibri" w:hAnsi="Calibri" w:cs="Tahoma"/>
                <w:sz w:val="24"/>
              </w:rPr>
            </w:pPr>
          </w:p>
        </w:tc>
        <w:tc>
          <w:tcPr>
            <w:tcW w:w="141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97AD49F" w14:textId="77777777" w:rsidR="00D572EA" w:rsidRPr="00A07BE9" w:rsidRDefault="00D572EA" w:rsidP="00A620EB">
            <w:pPr>
              <w:suppressAutoHyphens/>
              <w:autoSpaceDN w:val="0"/>
              <w:spacing w:after="0" w:line="240" w:lineRule="auto"/>
              <w:jc w:val="center"/>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color w:val="00000A"/>
                <w:sz w:val="18"/>
                <w:szCs w:val="18"/>
              </w:rPr>
              <w:t>22</w:t>
            </w:r>
          </w:p>
          <w:p w14:paraId="683B94D3" w14:textId="77777777" w:rsidR="00D572EA" w:rsidRPr="00A07BE9" w:rsidRDefault="00D572EA" w:rsidP="00A620EB">
            <w:pPr>
              <w:suppressAutoHyphens/>
              <w:autoSpaceDN w:val="0"/>
              <w:spacing w:after="0" w:line="240" w:lineRule="auto"/>
              <w:jc w:val="center"/>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color w:val="00000A"/>
                <w:sz w:val="18"/>
                <w:szCs w:val="18"/>
              </w:rPr>
              <w:t>23</w:t>
            </w:r>
          </w:p>
          <w:p w14:paraId="50C96447" w14:textId="77777777" w:rsidR="00D572EA" w:rsidRPr="00A07BE9" w:rsidRDefault="00D572EA" w:rsidP="00A620EB">
            <w:pPr>
              <w:suppressAutoHyphens/>
              <w:autoSpaceDN w:val="0"/>
              <w:spacing w:after="0" w:line="240" w:lineRule="auto"/>
              <w:jc w:val="center"/>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color w:val="00000A"/>
                <w:sz w:val="18"/>
                <w:szCs w:val="18"/>
              </w:rPr>
              <w:t>29</w:t>
            </w:r>
          </w:p>
          <w:p w14:paraId="5918DAC6" w14:textId="77777777" w:rsidR="00D572EA" w:rsidRPr="00A07BE9" w:rsidRDefault="00D572EA" w:rsidP="00A620EB">
            <w:pPr>
              <w:suppressAutoHyphens/>
              <w:autoSpaceDN w:val="0"/>
              <w:spacing w:after="0" w:line="240" w:lineRule="auto"/>
              <w:jc w:val="center"/>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color w:val="00000A"/>
                <w:sz w:val="18"/>
                <w:szCs w:val="18"/>
              </w:rPr>
              <w:t>35</w:t>
            </w:r>
          </w:p>
          <w:p w14:paraId="298DB5BF" w14:textId="77777777" w:rsidR="00D572EA" w:rsidRPr="00A07BE9" w:rsidRDefault="00D572EA" w:rsidP="00A620EB">
            <w:pPr>
              <w:suppressAutoHyphens/>
              <w:autoSpaceDN w:val="0"/>
              <w:spacing w:after="0" w:line="240" w:lineRule="auto"/>
              <w:jc w:val="center"/>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color w:val="00000A"/>
                <w:sz w:val="18"/>
                <w:szCs w:val="18"/>
              </w:rPr>
              <w:t>36</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8235BB" w14:textId="7C7B2BA8" w:rsidR="00D572EA" w:rsidRPr="00A07BE9" w:rsidRDefault="00D572EA" w:rsidP="00FB43B6">
            <w:pPr>
              <w:suppressAutoHyphens/>
              <w:autoSpaceDN w:val="0"/>
              <w:spacing w:after="0" w:line="240" w:lineRule="auto"/>
              <w:jc w:val="right"/>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color w:val="00000A"/>
                <w:sz w:val="18"/>
                <w:szCs w:val="18"/>
              </w:rPr>
              <w:t>16</w:t>
            </w:r>
            <w:r w:rsidR="00C00BC7" w:rsidRPr="00A07BE9">
              <w:rPr>
                <w:rFonts w:ascii="Open Sans" w:eastAsia="Calibri" w:hAnsi="Open Sans" w:cs="Open Sans"/>
                <w:color w:val="00000A"/>
                <w:sz w:val="18"/>
                <w:szCs w:val="18"/>
              </w:rPr>
              <w:t xml:space="preserve"> de diciembre de </w:t>
            </w:r>
            <w:r w:rsidRPr="00A07BE9">
              <w:rPr>
                <w:rFonts w:ascii="Open Sans" w:eastAsia="Calibri" w:hAnsi="Open Sans" w:cs="Open Sans"/>
                <w:color w:val="00000A"/>
                <w:sz w:val="18"/>
                <w:szCs w:val="18"/>
              </w:rPr>
              <w:t>2019</w:t>
            </w:r>
          </w:p>
          <w:p w14:paraId="6A541C80" w14:textId="41C0EF41" w:rsidR="00D572EA" w:rsidRPr="00A07BE9" w:rsidRDefault="00D572EA" w:rsidP="00FB43B6">
            <w:pPr>
              <w:suppressAutoHyphens/>
              <w:autoSpaceDN w:val="0"/>
              <w:spacing w:after="0" w:line="240" w:lineRule="auto"/>
              <w:jc w:val="right"/>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color w:val="00000A"/>
                <w:sz w:val="18"/>
                <w:szCs w:val="18"/>
              </w:rPr>
              <w:t>15</w:t>
            </w:r>
            <w:r w:rsidR="00C00BC7" w:rsidRPr="00A07BE9">
              <w:rPr>
                <w:rFonts w:ascii="Open Sans" w:eastAsia="Calibri" w:hAnsi="Open Sans" w:cs="Open Sans"/>
                <w:color w:val="00000A"/>
                <w:sz w:val="18"/>
                <w:szCs w:val="18"/>
              </w:rPr>
              <w:t xml:space="preserve"> de noviembre de </w:t>
            </w:r>
            <w:r w:rsidRPr="00A07BE9">
              <w:rPr>
                <w:rFonts w:ascii="Open Sans" w:eastAsia="Calibri" w:hAnsi="Open Sans" w:cs="Open Sans"/>
                <w:color w:val="00000A"/>
                <w:sz w:val="18"/>
                <w:szCs w:val="18"/>
              </w:rPr>
              <w:t>2019</w:t>
            </w:r>
          </w:p>
          <w:p w14:paraId="37D644F9" w14:textId="0E8191BB" w:rsidR="00D572EA" w:rsidRPr="00A07BE9" w:rsidRDefault="00D572EA" w:rsidP="00FB43B6">
            <w:pPr>
              <w:suppressAutoHyphens/>
              <w:autoSpaceDN w:val="0"/>
              <w:spacing w:after="0" w:line="240" w:lineRule="auto"/>
              <w:jc w:val="right"/>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color w:val="00000A"/>
                <w:sz w:val="18"/>
                <w:szCs w:val="18"/>
              </w:rPr>
              <w:t>1</w:t>
            </w:r>
            <w:r w:rsidR="00C00BC7" w:rsidRPr="00A07BE9">
              <w:rPr>
                <w:rFonts w:ascii="Open Sans" w:eastAsia="Calibri" w:hAnsi="Open Sans" w:cs="Open Sans"/>
                <w:color w:val="00000A"/>
                <w:sz w:val="18"/>
                <w:szCs w:val="18"/>
              </w:rPr>
              <w:t xml:space="preserve"> de noviembre de </w:t>
            </w:r>
            <w:r w:rsidRPr="00A07BE9">
              <w:rPr>
                <w:rFonts w:ascii="Open Sans" w:eastAsia="Calibri" w:hAnsi="Open Sans" w:cs="Open Sans"/>
                <w:color w:val="00000A"/>
                <w:sz w:val="18"/>
                <w:szCs w:val="18"/>
              </w:rPr>
              <w:t>2019</w:t>
            </w:r>
          </w:p>
          <w:p w14:paraId="3220E291" w14:textId="5C3AFF4A" w:rsidR="00D572EA" w:rsidRPr="00A07BE9" w:rsidRDefault="00D572EA" w:rsidP="00FB43B6">
            <w:pPr>
              <w:suppressAutoHyphens/>
              <w:autoSpaceDN w:val="0"/>
              <w:spacing w:after="0" w:line="240" w:lineRule="auto"/>
              <w:jc w:val="right"/>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color w:val="00000A"/>
                <w:sz w:val="18"/>
                <w:szCs w:val="18"/>
              </w:rPr>
              <w:t>20</w:t>
            </w:r>
            <w:r w:rsidR="00C00BC7" w:rsidRPr="00A07BE9">
              <w:rPr>
                <w:rFonts w:ascii="Open Sans" w:eastAsia="Calibri" w:hAnsi="Open Sans" w:cs="Open Sans"/>
                <w:color w:val="00000A"/>
                <w:sz w:val="18"/>
                <w:szCs w:val="18"/>
              </w:rPr>
              <w:t xml:space="preserve"> de noviembre de </w:t>
            </w:r>
            <w:r w:rsidRPr="00A07BE9">
              <w:rPr>
                <w:rFonts w:ascii="Open Sans" w:eastAsia="Calibri" w:hAnsi="Open Sans" w:cs="Open Sans"/>
                <w:color w:val="00000A"/>
                <w:sz w:val="18"/>
                <w:szCs w:val="18"/>
              </w:rPr>
              <w:t>2019</w:t>
            </w:r>
          </w:p>
          <w:p w14:paraId="32A0B3E9" w14:textId="5E8EE44F" w:rsidR="00D572EA" w:rsidRPr="00A07BE9" w:rsidRDefault="00D572EA" w:rsidP="00FB43B6">
            <w:pPr>
              <w:suppressAutoHyphens/>
              <w:autoSpaceDN w:val="0"/>
              <w:spacing w:after="0" w:line="240" w:lineRule="auto"/>
              <w:jc w:val="right"/>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color w:val="00000A"/>
                <w:sz w:val="18"/>
                <w:szCs w:val="18"/>
              </w:rPr>
              <w:t>9</w:t>
            </w:r>
            <w:r w:rsidR="00C00BC7" w:rsidRPr="00A07BE9">
              <w:rPr>
                <w:rFonts w:ascii="Open Sans" w:eastAsia="Calibri" w:hAnsi="Open Sans" w:cs="Open Sans"/>
                <w:color w:val="00000A"/>
                <w:sz w:val="18"/>
                <w:szCs w:val="18"/>
              </w:rPr>
              <w:t xml:space="preserve"> de diciembre de </w:t>
            </w:r>
            <w:r w:rsidRPr="00A07BE9">
              <w:rPr>
                <w:rFonts w:ascii="Open Sans" w:eastAsia="Calibri" w:hAnsi="Open Sans" w:cs="Open Sans"/>
                <w:color w:val="00000A"/>
                <w:sz w:val="18"/>
                <w:szCs w:val="18"/>
              </w:rPr>
              <w:t>2019</w:t>
            </w:r>
          </w:p>
        </w:tc>
      </w:tr>
      <w:tr w:rsidR="00D572EA" w:rsidRPr="00A07BE9" w14:paraId="272BD6A1" w14:textId="77777777" w:rsidTr="00A620EB">
        <w:tc>
          <w:tcPr>
            <w:tcW w:w="1276" w:type="dxa"/>
            <w:vMerge w:val="restar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1ECEA5" w14:textId="77777777" w:rsidR="00D572EA" w:rsidRPr="00A07BE9" w:rsidRDefault="00D572EA" w:rsidP="00A620EB">
            <w:pPr>
              <w:suppressAutoHyphens/>
              <w:autoSpaceDN w:val="0"/>
              <w:spacing w:after="0" w:line="360" w:lineRule="auto"/>
              <w:jc w:val="both"/>
              <w:textAlignment w:val="baseline"/>
              <w:rPr>
                <w:rFonts w:ascii="Open Sans" w:eastAsia="Calibri" w:hAnsi="Open Sans" w:cs="Open Sans"/>
                <w:color w:val="00000A"/>
                <w:sz w:val="21"/>
                <w:szCs w:val="21"/>
              </w:rPr>
            </w:pPr>
          </w:p>
        </w:tc>
        <w:tc>
          <w:tcPr>
            <w:tcW w:w="1418"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EA52C7" w14:textId="77777777" w:rsidR="00D572EA" w:rsidRPr="00A07BE9" w:rsidRDefault="00D572EA" w:rsidP="00A620EB">
            <w:pPr>
              <w:suppressAutoHyphens/>
              <w:autoSpaceDN w:val="0"/>
              <w:spacing w:after="0" w:line="360" w:lineRule="auto"/>
              <w:jc w:val="center"/>
              <w:textAlignment w:val="baseline"/>
              <w:rPr>
                <w:rFonts w:ascii="Liberation Serif" w:eastAsia="Droid Sans Fallback" w:hAnsi="Liberation Serif" w:cs="FreeSans"/>
                <w:b/>
                <w:kern w:val="3"/>
                <w:sz w:val="24"/>
                <w:szCs w:val="24"/>
                <w:lang w:eastAsia="zh-CN" w:bidi="hi-IN"/>
              </w:rPr>
            </w:pPr>
            <w:r w:rsidRPr="00A07BE9">
              <w:rPr>
                <w:rFonts w:ascii="Open Sans" w:eastAsia="Calibri" w:hAnsi="Open Sans" w:cs="Open Sans"/>
                <w:b/>
                <w:color w:val="00000A"/>
                <w:sz w:val="18"/>
                <w:szCs w:val="18"/>
              </w:rPr>
              <w:t>LD 1/2019</w:t>
            </w:r>
          </w:p>
        </w:tc>
        <w:tc>
          <w:tcPr>
            <w:tcW w:w="141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B767708" w14:textId="77777777" w:rsidR="00D572EA" w:rsidRPr="00A07BE9" w:rsidRDefault="00D572EA" w:rsidP="00A620EB">
            <w:pPr>
              <w:suppressAutoHyphens/>
              <w:autoSpaceDN w:val="0"/>
              <w:spacing w:after="0" w:line="240" w:lineRule="auto"/>
              <w:jc w:val="center"/>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color w:val="00000A"/>
                <w:sz w:val="18"/>
                <w:szCs w:val="18"/>
              </w:rPr>
              <w:t>10</w:t>
            </w:r>
          </w:p>
        </w:tc>
        <w:tc>
          <w:tcPr>
            <w:tcW w:w="4513"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C15D7A" w14:textId="78F8A823" w:rsidR="00D572EA" w:rsidRPr="00A07BE9" w:rsidRDefault="00D572EA" w:rsidP="00FB43B6">
            <w:pPr>
              <w:suppressAutoHyphens/>
              <w:autoSpaceDN w:val="0"/>
              <w:spacing w:after="0" w:line="240" w:lineRule="auto"/>
              <w:jc w:val="right"/>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color w:val="00000A"/>
                <w:sz w:val="18"/>
                <w:szCs w:val="18"/>
              </w:rPr>
              <w:t>17</w:t>
            </w:r>
            <w:r w:rsidR="00102F05" w:rsidRPr="00A07BE9">
              <w:rPr>
                <w:rFonts w:ascii="Open Sans" w:eastAsia="Calibri" w:hAnsi="Open Sans" w:cs="Open Sans"/>
                <w:color w:val="00000A"/>
                <w:sz w:val="18"/>
                <w:szCs w:val="18"/>
              </w:rPr>
              <w:t xml:space="preserve"> de abril de </w:t>
            </w:r>
            <w:r w:rsidRPr="00A07BE9">
              <w:rPr>
                <w:rFonts w:ascii="Open Sans" w:eastAsia="Calibri" w:hAnsi="Open Sans" w:cs="Open Sans"/>
                <w:color w:val="00000A"/>
                <w:sz w:val="18"/>
                <w:szCs w:val="18"/>
              </w:rPr>
              <w:t>2019</w:t>
            </w:r>
          </w:p>
        </w:tc>
      </w:tr>
      <w:tr w:rsidR="00D572EA" w:rsidRPr="00A07BE9" w14:paraId="23212999" w14:textId="77777777" w:rsidTr="00A620EB">
        <w:tc>
          <w:tcPr>
            <w:tcW w:w="1276"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D5B900" w14:textId="77777777" w:rsidR="00D572EA" w:rsidRPr="00A07BE9" w:rsidRDefault="00D572EA" w:rsidP="00A620EB">
            <w:pPr>
              <w:widowControl w:val="0"/>
              <w:suppressAutoHyphens/>
              <w:autoSpaceDN w:val="0"/>
              <w:spacing w:after="0" w:line="240" w:lineRule="auto"/>
              <w:textAlignment w:val="baseline"/>
              <w:rPr>
                <w:rFonts w:ascii="Calibri" w:eastAsia="Calibri" w:hAnsi="Calibri" w:cs="Tahoma"/>
                <w:sz w:val="24"/>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271F06" w14:textId="77777777" w:rsidR="00D572EA" w:rsidRPr="00A07BE9" w:rsidRDefault="00D572EA" w:rsidP="00A620EB">
            <w:pPr>
              <w:suppressAutoHyphens/>
              <w:autoSpaceDN w:val="0"/>
              <w:spacing w:after="0" w:line="360" w:lineRule="auto"/>
              <w:jc w:val="center"/>
              <w:textAlignment w:val="baseline"/>
              <w:rPr>
                <w:rFonts w:ascii="Liberation Serif" w:eastAsia="Droid Sans Fallback" w:hAnsi="Liberation Serif" w:cs="FreeSans"/>
                <w:b/>
                <w:kern w:val="3"/>
                <w:sz w:val="24"/>
                <w:szCs w:val="24"/>
                <w:lang w:eastAsia="zh-CN" w:bidi="hi-IN"/>
              </w:rPr>
            </w:pPr>
            <w:r w:rsidRPr="00A07BE9">
              <w:rPr>
                <w:rFonts w:ascii="Open Sans" w:eastAsia="Calibri" w:hAnsi="Open Sans" w:cs="Open Sans"/>
                <w:b/>
                <w:color w:val="00000A"/>
                <w:sz w:val="18"/>
                <w:szCs w:val="18"/>
              </w:rPr>
              <w:t>LD 2/2019</w:t>
            </w:r>
          </w:p>
        </w:tc>
        <w:tc>
          <w:tcPr>
            <w:tcW w:w="141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0DE03D8" w14:textId="77777777" w:rsidR="00D572EA" w:rsidRPr="00A07BE9" w:rsidRDefault="00D572EA" w:rsidP="00A620EB">
            <w:pPr>
              <w:suppressAutoHyphens/>
              <w:autoSpaceDN w:val="0"/>
              <w:spacing w:after="0" w:line="240" w:lineRule="auto"/>
              <w:jc w:val="center"/>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color w:val="00000A"/>
                <w:sz w:val="18"/>
                <w:szCs w:val="18"/>
              </w:rPr>
              <w:t>8</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464712" w14:textId="3CC35BE6" w:rsidR="00D572EA" w:rsidRPr="00A07BE9" w:rsidRDefault="00D572EA" w:rsidP="00FB43B6">
            <w:pPr>
              <w:suppressAutoHyphens/>
              <w:autoSpaceDN w:val="0"/>
              <w:spacing w:after="0" w:line="240" w:lineRule="auto"/>
              <w:jc w:val="right"/>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color w:val="00000A"/>
                <w:sz w:val="18"/>
                <w:szCs w:val="18"/>
              </w:rPr>
              <w:t>17</w:t>
            </w:r>
            <w:r w:rsidR="00102F05" w:rsidRPr="00A07BE9">
              <w:rPr>
                <w:rFonts w:ascii="Open Sans" w:eastAsia="Calibri" w:hAnsi="Open Sans" w:cs="Open Sans"/>
                <w:color w:val="00000A"/>
                <w:sz w:val="18"/>
                <w:szCs w:val="18"/>
              </w:rPr>
              <w:t xml:space="preserve">de abril de </w:t>
            </w:r>
            <w:r w:rsidRPr="00A07BE9">
              <w:rPr>
                <w:rFonts w:ascii="Open Sans" w:eastAsia="Calibri" w:hAnsi="Open Sans" w:cs="Open Sans"/>
                <w:color w:val="00000A"/>
                <w:sz w:val="18"/>
                <w:szCs w:val="18"/>
              </w:rPr>
              <w:t>2019</w:t>
            </w:r>
          </w:p>
        </w:tc>
      </w:tr>
      <w:tr w:rsidR="00D572EA" w:rsidRPr="00A07BE9" w14:paraId="11806CC6" w14:textId="77777777" w:rsidTr="00A620EB">
        <w:tc>
          <w:tcPr>
            <w:tcW w:w="1276"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45A4EE" w14:textId="77777777" w:rsidR="00D572EA" w:rsidRPr="00A07BE9" w:rsidRDefault="00D572EA" w:rsidP="00A620EB">
            <w:pPr>
              <w:widowControl w:val="0"/>
              <w:suppressAutoHyphens/>
              <w:autoSpaceDN w:val="0"/>
              <w:spacing w:after="0" w:line="240" w:lineRule="auto"/>
              <w:textAlignment w:val="baseline"/>
              <w:rPr>
                <w:rFonts w:ascii="Calibri" w:eastAsia="Calibri" w:hAnsi="Calibri" w:cs="Tahoma"/>
                <w:sz w:val="24"/>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D51839" w14:textId="77777777" w:rsidR="00D572EA" w:rsidRPr="00A07BE9" w:rsidRDefault="00D572EA" w:rsidP="00A620EB">
            <w:pPr>
              <w:suppressAutoHyphens/>
              <w:autoSpaceDN w:val="0"/>
              <w:spacing w:after="0" w:line="360" w:lineRule="auto"/>
              <w:jc w:val="center"/>
              <w:textAlignment w:val="baseline"/>
              <w:rPr>
                <w:rFonts w:ascii="Liberation Serif" w:eastAsia="Droid Sans Fallback" w:hAnsi="Liberation Serif" w:cs="FreeSans"/>
                <w:b/>
                <w:kern w:val="3"/>
                <w:sz w:val="24"/>
                <w:szCs w:val="24"/>
                <w:lang w:eastAsia="zh-CN" w:bidi="hi-IN"/>
              </w:rPr>
            </w:pPr>
            <w:r w:rsidRPr="00A07BE9">
              <w:rPr>
                <w:rFonts w:ascii="Open Sans" w:eastAsia="Calibri" w:hAnsi="Open Sans" w:cs="Open Sans"/>
                <w:b/>
                <w:color w:val="00000A"/>
                <w:sz w:val="18"/>
                <w:szCs w:val="18"/>
              </w:rPr>
              <w:t>LD 3/2019</w:t>
            </w:r>
          </w:p>
        </w:tc>
        <w:tc>
          <w:tcPr>
            <w:tcW w:w="141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60F33C6" w14:textId="77777777" w:rsidR="00D572EA" w:rsidRPr="00A07BE9" w:rsidRDefault="00D572EA" w:rsidP="00A620EB">
            <w:pPr>
              <w:suppressAutoHyphens/>
              <w:autoSpaceDN w:val="0"/>
              <w:spacing w:after="0" w:line="240" w:lineRule="auto"/>
              <w:jc w:val="center"/>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color w:val="00000A"/>
                <w:sz w:val="18"/>
                <w:szCs w:val="18"/>
              </w:rPr>
              <w:t>33</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421084" w14:textId="5656F8AE" w:rsidR="00D572EA" w:rsidRPr="00A07BE9" w:rsidRDefault="00D572EA" w:rsidP="00FB43B6">
            <w:pPr>
              <w:suppressAutoHyphens/>
              <w:autoSpaceDN w:val="0"/>
              <w:spacing w:after="0" w:line="240" w:lineRule="auto"/>
              <w:jc w:val="right"/>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color w:val="00000A"/>
                <w:sz w:val="18"/>
                <w:szCs w:val="18"/>
              </w:rPr>
              <w:t>Pendiente de resolución a 31</w:t>
            </w:r>
            <w:r w:rsidR="00102F05" w:rsidRPr="00A07BE9">
              <w:rPr>
                <w:rFonts w:ascii="Open Sans" w:eastAsia="Calibri" w:hAnsi="Open Sans" w:cs="Open Sans"/>
                <w:color w:val="00000A"/>
                <w:sz w:val="18"/>
                <w:szCs w:val="18"/>
              </w:rPr>
              <w:t xml:space="preserve"> de diciembre de </w:t>
            </w:r>
            <w:r w:rsidRPr="00A07BE9">
              <w:rPr>
                <w:rFonts w:ascii="Open Sans" w:eastAsia="Calibri" w:hAnsi="Open Sans" w:cs="Open Sans"/>
                <w:color w:val="00000A"/>
                <w:sz w:val="18"/>
                <w:szCs w:val="18"/>
              </w:rPr>
              <w:t>2019</w:t>
            </w:r>
          </w:p>
        </w:tc>
      </w:tr>
      <w:tr w:rsidR="00D572EA" w:rsidRPr="00A07BE9" w14:paraId="550CDF35" w14:textId="77777777" w:rsidTr="00A620EB">
        <w:tc>
          <w:tcPr>
            <w:tcW w:w="1276"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D9B316" w14:textId="77777777" w:rsidR="00D572EA" w:rsidRPr="00A07BE9" w:rsidRDefault="00D572EA" w:rsidP="00A620EB">
            <w:pPr>
              <w:widowControl w:val="0"/>
              <w:suppressAutoHyphens/>
              <w:autoSpaceDN w:val="0"/>
              <w:spacing w:after="0" w:line="240" w:lineRule="auto"/>
              <w:textAlignment w:val="baseline"/>
              <w:rPr>
                <w:rFonts w:ascii="Calibri" w:eastAsia="Calibri" w:hAnsi="Calibri" w:cs="Tahoma"/>
                <w:sz w:val="24"/>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B80D95" w14:textId="77777777" w:rsidR="00D572EA" w:rsidRPr="00A07BE9" w:rsidRDefault="00D572EA" w:rsidP="00A620EB">
            <w:pPr>
              <w:suppressAutoHyphens/>
              <w:autoSpaceDN w:val="0"/>
              <w:spacing w:after="0" w:line="360" w:lineRule="auto"/>
              <w:jc w:val="center"/>
              <w:textAlignment w:val="baseline"/>
              <w:rPr>
                <w:rFonts w:ascii="Liberation Serif" w:eastAsia="Droid Sans Fallback" w:hAnsi="Liberation Serif" w:cs="FreeSans"/>
                <w:b/>
                <w:kern w:val="3"/>
                <w:sz w:val="24"/>
                <w:szCs w:val="24"/>
                <w:lang w:eastAsia="zh-CN" w:bidi="hi-IN"/>
              </w:rPr>
            </w:pPr>
            <w:r w:rsidRPr="00A07BE9">
              <w:rPr>
                <w:rFonts w:ascii="Open Sans" w:eastAsia="Calibri" w:hAnsi="Open Sans" w:cs="Open Sans"/>
                <w:b/>
                <w:color w:val="00000A"/>
                <w:sz w:val="18"/>
                <w:szCs w:val="18"/>
              </w:rPr>
              <w:t>LD 4 /2019</w:t>
            </w:r>
          </w:p>
        </w:tc>
        <w:tc>
          <w:tcPr>
            <w:tcW w:w="141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7EE0EFA" w14:textId="77777777" w:rsidR="00D572EA" w:rsidRPr="00A07BE9" w:rsidRDefault="00D572EA" w:rsidP="00A620EB">
            <w:pPr>
              <w:suppressAutoHyphens/>
              <w:autoSpaceDN w:val="0"/>
              <w:spacing w:after="0" w:line="240" w:lineRule="auto"/>
              <w:jc w:val="center"/>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color w:val="00000A"/>
                <w:sz w:val="18"/>
                <w:szCs w:val="18"/>
              </w:rPr>
              <w:t>34</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C184B6" w14:textId="4B9205BF" w:rsidR="00D572EA" w:rsidRPr="00A07BE9" w:rsidRDefault="00D572EA" w:rsidP="00FB43B6">
            <w:pPr>
              <w:suppressAutoHyphens/>
              <w:autoSpaceDN w:val="0"/>
              <w:spacing w:after="0" w:line="240" w:lineRule="auto"/>
              <w:jc w:val="right"/>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color w:val="00000A"/>
                <w:sz w:val="18"/>
                <w:szCs w:val="18"/>
              </w:rPr>
              <w:t>Pendiente de resolución a 31</w:t>
            </w:r>
            <w:r w:rsidR="00102F05" w:rsidRPr="00A07BE9">
              <w:rPr>
                <w:rFonts w:ascii="Open Sans" w:eastAsia="Calibri" w:hAnsi="Open Sans" w:cs="Open Sans"/>
                <w:color w:val="00000A"/>
                <w:sz w:val="18"/>
                <w:szCs w:val="18"/>
              </w:rPr>
              <w:t xml:space="preserve"> de diciembre de </w:t>
            </w:r>
            <w:r w:rsidRPr="00A07BE9">
              <w:rPr>
                <w:rFonts w:ascii="Open Sans" w:eastAsia="Calibri" w:hAnsi="Open Sans" w:cs="Open Sans"/>
                <w:color w:val="00000A"/>
                <w:sz w:val="18"/>
                <w:szCs w:val="18"/>
              </w:rPr>
              <w:t>2019</w:t>
            </w:r>
          </w:p>
        </w:tc>
      </w:tr>
      <w:tr w:rsidR="00D572EA" w:rsidRPr="00A07BE9" w14:paraId="55F18AEF" w14:textId="77777777" w:rsidTr="00A620EB">
        <w:tc>
          <w:tcPr>
            <w:tcW w:w="1276"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DBCAB9" w14:textId="77777777" w:rsidR="00D572EA" w:rsidRPr="00A07BE9" w:rsidRDefault="00D572EA" w:rsidP="00A620EB">
            <w:pPr>
              <w:widowControl w:val="0"/>
              <w:suppressAutoHyphens/>
              <w:autoSpaceDN w:val="0"/>
              <w:spacing w:after="0" w:line="240" w:lineRule="auto"/>
              <w:textAlignment w:val="baseline"/>
              <w:rPr>
                <w:rFonts w:ascii="Calibri" w:eastAsia="Calibri" w:hAnsi="Calibri" w:cs="Tahoma"/>
                <w:sz w:val="24"/>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FCFD37" w14:textId="77777777" w:rsidR="00D572EA" w:rsidRPr="00A07BE9" w:rsidRDefault="00D572EA" w:rsidP="00A620EB">
            <w:pPr>
              <w:suppressAutoHyphens/>
              <w:autoSpaceDN w:val="0"/>
              <w:spacing w:after="0" w:line="360" w:lineRule="auto"/>
              <w:jc w:val="center"/>
              <w:textAlignment w:val="baseline"/>
              <w:rPr>
                <w:rFonts w:ascii="Liberation Serif" w:eastAsia="Droid Sans Fallback" w:hAnsi="Liberation Serif" w:cs="FreeSans"/>
                <w:b/>
                <w:kern w:val="3"/>
                <w:sz w:val="24"/>
                <w:szCs w:val="24"/>
                <w:lang w:eastAsia="zh-CN" w:bidi="hi-IN"/>
              </w:rPr>
            </w:pPr>
            <w:r w:rsidRPr="00A07BE9">
              <w:rPr>
                <w:rFonts w:ascii="Open Sans" w:eastAsia="Calibri" w:hAnsi="Open Sans" w:cs="Open Sans"/>
                <w:b/>
                <w:color w:val="00000A"/>
                <w:sz w:val="18"/>
                <w:szCs w:val="18"/>
              </w:rPr>
              <w:t>LD 5/2019</w:t>
            </w:r>
          </w:p>
        </w:tc>
        <w:tc>
          <w:tcPr>
            <w:tcW w:w="141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78AF0F0" w14:textId="77777777" w:rsidR="00D572EA" w:rsidRPr="00A07BE9" w:rsidRDefault="00D572EA" w:rsidP="00A620EB">
            <w:pPr>
              <w:suppressAutoHyphens/>
              <w:autoSpaceDN w:val="0"/>
              <w:spacing w:after="0" w:line="240" w:lineRule="auto"/>
              <w:jc w:val="center"/>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color w:val="00000A"/>
                <w:sz w:val="18"/>
                <w:szCs w:val="18"/>
              </w:rPr>
              <w:t>12</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49E561" w14:textId="4FBE6A2A" w:rsidR="00D572EA" w:rsidRPr="00A07BE9" w:rsidRDefault="00D572EA" w:rsidP="00FB43B6">
            <w:pPr>
              <w:suppressAutoHyphens/>
              <w:autoSpaceDN w:val="0"/>
              <w:spacing w:after="0" w:line="240" w:lineRule="auto"/>
              <w:jc w:val="right"/>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color w:val="00000A"/>
                <w:sz w:val="18"/>
                <w:szCs w:val="18"/>
              </w:rPr>
              <w:t>1</w:t>
            </w:r>
            <w:r w:rsidR="00102F05" w:rsidRPr="00A07BE9">
              <w:rPr>
                <w:rFonts w:ascii="Open Sans" w:eastAsia="Calibri" w:hAnsi="Open Sans" w:cs="Open Sans"/>
                <w:color w:val="00000A"/>
                <w:sz w:val="18"/>
                <w:szCs w:val="18"/>
              </w:rPr>
              <w:t xml:space="preserve"> de diciembre de </w:t>
            </w:r>
            <w:r w:rsidRPr="00A07BE9">
              <w:rPr>
                <w:rFonts w:ascii="Open Sans" w:eastAsia="Calibri" w:hAnsi="Open Sans" w:cs="Open Sans"/>
                <w:color w:val="00000A"/>
                <w:sz w:val="18"/>
                <w:szCs w:val="18"/>
              </w:rPr>
              <w:t>2019</w:t>
            </w:r>
          </w:p>
        </w:tc>
      </w:tr>
      <w:tr w:rsidR="00D572EA" w:rsidRPr="00A07BE9" w14:paraId="0FA298AE" w14:textId="77777777" w:rsidTr="00A620EB">
        <w:tc>
          <w:tcPr>
            <w:tcW w:w="1276"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6BE4B7" w14:textId="77777777" w:rsidR="00D572EA" w:rsidRPr="00A07BE9" w:rsidRDefault="00D572EA" w:rsidP="00A620EB">
            <w:pPr>
              <w:widowControl w:val="0"/>
              <w:suppressAutoHyphens/>
              <w:autoSpaceDN w:val="0"/>
              <w:spacing w:after="0" w:line="240" w:lineRule="auto"/>
              <w:textAlignment w:val="baseline"/>
              <w:rPr>
                <w:rFonts w:ascii="Calibri" w:eastAsia="Calibri" w:hAnsi="Calibri" w:cs="Tahoma"/>
                <w:sz w:val="24"/>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321DEA" w14:textId="77777777" w:rsidR="00D572EA" w:rsidRPr="00A07BE9" w:rsidRDefault="00D572EA" w:rsidP="00A620EB">
            <w:pPr>
              <w:suppressAutoHyphens/>
              <w:autoSpaceDN w:val="0"/>
              <w:spacing w:after="0" w:line="360" w:lineRule="auto"/>
              <w:jc w:val="center"/>
              <w:textAlignment w:val="baseline"/>
              <w:rPr>
                <w:rFonts w:ascii="Liberation Serif" w:eastAsia="Droid Sans Fallback" w:hAnsi="Liberation Serif" w:cs="FreeSans"/>
                <w:b/>
                <w:kern w:val="3"/>
                <w:sz w:val="24"/>
                <w:szCs w:val="24"/>
                <w:lang w:eastAsia="zh-CN" w:bidi="hi-IN"/>
              </w:rPr>
            </w:pPr>
            <w:r w:rsidRPr="00A07BE9">
              <w:rPr>
                <w:rFonts w:ascii="Open Sans" w:eastAsia="Calibri" w:hAnsi="Open Sans" w:cs="Open Sans"/>
                <w:b/>
                <w:color w:val="00000A"/>
                <w:sz w:val="18"/>
                <w:szCs w:val="18"/>
              </w:rPr>
              <w:t>LD 6/2019</w:t>
            </w:r>
          </w:p>
        </w:tc>
        <w:tc>
          <w:tcPr>
            <w:tcW w:w="141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9B28741" w14:textId="77777777" w:rsidR="00D572EA" w:rsidRPr="00A07BE9" w:rsidRDefault="00D572EA" w:rsidP="00A620EB">
            <w:pPr>
              <w:suppressAutoHyphens/>
              <w:autoSpaceDN w:val="0"/>
              <w:spacing w:after="0" w:line="240" w:lineRule="auto"/>
              <w:jc w:val="center"/>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color w:val="00000A"/>
                <w:sz w:val="18"/>
                <w:szCs w:val="18"/>
              </w:rPr>
              <w:t>13</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FB9C29" w14:textId="713D51E6" w:rsidR="00D572EA" w:rsidRPr="00A07BE9" w:rsidRDefault="00D572EA" w:rsidP="00FB43B6">
            <w:pPr>
              <w:suppressAutoHyphens/>
              <w:autoSpaceDN w:val="0"/>
              <w:spacing w:after="0" w:line="240" w:lineRule="auto"/>
              <w:jc w:val="right"/>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color w:val="00000A"/>
                <w:sz w:val="18"/>
                <w:szCs w:val="18"/>
              </w:rPr>
              <w:t>1</w:t>
            </w:r>
            <w:r w:rsidR="00102F05" w:rsidRPr="00A07BE9">
              <w:rPr>
                <w:rFonts w:ascii="Open Sans" w:eastAsia="Calibri" w:hAnsi="Open Sans" w:cs="Open Sans"/>
                <w:color w:val="00000A"/>
                <w:sz w:val="18"/>
                <w:szCs w:val="18"/>
              </w:rPr>
              <w:t xml:space="preserve"> de noviembre de </w:t>
            </w:r>
            <w:r w:rsidRPr="00A07BE9">
              <w:rPr>
                <w:rFonts w:ascii="Open Sans" w:eastAsia="Calibri" w:hAnsi="Open Sans" w:cs="Open Sans"/>
                <w:color w:val="00000A"/>
                <w:sz w:val="18"/>
                <w:szCs w:val="18"/>
              </w:rPr>
              <w:t>2019</w:t>
            </w:r>
          </w:p>
        </w:tc>
      </w:tr>
      <w:tr w:rsidR="00D572EA" w:rsidRPr="00A07BE9" w14:paraId="28887861" w14:textId="77777777" w:rsidTr="00A620EB">
        <w:tc>
          <w:tcPr>
            <w:tcW w:w="1276"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C7FF22" w14:textId="77777777" w:rsidR="00D572EA" w:rsidRPr="00A07BE9" w:rsidRDefault="00D572EA" w:rsidP="00A620EB">
            <w:pPr>
              <w:widowControl w:val="0"/>
              <w:suppressAutoHyphens/>
              <w:autoSpaceDN w:val="0"/>
              <w:spacing w:after="0" w:line="240" w:lineRule="auto"/>
              <w:textAlignment w:val="baseline"/>
              <w:rPr>
                <w:rFonts w:ascii="Calibri" w:eastAsia="Calibri" w:hAnsi="Calibri" w:cs="Tahoma"/>
                <w:sz w:val="24"/>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93B6D5" w14:textId="77777777" w:rsidR="00D572EA" w:rsidRPr="00A07BE9" w:rsidRDefault="00D572EA" w:rsidP="00A620EB">
            <w:pPr>
              <w:suppressAutoHyphens/>
              <w:autoSpaceDN w:val="0"/>
              <w:spacing w:after="0" w:line="360" w:lineRule="auto"/>
              <w:jc w:val="center"/>
              <w:textAlignment w:val="baseline"/>
              <w:rPr>
                <w:rFonts w:ascii="Liberation Serif" w:eastAsia="Droid Sans Fallback" w:hAnsi="Liberation Serif" w:cs="FreeSans"/>
                <w:b/>
                <w:kern w:val="3"/>
                <w:sz w:val="24"/>
                <w:szCs w:val="24"/>
                <w:lang w:eastAsia="zh-CN" w:bidi="hi-IN"/>
              </w:rPr>
            </w:pPr>
            <w:r w:rsidRPr="00A07BE9">
              <w:rPr>
                <w:rFonts w:ascii="Open Sans" w:eastAsia="Calibri" w:hAnsi="Open Sans" w:cs="Open Sans"/>
                <w:b/>
                <w:color w:val="00000A"/>
                <w:sz w:val="18"/>
                <w:szCs w:val="18"/>
              </w:rPr>
              <w:t>LD 7/2019</w:t>
            </w:r>
          </w:p>
        </w:tc>
        <w:tc>
          <w:tcPr>
            <w:tcW w:w="141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7D9F068" w14:textId="77777777" w:rsidR="00D572EA" w:rsidRPr="00A07BE9" w:rsidRDefault="00D572EA" w:rsidP="00A620EB">
            <w:pPr>
              <w:suppressAutoHyphens/>
              <w:autoSpaceDN w:val="0"/>
              <w:spacing w:after="0" w:line="240" w:lineRule="auto"/>
              <w:jc w:val="center"/>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color w:val="00000A"/>
                <w:sz w:val="18"/>
                <w:szCs w:val="18"/>
              </w:rPr>
              <w:t>11</w:t>
            </w:r>
          </w:p>
          <w:p w14:paraId="6EE89654" w14:textId="77777777" w:rsidR="00D572EA" w:rsidRPr="00A07BE9" w:rsidRDefault="00D572EA" w:rsidP="00A620EB">
            <w:pPr>
              <w:suppressAutoHyphens/>
              <w:autoSpaceDN w:val="0"/>
              <w:spacing w:after="0" w:line="240" w:lineRule="auto"/>
              <w:jc w:val="center"/>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color w:val="00000A"/>
                <w:sz w:val="18"/>
                <w:szCs w:val="18"/>
              </w:rPr>
              <w:t>24</w:t>
            </w:r>
          </w:p>
          <w:p w14:paraId="6BDBF878" w14:textId="77777777" w:rsidR="00D572EA" w:rsidRPr="00A07BE9" w:rsidRDefault="00D572EA" w:rsidP="00A620EB">
            <w:pPr>
              <w:suppressAutoHyphens/>
              <w:autoSpaceDN w:val="0"/>
              <w:spacing w:after="0" w:line="240" w:lineRule="auto"/>
              <w:jc w:val="center"/>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color w:val="00000A"/>
                <w:sz w:val="18"/>
                <w:szCs w:val="18"/>
              </w:rPr>
              <w:t>37</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D7F96B" w14:textId="73EBB740" w:rsidR="00D572EA" w:rsidRPr="00A07BE9" w:rsidRDefault="00D572EA" w:rsidP="00FB43B6">
            <w:pPr>
              <w:suppressAutoHyphens/>
              <w:autoSpaceDN w:val="0"/>
              <w:spacing w:after="0" w:line="240" w:lineRule="auto"/>
              <w:jc w:val="right"/>
              <w:textAlignment w:val="baseline"/>
              <w:rPr>
                <w:rFonts w:ascii="Liberation Serif" w:eastAsia="Droid Sans Fallback" w:hAnsi="Liberation Serif" w:cs="FreeSans"/>
                <w:kern w:val="3"/>
                <w:sz w:val="24"/>
                <w:szCs w:val="24"/>
                <w:lang w:eastAsia="zh-CN" w:bidi="hi-IN"/>
              </w:rPr>
            </w:pPr>
            <w:r w:rsidRPr="00A07BE9">
              <w:rPr>
                <w:rFonts w:ascii="Open Sans" w:eastAsia="Calibri" w:hAnsi="Open Sans" w:cs="Open Sans"/>
                <w:color w:val="00000A"/>
                <w:sz w:val="18"/>
                <w:szCs w:val="18"/>
              </w:rPr>
              <w:t>Pendiente de resolución a 31</w:t>
            </w:r>
            <w:r w:rsidR="00102F05" w:rsidRPr="00A07BE9">
              <w:rPr>
                <w:rFonts w:ascii="Open Sans" w:eastAsia="Calibri" w:hAnsi="Open Sans" w:cs="Open Sans"/>
                <w:color w:val="00000A"/>
                <w:sz w:val="18"/>
                <w:szCs w:val="18"/>
              </w:rPr>
              <w:t xml:space="preserve"> de octubre de </w:t>
            </w:r>
            <w:r w:rsidRPr="00A07BE9">
              <w:rPr>
                <w:rFonts w:ascii="Open Sans" w:eastAsia="Calibri" w:hAnsi="Open Sans" w:cs="Open Sans"/>
                <w:color w:val="00000A"/>
                <w:sz w:val="18"/>
                <w:szCs w:val="18"/>
              </w:rPr>
              <w:t>2019</w:t>
            </w:r>
          </w:p>
        </w:tc>
      </w:tr>
    </w:tbl>
    <w:p w14:paraId="167EFA7B" w14:textId="0C875181"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205C00F9" w14:textId="77777777"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r w:rsidRPr="00A07BE9">
        <w:rPr>
          <w:rFonts w:ascii="Open Sans" w:eastAsia="Droid Sans Fallback" w:hAnsi="Open Sans" w:cs="Open Sans"/>
          <w:kern w:val="3"/>
          <w:sz w:val="20"/>
          <w:szCs w:val="20"/>
          <w:lang w:eastAsia="zh-CN" w:bidi="hi-IN"/>
        </w:rPr>
        <w:t>Con carácter complementario y con la finalidad de ofrecer una visión global de la estructura de los recursos humanos de esta Agencia desde el momento en que se crea, se incluye una información exhaustiva de la situación de estos a 31 de diciembre para los tres ejercicios de existencia de la Agencia.</w:t>
      </w:r>
    </w:p>
    <w:p w14:paraId="049E2475" w14:textId="77777777"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1FD2F2AC" w14:textId="6417BF0F" w:rsidR="00A531A3"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b/>
          <w:bCs/>
          <w:kern w:val="3"/>
          <w:sz w:val="20"/>
          <w:szCs w:val="20"/>
          <w:lang w:eastAsia="zh-CN" w:bidi="hi-IN"/>
        </w:rPr>
      </w:pPr>
      <w:r w:rsidRPr="00A07BE9">
        <w:rPr>
          <w:rFonts w:ascii="Open Sans" w:eastAsia="Droid Sans Fallback" w:hAnsi="Open Sans" w:cs="Open Sans"/>
          <w:b/>
          <w:bCs/>
          <w:color w:val="9D2235"/>
          <w:kern w:val="3"/>
          <w:sz w:val="20"/>
          <w:szCs w:val="20"/>
          <w:lang w:eastAsia="zh-CN" w:bidi="hi-IN"/>
        </w:rPr>
        <w:t xml:space="preserve">Tabla </w:t>
      </w:r>
      <w:r w:rsidR="00102F05" w:rsidRPr="00A07BE9">
        <w:rPr>
          <w:rFonts w:ascii="Open Sans" w:eastAsia="Droid Sans Fallback" w:hAnsi="Open Sans" w:cs="Open Sans"/>
          <w:b/>
          <w:bCs/>
          <w:color w:val="9D2235"/>
          <w:kern w:val="3"/>
          <w:sz w:val="20"/>
          <w:szCs w:val="20"/>
          <w:lang w:eastAsia="zh-CN" w:bidi="hi-IN"/>
        </w:rPr>
        <w:t>21</w:t>
      </w:r>
      <w:r w:rsidR="00AC7D1A">
        <w:rPr>
          <w:rFonts w:ascii="Open Sans" w:eastAsia="Droid Sans Fallback" w:hAnsi="Open Sans" w:cs="Open Sans"/>
          <w:b/>
          <w:bCs/>
          <w:color w:val="9D2235"/>
          <w:kern w:val="3"/>
          <w:sz w:val="20"/>
          <w:szCs w:val="20"/>
          <w:lang w:eastAsia="zh-CN" w:bidi="hi-IN"/>
        </w:rPr>
        <w:t>.</w:t>
      </w:r>
      <w:r w:rsidRPr="00A07BE9">
        <w:rPr>
          <w:rFonts w:ascii="Open Sans" w:eastAsia="Droid Sans Fallback" w:hAnsi="Open Sans" w:cs="Open Sans"/>
          <w:b/>
          <w:bCs/>
          <w:kern w:val="3"/>
          <w:sz w:val="20"/>
          <w:szCs w:val="20"/>
          <w:lang w:eastAsia="zh-CN" w:bidi="hi-IN"/>
        </w:rPr>
        <w:t xml:space="preserve"> Descripción de unidades administrativas, puestos de trabajo, su clasificación y estado de ocupación a 31/12/2017</w:t>
      </w:r>
    </w:p>
    <w:tbl>
      <w:tblPr>
        <w:tblW w:w="8624" w:type="dxa"/>
        <w:tblLayout w:type="fixed"/>
        <w:tblCellMar>
          <w:left w:w="10" w:type="dxa"/>
          <w:right w:w="10" w:type="dxa"/>
        </w:tblCellMar>
        <w:tblLook w:val="0000" w:firstRow="0" w:lastRow="0" w:firstColumn="0" w:lastColumn="0" w:noHBand="0" w:noVBand="0"/>
      </w:tblPr>
      <w:tblGrid>
        <w:gridCol w:w="2332"/>
        <w:gridCol w:w="1866"/>
        <w:gridCol w:w="1611"/>
        <w:gridCol w:w="1391"/>
        <w:gridCol w:w="1424"/>
      </w:tblGrid>
      <w:tr w:rsidR="00D572EA" w:rsidRPr="00A07BE9" w14:paraId="47588AA9" w14:textId="77777777" w:rsidTr="007663DF">
        <w:trPr>
          <w:trHeight w:val="383"/>
          <w:tblHeader/>
        </w:trPr>
        <w:tc>
          <w:tcPr>
            <w:tcW w:w="8624" w:type="dxa"/>
            <w:gridSpan w:val="5"/>
            <w:tcBorders>
              <w:top w:val="single" w:sz="2" w:space="0" w:color="000000"/>
              <w:left w:val="single" w:sz="2" w:space="0" w:color="000000"/>
              <w:bottom w:val="single" w:sz="2" w:space="0" w:color="000000"/>
              <w:right w:val="single" w:sz="2" w:space="0" w:color="000000"/>
            </w:tcBorders>
            <w:shd w:val="clear" w:color="auto" w:fill="5B6770"/>
            <w:tcMar>
              <w:top w:w="55" w:type="dxa"/>
              <w:left w:w="55" w:type="dxa"/>
              <w:bottom w:w="55" w:type="dxa"/>
              <w:right w:w="55" w:type="dxa"/>
            </w:tcMar>
          </w:tcPr>
          <w:p w14:paraId="078FC7AD" w14:textId="3247EB6B" w:rsidR="007663DF"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b/>
                <w:bCs/>
                <w:color w:val="FFFFFF"/>
                <w:kern w:val="3"/>
                <w:sz w:val="18"/>
                <w:szCs w:val="18"/>
                <w:lang w:eastAsia="zh-CN" w:bidi="hi-IN"/>
              </w:rPr>
            </w:pPr>
            <w:r w:rsidRPr="00A07BE9">
              <w:rPr>
                <w:rFonts w:ascii="Open Sans" w:eastAsia="Droid Sans Fallback" w:hAnsi="Open Sans" w:cs="FreeSans"/>
                <w:b/>
                <w:bCs/>
                <w:color w:val="FFFFFF"/>
                <w:kern w:val="3"/>
                <w:sz w:val="18"/>
                <w:szCs w:val="18"/>
                <w:lang w:eastAsia="zh-CN" w:bidi="hi-IN"/>
              </w:rPr>
              <w:t>Resolución 28/07/2017</w:t>
            </w:r>
            <w:r w:rsidR="00FF2B87" w:rsidRPr="00A07BE9">
              <w:rPr>
                <w:rFonts w:ascii="Open Sans" w:eastAsia="Droid Sans Fallback" w:hAnsi="Open Sans" w:cs="FreeSans"/>
                <w:b/>
                <w:bCs/>
                <w:color w:val="FFFFFF"/>
                <w:kern w:val="3"/>
                <w:sz w:val="18"/>
                <w:szCs w:val="18"/>
                <w:lang w:eastAsia="zh-CN" w:bidi="hi-IN"/>
              </w:rPr>
              <w:t xml:space="preserve">   </w:t>
            </w:r>
            <w:r w:rsidRPr="00A07BE9">
              <w:rPr>
                <w:rFonts w:ascii="Open Sans" w:eastAsia="Droid Sans Fallback" w:hAnsi="Open Sans" w:cs="FreeSans"/>
                <w:b/>
                <w:bCs/>
                <w:color w:val="FFFFFF"/>
                <w:kern w:val="3"/>
                <w:sz w:val="18"/>
                <w:szCs w:val="18"/>
                <w:lang w:eastAsia="zh-CN" w:bidi="hi-IN"/>
              </w:rPr>
              <w:t xml:space="preserve">DOGV </w:t>
            </w:r>
            <w:r w:rsidR="00C87DEA" w:rsidRPr="00A07BE9">
              <w:rPr>
                <w:rFonts w:ascii="Open Sans" w:eastAsia="Droid Sans Fallback" w:hAnsi="Open Sans" w:cs="FreeSans"/>
                <w:b/>
                <w:bCs/>
                <w:color w:val="FFFFFF"/>
                <w:kern w:val="3"/>
                <w:sz w:val="18"/>
                <w:szCs w:val="18"/>
                <w:lang w:eastAsia="zh-CN" w:bidi="hi-IN"/>
              </w:rPr>
              <w:t xml:space="preserve">núm. </w:t>
            </w:r>
            <w:r w:rsidRPr="00A07BE9">
              <w:rPr>
                <w:rFonts w:ascii="Open Sans" w:eastAsia="Droid Sans Fallback" w:hAnsi="Open Sans" w:cs="FreeSans"/>
                <w:b/>
                <w:bCs/>
                <w:color w:val="FFFFFF"/>
                <w:kern w:val="3"/>
                <w:sz w:val="18"/>
                <w:szCs w:val="18"/>
                <w:lang w:eastAsia="zh-CN" w:bidi="hi-IN"/>
              </w:rPr>
              <w:t>8119</w:t>
            </w:r>
            <w:r w:rsidR="00C87DEA" w:rsidRPr="00A07BE9">
              <w:rPr>
                <w:rFonts w:ascii="Open Sans" w:eastAsia="Droid Sans Fallback" w:hAnsi="Open Sans" w:cs="FreeSans"/>
                <w:b/>
                <w:bCs/>
                <w:color w:val="FFFFFF"/>
                <w:kern w:val="3"/>
                <w:sz w:val="18"/>
                <w:szCs w:val="18"/>
                <w:lang w:eastAsia="zh-CN" w:bidi="hi-IN"/>
              </w:rPr>
              <w:t xml:space="preserve"> de 4 de septiembre de </w:t>
            </w:r>
            <w:r w:rsidRPr="00A07BE9">
              <w:rPr>
                <w:rFonts w:ascii="Open Sans" w:eastAsia="Droid Sans Fallback" w:hAnsi="Open Sans" w:cs="FreeSans"/>
                <w:b/>
                <w:bCs/>
                <w:color w:val="FFFFFF"/>
                <w:kern w:val="3"/>
                <w:sz w:val="18"/>
                <w:szCs w:val="18"/>
                <w:lang w:eastAsia="zh-CN" w:bidi="hi-IN"/>
              </w:rPr>
              <w:t>2017</w:t>
            </w:r>
          </w:p>
          <w:p w14:paraId="12F7CBF7" w14:textId="6579AA86" w:rsidR="007663DF"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b/>
                <w:bCs/>
                <w:color w:val="FFFFFF"/>
                <w:kern w:val="3"/>
                <w:sz w:val="18"/>
                <w:szCs w:val="18"/>
                <w:lang w:eastAsia="zh-CN" w:bidi="hi-IN"/>
              </w:rPr>
            </w:pPr>
            <w:r w:rsidRPr="00A07BE9">
              <w:rPr>
                <w:rFonts w:ascii="Open Sans" w:eastAsia="Droid Sans Fallback" w:hAnsi="Open Sans" w:cs="FreeSans"/>
                <w:b/>
                <w:bCs/>
                <w:color w:val="FFFFFF"/>
                <w:kern w:val="3"/>
                <w:sz w:val="18"/>
                <w:szCs w:val="18"/>
                <w:lang w:eastAsia="zh-CN" w:bidi="hi-IN"/>
              </w:rPr>
              <w:t>Estructura orgánica provisional</w:t>
            </w:r>
          </w:p>
        </w:tc>
      </w:tr>
      <w:tr w:rsidR="00D572EA" w:rsidRPr="00A07BE9" w14:paraId="5871F77A" w14:textId="77777777" w:rsidTr="00A531A3">
        <w:trPr>
          <w:tblHeader/>
        </w:trPr>
        <w:tc>
          <w:tcPr>
            <w:tcW w:w="2332" w:type="dxa"/>
            <w:tcBorders>
              <w:left w:val="single" w:sz="2" w:space="0" w:color="000000"/>
              <w:bottom w:val="single" w:sz="2" w:space="0" w:color="000000"/>
            </w:tcBorders>
            <w:shd w:val="clear" w:color="auto" w:fill="9D2235"/>
            <w:tcMar>
              <w:top w:w="55" w:type="dxa"/>
              <w:left w:w="55" w:type="dxa"/>
              <w:bottom w:w="55" w:type="dxa"/>
              <w:right w:w="55" w:type="dxa"/>
            </w:tcMar>
            <w:vAlign w:val="center"/>
          </w:tcPr>
          <w:p w14:paraId="2ACC5D9F"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b/>
                <w:bCs/>
                <w:color w:val="FFFFFF"/>
                <w:kern w:val="3"/>
                <w:sz w:val="18"/>
                <w:szCs w:val="18"/>
                <w:lang w:eastAsia="zh-CN" w:bidi="hi-IN"/>
              </w:rPr>
            </w:pPr>
            <w:r w:rsidRPr="00A07BE9">
              <w:rPr>
                <w:rFonts w:ascii="Open Sans" w:eastAsia="Droid Sans Fallback" w:hAnsi="Open Sans" w:cs="FreeSans"/>
                <w:b/>
                <w:bCs/>
                <w:color w:val="FFFFFF"/>
                <w:kern w:val="3"/>
                <w:sz w:val="18"/>
                <w:szCs w:val="18"/>
                <w:lang w:eastAsia="zh-CN" w:bidi="hi-IN"/>
              </w:rPr>
              <w:t>Unidad administrativa</w:t>
            </w:r>
          </w:p>
        </w:tc>
        <w:tc>
          <w:tcPr>
            <w:tcW w:w="1866" w:type="dxa"/>
            <w:tcBorders>
              <w:left w:val="single" w:sz="2" w:space="0" w:color="000000"/>
              <w:bottom w:val="single" w:sz="2" w:space="0" w:color="000000"/>
            </w:tcBorders>
            <w:shd w:val="clear" w:color="auto" w:fill="9D2235"/>
            <w:tcMar>
              <w:top w:w="55" w:type="dxa"/>
              <w:left w:w="55" w:type="dxa"/>
              <w:bottom w:w="55" w:type="dxa"/>
              <w:right w:w="55" w:type="dxa"/>
            </w:tcMar>
            <w:vAlign w:val="center"/>
          </w:tcPr>
          <w:p w14:paraId="7D3069A2"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b/>
                <w:bCs/>
                <w:color w:val="FFFFFF"/>
                <w:kern w:val="3"/>
                <w:sz w:val="18"/>
                <w:szCs w:val="18"/>
                <w:lang w:eastAsia="zh-CN" w:bidi="hi-IN"/>
              </w:rPr>
            </w:pPr>
            <w:r w:rsidRPr="00A07BE9">
              <w:rPr>
                <w:rFonts w:ascii="Open Sans" w:eastAsia="Droid Sans Fallback" w:hAnsi="Open Sans" w:cs="FreeSans"/>
                <w:b/>
                <w:bCs/>
                <w:color w:val="FFFFFF"/>
                <w:kern w:val="3"/>
                <w:sz w:val="18"/>
                <w:szCs w:val="18"/>
                <w:lang w:eastAsia="zh-CN" w:bidi="hi-IN"/>
              </w:rPr>
              <w:t>Nº puestos totales por unidad administrativa</w:t>
            </w:r>
          </w:p>
        </w:tc>
        <w:tc>
          <w:tcPr>
            <w:tcW w:w="1611" w:type="dxa"/>
            <w:tcBorders>
              <w:left w:val="single" w:sz="2" w:space="0" w:color="000000"/>
              <w:bottom w:val="single" w:sz="2" w:space="0" w:color="000000"/>
            </w:tcBorders>
            <w:shd w:val="clear" w:color="auto" w:fill="9D2235"/>
            <w:tcMar>
              <w:top w:w="55" w:type="dxa"/>
              <w:left w:w="55" w:type="dxa"/>
              <w:bottom w:w="55" w:type="dxa"/>
              <w:right w:w="55" w:type="dxa"/>
            </w:tcMar>
            <w:vAlign w:val="center"/>
          </w:tcPr>
          <w:p w14:paraId="455179FE"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b/>
                <w:bCs/>
                <w:color w:val="FFFFFF"/>
                <w:kern w:val="3"/>
                <w:sz w:val="18"/>
                <w:szCs w:val="18"/>
                <w:lang w:eastAsia="zh-CN" w:bidi="hi-IN"/>
              </w:rPr>
            </w:pPr>
            <w:r w:rsidRPr="00A07BE9">
              <w:rPr>
                <w:rFonts w:ascii="Open Sans" w:eastAsia="Droid Sans Fallback" w:hAnsi="Open Sans" w:cs="FreeSans"/>
                <w:b/>
                <w:bCs/>
                <w:color w:val="FFFFFF"/>
                <w:kern w:val="3"/>
                <w:sz w:val="18"/>
                <w:szCs w:val="18"/>
                <w:lang w:eastAsia="zh-CN" w:bidi="hi-IN"/>
              </w:rPr>
              <w:t>Clasificación según Grupo/subgrupo</w:t>
            </w:r>
          </w:p>
        </w:tc>
        <w:tc>
          <w:tcPr>
            <w:tcW w:w="1391" w:type="dxa"/>
            <w:tcBorders>
              <w:left w:val="single" w:sz="2" w:space="0" w:color="000000"/>
              <w:bottom w:val="single" w:sz="2" w:space="0" w:color="000000"/>
            </w:tcBorders>
            <w:shd w:val="clear" w:color="auto" w:fill="9D2235"/>
            <w:tcMar>
              <w:top w:w="55" w:type="dxa"/>
              <w:left w:w="55" w:type="dxa"/>
              <w:bottom w:w="55" w:type="dxa"/>
              <w:right w:w="55" w:type="dxa"/>
            </w:tcMar>
            <w:vAlign w:val="center"/>
          </w:tcPr>
          <w:p w14:paraId="61C1CEC7"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b/>
                <w:bCs/>
                <w:color w:val="FFFFFF"/>
                <w:kern w:val="3"/>
                <w:sz w:val="18"/>
                <w:szCs w:val="18"/>
                <w:lang w:eastAsia="zh-CN" w:bidi="hi-IN"/>
              </w:rPr>
            </w:pPr>
            <w:r w:rsidRPr="00A07BE9">
              <w:rPr>
                <w:rFonts w:ascii="Open Sans" w:eastAsia="Droid Sans Fallback" w:hAnsi="Open Sans" w:cs="FreeSans"/>
                <w:b/>
                <w:bCs/>
                <w:color w:val="FFFFFF"/>
                <w:kern w:val="3"/>
                <w:sz w:val="18"/>
                <w:szCs w:val="18"/>
                <w:lang w:eastAsia="zh-CN" w:bidi="hi-IN"/>
              </w:rPr>
              <w:t>Puestos ocupados a 31/12/2017</w:t>
            </w:r>
          </w:p>
        </w:tc>
        <w:tc>
          <w:tcPr>
            <w:tcW w:w="1424" w:type="dxa"/>
            <w:tcBorders>
              <w:left w:val="single" w:sz="2" w:space="0" w:color="000000"/>
              <w:bottom w:val="single" w:sz="2" w:space="0" w:color="000000"/>
              <w:right w:val="single" w:sz="2" w:space="0" w:color="000000"/>
            </w:tcBorders>
            <w:shd w:val="clear" w:color="auto" w:fill="9D2235"/>
            <w:tcMar>
              <w:top w:w="55" w:type="dxa"/>
              <w:left w:w="55" w:type="dxa"/>
              <w:bottom w:w="55" w:type="dxa"/>
              <w:right w:w="55" w:type="dxa"/>
            </w:tcMar>
            <w:vAlign w:val="center"/>
          </w:tcPr>
          <w:p w14:paraId="63268966"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b/>
                <w:bCs/>
                <w:color w:val="FFFFFF"/>
                <w:kern w:val="3"/>
                <w:sz w:val="18"/>
                <w:szCs w:val="18"/>
                <w:lang w:eastAsia="zh-CN" w:bidi="hi-IN"/>
              </w:rPr>
            </w:pPr>
            <w:r w:rsidRPr="00A07BE9">
              <w:rPr>
                <w:rFonts w:ascii="Open Sans" w:eastAsia="Droid Sans Fallback" w:hAnsi="Open Sans" w:cs="FreeSans"/>
                <w:b/>
                <w:bCs/>
                <w:color w:val="FFFFFF"/>
                <w:kern w:val="3"/>
                <w:sz w:val="18"/>
                <w:szCs w:val="18"/>
                <w:lang w:eastAsia="zh-CN" w:bidi="hi-IN"/>
              </w:rPr>
              <w:t>Puestos vacantes a 31/12/2017</w:t>
            </w:r>
          </w:p>
        </w:tc>
      </w:tr>
      <w:tr w:rsidR="00102F05" w:rsidRPr="00A07BE9" w14:paraId="7678B4AC" w14:textId="77777777" w:rsidTr="00A531A3">
        <w:trPr>
          <w:trHeight w:val="368"/>
        </w:trPr>
        <w:tc>
          <w:tcPr>
            <w:tcW w:w="2332" w:type="dxa"/>
            <w:vMerge w:val="restart"/>
            <w:tcBorders>
              <w:left w:val="single" w:sz="2" w:space="0" w:color="000000"/>
            </w:tcBorders>
            <w:shd w:val="clear" w:color="auto" w:fill="auto"/>
            <w:tcMar>
              <w:top w:w="55" w:type="dxa"/>
              <w:left w:w="55" w:type="dxa"/>
              <w:bottom w:w="55" w:type="dxa"/>
              <w:right w:w="55" w:type="dxa"/>
            </w:tcMar>
          </w:tcPr>
          <w:p w14:paraId="272FF2F7" w14:textId="77777777" w:rsidR="00102F05" w:rsidRPr="00A07BE9" w:rsidRDefault="00102F05"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Gabinete de Dirección, Relaciones Institucionales y Participación</w:t>
            </w:r>
          </w:p>
        </w:tc>
        <w:tc>
          <w:tcPr>
            <w:tcW w:w="1866" w:type="dxa"/>
            <w:vMerge w:val="restart"/>
            <w:tcBorders>
              <w:left w:val="single" w:sz="2" w:space="0" w:color="000000"/>
            </w:tcBorders>
            <w:shd w:val="clear" w:color="auto" w:fill="auto"/>
            <w:tcMar>
              <w:top w:w="55" w:type="dxa"/>
              <w:left w:w="55" w:type="dxa"/>
              <w:bottom w:w="55" w:type="dxa"/>
              <w:right w:w="55" w:type="dxa"/>
            </w:tcMar>
          </w:tcPr>
          <w:p w14:paraId="7588B9EE" w14:textId="77777777" w:rsidR="00102F05" w:rsidRPr="00A07BE9" w:rsidRDefault="00102F05"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 xml:space="preserve">Total puestos: </w:t>
            </w:r>
            <w:r w:rsidRPr="00A07BE9">
              <w:rPr>
                <w:rFonts w:ascii="Open Sans" w:eastAsia="Droid Sans Fallback" w:hAnsi="Open Sans" w:cs="FreeSans"/>
                <w:b/>
                <w:kern w:val="3"/>
                <w:sz w:val="18"/>
                <w:szCs w:val="18"/>
                <w:lang w:eastAsia="zh-CN" w:bidi="hi-IN"/>
              </w:rPr>
              <w:t>2</w:t>
            </w:r>
          </w:p>
          <w:p w14:paraId="1951D540" w14:textId="77777777" w:rsidR="00102F05" w:rsidRPr="00A07BE9" w:rsidRDefault="00102F05"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tc>
        <w:tc>
          <w:tcPr>
            <w:tcW w:w="1611" w:type="dxa"/>
            <w:tcBorders>
              <w:left w:val="single" w:sz="2" w:space="0" w:color="000000"/>
              <w:bottom w:val="single" w:sz="2" w:space="0" w:color="000000"/>
            </w:tcBorders>
            <w:shd w:val="clear" w:color="auto" w:fill="auto"/>
            <w:tcMar>
              <w:top w:w="55" w:type="dxa"/>
              <w:left w:w="55" w:type="dxa"/>
              <w:bottom w:w="55" w:type="dxa"/>
              <w:right w:w="55" w:type="dxa"/>
            </w:tcMar>
          </w:tcPr>
          <w:p w14:paraId="7AD82C8C" w14:textId="39F1EC90" w:rsidR="00102F05" w:rsidRPr="00A07BE9" w:rsidRDefault="00102F05" w:rsidP="00102F05">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 A1</w:t>
            </w:r>
          </w:p>
        </w:tc>
        <w:tc>
          <w:tcPr>
            <w:tcW w:w="1391" w:type="dxa"/>
            <w:tcBorders>
              <w:top w:val="single" w:sz="2" w:space="0" w:color="000000"/>
              <w:left w:val="single" w:sz="2" w:space="0" w:color="000000"/>
              <w:bottom w:val="single" w:sz="4" w:space="0" w:color="auto"/>
              <w:right w:val="single" w:sz="4" w:space="0" w:color="auto"/>
            </w:tcBorders>
            <w:shd w:val="clear" w:color="auto" w:fill="auto"/>
            <w:tcMar>
              <w:top w:w="55" w:type="dxa"/>
              <w:left w:w="55" w:type="dxa"/>
              <w:bottom w:w="55" w:type="dxa"/>
              <w:right w:w="55" w:type="dxa"/>
            </w:tcMar>
          </w:tcPr>
          <w:p w14:paraId="5231DDE3" w14:textId="77777777" w:rsidR="00102F05" w:rsidRPr="00A07BE9" w:rsidRDefault="00102F05" w:rsidP="00D572EA">
            <w:pPr>
              <w:widowControl w:val="0"/>
              <w:suppressLineNumbers/>
              <w:suppressAutoHyphens/>
              <w:autoSpaceDN w:val="0"/>
              <w:spacing w:after="0" w:line="240" w:lineRule="auto"/>
              <w:jc w:val="center"/>
              <w:textAlignment w:val="baseline"/>
              <w:rPr>
                <w:rFonts w:ascii="Open Sans" w:eastAsia="Droid Sans Fallback" w:hAnsi="Open Sans" w:cs="FreeSans"/>
                <w:color w:val="000000"/>
                <w:kern w:val="3"/>
                <w:sz w:val="18"/>
                <w:szCs w:val="18"/>
                <w:lang w:eastAsia="zh-CN" w:bidi="hi-IN"/>
              </w:rPr>
            </w:pPr>
            <w:r w:rsidRPr="00A07BE9">
              <w:rPr>
                <w:rFonts w:ascii="Open Sans" w:eastAsia="Droid Sans Fallback" w:hAnsi="Open Sans" w:cs="FreeSans"/>
                <w:color w:val="000000"/>
                <w:kern w:val="3"/>
                <w:sz w:val="18"/>
                <w:szCs w:val="18"/>
                <w:lang w:eastAsia="zh-CN" w:bidi="hi-IN"/>
              </w:rPr>
              <w:t>1</w:t>
            </w:r>
          </w:p>
        </w:tc>
        <w:tc>
          <w:tcPr>
            <w:tcW w:w="1424" w:type="dxa"/>
            <w:tcBorders>
              <w:top w:val="single" w:sz="2" w:space="0" w:color="000000"/>
              <w:left w:val="single" w:sz="4" w:space="0" w:color="auto"/>
              <w:bottom w:val="single" w:sz="4" w:space="0" w:color="auto"/>
              <w:right w:val="single" w:sz="2" w:space="0" w:color="000000"/>
            </w:tcBorders>
            <w:shd w:val="clear" w:color="auto" w:fill="auto"/>
            <w:tcMar>
              <w:top w:w="55" w:type="dxa"/>
              <w:left w:w="55" w:type="dxa"/>
              <w:bottom w:w="55" w:type="dxa"/>
              <w:right w:w="55" w:type="dxa"/>
            </w:tcMar>
          </w:tcPr>
          <w:p w14:paraId="2AFE3D0C" w14:textId="02479E93" w:rsidR="00102F05" w:rsidRPr="00A07BE9" w:rsidRDefault="00102F05" w:rsidP="00102F05">
            <w:pPr>
              <w:widowControl w:val="0"/>
              <w:suppressLineNumbers/>
              <w:suppressAutoHyphens/>
              <w:autoSpaceDN w:val="0"/>
              <w:spacing w:after="0" w:line="240" w:lineRule="auto"/>
              <w:textAlignment w:val="baseline"/>
              <w:rPr>
                <w:rFonts w:ascii="Open Sans" w:eastAsia="Droid Sans Fallback" w:hAnsi="Open Sans" w:cs="FreeSans"/>
                <w:color w:val="000000"/>
                <w:kern w:val="3"/>
                <w:sz w:val="18"/>
                <w:szCs w:val="18"/>
                <w:lang w:eastAsia="zh-CN" w:bidi="hi-IN"/>
              </w:rPr>
            </w:pPr>
          </w:p>
        </w:tc>
      </w:tr>
      <w:tr w:rsidR="00102F05" w:rsidRPr="00A07BE9" w14:paraId="4A0DD5F7" w14:textId="77777777" w:rsidTr="00A531A3">
        <w:trPr>
          <w:trHeight w:val="367"/>
        </w:trPr>
        <w:tc>
          <w:tcPr>
            <w:tcW w:w="2332" w:type="dxa"/>
            <w:vMerge/>
            <w:tcBorders>
              <w:left w:val="single" w:sz="2" w:space="0" w:color="000000"/>
              <w:bottom w:val="single" w:sz="2" w:space="0" w:color="000000"/>
            </w:tcBorders>
            <w:shd w:val="clear" w:color="auto" w:fill="auto"/>
            <w:tcMar>
              <w:top w:w="55" w:type="dxa"/>
              <w:left w:w="55" w:type="dxa"/>
              <w:bottom w:w="55" w:type="dxa"/>
              <w:right w:w="55" w:type="dxa"/>
            </w:tcMar>
          </w:tcPr>
          <w:p w14:paraId="32B8A1C7" w14:textId="77777777" w:rsidR="00102F05" w:rsidRPr="00A07BE9" w:rsidRDefault="00102F05"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tc>
        <w:tc>
          <w:tcPr>
            <w:tcW w:w="1866" w:type="dxa"/>
            <w:vMerge/>
            <w:tcBorders>
              <w:left w:val="single" w:sz="2" w:space="0" w:color="000000"/>
              <w:bottom w:val="single" w:sz="2" w:space="0" w:color="000000"/>
            </w:tcBorders>
            <w:shd w:val="clear" w:color="auto" w:fill="auto"/>
            <w:tcMar>
              <w:top w:w="55" w:type="dxa"/>
              <w:left w:w="55" w:type="dxa"/>
              <w:bottom w:w="55" w:type="dxa"/>
              <w:right w:w="55" w:type="dxa"/>
            </w:tcMar>
          </w:tcPr>
          <w:p w14:paraId="7023199F" w14:textId="77777777" w:rsidR="00102F05" w:rsidRPr="00A07BE9" w:rsidRDefault="00102F05"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tc>
        <w:tc>
          <w:tcPr>
            <w:tcW w:w="1611" w:type="dxa"/>
            <w:tcBorders>
              <w:left w:val="single" w:sz="2" w:space="0" w:color="000000"/>
              <w:bottom w:val="single" w:sz="2" w:space="0" w:color="000000"/>
            </w:tcBorders>
            <w:shd w:val="clear" w:color="auto" w:fill="auto"/>
            <w:tcMar>
              <w:top w:w="55" w:type="dxa"/>
              <w:left w:w="55" w:type="dxa"/>
              <w:bottom w:w="55" w:type="dxa"/>
              <w:right w:w="55" w:type="dxa"/>
            </w:tcMar>
          </w:tcPr>
          <w:p w14:paraId="0D9AC9CC" w14:textId="397E3632" w:rsidR="00102F05" w:rsidRPr="00A07BE9" w:rsidRDefault="00102F05"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 C1/C2</w:t>
            </w:r>
          </w:p>
        </w:tc>
        <w:tc>
          <w:tcPr>
            <w:tcW w:w="1391" w:type="dxa"/>
            <w:tcBorders>
              <w:top w:val="single" w:sz="4" w:space="0" w:color="auto"/>
              <w:left w:val="single" w:sz="2" w:space="0" w:color="000000"/>
              <w:bottom w:val="single" w:sz="2" w:space="0" w:color="000000"/>
              <w:right w:val="single" w:sz="4" w:space="0" w:color="auto"/>
            </w:tcBorders>
            <w:shd w:val="clear" w:color="auto" w:fill="auto"/>
            <w:tcMar>
              <w:top w:w="55" w:type="dxa"/>
              <w:left w:w="55" w:type="dxa"/>
              <w:bottom w:w="55" w:type="dxa"/>
              <w:right w:w="55" w:type="dxa"/>
            </w:tcMar>
          </w:tcPr>
          <w:p w14:paraId="063C5348" w14:textId="77777777" w:rsidR="00102F05" w:rsidRPr="00A07BE9" w:rsidRDefault="00102F05" w:rsidP="00D572EA">
            <w:pPr>
              <w:widowControl w:val="0"/>
              <w:suppressLineNumbers/>
              <w:suppressAutoHyphens/>
              <w:autoSpaceDN w:val="0"/>
              <w:spacing w:after="0" w:line="240" w:lineRule="auto"/>
              <w:jc w:val="center"/>
              <w:textAlignment w:val="baseline"/>
              <w:rPr>
                <w:rFonts w:ascii="Open Sans" w:eastAsia="Droid Sans Fallback" w:hAnsi="Open Sans" w:cs="FreeSans"/>
                <w:color w:val="000000"/>
                <w:kern w:val="3"/>
                <w:sz w:val="18"/>
                <w:szCs w:val="18"/>
                <w:lang w:eastAsia="zh-CN" w:bidi="hi-IN"/>
              </w:rPr>
            </w:pPr>
          </w:p>
        </w:tc>
        <w:tc>
          <w:tcPr>
            <w:tcW w:w="1424" w:type="dxa"/>
            <w:tcBorders>
              <w:top w:val="single" w:sz="4" w:space="0" w:color="auto"/>
              <w:left w:val="single" w:sz="4" w:space="0" w:color="auto"/>
              <w:bottom w:val="single" w:sz="2" w:space="0" w:color="000000"/>
              <w:right w:val="single" w:sz="2" w:space="0" w:color="000000"/>
            </w:tcBorders>
            <w:shd w:val="clear" w:color="auto" w:fill="auto"/>
            <w:tcMar>
              <w:top w:w="55" w:type="dxa"/>
              <w:left w:w="55" w:type="dxa"/>
              <w:bottom w:w="55" w:type="dxa"/>
              <w:right w:w="55" w:type="dxa"/>
            </w:tcMar>
          </w:tcPr>
          <w:p w14:paraId="53539F29" w14:textId="4468C483" w:rsidR="00102F05" w:rsidRPr="00A07BE9" w:rsidRDefault="00102F05" w:rsidP="00D572EA">
            <w:pPr>
              <w:widowControl w:val="0"/>
              <w:suppressLineNumbers/>
              <w:suppressAutoHyphens/>
              <w:autoSpaceDN w:val="0"/>
              <w:spacing w:after="0" w:line="240" w:lineRule="auto"/>
              <w:jc w:val="center"/>
              <w:textAlignment w:val="baseline"/>
              <w:rPr>
                <w:rFonts w:ascii="Open Sans" w:eastAsia="Droid Sans Fallback" w:hAnsi="Open Sans" w:cs="FreeSans"/>
                <w:color w:val="000000"/>
                <w:kern w:val="3"/>
                <w:sz w:val="18"/>
                <w:szCs w:val="18"/>
                <w:lang w:eastAsia="zh-CN" w:bidi="hi-IN"/>
              </w:rPr>
            </w:pPr>
            <w:r w:rsidRPr="00A07BE9">
              <w:rPr>
                <w:rFonts w:ascii="Open Sans" w:eastAsia="Droid Sans Fallback" w:hAnsi="Open Sans" w:cs="FreeSans"/>
                <w:color w:val="000000"/>
                <w:kern w:val="3"/>
                <w:sz w:val="18"/>
                <w:szCs w:val="18"/>
                <w:lang w:eastAsia="zh-CN" w:bidi="hi-IN"/>
              </w:rPr>
              <w:t>1</w:t>
            </w:r>
          </w:p>
        </w:tc>
      </w:tr>
      <w:tr w:rsidR="00D572EA" w:rsidRPr="00A07BE9" w14:paraId="19B19CB6" w14:textId="77777777" w:rsidTr="00A531A3">
        <w:tc>
          <w:tcPr>
            <w:tcW w:w="2332" w:type="dxa"/>
            <w:tcBorders>
              <w:left w:val="single" w:sz="2" w:space="0" w:color="000000"/>
              <w:bottom w:val="single" w:sz="2" w:space="0" w:color="000000"/>
            </w:tcBorders>
            <w:shd w:val="clear" w:color="auto" w:fill="auto"/>
            <w:tcMar>
              <w:top w:w="55" w:type="dxa"/>
              <w:left w:w="55" w:type="dxa"/>
              <w:bottom w:w="55" w:type="dxa"/>
              <w:right w:w="55" w:type="dxa"/>
            </w:tcMar>
          </w:tcPr>
          <w:p w14:paraId="0FB816FC"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Administración, Recursos Humanos y Gestión Económica</w:t>
            </w:r>
          </w:p>
        </w:tc>
        <w:tc>
          <w:tcPr>
            <w:tcW w:w="1866" w:type="dxa"/>
            <w:tcBorders>
              <w:left w:val="single" w:sz="2" w:space="0" w:color="000000"/>
              <w:bottom w:val="single" w:sz="2" w:space="0" w:color="000000"/>
            </w:tcBorders>
            <w:shd w:val="clear" w:color="auto" w:fill="auto"/>
            <w:tcMar>
              <w:top w:w="55" w:type="dxa"/>
              <w:left w:w="55" w:type="dxa"/>
              <w:bottom w:w="55" w:type="dxa"/>
              <w:right w:w="55" w:type="dxa"/>
            </w:tcMar>
          </w:tcPr>
          <w:p w14:paraId="245675A0"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 xml:space="preserve">Total puestos: </w:t>
            </w:r>
            <w:r w:rsidRPr="00A07BE9">
              <w:rPr>
                <w:rFonts w:ascii="Open Sans" w:eastAsia="Droid Sans Fallback" w:hAnsi="Open Sans" w:cs="FreeSans"/>
                <w:b/>
                <w:kern w:val="3"/>
                <w:sz w:val="18"/>
                <w:szCs w:val="18"/>
                <w:lang w:eastAsia="zh-CN" w:bidi="hi-IN"/>
              </w:rPr>
              <w:t>5</w:t>
            </w:r>
          </w:p>
          <w:p w14:paraId="23EB37D2"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tc>
        <w:tc>
          <w:tcPr>
            <w:tcW w:w="1611" w:type="dxa"/>
            <w:tcBorders>
              <w:left w:val="single" w:sz="2" w:space="0" w:color="000000"/>
              <w:bottom w:val="single" w:sz="2" w:space="0" w:color="000000"/>
            </w:tcBorders>
            <w:shd w:val="clear" w:color="auto" w:fill="auto"/>
            <w:tcMar>
              <w:top w:w="55" w:type="dxa"/>
              <w:left w:w="55" w:type="dxa"/>
              <w:bottom w:w="55" w:type="dxa"/>
              <w:right w:w="55" w:type="dxa"/>
            </w:tcMar>
          </w:tcPr>
          <w:p w14:paraId="11C92BB7" w14:textId="77777777" w:rsidR="00D572EA" w:rsidRPr="00A07BE9" w:rsidRDefault="00D572EA" w:rsidP="00102F05">
            <w:pPr>
              <w:widowControl w:val="0"/>
              <w:suppressLineNumbers/>
              <w:pBdr>
                <w:between w:val="single" w:sz="4" w:space="1" w:color="auto"/>
              </w:pBdr>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 A1</w:t>
            </w:r>
          </w:p>
          <w:p w14:paraId="6D9EB656" w14:textId="77777777" w:rsidR="00D572EA" w:rsidRPr="00A07BE9" w:rsidRDefault="00D572EA" w:rsidP="00102F05">
            <w:pPr>
              <w:widowControl w:val="0"/>
              <w:suppressLineNumbers/>
              <w:pBdr>
                <w:between w:val="single" w:sz="4" w:space="1" w:color="auto"/>
              </w:pBdr>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2 A1/A2</w:t>
            </w:r>
          </w:p>
          <w:p w14:paraId="7CC5FD8B"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 C1/C2</w:t>
            </w:r>
          </w:p>
          <w:p w14:paraId="529CCAE3"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 C2</w:t>
            </w:r>
          </w:p>
        </w:tc>
        <w:tc>
          <w:tcPr>
            <w:tcW w:w="1391" w:type="dxa"/>
            <w:tcBorders>
              <w:top w:val="single" w:sz="2" w:space="0" w:color="000000"/>
              <w:left w:val="single" w:sz="2" w:space="0" w:color="000000"/>
              <w:bottom w:val="single" w:sz="2" w:space="0" w:color="000000"/>
              <w:right w:val="single" w:sz="4" w:space="0" w:color="auto"/>
            </w:tcBorders>
            <w:shd w:val="clear" w:color="auto" w:fill="auto"/>
            <w:tcMar>
              <w:top w:w="55" w:type="dxa"/>
              <w:left w:w="55" w:type="dxa"/>
              <w:bottom w:w="55" w:type="dxa"/>
              <w:right w:w="55" w:type="dxa"/>
            </w:tcMar>
          </w:tcPr>
          <w:p w14:paraId="64203703"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color w:val="000000"/>
                <w:kern w:val="3"/>
                <w:sz w:val="18"/>
                <w:szCs w:val="18"/>
                <w:lang w:eastAsia="zh-CN" w:bidi="hi-IN"/>
              </w:rPr>
            </w:pPr>
            <w:r w:rsidRPr="00A07BE9">
              <w:rPr>
                <w:rFonts w:ascii="Open Sans" w:eastAsia="Droid Sans Fallback" w:hAnsi="Open Sans" w:cs="FreeSans"/>
                <w:color w:val="000000"/>
                <w:kern w:val="3"/>
                <w:sz w:val="18"/>
                <w:szCs w:val="18"/>
                <w:lang w:eastAsia="zh-CN" w:bidi="hi-IN"/>
              </w:rPr>
              <w:t>1</w:t>
            </w:r>
          </w:p>
          <w:p w14:paraId="42EB520B"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color w:val="000000"/>
                <w:kern w:val="3"/>
                <w:sz w:val="18"/>
                <w:szCs w:val="18"/>
                <w:lang w:eastAsia="zh-CN" w:bidi="hi-IN"/>
              </w:rPr>
            </w:pPr>
            <w:r w:rsidRPr="00A07BE9">
              <w:rPr>
                <w:rFonts w:ascii="Open Sans" w:eastAsia="Droid Sans Fallback" w:hAnsi="Open Sans" w:cs="FreeSans"/>
                <w:color w:val="000000"/>
                <w:kern w:val="3"/>
                <w:sz w:val="18"/>
                <w:szCs w:val="18"/>
                <w:lang w:eastAsia="zh-CN" w:bidi="hi-IN"/>
              </w:rPr>
              <w:t>2</w:t>
            </w:r>
          </w:p>
        </w:tc>
        <w:tc>
          <w:tcPr>
            <w:tcW w:w="1424" w:type="dxa"/>
            <w:tcBorders>
              <w:top w:val="single" w:sz="2" w:space="0" w:color="000000"/>
              <w:left w:val="single" w:sz="4" w:space="0" w:color="auto"/>
              <w:bottom w:val="single" w:sz="2" w:space="0" w:color="000000"/>
              <w:right w:val="single" w:sz="2" w:space="0" w:color="000000"/>
            </w:tcBorders>
            <w:shd w:val="clear" w:color="auto" w:fill="auto"/>
            <w:tcMar>
              <w:top w:w="55" w:type="dxa"/>
              <w:left w:w="55" w:type="dxa"/>
              <w:bottom w:w="55" w:type="dxa"/>
              <w:right w:w="55" w:type="dxa"/>
            </w:tcMar>
          </w:tcPr>
          <w:p w14:paraId="58B755AC"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color w:val="000000"/>
                <w:kern w:val="3"/>
                <w:sz w:val="18"/>
                <w:szCs w:val="18"/>
                <w:lang w:eastAsia="zh-CN" w:bidi="hi-IN"/>
              </w:rPr>
            </w:pPr>
          </w:p>
          <w:p w14:paraId="0C5E93FC"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color w:val="000000"/>
                <w:kern w:val="3"/>
                <w:sz w:val="18"/>
                <w:szCs w:val="18"/>
                <w:lang w:eastAsia="zh-CN" w:bidi="hi-IN"/>
              </w:rPr>
            </w:pPr>
          </w:p>
          <w:p w14:paraId="235FDEA0"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color w:val="000000"/>
                <w:kern w:val="3"/>
                <w:sz w:val="18"/>
                <w:szCs w:val="18"/>
                <w:lang w:eastAsia="zh-CN" w:bidi="hi-IN"/>
              </w:rPr>
            </w:pPr>
            <w:r w:rsidRPr="00A07BE9">
              <w:rPr>
                <w:rFonts w:ascii="Open Sans" w:eastAsia="Droid Sans Fallback" w:hAnsi="Open Sans" w:cs="FreeSans"/>
                <w:color w:val="000000"/>
                <w:kern w:val="3"/>
                <w:sz w:val="18"/>
                <w:szCs w:val="18"/>
                <w:lang w:eastAsia="zh-CN" w:bidi="hi-IN"/>
              </w:rPr>
              <w:t>1</w:t>
            </w:r>
          </w:p>
          <w:p w14:paraId="2FEC5CD1"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color w:val="000000"/>
                <w:kern w:val="3"/>
                <w:sz w:val="18"/>
                <w:szCs w:val="18"/>
                <w:lang w:eastAsia="zh-CN" w:bidi="hi-IN"/>
              </w:rPr>
            </w:pPr>
            <w:r w:rsidRPr="00A07BE9">
              <w:rPr>
                <w:rFonts w:ascii="Open Sans" w:eastAsia="Droid Sans Fallback" w:hAnsi="Open Sans" w:cs="FreeSans"/>
                <w:color w:val="000000"/>
                <w:kern w:val="3"/>
                <w:sz w:val="18"/>
                <w:szCs w:val="18"/>
                <w:lang w:eastAsia="zh-CN" w:bidi="hi-IN"/>
              </w:rPr>
              <w:t>1</w:t>
            </w:r>
          </w:p>
        </w:tc>
      </w:tr>
      <w:tr w:rsidR="00D572EA" w:rsidRPr="00A07BE9" w14:paraId="134856BF" w14:textId="77777777" w:rsidTr="00A531A3">
        <w:tc>
          <w:tcPr>
            <w:tcW w:w="2332" w:type="dxa"/>
            <w:tcBorders>
              <w:left w:val="single" w:sz="2" w:space="0" w:color="000000"/>
              <w:bottom w:val="single" w:sz="2" w:space="0" w:color="000000"/>
            </w:tcBorders>
            <w:shd w:val="clear" w:color="auto" w:fill="auto"/>
            <w:tcMar>
              <w:top w:w="55" w:type="dxa"/>
              <w:left w:w="55" w:type="dxa"/>
              <w:bottom w:w="55" w:type="dxa"/>
              <w:right w:w="55" w:type="dxa"/>
            </w:tcMar>
          </w:tcPr>
          <w:p w14:paraId="4DD5C357"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Dirección de Análisis e Investigación</w:t>
            </w:r>
          </w:p>
        </w:tc>
        <w:tc>
          <w:tcPr>
            <w:tcW w:w="1866" w:type="dxa"/>
            <w:tcBorders>
              <w:left w:val="single" w:sz="2" w:space="0" w:color="000000"/>
              <w:bottom w:val="single" w:sz="2" w:space="0" w:color="000000"/>
            </w:tcBorders>
            <w:shd w:val="clear" w:color="auto" w:fill="auto"/>
            <w:tcMar>
              <w:top w:w="55" w:type="dxa"/>
              <w:left w:w="55" w:type="dxa"/>
              <w:bottom w:w="55" w:type="dxa"/>
              <w:right w:w="55" w:type="dxa"/>
            </w:tcMar>
          </w:tcPr>
          <w:p w14:paraId="1CB3B68D"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Total puestos: 17</w:t>
            </w:r>
          </w:p>
          <w:p w14:paraId="356EFFD0"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tc>
        <w:tc>
          <w:tcPr>
            <w:tcW w:w="1611" w:type="dxa"/>
            <w:tcBorders>
              <w:left w:val="single" w:sz="2" w:space="0" w:color="000000"/>
              <w:bottom w:val="single" w:sz="2" w:space="0" w:color="000000"/>
            </w:tcBorders>
            <w:shd w:val="clear" w:color="auto" w:fill="auto"/>
            <w:tcMar>
              <w:top w:w="55" w:type="dxa"/>
              <w:left w:w="55" w:type="dxa"/>
              <w:bottom w:w="55" w:type="dxa"/>
              <w:right w:w="55" w:type="dxa"/>
            </w:tcMar>
          </w:tcPr>
          <w:p w14:paraId="7E589810"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11 A1</w:t>
            </w:r>
          </w:p>
          <w:p w14:paraId="27CEA549"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4 A1/A2</w:t>
            </w:r>
          </w:p>
          <w:p w14:paraId="3DA7A495"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lastRenderedPageBreak/>
              <w:t>1 C1/C2</w:t>
            </w:r>
          </w:p>
          <w:p w14:paraId="6361B168"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 C2</w:t>
            </w:r>
          </w:p>
        </w:tc>
        <w:tc>
          <w:tcPr>
            <w:tcW w:w="1391" w:type="dxa"/>
            <w:tcBorders>
              <w:left w:val="single" w:sz="2" w:space="0" w:color="000000"/>
              <w:bottom w:val="single" w:sz="2" w:space="0" w:color="000000"/>
            </w:tcBorders>
            <w:shd w:val="clear" w:color="auto" w:fill="auto"/>
            <w:tcMar>
              <w:top w:w="55" w:type="dxa"/>
              <w:left w:w="55" w:type="dxa"/>
              <w:bottom w:w="55" w:type="dxa"/>
              <w:right w:w="55" w:type="dxa"/>
            </w:tcMar>
          </w:tcPr>
          <w:p w14:paraId="35DFD559"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color w:val="000000"/>
                <w:kern w:val="3"/>
                <w:sz w:val="18"/>
                <w:szCs w:val="18"/>
                <w:lang w:eastAsia="zh-CN" w:bidi="hi-IN"/>
              </w:rPr>
            </w:pPr>
            <w:r w:rsidRPr="00A07BE9">
              <w:rPr>
                <w:rFonts w:ascii="Open Sans" w:eastAsia="Droid Sans Fallback" w:hAnsi="Open Sans" w:cs="FreeSans"/>
                <w:color w:val="000000"/>
                <w:kern w:val="3"/>
                <w:sz w:val="18"/>
                <w:szCs w:val="18"/>
                <w:lang w:eastAsia="zh-CN" w:bidi="hi-IN"/>
              </w:rPr>
              <w:lastRenderedPageBreak/>
              <w:t>2</w:t>
            </w:r>
          </w:p>
          <w:p w14:paraId="670886C1"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color w:val="000000"/>
                <w:kern w:val="3"/>
                <w:sz w:val="18"/>
                <w:szCs w:val="18"/>
                <w:lang w:eastAsia="zh-CN" w:bidi="hi-IN"/>
              </w:rPr>
            </w:pPr>
          </w:p>
        </w:tc>
        <w:tc>
          <w:tcPr>
            <w:tcW w:w="1424"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4D2688A2"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color w:val="000000"/>
                <w:kern w:val="3"/>
                <w:sz w:val="18"/>
                <w:szCs w:val="18"/>
                <w:lang w:eastAsia="zh-CN" w:bidi="hi-IN"/>
              </w:rPr>
            </w:pPr>
            <w:r w:rsidRPr="00A07BE9">
              <w:rPr>
                <w:rFonts w:ascii="Open Sans" w:eastAsia="Droid Sans Fallback" w:hAnsi="Open Sans" w:cs="FreeSans"/>
                <w:color w:val="000000"/>
                <w:kern w:val="3"/>
                <w:sz w:val="18"/>
                <w:szCs w:val="18"/>
                <w:lang w:eastAsia="zh-CN" w:bidi="hi-IN"/>
              </w:rPr>
              <w:t>9</w:t>
            </w:r>
          </w:p>
          <w:p w14:paraId="5A54859E"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color w:val="000000"/>
                <w:kern w:val="3"/>
                <w:sz w:val="18"/>
                <w:szCs w:val="18"/>
                <w:lang w:eastAsia="zh-CN" w:bidi="hi-IN"/>
              </w:rPr>
            </w:pPr>
            <w:r w:rsidRPr="00A07BE9">
              <w:rPr>
                <w:rFonts w:ascii="Open Sans" w:eastAsia="Droid Sans Fallback" w:hAnsi="Open Sans" w:cs="FreeSans"/>
                <w:color w:val="000000"/>
                <w:kern w:val="3"/>
                <w:sz w:val="18"/>
                <w:szCs w:val="18"/>
                <w:lang w:eastAsia="zh-CN" w:bidi="hi-IN"/>
              </w:rPr>
              <w:t>4</w:t>
            </w:r>
          </w:p>
          <w:p w14:paraId="7796E546"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color w:val="000000"/>
                <w:kern w:val="3"/>
                <w:sz w:val="18"/>
                <w:szCs w:val="18"/>
                <w:lang w:eastAsia="zh-CN" w:bidi="hi-IN"/>
              </w:rPr>
            </w:pPr>
            <w:r w:rsidRPr="00A07BE9">
              <w:rPr>
                <w:rFonts w:ascii="Open Sans" w:eastAsia="Droid Sans Fallback" w:hAnsi="Open Sans" w:cs="FreeSans"/>
                <w:color w:val="000000"/>
                <w:kern w:val="3"/>
                <w:sz w:val="18"/>
                <w:szCs w:val="18"/>
                <w:lang w:eastAsia="zh-CN" w:bidi="hi-IN"/>
              </w:rPr>
              <w:lastRenderedPageBreak/>
              <w:t>1</w:t>
            </w:r>
          </w:p>
          <w:p w14:paraId="72E69754"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color w:val="000000"/>
                <w:kern w:val="3"/>
                <w:sz w:val="18"/>
                <w:szCs w:val="18"/>
                <w:lang w:eastAsia="zh-CN" w:bidi="hi-IN"/>
              </w:rPr>
            </w:pPr>
            <w:r w:rsidRPr="00A07BE9">
              <w:rPr>
                <w:rFonts w:ascii="Open Sans" w:eastAsia="Droid Sans Fallback" w:hAnsi="Open Sans" w:cs="FreeSans"/>
                <w:color w:val="000000"/>
                <w:kern w:val="3"/>
                <w:sz w:val="18"/>
                <w:szCs w:val="18"/>
                <w:lang w:eastAsia="zh-CN" w:bidi="hi-IN"/>
              </w:rPr>
              <w:t>1</w:t>
            </w:r>
          </w:p>
        </w:tc>
      </w:tr>
      <w:tr w:rsidR="00D572EA" w:rsidRPr="00A07BE9" w14:paraId="13D769E3" w14:textId="77777777" w:rsidTr="00A531A3">
        <w:tc>
          <w:tcPr>
            <w:tcW w:w="2332" w:type="dxa"/>
            <w:tcBorders>
              <w:left w:val="single" w:sz="2" w:space="0" w:color="000000"/>
              <w:bottom w:val="single" w:sz="2" w:space="0" w:color="000000"/>
            </w:tcBorders>
            <w:shd w:val="clear" w:color="auto" w:fill="auto"/>
            <w:tcMar>
              <w:top w:w="55" w:type="dxa"/>
              <w:left w:w="55" w:type="dxa"/>
              <w:bottom w:w="55" w:type="dxa"/>
              <w:right w:w="55" w:type="dxa"/>
            </w:tcMar>
          </w:tcPr>
          <w:p w14:paraId="5934A026"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lastRenderedPageBreak/>
              <w:t>Dirección de Prevención y Formación</w:t>
            </w:r>
          </w:p>
        </w:tc>
        <w:tc>
          <w:tcPr>
            <w:tcW w:w="1866" w:type="dxa"/>
            <w:tcBorders>
              <w:left w:val="single" w:sz="2" w:space="0" w:color="000000"/>
              <w:bottom w:val="single" w:sz="2" w:space="0" w:color="000000"/>
            </w:tcBorders>
            <w:shd w:val="clear" w:color="auto" w:fill="auto"/>
            <w:tcMar>
              <w:top w:w="55" w:type="dxa"/>
              <w:left w:w="55" w:type="dxa"/>
              <w:bottom w:w="55" w:type="dxa"/>
              <w:right w:w="55" w:type="dxa"/>
            </w:tcMar>
          </w:tcPr>
          <w:p w14:paraId="52F0A593"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Total puestos: 4</w:t>
            </w:r>
          </w:p>
          <w:p w14:paraId="750CD516"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tc>
        <w:tc>
          <w:tcPr>
            <w:tcW w:w="1611" w:type="dxa"/>
            <w:tcBorders>
              <w:left w:val="single" w:sz="2" w:space="0" w:color="000000"/>
              <w:bottom w:val="single" w:sz="2" w:space="0" w:color="000000"/>
            </w:tcBorders>
            <w:shd w:val="clear" w:color="auto" w:fill="auto"/>
            <w:tcMar>
              <w:top w:w="55" w:type="dxa"/>
              <w:left w:w="55" w:type="dxa"/>
              <w:bottom w:w="55" w:type="dxa"/>
              <w:right w:w="55" w:type="dxa"/>
            </w:tcMar>
          </w:tcPr>
          <w:p w14:paraId="0857A149"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2 A1</w:t>
            </w:r>
          </w:p>
          <w:p w14:paraId="24D31D67"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 C1/C2</w:t>
            </w:r>
          </w:p>
          <w:p w14:paraId="521BAE84"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 C2</w:t>
            </w:r>
          </w:p>
        </w:tc>
        <w:tc>
          <w:tcPr>
            <w:tcW w:w="1391" w:type="dxa"/>
            <w:tcBorders>
              <w:left w:val="single" w:sz="2" w:space="0" w:color="000000"/>
              <w:bottom w:val="single" w:sz="2" w:space="0" w:color="000000"/>
            </w:tcBorders>
            <w:shd w:val="clear" w:color="auto" w:fill="auto"/>
            <w:tcMar>
              <w:top w:w="55" w:type="dxa"/>
              <w:left w:w="55" w:type="dxa"/>
              <w:bottom w:w="55" w:type="dxa"/>
              <w:right w:w="55" w:type="dxa"/>
            </w:tcMar>
          </w:tcPr>
          <w:p w14:paraId="0B02DD57"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color w:val="000000"/>
                <w:kern w:val="3"/>
                <w:sz w:val="18"/>
                <w:szCs w:val="18"/>
                <w:lang w:eastAsia="zh-CN" w:bidi="hi-IN"/>
              </w:rPr>
            </w:pPr>
          </w:p>
        </w:tc>
        <w:tc>
          <w:tcPr>
            <w:tcW w:w="1424"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07F20EDA"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color w:val="000000"/>
                <w:kern w:val="3"/>
                <w:sz w:val="18"/>
                <w:szCs w:val="18"/>
                <w:lang w:eastAsia="zh-CN" w:bidi="hi-IN"/>
              </w:rPr>
            </w:pPr>
            <w:r w:rsidRPr="00A07BE9">
              <w:rPr>
                <w:rFonts w:ascii="Open Sans" w:eastAsia="Droid Sans Fallback" w:hAnsi="Open Sans" w:cs="FreeSans"/>
                <w:color w:val="000000"/>
                <w:kern w:val="3"/>
                <w:sz w:val="18"/>
                <w:szCs w:val="18"/>
                <w:lang w:eastAsia="zh-CN" w:bidi="hi-IN"/>
              </w:rPr>
              <w:t>2</w:t>
            </w:r>
          </w:p>
          <w:p w14:paraId="6C30762B"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color w:val="000000"/>
                <w:kern w:val="3"/>
                <w:sz w:val="18"/>
                <w:szCs w:val="18"/>
                <w:lang w:eastAsia="zh-CN" w:bidi="hi-IN"/>
              </w:rPr>
            </w:pPr>
            <w:r w:rsidRPr="00A07BE9">
              <w:rPr>
                <w:rFonts w:ascii="Open Sans" w:eastAsia="Droid Sans Fallback" w:hAnsi="Open Sans" w:cs="FreeSans"/>
                <w:color w:val="000000"/>
                <w:kern w:val="3"/>
                <w:sz w:val="18"/>
                <w:szCs w:val="18"/>
                <w:lang w:eastAsia="zh-CN" w:bidi="hi-IN"/>
              </w:rPr>
              <w:t>1</w:t>
            </w:r>
          </w:p>
          <w:p w14:paraId="1A323993"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color w:val="000000"/>
                <w:kern w:val="3"/>
                <w:sz w:val="18"/>
                <w:szCs w:val="18"/>
                <w:lang w:eastAsia="zh-CN" w:bidi="hi-IN"/>
              </w:rPr>
            </w:pPr>
            <w:r w:rsidRPr="00A07BE9">
              <w:rPr>
                <w:rFonts w:ascii="Open Sans" w:eastAsia="Droid Sans Fallback" w:hAnsi="Open Sans" w:cs="FreeSans"/>
                <w:color w:val="000000"/>
                <w:kern w:val="3"/>
                <w:sz w:val="18"/>
                <w:szCs w:val="18"/>
                <w:lang w:eastAsia="zh-CN" w:bidi="hi-IN"/>
              </w:rPr>
              <w:t>1</w:t>
            </w:r>
          </w:p>
        </w:tc>
      </w:tr>
      <w:tr w:rsidR="00D572EA" w:rsidRPr="00A07BE9" w14:paraId="431C6974" w14:textId="77777777" w:rsidTr="00A531A3">
        <w:tc>
          <w:tcPr>
            <w:tcW w:w="2332" w:type="dxa"/>
            <w:tcBorders>
              <w:left w:val="single" w:sz="2" w:space="0" w:color="000000"/>
              <w:bottom w:val="single" w:sz="2" w:space="0" w:color="000000"/>
            </w:tcBorders>
            <w:shd w:val="clear" w:color="auto" w:fill="auto"/>
            <w:tcMar>
              <w:top w:w="55" w:type="dxa"/>
              <w:left w:w="55" w:type="dxa"/>
              <w:bottom w:w="55" w:type="dxa"/>
              <w:right w:w="55" w:type="dxa"/>
            </w:tcMar>
          </w:tcPr>
          <w:p w14:paraId="4A05E6C2"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Dirección de Asuntos Jurídicos</w:t>
            </w:r>
          </w:p>
        </w:tc>
        <w:tc>
          <w:tcPr>
            <w:tcW w:w="1866" w:type="dxa"/>
            <w:tcBorders>
              <w:left w:val="single" w:sz="2" w:space="0" w:color="000000"/>
              <w:bottom w:val="single" w:sz="2" w:space="0" w:color="000000"/>
            </w:tcBorders>
            <w:shd w:val="clear" w:color="auto" w:fill="auto"/>
            <w:tcMar>
              <w:top w:w="55" w:type="dxa"/>
              <w:left w:w="55" w:type="dxa"/>
              <w:bottom w:w="55" w:type="dxa"/>
              <w:right w:w="55" w:type="dxa"/>
            </w:tcMar>
          </w:tcPr>
          <w:p w14:paraId="5F726A48"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Total puestos: 5</w:t>
            </w:r>
          </w:p>
          <w:p w14:paraId="436422C6"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tc>
        <w:tc>
          <w:tcPr>
            <w:tcW w:w="1611" w:type="dxa"/>
            <w:tcBorders>
              <w:left w:val="single" w:sz="2" w:space="0" w:color="000000"/>
              <w:bottom w:val="single" w:sz="2" w:space="0" w:color="000000"/>
            </w:tcBorders>
            <w:shd w:val="clear" w:color="auto" w:fill="auto"/>
            <w:tcMar>
              <w:top w:w="55" w:type="dxa"/>
              <w:left w:w="55" w:type="dxa"/>
              <w:bottom w:w="55" w:type="dxa"/>
              <w:right w:w="55" w:type="dxa"/>
            </w:tcMar>
          </w:tcPr>
          <w:p w14:paraId="7396DEDE"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3 A1</w:t>
            </w:r>
          </w:p>
          <w:p w14:paraId="7DF0DBC9"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 C1/C2</w:t>
            </w:r>
          </w:p>
          <w:p w14:paraId="1C2CB904"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 C2</w:t>
            </w:r>
          </w:p>
        </w:tc>
        <w:tc>
          <w:tcPr>
            <w:tcW w:w="1391" w:type="dxa"/>
            <w:tcBorders>
              <w:left w:val="single" w:sz="2" w:space="0" w:color="000000"/>
              <w:bottom w:val="single" w:sz="2" w:space="0" w:color="000000"/>
            </w:tcBorders>
            <w:shd w:val="clear" w:color="auto" w:fill="auto"/>
            <w:tcMar>
              <w:top w:w="55" w:type="dxa"/>
              <w:left w:w="55" w:type="dxa"/>
              <w:bottom w:w="55" w:type="dxa"/>
              <w:right w:w="55" w:type="dxa"/>
            </w:tcMar>
          </w:tcPr>
          <w:p w14:paraId="7AC27FD4"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color w:val="000000"/>
                <w:kern w:val="3"/>
                <w:sz w:val="18"/>
                <w:szCs w:val="18"/>
                <w:lang w:eastAsia="zh-CN" w:bidi="hi-IN"/>
              </w:rPr>
            </w:pPr>
            <w:r w:rsidRPr="00A07BE9">
              <w:rPr>
                <w:rFonts w:ascii="Open Sans" w:eastAsia="Droid Sans Fallback" w:hAnsi="Open Sans" w:cs="FreeSans"/>
                <w:color w:val="000000"/>
                <w:kern w:val="3"/>
                <w:sz w:val="18"/>
                <w:szCs w:val="18"/>
                <w:lang w:eastAsia="zh-CN" w:bidi="hi-IN"/>
              </w:rPr>
              <w:t>1</w:t>
            </w:r>
          </w:p>
        </w:tc>
        <w:tc>
          <w:tcPr>
            <w:tcW w:w="1424"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12AEDCC2"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color w:val="000000"/>
                <w:kern w:val="3"/>
                <w:sz w:val="18"/>
                <w:szCs w:val="18"/>
                <w:lang w:eastAsia="zh-CN" w:bidi="hi-IN"/>
              </w:rPr>
            </w:pPr>
            <w:r w:rsidRPr="00A07BE9">
              <w:rPr>
                <w:rFonts w:ascii="Open Sans" w:eastAsia="Droid Sans Fallback" w:hAnsi="Open Sans" w:cs="FreeSans"/>
                <w:color w:val="000000"/>
                <w:kern w:val="3"/>
                <w:sz w:val="18"/>
                <w:szCs w:val="18"/>
                <w:lang w:eastAsia="zh-CN" w:bidi="hi-IN"/>
              </w:rPr>
              <w:t>2</w:t>
            </w:r>
          </w:p>
          <w:p w14:paraId="5957B1F3"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color w:val="000000"/>
                <w:kern w:val="3"/>
                <w:sz w:val="18"/>
                <w:szCs w:val="18"/>
                <w:lang w:eastAsia="zh-CN" w:bidi="hi-IN"/>
              </w:rPr>
            </w:pPr>
            <w:r w:rsidRPr="00A07BE9">
              <w:rPr>
                <w:rFonts w:ascii="Open Sans" w:eastAsia="Droid Sans Fallback" w:hAnsi="Open Sans" w:cs="FreeSans"/>
                <w:color w:val="000000"/>
                <w:kern w:val="3"/>
                <w:sz w:val="18"/>
                <w:szCs w:val="18"/>
                <w:lang w:eastAsia="zh-CN" w:bidi="hi-IN"/>
              </w:rPr>
              <w:t>1</w:t>
            </w:r>
          </w:p>
          <w:p w14:paraId="1452AF51"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color w:val="000000"/>
                <w:kern w:val="3"/>
                <w:sz w:val="18"/>
                <w:szCs w:val="18"/>
                <w:lang w:eastAsia="zh-CN" w:bidi="hi-IN"/>
              </w:rPr>
            </w:pPr>
            <w:r w:rsidRPr="00A07BE9">
              <w:rPr>
                <w:rFonts w:ascii="Open Sans" w:eastAsia="Droid Sans Fallback" w:hAnsi="Open Sans" w:cs="FreeSans"/>
                <w:color w:val="000000"/>
                <w:kern w:val="3"/>
                <w:sz w:val="18"/>
                <w:szCs w:val="18"/>
                <w:lang w:eastAsia="zh-CN" w:bidi="hi-IN"/>
              </w:rPr>
              <w:t>1</w:t>
            </w:r>
          </w:p>
        </w:tc>
      </w:tr>
      <w:tr w:rsidR="00D572EA" w:rsidRPr="00A07BE9" w14:paraId="3FB752C8" w14:textId="77777777" w:rsidTr="009A360A">
        <w:trPr>
          <w:trHeight w:val="899"/>
        </w:trPr>
        <w:tc>
          <w:tcPr>
            <w:tcW w:w="2332" w:type="dxa"/>
            <w:tcBorders>
              <w:left w:val="single" w:sz="2" w:space="0" w:color="000000"/>
              <w:bottom w:val="single" w:sz="4" w:space="0" w:color="auto"/>
            </w:tcBorders>
            <w:shd w:val="clear" w:color="auto" w:fill="auto"/>
            <w:tcMar>
              <w:top w:w="55" w:type="dxa"/>
              <w:left w:w="55" w:type="dxa"/>
              <w:bottom w:w="55" w:type="dxa"/>
              <w:right w:w="55" w:type="dxa"/>
            </w:tcMar>
          </w:tcPr>
          <w:p w14:paraId="3406555E"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tc>
        <w:tc>
          <w:tcPr>
            <w:tcW w:w="1866" w:type="dxa"/>
            <w:tcBorders>
              <w:left w:val="single" w:sz="2" w:space="0" w:color="000000"/>
              <w:bottom w:val="single" w:sz="4" w:space="0" w:color="auto"/>
            </w:tcBorders>
            <w:shd w:val="clear" w:color="auto" w:fill="auto"/>
            <w:tcMar>
              <w:top w:w="55" w:type="dxa"/>
              <w:left w:w="55" w:type="dxa"/>
              <w:bottom w:w="55" w:type="dxa"/>
              <w:right w:w="55" w:type="dxa"/>
            </w:tcMar>
          </w:tcPr>
          <w:p w14:paraId="7205C2E6"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p w14:paraId="6212E3E5"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p w14:paraId="09BDA93A"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p w14:paraId="62B862A8" w14:textId="42722D85"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b/>
                <w:kern w:val="3"/>
                <w:sz w:val="18"/>
                <w:szCs w:val="18"/>
                <w:lang w:eastAsia="zh-CN" w:bidi="hi-IN"/>
              </w:rPr>
            </w:pPr>
          </w:p>
        </w:tc>
        <w:tc>
          <w:tcPr>
            <w:tcW w:w="1611" w:type="dxa"/>
            <w:tcBorders>
              <w:left w:val="single" w:sz="2" w:space="0" w:color="000000"/>
              <w:bottom w:val="single" w:sz="4" w:space="0" w:color="auto"/>
            </w:tcBorders>
            <w:shd w:val="clear" w:color="auto" w:fill="auto"/>
            <w:tcMar>
              <w:top w:w="55" w:type="dxa"/>
              <w:left w:w="55" w:type="dxa"/>
              <w:bottom w:w="55" w:type="dxa"/>
              <w:right w:w="55" w:type="dxa"/>
            </w:tcMar>
          </w:tcPr>
          <w:p w14:paraId="56ADB939"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18 A1</w:t>
            </w:r>
          </w:p>
          <w:p w14:paraId="61A792A7"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6 A1/A2</w:t>
            </w:r>
          </w:p>
          <w:p w14:paraId="74B1ED6D"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5 C1/C2</w:t>
            </w:r>
          </w:p>
          <w:p w14:paraId="68EE69DA"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4 C2</w:t>
            </w:r>
          </w:p>
        </w:tc>
        <w:tc>
          <w:tcPr>
            <w:tcW w:w="1391" w:type="dxa"/>
            <w:tcBorders>
              <w:left w:val="single" w:sz="2" w:space="0" w:color="000000"/>
              <w:bottom w:val="single" w:sz="4" w:space="0" w:color="auto"/>
            </w:tcBorders>
            <w:shd w:val="clear" w:color="auto" w:fill="auto"/>
            <w:tcMar>
              <w:top w:w="55" w:type="dxa"/>
              <w:left w:w="55" w:type="dxa"/>
              <w:bottom w:w="55" w:type="dxa"/>
              <w:right w:w="55" w:type="dxa"/>
            </w:tcMar>
          </w:tcPr>
          <w:p w14:paraId="1D5FC8C2"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color w:val="000000"/>
                <w:kern w:val="3"/>
                <w:sz w:val="18"/>
                <w:szCs w:val="18"/>
                <w:lang w:eastAsia="zh-CN" w:bidi="hi-IN"/>
              </w:rPr>
            </w:pPr>
            <w:r w:rsidRPr="00A07BE9">
              <w:rPr>
                <w:rFonts w:ascii="Open Sans" w:eastAsia="Droid Sans Fallback" w:hAnsi="Open Sans" w:cs="FreeSans"/>
                <w:color w:val="000000"/>
                <w:kern w:val="3"/>
                <w:sz w:val="18"/>
                <w:szCs w:val="18"/>
                <w:lang w:eastAsia="zh-CN" w:bidi="hi-IN"/>
              </w:rPr>
              <w:t>5</w:t>
            </w:r>
          </w:p>
          <w:p w14:paraId="7EA577EA"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color w:val="000000"/>
                <w:kern w:val="3"/>
                <w:sz w:val="18"/>
                <w:szCs w:val="18"/>
                <w:lang w:eastAsia="zh-CN" w:bidi="hi-IN"/>
              </w:rPr>
            </w:pPr>
            <w:r w:rsidRPr="00A07BE9">
              <w:rPr>
                <w:rFonts w:ascii="Open Sans" w:eastAsia="Droid Sans Fallback" w:hAnsi="Open Sans" w:cs="FreeSans"/>
                <w:color w:val="000000"/>
                <w:kern w:val="3"/>
                <w:sz w:val="18"/>
                <w:szCs w:val="18"/>
                <w:lang w:eastAsia="zh-CN" w:bidi="hi-IN"/>
              </w:rPr>
              <w:t>2</w:t>
            </w:r>
          </w:p>
          <w:p w14:paraId="2CF64A1D"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color w:val="000000"/>
                <w:kern w:val="3"/>
                <w:sz w:val="18"/>
                <w:szCs w:val="18"/>
                <w:lang w:eastAsia="zh-CN" w:bidi="hi-IN"/>
              </w:rPr>
            </w:pPr>
          </w:p>
          <w:p w14:paraId="54138C34" w14:textId="59FB39E7" w:rsidR="00D572EA" w:rsidRPr="00A07BE9" w:rsidRDefault="00D572EA" w:rsidP="009A360A">
            <w:pPr>
              <w:widowControl w:val="0"/>
              <w:suppressLineNumbers/>
              <w:suppressAutoHyphens/>
              <w:autoSpaceDN w:val="0"/>
              <w:spacing w:after="0" w:line="240" w:lineRule="auto"/>
              <w:textAlignment w:val="baseline"/>
              <w:rPr>
                <w:rFonts w:ascii="Open Sans" w:eastAsia="Droid Sans Fallback" w:hAnsi="Open Sans" w:cs="FreeSans"/>
                <w:b/>
                <w:color w:val="000000"/>
                <w:kern w:val="3"/>
                <w:sz w:val="18"/>
                <w:szCs w:val="18"/>
                <w:lang w:eastAsia="zh-CN" w:bidi="hi-IN"/>
              </w:rPr>
            </w:pPr>
          </w:p>
        </w:tc>
        <w:tc>
          <w:tcPr>
            <w:tcW w:w="1424" w:type="dxa"/>
            <w:tcBorders>
              <w:left w:val="single" w:sz="2" w:space="0" w:color="000000"/>
              <w:bottom w:val="single" w:sz="4" w:space="0" w:color="auto"/>
              <w:right w:val="single" w:sz="2" w:space="0" w:color="000000"/>
            </w:tcBorders>
            <w:shd w:val="clear" w:color="auto" w:fill="auto"/>
            <w:tcMar>
              <w:top w:w="55" w:type="dxa"/>
              <w:left w:w="55" w:type="dxa"/>
              <w:bottom w:w="55" w:type="dxa"/>
              <w:right w:w="55" w:type="dxa"/>
            </w:tcMar>
          </w:tcPr>
          <w:p w14:paraId="0CF68D05"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color w:val="000000"/>
                <w:kern w:val="3"/>
                <w:sz w:val="18"/>
                <w:szCs w:val="18"/>
                <w:lang w:eastAsia="zh-CN" w:bidi="hi-IN"/>
              </w:rPr>
            </w:pPr>
            <w:r w:rsidRPr="00A07BE9">
              <w:rPr>
                <w:rFonts w:ascii="Open Sans" w:eastAsia="Droid Sans Fallback" w:hAnsi="Open Sans" w:cs="FreeSans"/>
                <w:color w:val="000000"/>
                <w:kern w:val="3"/>
                <w:sz w:val="18"/>
                <w:szCs w:val="18"/>
                <w:lang w:eastAsia="zh-CN" w:bidi="hi-IN"/>
              </w:rPr>
              <w:t>13</w:t>
            </w:r>
          </w:p>
          <w:p w14:paraId="698CC265"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color w:val="000000"/>
                <w:kern w:val="3"/>
                <w:sz w:val="18"/>
                <w:szCs w:val="18"/>
                <w:lang w:eastAsia="zh-CN" w:bidi="hi-IN"/>
              </w:rPr>
            </w:pPr>
            <w:r w:rsidRPr="00A07BE9">
              <w:rPr>
                <w:rFonts w:ascii="Open Sans" w:eastAsia="Droid Sans Fallback" w:hAnsi="Open Sans" w:cs="FreeSans"/>
                <w:color w:val="000000"/>
                <w:kern w:val="3"/>
                <w:sz w:val="18"/>
                <w:szCs w:val="18"/>
                <w:lang w:eastAsia="zh-CN" w:bidi="hi-IN"/>
              </w:rPr>
              <w:t>4</w:t>
            </w:r>
          </w:p>
          <w:p w14:paraId="580A84C4"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color w:val="000000"/>
                <w:kern w:val="3"/>
                <w:sz w:val="18"/>
                <w:szCs w:val="18"/>
                <w:lang w:eastAsia="zh-CN" w:bidi="hi-IN"/>
              </w:rPr>
            </w:pPr>
            <w:r w:rsidRPr="00A07BE9">
              <w:rPr>
                <w:rFonts w:ascii="Open Sans" w:eastAsia="Droid Sans Fallback" w:hAnsi="Open Sans" w:cs="FreeSans"/>
                <w:color w:val="000000"/>
                <w:kern w:val="3"/>
                <w:sz w:val="18"/>
                <w:szCs w:val="18"/>
                <w:lang w:eastAsia="zh-CN" w:bidi="hi-IN"/>
              </w:rPr>
              <w:t>5</w:t>
            </w:r>
          </w:p>
          <w:p w14:paraId="1F489CE2" w14:textId="42EC6527" w:rsidR="00D572EA" w:rsidRPr="00A07BE9" w:rsidRDefault="00D572EA" w:rsidP="009A360A">
            <w:pPr>
              <w:widowControl w:val="0"/>
              <w:suppressLineNumbers/>
              <w:suppressAutoHyphens/>
              <w:autoSpaceDN w:val="0"/>
              <w:spacing w:after="0" w:line="240" w:lineRule="auto"/>
              <w:jc w:val="center"/>
              <w:textAlignment w:val="baseline"/>
              <w:rPr>
                <w:rFonts w:ascii="Open Sans" w:eastAsia="Droid Sans Fallback" w:hAnsi="Open Sans" w:cs="FreeSans"/>
                <w:color w:val="000000"/>
                <w:kern w:val="3"/>
                <w:sz w:val="18"/>
                <w:szCs w:val="18"/>
                <w:lang w:eastAsia="zh-CN" w:bidi="hi-IN"/>
              </w:rPr>
            </w:pPr>
            <w:r w:rsidRPr="00A07BE9">
              <w:rPr>
                <w:rFonts w:ascii="Open Sans" w:eastAsia="Droid Sans Fallback" w:hAnsi="Open Sans" w:cs="FreeSans"/>
                <w:color w:val="000000"/>
                <w:kern w:val="3"/>
                <w:sz w:val="18"/>
                <w:szCs w:val="18"/>
                <w:lang w:eastAsia="zh-CN" w:bidi="hi-IN"/>
              </w:rPr>
              <w:t>4</w:t>
            </w:r>
          </w:p>
        </w:tc>
      </w:tr>
      <w:tr w:rsidR="009A360A" w:rsidRPr="00A07BE9" w14:paraId="5BB3887F" w14:textId="77777777" w:rsidTr="009A360A">
        <w:tc>
          <w:tcPr>
            <w:tcW w:w="2332" w:type="dxa"/>
            <w:tcBorders>
              <w:top w:val="single" w:sz="4" w:space="0" w:color="auto"/>
              <w:left w:val="single" w:sz="2" w:space="0" w:color="000000"/>
              <w:bottom w:val="single" w:sz="2" w:space="0" w:color="000000"/>
            </w:tcBorders>
            <w:shd w:val="clear" w:color="auto" w:fill="auto"/>
            <w:tcMar>
              <w:top w:w="55" w:type="dxa"/>
              <w:left w:w="55" w:type="dxa"/>
              <w:bottom w:w="55" w:type="dxa"/>
              <w:right w:w="55" w:type="dxa"/>
            </w:tcMar>
          </w:tcPr>
          <w:p w14:paraId="473D1C31" w14:textId="77777777" w:rsidR="009A360A" w:rsidRPr="00A07BE9" w:rsidRDefault="009A360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tc>
        <w:tc>
          <w:tcPr>
            <w:tcW w:w="1866" w:type="dxa"/>
            <w:tcBorders>
              <w:top w:val="single" w:sz="4" w:space="0" w:color="auto"/>
              <w:left w:val="single" w:sz="2" w:space="0" w:color="000000"/>
              <w:bottom w:val="single" w:sz="2" w:space="0" w:color="000000"/>
            </w:tcBorders>
            <w:shd w:val="clear" w:color="auto" w:fill="auto"/>
            <w:tcMar>
              <w:top w:w="55" w:type="dxa"/>
              <w:left w:w="55" w:type="dxa"/>
              <w:bottom w:w="55" w:type="dxa"/>
              <w:right w:w="55" w:type="dxa"/>
            </w:tcMar>
          </w:tcPr>
          <w:p w14:paraId="0E6F588C" w14:textId="2621B687" w:rsidR="009A360A" w:rsidRPr="00A07BE9" w:rsidRDefault="009A360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b/>
                <w:kern w:val="3"/>
                <w:sz w:val="18"/>
                <w:szCs w:val="18"/>
                <w:lang w:eastAsia="zh-CN" w:bidi="hi-IN"/>
              </w:rPr>
              <w:t>Total puestos: 33</w:t>
            </w:r>
          </w:p>
        </w:tc>
        <w:tc>
          <w:tcPr>
            <w:tcW w:w="1611" w:type="dxa"/>
            <w:tcBorders>
              <w:top w:val="single" w:sz="4" w:space="0" w:color="auto"/>
              <w:left w:val="single" w:sz="2" w:space="0" w:color="000000"/>
              <w:bottom w:val="single" w:sz="2" w:space="0" w:color="000000"/>
            </w:tcBorders>
            <w:shd w:val="clear" w:color="auto" w:fill="auto"/>
            <w:tcMar>
              <w:top w:w="55" w:type="dxa"/>
              <w:left w:w="55" w:type="dxa"/>
              <w:bottom w:w="55" w:type="dxa"/>
              <w:right w:w="55" w:type="dxa"/>
            </w:tcMar>
          </w:tcPr>
          <w:p w14:paraId="60A4B70B" w14:textId="77777777" w:rsidR="009A360A" w:rsidRPr="00A07BE9" w:rsidRDefault="009A360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p>
        </w:tc>
        <w:tc>
          <w:tcPr>
            <w:tcW w:w="1391" w:type="dxa"/>
            <w:tcBorders>
              <w:top w:val="single" w:sz="4" w:space="0" w:color="auto"/>
              <w:left w:val="single" w:sz="2" w:space="0" w:color="000000"/>
              <w:bottom w:val="single" w:sz="2" w:space="0" w:color="000000"/>
            </w:tcBorders>
            <w:shd w:val="clear" w:color="auto" w:fill="auto"/>
            <w:tcMar>
              <w:top w:w="55" w:type="dxa"/>
              <w:left w:w="55" w:type="dxa"/>
              <w:bottom w:w="55" w:type="dxa"/>
              <w:right w:w="55" w:type="dxa"/>
            </w:tcMar>
          </w:tcPr>
          <w:p w14:paraId="2A0F0613" w14:textId="15E93C0C" w:rsidR="009A360A" w:rsidRPr="00A07BE9" w:rsidRDefault="009A360A" w:rsidP="00D572EA">
            <w:pPr>
              <w:widowControl w:val="0"/>
              <w:suppressLineNumbers/>
              <w:suppressAutoHyphens/>
              <w:autoSpaceDN w:val="0"/>
              <w:spacing w:after="0" w:line="240" w:lineRule="auto"/>
              <w:jc w:val="center"/>
              <w:textAlignment w:val="baseline"/>
              <w:rPr>
                <w:rFonts w:ascii="Open Sans" w:eastAsia="Droid Sans Fallback" w:hAnsi="Open Sans" w:cs="FreeSans"/>
                <w:color w:val="000000"/>
                <w:kern w:val="3"/>
                <w:sz w:val="18"/>
                <w:szCs w:val="18"/>
                <w:lang w:eastAsia="zh-CN" w:bidi="hi-IN"/>
              </w:rPr>
            </w:pPr>
            <w:r w:rsidRPr="00A07BE9">
              <w:rPr>
                <w:rFonts w:ascii="Open Sans" w:eastAsia="Droid Sans Fallback" w:hAnsi="Open Sans" w:cs="FreeSans"/>
                <w:b/>
                <w:color w:val="000000"/>
                <w:kern w:val="3"/>
                <w:sz w:val="18"/>
                <w:szCs w:val="18"/>
                <w:lang w:eastAsia="zh-CN" w:bidi="hi-IN"/>
              </w:rPr>
              <w:t>7</w:t>
            </w:r>
          </w:p>
        </w:tc>
        <w:tc>
          <w:tcPr>
            <w:tcW w:w="1424" w:type="dxa"/>
            <w:tcBorders>
              <w:top w:val="single" w:sz="4" w:space="0" w:color="auto"/>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1D68E205" w14:textId="461F865B" w:rsidR="009A360A" w:rsidRPr="00A07BE9" w:rsidRDefault="009A360A" w:rsidP="00D572EA">
            <w:pPr>
              <w:widowControl w:val="0"/>
              <w:suppressLineNumbers/>
              <w:suppressAutoHyphens/>
              <w:autoSpaceDN w:val="0"/>
              <w:spacing w:after="0" w:line="240" w:lineRule="auto"/>
              <w:jc w:val="center"/>
              <w:textAlignment w:val="baseline"/>
              <w:rPr>
                <w:rFonts w:ascii="Open Sans" w:eastAsia="Droid Sans Fallback" w:hAnsi="Open Sans" w:cs="FreeSans"/>
                <w:color w:val="000000"/>
                <w:kern w:val="3"/>
                <w:sz w:val="18"/>
                <w:szCs w:val="18"/>
                <w:lang w:eastAsia="zh-CN" w:bidi="hi-IN"/>
              </w:rPr>
            </w:pPr>
            <w:r w:rsidRPr="00A07BE9">
              <w:rPr>
                <w:rFonts w:ascii="Open Sans" w:eastAsia="Droid Sans Fallback" w:hAnsi="Open Sans" w:cs="FreeSans"/>
                <w:b/>
                <w:color w:val="000000"/>
                <w:kern w:val="3"/>
                <w:sz w:val="18"/>
                <w:szCs w:val="18"/>
                <w:lang w:eastAsia="zh-CN" w:bidi="hi-IN"/>
              </w:rPr>
              <w:t>26</w:t>
            </w:r>
          </w:p>
        </w:tc>
      </w:tr>
    </w:tbl>
    <w:p w14:paraId="1EF81C8B" w14:textId="77777777" w:rsidR="00264EC2" w:rsidRPr="00A07BE9" w:rsidRDefault="00264EC2" w:rsidP="00D572EA">
      <w:pPr>
        <w:widowControl w:val="0"/>
        <w:suppressAutoHyphens/>
        <w:autoSpaceDN w:val="0"/>
        <w:spacing w:after="0" w:line="276" w:lineRule="auto"/>
        <w:jc w:val="both"/>
        <w:textAlignment w:val="baseline"/>
        <w:rPr>
          <w:rFonts w:ascii="Open Sans" w:eastAsia="Droid Sans Fallback" w:hAnsi="Open Sans" w:cs="Open Sans"/>
          <w:b/>
          <w:bCs/>
          <w:color w:val="9D2235"/>
          <w:kern w:val="3"/>
          <w:sz w:val="20"/>
          <w:szCs w:val="20"/>
          <w:lang w:eastAsia="zh-CN" w:bidi="hi-IN"/>
        </w:rPr>
      </w:pPr>
    </w:p>
    <w:p w14:paraId="35B54A5D" w14:textId="73BDC75D" w:rsidR="009A360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b/>
          <w:bCs/>
          <w:kern w:val="3"/>
          <w:sz w:val="20"/>
          <w:szCs w:val="20"/>
          <w:lang w:eastAsia="zh-CN" w:bidi="hi-IN"/>
        </w:rPr>
      </w:pPr>
      <w:r w:rsidRPr="00A07BE9">
        <w:rPr>
          <w:rFonts w:ascii="Open Sans" w:eastAsia="Droid Sans Fallback" w:hAnsi="Open Sans" w:cs="Open Sans"/>
          <w:b/>
          <w:bCs/>
          <w:color w:val="9D2235"/>
          <w:kern w:val="3"/>
          <w:sz w:val="20"/>
          <w:szCs w:val="20"/>
          <w:lang w:eastAsia="zh-CN" w:bidi="hi-IN"/>
        </w:rPr>
        <w:t xml:space="preserve">Tabla </w:t>
      </w:r>
      <w:r w:rsidR="00A531A3" w:rsidRPr="00A07BE9">
        <w:rPr>
          <w:rFonts w:ascii="Open Sans" w:eastAsia="Droid Sans Fallback" w:hAnsi="Open Sans" w:cs="Open Sans"/>
          <w:b/>
          <w:bCs/>
          <w:color w:val="9D2235"/>
          <w:kern w:val="3"/>
          <w:sz w:val="20"/>
          <w:szCs w:val="20"/>
          <w:lang w:eastAsia="zh-CN" w:bidi="hi-IN"/>
        </w:rPr>
        <w:t>22</w:t>
      </w:r>
      <w:r w:rsidR="00AC7D1A">
        <w:rPr>
          <w:rFonts w:ascii="Open Sans" w:eastAsia="Droid Sans Fallback" w:hAnsi="Open Sans" w:cs="Open Sans"/>
          <w:b/>
          <w:bCs/>
          <w:color w:val="9D2235"/>
          <w:kern w:val="3"/>
          <w:sz w:val="20"/>
          <w:szCs w:val="20"/>
          <w:lang w:eastAsia="zh-CN" w:bidi="hi-IN"/>
        </w:rPr>
        <w:t>.</w:t>
      </w:r>
      <w:r w:rsidRPr="00A07BE9">
        <w:rPr>
          <w:rFonts w:ascii="Open Sans" w:eastAsia="Droid Sans Fallback" w:hAnsi="Open Sans" w:cs="Open Sans"/>
          <w:b/>
          <w:bCs/>
          <w:kern w:val="3"/>
          <w:sz w:val="20"/>
          <w:szCs w:val="20"/>
          <w:lang w:eastAsia="zh-CN" w:bidi="hi-IN"/>
        </w:rPr>
        <w:t xml:space="preserve"> Descripción de unidades administrativas, puestos de trabajo, su clasificación y estado de ocupación a 31/12/2018</w:t>
      </w:r>
    </w:p>
    <w:tbl>
      <w:tblPr>
        <w:tblW w:w="8624" w:type="dxa"/>
        <w:tblInd w:w="16" w:type="dxa"/>
        <w:tblLayout w:type="fixed"/>
        <w:tblCellMar>
          <w:left w:w="10" w:type="dxa"/>
          <w:right w:w="10" w:type="dxa"/>
        </w:tblCellMar>
        <w:tblLook w:val="0000" w:firstRow="0" w:lastRow="0" w:firstColumn="0" w:lastColumn="0" w:noHBand="0" w:noVBand="0"/>
      </w:tblPr>
      <w:tblGrid>
        <w:gridCol w:w="2325"/>
        <w:gridCol w:w="1767"/>
        <w:gridCol w:w="1683"/>
        <w:gridCol w:w="1425"/>
        <w:gridCol w:w="1424"/>
      </w:tblGrid>
      <w:tr w:rsidR="00D572EA" w:rsidRPr="00A07BE9" w14:paraId="49858762" w14:textId="77777777" w:rsidTr="009A360A">
        <w:trPr>
          <w:tblHeader/>
        </w:trPr>
        <w:tc>
          <w:tcPr>
            <w:tcW w:w="8624" w:type="dxa"/>
            <w:gridSpan w:val="5"/>
            <w:tcBorders>
              <w:top w:val="single" w:sz="2" w:space="0" w:color="000000"/>
              <w:left w:val="single" w:sz="2" w:space="0" w:color="000000"/>
              <w:bottom w:val="single" w:sz="2" w:space="0" w:color="000000"/>
              <w:right w:val="single" w:sz="2" w:space="0" w:color="000000"/>
            </w:tcBorders>
            <w:shd w:val="clear" w:color="auto" w:fill="5B6770"/>
            <w:tcMar>
              <w:top w:w="55" w:type="dxa"/>
              <w:left w:w="55" w:type="dxa"/>
              <w:bottom w:w="55" w:type="dxa"/>
              <w:right w:w="55" w:type="dxa"/>
            </w:tcMar>
          </w:tcPr>
          <w:p w14:paraId="1AC66E63" w14:textId="53703D8B"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b/>
                <w:bCs/>
                <w:color w:val="FFFFFF"/>
                <w:kern w:val="3"/>
                <w:sz w:val="18"/>
                <w:szCs w:val="18"/>
                <w:lang w:eastAsia="zh-CN" w:bidi="hi-IN"/>
              </w:rPr>
            </w:pPr>
            <w:r w:rsidRPr="00A07BE9">
              <w:rPr>
                <w:rFonts w:ascii="Open Sans" w:eastAsia="Droid Sans Fallback" w:hAnsi="Open Sans" w:cs="FreeSans"/>
                <w:b/>
                <w:bCs/>
                <w:color w:val="FFFFFF"/>
                <w:kern w:val="3"/>
                <w:sz w:val="18"/>
                <w:szCs w:val="18"/>
                <w:lang w:eastAsia="zh-CN" w:bidi="hi-IN"/>
              </w:rPr>
              <w:t>Resolución 1/03/2018</w:t>
            </w:r>
            <w:r w:rsidR="007663DF" w:rsidRPr="00A07BE9">
              <w:rPr>
                <w:rFonts w:ascii="Open Sans" w:eastAsia="Droid Sans Fallback" w:hAnsi="Open Sans" w:cs="FreeSans"/>
                <w:b/>
                <w:bCs/>
                <w:color w:val="FFFFFF"/>
                <w:kern w:val="3"/>
                <w:sz w:val="18"/>
                <w:szCs w:val="18"/>
                <w:lang w:eastAsia="zh-CN" w:bidi="hi-IN"/>
              </w:rPr>
              <w:t xml:space="preserve">    </w:t>
            </w:r>
            <w:r w:rsidRPr="00A07BE9">
              <w:rPr>
                <w:rFonts w:ascii="Open Sans" w:eastAsia="Droid Sans Fallback" w:hAnsi="Open Sans" w:cs="FreeSans"/>
                <w:b/>
                <w:bCs/>
                <w:color w:val="FFFFFF"/>
                <w:kern w:val="3"/>
                <w:sz w:val="18"/>
                <w:szCs w:val="18"/>
                <w:lang w:eastAsia="zh-CN" w:bidi="hi-IN"/>
              </w:rPr>
              <w:t xml:space="preserve">DOGV </w:t>
            </w:r>
            <w:r w:rsidR="00C87DEA" w:rsidRPr="00A07BE9">
              <w:rPr>
                <w:rFonts w:ascii="Open Sans" w:eastAsia="Droid Sans Fallback" w:hAnsi="Open Sans" w:cs="FreeSans"/>
                <w:b/>
                <w:bCs/>
                <w:color w:val="FFFFFF"/>
                <w:kern w:val="3"/>
                <w:sz w:val="18"/>
                <w:szCs w:val="18"/>
                <w:lang w:eastAsia="zh-CN" w:bidi="hi-IN"/>
              </w:rPr>
              <w:t xml:space="preserve">núm. </w:t>
            </w:r>
            <w:r w:rsidRPr="00A07BE9">
              <w:rPr>
                <w:rFonts w:ascii="Open Sans" w:eastAsia="Droid Sans Fallback" w:hAnsi="Open Sans" w:cs="FreeSans"/>
                <w:b/>
                <w:bCs/>
                <w:color w:val="FFFFFF"/>
                <w:kern w:val="3"/>
                <w:sz w:val="18"/>
                <w:szCs w:val="18"/>
                <w:lang w:eastAsia="zh-CN" w:bidi="hi-IN"/>
              </w:rPr>
              <w:t>8247</w:t>
            </w:r>
            <w:r w:rsidR="00C87DEA" w:rsidRPr="00A07BE9">
              <w:rPr>
                <w:rFonts w:ascii="Open Sans" w:eastAsia="Droid Sans Fallback" w:hAnsi="Open Sans" w:cs="FreeSans"/>
                <w:b/>
                <w:bCs/>
                <w:color w:val="FFFFFF"/>
                <w:kern w:val="3"/>
                <w:sz w:val="18"/>
                <w:szCs w:val="18"/>
                <w:lang w:eastAsia="zh-CN" w:bidi="hi-IN"/>
              </w:rPr>
              <w:t xml:space="preserve"> de </w:t>
            </w:r>
            <w:r w:rsidRPr="00A07BE9">
              <w:rPr>
                <w:rFonts w:ascii="Open Sans" w:eastAsia="Droid Sans Fallback" w:hAnsi="Open Sans" w:cs="FreeSans"/>
                <w:b/>
                <w:bCs/>
                <w:color w:val="FFFFFF"/>
                <w:kern w:val="3"/>
                <w:sz w:val="18"/>
                <w:szCs w:val="18"/>
                <w:lang w:eastAsia="zh-CN" w:bidi="hi-IN"/>
              </w:rPr>
              <w:t>5</w:t>
            </w:r>
            <w:r w:rsidR="00C87DEA" w:rsidRPr="00A07BE9">
              <w:rPr>
                <w:rFonts w:ascii="Open Sans" w:eastAsia="Droid Sans Fallback" w:hAnsi="Open Sans" w:cs="FreeSans"/>
                <w:b/>
                <w:bCs/>
                <w:color w:val="FFFFFF"/>
                <w:kern w:val="3"/>
                <w:sz w:val="18"/>
                <w:szCs w:val="18"/>
                <w:lang w:eastAsia="zh-CN" w:bidi="hi-IN"/>
              </w:rPr>
              <w:t xml:space="preserve"> de marzo de </w:t>
            </w:r>
            <w:r w:rsidRPr="00A07BE9">
              <w:rPr>
                <w:rFonts w:ascii="Open Sans" w:eastAsia="Droid Sans Fallback" w:hAnsi="Open Sans" w:cs="FreeSans"/>
                <w:b/>
                <w:bCs/>
                <w:color w:val="FFFFFF"/>
                <w:kern w:val="3"/>
                <w:sz w:val="18"/>
                <w:szCs w:val="18"/>
                <w:lang w:eastAsia="zh-CN" w:bidi="hi-IN"/>
              </w:rPr>
              <w:t>2018</w:t>
            </w:r>
          </w:p>
        </w:tc>
      </w:tr>
      <w:tr w:rsidR="00D572EA" w:rsidRPr="00A07BE9" w14:paraId="09B4DAA8" w14:textId="77777777" w:rsidTr="009A360A">
        <w:trPr>
          <w:tblHeader/>
        </w:trPr>
        <w:tc>
          <w:tcPr>
            <w:tcW w:w="2325" w:type="dxa"/>
            <w:tcBorders>
              <w:left w:val="single" w:sz="2" w:space="0" w:color="000000"/>
              <w:bottom w:val="single" w:sz="2" w:space="0" w:color="000000"/>
            </w:tcBorders>
            <w:shd w:val="clear" w:color="auto" w:fill="9D2235"/>
            <w:tcMar>
              <w:top w:w="55" w:type="dxa"/>
              <w:left w:w="55" w:type="dxa"/>
              <w:bottom w:w="55" w:type="dxa"/>
              <w:right w:w="55" w:type="dxa"/>
            </w:tcMar>
            <w:vAlign w:val="center"/>
          </w:tcPr>
          <w:p w14:paraId="22A79604"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b/>
                <w:bCs/>
                <w:color w:val="FFFFFF"/>
                <w:kern w:val="3"/>
                <w:sz w:val="18"/>
                <w:szCs w:val="18"/>
                <w:lang w:eastAsia="zh-CN" w:bidi="hi-IN"/>
              </w:rPr>
            </w:pPr>
            <w:r w:rsidRPr="00A07BE9">
              <w:rPr>
                <w:rFonts w:ascii="Open Sans" w:eastAsia="Droid Sans Fallback" w:hAnsi="Open Sans" w:cs="FreeSans"/>
                <w:b/>
                <w:bCs/>
                <w:color w:val="FFFFFF"/>
                <w:kern w:val="3"/>
                <w:sz w:val="18"/>
                <w:szCs w:val="18"/>
                <w:lang w:eastAsia="zh-CN" w:bidi="hi-IN"/>
              </w:rPr>
              <w:t>Unidad administrativa</w:t>
            </w:r>
          </w:p>
        </w:tc>
        <w:tc>
          <w:tcPr>
            <w:tcW w:w="1767" w:type="dxa"/>
            <w:tcBorders>
              <w:left w:val="single" w:sz="2" w:space="0" w:color="000000"/>
              <w:bottom w:val="single" w:sz="2" w:space="0" w:color="000000"/>
            </w:tcBorders>
            <w:shd w:val="clear" w:color="auto" w:fill="9D2235"/>
            <w:tcMar>
              <w:top w:w="55" w:type="dxa"/>
              <w:left w:w="55" w:type="dxa"/>
              <w:bottom w:w="55" w:type="dxa"/>
              <w:right w:w="55" w:type="dxa"/>
            </w:tcMar>
            <w:vAlign w:val="center"/>
          </w:tcPr>
          <w:p w14:paraId="1232E203"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b/>
                <w:bCs/>
                <w:color w:val="FFFFFF"/>
                <w:kern w:val="3"/>
                <w:sz w:val="18"/>
                <w:szCs w:val="18"/>
                <w:lang w:eastAsia="zh-CN" w:bidi="hi-IN"/>
              </w:rPr>
            </w:pPr>
            <w:r w:rsidRPr="00A07BE9">
              <w:rPr>
                <w:rFonts w:ascii="Open Sans" w:eastAsia="Droid Sans Fallback" w:hAnsi="Open Sans" w:cs="FreeSans"/>
                <w:b/>
                <w:bCs/>
                <w:color w:val="FFFFFF"/>
                <w:kern w:val="3"/>
                <w:sz w:val="18"/>
                <w:szCs w:val="18"/>
                <w:lang w:eastAsia="zh-CN" w:bidi="hi-IN"/>
              </w:rPr>
              <w:t>Nº puestos totales por unidad administrativa</w:t>
            </w:r>
          </w:p>
        </w:tc>
        <w:tc>
          <w:tcPr>
            <w:tcW w:w="1683" w:type="dxa"/>
            <w:tcBorders>
              <w:left w:val="single" w:sz="2" w:space="0" w:color="000000"/>
              <w:bottom w:val="single" w:sz="2" w:space="0" w:color="000000"/>
            </w:tcBorders>
            <w:shd w:val="clear" w:color="auto" w:fill="9D2235"/>
            <w:tcMar>
              <w:top w:w="55" w:type="dxa"/>
              <w:left w:w="55" w:type="dxa"/>
              <w:bottom w:w="55" w:type="dxa"/>
              <w:right w:w="55" w:type="dxa"/>
            </w:tcMar>
            <w:vAlign w:val="center"/>
          </w:tcPr>
          <w:p w14:paraId="4515364D"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b/>
                <w:bCs/>
                <w:color w:val="FFFFFF"/>
                <w:kern w:val="3"/>
                <w:sz w:val="18"/>
                <w:szCs w:val="18"/>
                <w:lang w:eastAsia="zh-CN" w:bidi="hi-IN"/>
              </w:rPr>
            </w:pPr>
            <w:r w:rsidRPr="00A07BE9">
              <w:rPr>
                <w:rFonts w:ascii="Open Sans" w:eastAsia="Droid Sans Fallback" w:hAnsi="Open Sans" w:cs="FreeSans"/>
                <w:b/>
                <w:bCs/>
                <w:color w:val="FFFFFF"/>
                <w:kern w:val="3"/>
                <w:sz w:val="18"/>
                <w:szCs w:val="18"/>
                <w:lang w:eastAsia="zh-CN" w:bidi="hi-IN"/>
              </w:rPr>
              <w:t>Clasificación según Grupo/subgrupo</w:t>
            </w:r>
          </w:p>
        </w:tc>
        <w:tc>
          <w:tcPr>
            <w:tcW w:w="1425" w:type="dxa"/>
            <w:tcBorders>
              <w:left w:val="single" w:sz="2" w:space="0" w:color="000000"/>
              <w:bottom w:val="single" w:sz="2" w:space="0" w:color="000000"/>
            </w:tcBorders>
            <w:shd w:val="clear" w:color="auto" w:fill="9D2235"/>
            <w:tcMar>
              <w:top w:w="55" w:type="dxa"/>
              <w:left w:w="55" w:type="dxa"/>
              <w:bottom w:w="55" w:type="dxa"/>
              <w:right w:w="55" w:type="dxa"/>
            </w:tcMar>
            <w:vAlign w:val="center"/>
          </w:tcPr>
          <w:p w14:paraId="59D0FE10"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b/>
                <w:bCs/>
                <w:color w:val="FFFFFF"/>
                <w:kern w:val="3"/>
                <w:sz w:val="18"/>
                <w:szCs w:val="18"/>
                <w:lang w:eastAsia="zh-CN" w:bidi="hi-IN"/>
              </w:rPr>
            </w:pPr>
            <w:r w:rsidRPr="00A07BE9">
              <w:rPr>
                <w:rFonts w:ascii="Open Sans" w:eastAsia="Droid Sans Fallback" w:hAnsi="Open Sans" w:cs="FreeSans"/>
                <w:b/>
                <w:bCs/>
                <w:color w:val="FFFFFF"/>
                <w:kern w:val="3"/>
                <w:sz w:val="18"/>
                <w:szCs w:val="18"/>
                <w:lang w:eastAsia="zh-CN" w:bidi="hi-IN"/>
              </w:rPr>
              <w:t>Puestos ocupados a 31/12/2018</w:t>
            </w:r>
          </w:p>
        </w:tc>
        <w:tc>
          <w:tcPr>
            <w:tcW w:w="1424" w:type="dxa"/>
            <w:tcBorders>
              <w:left w:val="single" w:sz="2" w:space="0" w:color="000000"/>
              <w:bottom w:val="single" w:sz="2" w:space="0" w:color="000000"/>
              <w:right w:val="single" w:sz="2" w:space="0" w:color="000000"/>
            </w:tcBorders>
            <w:shd w:val="clear" w:color="auto" w:fill="9D2235"/>
            <w:tcMar>
              <w:top w:w="55" w:type="dxa"/>
              <w:left w:w="55" w:type="dxa"/>
              <w:bottom w:w="55" w:type="dxa"/>
              <w:right w:w="55" w:type="dxa"/>
            </w:tcMar>
            <w:vAlign w:val="center"/>
          </w:tcPr>
          <w:p w14:paraId="41AFA0B3"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b/>
                <w:bCs/>
                <w:color w:val="FFFFFF"/>
                <w:kern w:val="3"/>
                <w:sz w:val="18"/>
                <w:szCs w:val="18"/>
                <w:lang w:eastAsia="zh-CN" w:bidi="hi-IN"/>
              </w:rPr>
            </w:pPr>
            <w:r w:rsidRPr="00A07BE9">
              <w:rPr>
                <w:rFonts w:ascii="Open Sans" w:eastAsia="Droid Sans Fallback" w:hAnsi="Open Sans" w:cs="FreeSans"/>
                <w:b/>
                <w:bCs/>
                <w:color w:val="FFFFFF"/>
                <w:kern w:val="3"/>
                <w:sz w:val="18"/>
                <w:szCs w:val="18"/>
                <w:lang w:eastAsia="zh-CN" w:bidi="hi-IN"/>
              </w:rPr>
              <w:t>Puestos vacantes a 31/12/2018</w:t>
            </w:r>
          </w:p>
        </w:tc>
      </w:tr>
      <w:tr w:rsidR="00D572EA" w:rsidRPr="00A07BE9" w14:paraId="6823E4B4" w14:textId="77777777" w:rsidTr="009A360A">
        <w:tc>
          <w:tcPr>
            <w:tcW w:w="2325" w:type="dxa"/>
            <w:tcBorders>
              <w:left w:val="single" w:sz="2" w:space="0" w:color="000000"/>
              <w:bottom w:val="single" w:sz="2" w:space="0" w:color="000000"/>
            </w:tcBorders>
            <w:shd w:val="clear" w:color="auto" w:fill="auto"/>
            <w:tcMar>
              <w:top w:w="55" w:type="dxa"/>
              <w:left w:w="55" w:type="dxa"/>
              <w:bottom w:w="55" w:type="dxa"/>
              <w:right w:w="55" w:type="dxa"/>
            </w:tcMar>
          </w:tcPr>
          <w:p w14:paraId="7A351A85"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Gabinete de Dirección, Relaciones Institucionales y Participación</w:t>
            </w:r>
          </w:p>
        </w:tc>
        <w:tc>
          <w:tcPr>
            <w:tcW w:w="1767" w:type="dxa"/>
            <w:tcBorders>
              <w:left w:val="single" w:sz="2" w:space="0" w:color="000000"/>
              <w:bottom w:val="single" w:sz="2" w:space="0" w:color="000000"/>
            </w:tcBorders>
            <w:shd w:val="clear" w:color="auto" w:fill="auto"/>
            <w:tcMar>
              <w:top w:w="55" w:type="dxa"/>
              <w:left w:w="55" w:type="dxa"/>
              <w:bottom w:w="55" w:type="dxa"/>
              <w:right w:w="55" w:type="dxa"/>
            </w:tcMar>
          </w:tcPr>
          <w:p w14:paraId="6247690F"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Total puestos: 2</w:t>
            </w:r>
          </w:p>
          <w:p w14:paraId="68965151"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tc>
        <w:tc>
          <w:tcPr>
            <w:tcW w:w="1683" w:type="dxa"/>
            <w:tcBorders>
              <w:left w:val="single" w:sz="2" w:space="0" w:color="000000"/>
              <w:bottom w:val="single" w:sz="2" w:space="0" w:color="000000"/>
            </w:tcBorders>
            <w:shd w:val="clear" w:color="auto" w:fill="auto"/>
            <w:tcMar>
              <w:top w:w="55" w:type="dxa"/>
              <w:left w:w="55" w:type="dxa"/>
              <w:bottom w:w="55" w:type="dxa"/>
              <w:right w:w="55" w:type="dxa"/>
            </w:tcMar>
          </w:tcPr>
          <w:p w14:paraId="69BA8DB4"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 A1</w:t>
            </w:r>
          </w:p>
          <w:p w14:paraId="34DB2734"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 C1/C2</w:t>
            </w:r>
          </w:p>
        </w:tc>
        <w:tc>
          <w:tcPr>
            <w:tcW w:w="1425" w:type="dxa"/>
            <w:tcBorders>
              <w:left w:val="single" w:sz="2" w:space="0" w:color="000000"/>
              <w:bottom w:val="single" w:sz="2" w:space="0" w:color="000000"/>
            </w:tcBorders>
            <w:shd w:val="clear" w:color="auto" w:fill="auto"/>
            <w:tcMar>
              <w:top w:w="55" w:type="dxa"/>
              <w:left w:w="55" w:type="dxa"/>
              <w:bottom w:w="55" w:type="dxa"/>
              <w:right w:w="55" w:type="dxa"/>
            </w:tcMar>
          </w:tcPr>
          <w:p w14:paraId="567BD68C"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w:t>
            </w:r>
          </w:p>
          <w:p w14:paraId="67E29ED6"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w:t>
            </w:r>
          </w:p>
        </w:tc>
        <w:tc>
          <w:tcPr>
            <w:tcW w:w="1424"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7BF459BF"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p>
        </w:tc>
      </w:tr>
      <w:tr w:rsidR="00D572EA" w:rsidRPr="00A07BE9" w14:paraId="01044E51" w14:textId="77777777" w:rsidTr="009A360A">
        <w:tc>
          <w:tcPr>
            <w:tcW w:w="2325" w:type="dxa"/>
            <w:tcBorders>
              <w:left w:val="single" w:sz="2" w:space="0" w:color="000000"/>
              <w:bottom w:val="single" w:sz="2" w:space="0" w:color="000000"/>
            </w:tcBorders>
            <w:shd w:val="clear" w:color="auto" w:fill="auto"/>
            <w:tcMar>
              <w:top w:w="55" w:type="dxa"/>
              <w:left w:w="55" w:type="dxa"/>
              <w:bottom w:w="55" w:type="dxa"/>
              <w:right w:w="55" w:type="dxa"/>
            </w:tcMar>
          </w:tcPr>
          <w:p w14:paraId="4409B205"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Administración, Recursos Humanos y Gestión Económica</w:t>
            </w:r>
          </w:p>
        </w:tc>
        <w:tc>
          <w:tcPr>
            <w:tcW w:w="1767" w:type="dxa"/>
            <w:tcBorders>
              <w:left w:val="single" w:sz="2" w:space="0" w:color="000000"/>
              <w:bottom w:val="single" w:sz="2" w:space="0" w:color="000000"/>
            </w:tcBorders>
            <w:shd w:val="clear" w:color="auto" w:fill="auto"/>
            <w:tcMar>
              <w:top w:w="55" w:type="dxa"/>
              <w:left w:w="55" w:type="dxa"/>
              <w:bottom w:w="55" w:type="dxa"/>
              <w:right w:w="55" w:type="dxa"/>
            </w:tcMar>
          </w:tcPr>
          <w:p w14:paraId="42FF417C"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Total puestos: 6</w:t>
            </w:r>
          </w:p>
          <w:p w14:paraId="557FF974"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tc>
        <w:tc>
          <w:tcPr>
            <w:tcW w:w="1683" w:type="dxa"/>
            <w:tcBorders>
              <w:left w:val="single" w:sz="2" w:space="0" w:color="000000"/>
              <w:bottom w:val="single" w:sz="2" w:space="0" w:color="000000"/>
            </w:tcBorders>
            <w:shd w:val="clear" w:color="auto" w:fill="auto"/>
            <w:tcMar>
              <w:top w:w="55" w:type="dxa"/>
              <w:left w:w="55" w:type="dxa"/>
              <w:bottom w:w="55" w:type="dxa"/>
              <w:right w:w="55" w:type="dxa"/>
            </w:tcMar>
          </w:tcPr>
          <w:p w14:paraId="2991B4F4"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 A1</w:t>
            </w:r>
          </w:p>
          <w:p w14:paraId="55D7B800"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2 A1/A2</w:t>
            </w:r>
          </w:p>
          <w:p w14:paraId="4FBABD27"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 C1</w:t>
            </w:r>
          </w:p>
          <w:p w14:paraId="49F76340"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 C1/C2</w:t>
            </w:r>
          </w:p>
          <w:p w14:paraId="32A75F2C"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 APF 01-01</w:t>
            </w:r>
          </w:p>
        </w:tc>
        <w:tc>
          <w:tcPr>
            <w:tcW w:w="1425" w:type="dxa"/>
            <w:tcBorders>
              <w:left w:val="single" w:sz="2" w:space="0" w:color="000000"/>
              <w:bottom w:val="single" w:sz="2" w:space="0" w:color="000000"/>
            </w:tcBorders>
            <w:shd w:val="clear" w:color="auto" w:fill="auto"/>
            <w:tcMar>
              <w:top w:w="55" w:type="dxa"/>
              <w:left w:w="55" w:type="dxa"/>
              <w:bottom w:w="55" w:type="dxa"/>
              <w:right w:w="55" w:type="dxa"/>
            </w:tcMar>
          </w:tcPr>
          <w:p w14:paraId="59FAFB6A"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w:t>
            </w:r>
          </w:p>
          <w:p w14:paraId="0C8C08F2"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2</w:t>
            </w:r>
          </w:p>
          <w:p w14:paraId="733FF3EB"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w:t>
            </w:r>
          </w:p>
          <w:p w14:paraId="777D6D90"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w:t>
            </w:r>
          </w:p>
          <w:p w14:paraId="21E11C6F"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w:t>
            </w:r>
          </w:p>
        </w:tc>
        <w:tc>
          <w:tcPr>
            <w:tcW w:w="1424"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540C902F"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p>
        </w:tc>
      </w:tr>
      <w:tr w:rsidR="00D572EA" w:rsidRPr="00A07BE9" w14:paraId="71700198" w14:textId="77777777" w:rsidTr="009A360A">
        <w:tc>
          <w:tcPr>
            <w:tcW w:w="2325" w:type="dxa"/>
            <w:tcBorders>
              <w:left w:val="single" w:sz="2" w:space="0" w:color="000000"/>
              <w:bottom w:val="single" w:sz="2" w:space="0" w:color="000000"/>
            </w:tcBorders>
            <w:shd w:val="clear" w:color="auto" w:fill="auto"/>
            <w:tcMar>
              <w:top w:w="55" w:type="dxa"/>
              <w:left w:w="55" w:type="dxa"/>
              <w:bottom w:w="55" w:type="dxa"/>
              <w:right w:w="55" w:type="dxa"/>
            </w:tcMar>
          </w:tcPr>
          <w:p w14:paraId="1D3D3AD7"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Dirección de Análisis e Investigación</w:t>
            </w:r>
          </w:p>
        </w:tc>
        <w:tc>
          <w:tcPr>
            <w:tcW w:w="1767" w:type="dxa"/>
            <w:tcBorders>
              <w:left w:val="single" w:sz="2" w:space="0" w:color="000000"/>
              <w:bottom w:val="single" w:sz="2" w:space="0" w:color="000000"/>
            </w:tcBorders>
            <w:shd w:val="clear" w:color="auto" w:fill="auto"/>
            <w:tcMar>
              <w:top w:w="55" w:type="dxa"/>
              <w:left w:w="55" w:type="dxa"/>
              <w:bottom w:w="55" w:type="dxa"/>
              <w:right w:w="55" w:type="dxa"/>
            </w:tcMar>
          </w:tcPr>
          <w:p w14:paraId="51071389"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Total puestos: 16</w:t>
            </w:r>
          </w:p>
          <w:p w14:paraId="1785546A"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tc>
        <w:tc>
          <w:tcPr>
            <w:tcW w:w="1683" w:type="dxa"/>
            <w:tcBorders>
              <w:left w:val="single" w:sz="2" w:space="0" w:color="000000"/>
              <w:bottom w:val="single" w:sz="2" w:space="0" w:color="000000"/>
            </w:tcBorders>
            <w:shd w:val="clear" w:color="auto" w:fill="auto"/>
            <w:tcMar>
              <w:top w:w="55" w:type="dxa"/>
              <w:left w:w="55" w:type="dxa"/>
              <w:bottom w:w="55" w:type="dxa"/>
              <w:right w:w="55" w:type="dxa"/>
            </w:tcMar>
          </w:tcPr>
          <w:p w14:paraId="71041602"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6 A1</w:t>
            </w:r>
          </w:p>
          <w:p w14:paraId="44CD5113"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6 A1/A2</w:t>
            </w:r>
          </w:p>
          <w:p w14:paraId="13AC139B"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2 A2</w:t>
            </w:r>
          </w:p>
          <w:p w14:paraId="4B78E2A5"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 C1</w:t>
            </w:r>
          </w:p>
          <w:p w14:paraId="779BBCC3"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 C1/C2</w:t>
            </w:r>
          </w:p>
        </w:tc>
        <w:tc>
          <w:tcPr>
            <w:tcW w:w="1425" w:type="dxa"/>
            <w:tcBorders>
              <w:left w:val="single" w:sz="2" w:space="0" w:color="000000"/>
              <w:bottom w:val="single" w:sz="2" w:space="0" w:color="000000"/>
            </w:tcBorders>
            <w:shd w:val="clear" w:color="auto" w:fill="auto"/>
            <w:tcMar>
              <w:top w:w="55" w:type="dxa"/>
              <w:left w:w="55" w:type="dxa"/>
              <w:bottom w:w="55" w:type="dxa"/>
              <w:right w:w="55" w:type="dxa"/>
            </w:tcMar>
          </w:tcPr>
          <w:p w14:paraId="2CA58977"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4</w:t>
            </w:r>
          </w:p>
          <w:p w14:paraId="65976130"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6</w:t>
            </w:r>
          </w:p>
          <w:p w14:paraId="7B7848CC"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p>
          <w:p w14:paraId="508DBC8F"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p>
        </w:tc>
        <w:tc>
          <w:tcPr>
            <w:tcW w:w="1424"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68879CED"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2</w:t>
            </w:r>
          </w:p>
          <w:p w14:paraId="359C2E47"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p>
          <w:p w14:paraId="43A82F23"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2</w:t>
            </w:r>
          </w:p>
          <w:p w14:paraId="26252749"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w:t>
            </w:r>
          </w:p>
          <w:p w14:paraId="7A60DFA0"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w:t>
            </w:r>
          </w:p>
        </w:tc>
      </w:tr>
      <w:tr w:rsidR="00D572EA" w:rsidRPr="00A07BE9" w14:paraId="67E7DADE" w14:textId="77777777" w:rsidTr="009A360A">
        <w:tc>
          <w:tcPr>
            <w:tcW w:w="2325" w:type="dxa"/>
            <w:tcBorders>
              <w:left w:val="single" w:sz="2" w:space="0" w:color="000000"/>
              <w:bottom w:val="single" w:sz="2" w:space="0" w:color="000000"/>
            </w:tcBorders>
            <w:shd w:val="clear" w:color="auto" w:fill="auto"/>
            <w:tcMar>
              <w:top w:w="55" w:type="dxa"/>
              <w:left w:w="55" w:type="dxa"/>
              <w:bottom w:w="55" w:type="dxa"/>
              <w:right w:w="55" w:type="dxa"/>
            </w:tcMar>
          </w:tcPr>
          <w:p w14:paraId="70FA29D0"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Dirección de Prevención y Formación</w:t>
            </w:r>
          </w:p>
        </w:tc>
        <w:tc>
          <w:tcPr>
            <w:tcW w:w="1767" w:type="dxa"/>
            <w:tcBorders>
              <w:left w:val="single" w:sz="2" w:space="0" w:color="000000"/>
              <w:bottom w:val="single" w:sz="2" w:space="0" w:color="000000"/>
            </w:tcBorders>
            <w:shd w:val="clear" w:color="auto" w:fill="auto"/>
            <w:tcMar>
              <w:top w:w="55" w:type="dxa"/>
              <w:left w:w="55" w:type="dxa"/>
              <w:bottom w:w="55" w:type="dxa"/>
              <w:right w:w="55" w:type="dxa"/>
            </w:tcMar>
          </w:tcPr>
          <w:p w14:paraId="48230BAB"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Total puestos: 4</w:t>
            </w:r>
          </w:p>
          <w:p w14:paraId="038389C0"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tc>
        <w:tc>
          <w:tcPr>
            <w:tcW w:w="1683" w:type="dxa"/>
            <w:tcBorders>
              <w:left w:val="single" w:sz="2" w:space="0" w:color="000000"/>
              <w:bottom w:val="single" w:sz="2" w:space="0" w:color="000000"/>
            </w:tcBorders>
            <w:shd w:val="clear" w:color="auto" w:fill="auto"/>
            <w:tcMar>
              <w:top w:w="55" w:type="dxa"/>
              <w:left w:w="55" w:type="dxa"/>
              <w:bottom w:w="55" w:type="dxa"/>
              <w:right w:w="55" w:type="dxa"/>
            </w:tcMar>
          </w:tcPr>
          <w:p w14:paraId="68482A11"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3 A1</w:t>
            </w:r>
          </w:p>
          <w:p w14:paraId="3382CB88"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 C1/C2</w:t>
            </w:r>
          </w:p>
        </w:tc>
        <w:tc>
          <w:tcPr>
            <w:tcW w:w="1425" w:type="dxa"/>
            <w:tcBorders>
              <w:left w:val="single" w:sz="2" w:space="0" w:color="000000"/>
              <w:bottom w:val="single" w:sz="2" w:space="0" w:color="000000"/>
            </w:tcBorders>
            <w:shd w:val="clear" w:color="auto" w:fill="auto"/>
            <w:tcMar>
              <w:top w:w="55" w:type="dxa"/>
              <w:left w:w="55" w:type="dxa"/>
              <w:bottom w:w="55" w:type="dxa"/>
              <w:right w:w="55" w:type="dxa"/>
            </w:tcMar>
          </w:tcPr>
          <w:p w14:paraId="3BC6F5D3"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2</w:t>
            </w:r>
          </w:p>
        </w:tc>
        <w:tc>
          <w:tcPr>
            <w:tcW w:w="1424"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5AD17C30"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w:t>
            </w:r>
          </w:p>
          <w:p w14:paraId="319623CA"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w:t>
            </w:r>
          </w:p>
        </w:tc>
      </w:tr>
      <w:tr w:rsidR="00D572EA" w:rsidRPr="00A07BE9" w14:paraId="3F38B5E0" w14:textId="77777777" w:rsidTr="009A360A">
        <w:tc>
          <w:tcPr>
            <w:tcW w:w="2325" w:type="dxa"/>
            <w:tcBorders>
              <w:left w:val="single" w:sz="2" w:space="0" w:color="000000"/>
              <w:bottom w:val="single" w:sz="2" w:space="0" w:color="000000"/>
            </w:tcBorders>
            <w:shd w:val="clear" w:color="auto" w:fill="auto"/>
            <w:tcMar>
              <w:top w:w="55" w:type="dxa"/>
              <w:left w:w="55" w:type="dxa"/>
              <w:bottom w:w="55" w:type="dxa"/>
              <w:right w:w="55" w:type="dxa"/>
            </w:tcMar>
          </w:tcPr>
          <w:p w14:paraId="44C4525C"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Dirección de Asuntos Jurídicos</w:t>
            </w:r>
          </w:p>
        </w:tc>
        <w:tc>
          <w:tcPr>
            <w:tcW w:w="1767" w:type="dxa"/>
            <w:tcBorders>
              <w:left w:val="single" w:sz="2" w:space="0" w:color="000000"/>
              <w:bottom w:val="single" w:sz="2" w:space="0" w:color="000000"/>
            </w:tcBorders>
            <w:shd w:val="clear" w:color="auto" w:fill="auto"/>
            <w:tcMar>
              <w:top w:w="55" w:type="dxa"/>
              <w:left w:w="55" w:type="dxa"/>
              <w:bottom w:w="55" w:type="dxa"/>
              <w:right w:w="55" w:type="dxa"/>
            </w:tcMar>
          </w:tcPr>
          <w:p w14:paraId="3A9879D9"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Total puestos: 4</w:t>
            </w:r>
          </w:p>
          <w:p w14:paraId="06875F4A"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tc>
        <w:tc>
          <w:tcPr>
            <w:tcW w:w="1683" w:type="dxa"/>
            <w:tcBorders>
              <w:left w:val="single" w:sz="2" w:space="0" w:color="000000"/>
              <w:bottom w:val="single" w:sz="2" w:space="0" w:color="000000"/>
            </w:tcBorders>
            <w:shd w:val="clear" w:color="auto" w:fill="auto"/>
            <w:tcMar>
              <w:top w:w="55" w:type="dxa"/>
              <w:left w:w="55" w:type="dxa"/>
              <w:bottom w:w="55" w:type="dxa"/>
              <w:right w:w="55" w:type="dxa"/>
            </w:tcMar>
          </w:tcPr>
          <w:p w14:paraId="125F4B1D"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3 A1</w:t>
            </w:r>
          </w:p>
          <w:p w14:paraId="6CD157F9"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 C1/C2</w:t>
            </w:r>
          </w:p>
        </w:tc>
        <w:tc>
          <w:tcPr>
            <w:tcW w:w="1425" w:type="dxa"/>
            <w:tcBorders>
              <w:left w:val="single" w:sz="2" w:space="0" w:color="000000"/>
              <w:bottom w:val="single" w:sz="2" w:space="0" w:color="000000"/>
            </w:tcBorders>
            <w:shd w:val="clear" w:color="auto" w:fill="auto"/>
            <w:tcMar>
              <w:top w:w="55" w:type="dxa"/>
              <w:left w:w="55" w:type="dxa"/>
              <w:bottom w:w="55" w:type="dxa"/>
              <w:right w:w="55" w:type="dxa"/>
            </w:tcMar>
          </w:tcPr>
          <w:p w14:paraId="3628CD64"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3</w:t>
            </w:r>
          </w:p>
          <w:p w14:paraId="565C3863"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w:t>
            </w:r>
          </w:p>
        </w:tc>
        <w:tc>
          <w:tcPr>
            <w:tcW w:w="1424"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2AEC1D9C"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p>
        </w:tc>
      </w:tr>
      <w:tr w:rsidR="00D572EA" w:rsidRPr="00A07BE9" w14:paraId="080C0201" w14:textId="77777777" w:rsidTr="009A360A">
        <w:tc>
          <w:tcPr>
            <w:tcW w:w="2325" w:type="dxa"/>
            <w:tcBorders>
              <w:left w:val="single" w:sz="2" w:space="0" w:color="000000"/>
            </w:tcBorders>
            <w:shd w:val="clear" w:color="auto" w:fill="auto"/>
            <w:tcMar>
              <w:top w:w="55" w:type="dxa"/>
              <w:left w:w="55" w:type="dxa"/>
              <w:bottom w:w="55" w:type="dxa"/>
              <w:right w:w="55" w:type="dxa"/>
            </w:tcMar>
          </w:tcPr>
          <w:p w14:paraId="7DA621CC"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tc>
        <w:tc>
          <w:tcPr>
            <w:tcW w:w="1767" w:type="dxa"/>
            <w:tcBorders>
              <w:left w:val="single" w:sz="2" w:space="0" w:color="000000"/>
              <w:bottom w:val="single" w:sz="4" w:space="0" w:color="auto"/>
            </w:tcBorders>
            <w:shd w:val="clear" w:color="auto" w:fill="auto"/>
            <w:tcMar>
              <w:top w:w="55" w:type="dxa"/>
              <w:left w:w="55" w:type="dxa"/>
              <w:bottom w:w="55" w:type="dxa"/>
              <w:right w:w="55" w:type="dxa"/>
            </w:tcMar>
          </w:tcPr>
          <w:p w14:paraId="696B7DA0"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p w14:paraId="5BBF6054"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p w14:paraId="57DF645C"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p w14:paraId="301A0234"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p w14:paraId="70D34421"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p w14:paraId="619A2596" w14:textId="311437B5"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tc>
        <w:tc>
          <w:tcPr>
            <w:tcW w:w="1683" w:type="dxa"/>
            <w:tcBorders>
              <w:left w:val="single" w:sz="2" w:space="0" w:color="000000"/>
              <w:bottom w:val="single" w:sz="4" w:space="0" w:color="auto"/>
            </w:tcBorders>
            <w:shd w:val="clear" w:color="auto" w:fill="auto"/>
            <w:tcMar>
              <w:top w:w="55" w:type="dxa"/>
              <w:left w:w="55" w:type="dxa"/>
              <w:bottom w:w="55" w:type="dxa"/>
              <w:right w:w="55" w:type="dxa"/>
            </w:tcMar>
          </w:tcPr>
          <w:p w14:paraId="71A0D537"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lastRenderedPageBreak/>
              <w:t>14 A1</w:t>
            </w:r>
          </w:p>
          <w:p w14:paraId="42208422"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8 A1/A2</w:t>
            </w:r>
          </w:p>
          <w:p w14:paraId="7479EE94"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2 A2</w:t>
            </w:r>
          </w:p>
          <w:p w14:paraId="04C2A8FE"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2 C1</w:t>
            </w:r>
          </w:p>
          <w:p w14:paraId="3AD9CA40"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lastRenderedPageBreak/>
              <w:t>5 C1/C2</w:t>
            </w:r>
          </w:p>
          <w:p w14:paraId="5030D902"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 APF 01-01</w:t>
            </w:r>
          </w:p>
        </w:tc>
        <w:tc>
          <w:tcPr>
            <w:tcW w:w="1425" w:type="dxa"/>
            <w:tcBorders>
              <w:left w:val="single" w:sz="2" w:space="0" w:color="000000"/>
              <w:bottom w:val="single" w:sz="4" w:space="0" w:color="auto"/>
            </w:tcBorders>
            <w:shd w:val="clear" w:color="auto" w:fill="auto"/>
            <w:tcMar>
              <w:top w:w="55" w:type="dxa"/>
              <w:left w:w="55" w:type="dxa"/>
              <w:bottom w:w="55" w:type="dxa"/>
              <w:right w:w="55" w:type="dxa"/>
            </w:tcMar>
          </w:tcPr>
          <w:p w14:paraId="7D0200CF"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lastRenderedPageBreak/>
              <w:t>11</w:t>
            </w:r>
          </w:p>
          <w:p w14:paraId="50E5F24B"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8</w:t>
            </w:r>
          </w:p>
          <w:p w14:paraId="208D1312"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p>
          <w:p w14:paraId="5F215BA0"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w:t>
            </w:r>
          </w:p>
          <w:p w14:paraId="1DC4EAE9"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lastRenderedPageBreak/>
              <w:t>3</w:t>
            </w:r>
          </w:p>
          <w:p w14:paraId="636BF437" w14:textId="3B882C6C" w:rsidR="00D572EA" w:rsidRPr="00A07BE9" w:rsidRDefault="00D572EA" w:rsidP="00FF2B87">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w:t>
            </w:r>
          </w:p>
        </w:tc>
        <w:tc>
          <w:tcPr>
            <w:tcW w:w="1424" w:type="dxa"/>
            <w:tcBorders>
              <w:left w:val="single" w:sz="2" w:space="0" w:color="000000"/>
              <w:bottom w:val="single" w:sz="4" w:space="0" w:color="auto"/>
              <w:right w:val="single" w:sz="2" w:space="0" w:color="000000"/>
            </w:tcBorders>
            <w:shd w:val="clear" w:color="auto" w:fill="auto"/>
            <w:tcMar>
              <w:top w:w="55" w:type="dxa"/>
              <w:left w:w="55" w:type="dxa"/>
              <w:bottom w:w="55" w:type="dxa"/>
              <w:right w:w="55" w:type="dxa"/>
            </w:tcMar>
          </w:tcPr>
          <w:p w14:paraId="3F84D7EB"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lastRenderedPageBreak/>
              <w:t>3</w:t>
            </w:r>
          </w:p>
          <w:p w14:paraId="665C2876"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p>
          <w:p w14:paraId="78892BC1"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2</w:t>
            </w:r>
          </w:p>
          <w:p w14:paraId="416072BD"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w:t>
            </w:r>
          </w:p>
          <w:p w14:paraId="2C1E9E98"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lastRenderedPageBreak/>
              <w:t>2</w:t>
            </w:r>
          </w:p>
          <w:p w14:paraId="5E29E390" w14:textId="4ADC782A" w:rsidR="00D572EA" w:rsidRPr="00A07BE9" w:rsidRDefault="00D572EA" w:rsidP="00FF2B87">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tc>
      </w:tr>
      <w:tr w:rsidR="009A360A" w:rsidRPr="00A07BE9" w14:paraId="15E1B878" w14:textId="77777777" w:rsidTr="009A360A">
        <w:tc>
          <w:tcPr>
            <w:tcW w:w="2325" w:type="dxa"/>
            <w:tcBorders>
              <w:left w:val="single" w:sz="2" w:space="0" w:color="000000"/>
              <w:bottom w:val="single" w:sz="2" w:space="0" w:color="000000"/>
            </w:tcBorders>
            <w:shd w:val="clear" w:color="auto" w:fill="auto"/>
            <w:tcMar>
              <w:top w:w="55" w:type="dxa"/>
              <w:left w:w="55" w:type="dxa"/>
              <w:bottom w:w="55" w:type="dxa"/>
              <w:right w:w="55" w:type="dxa"/>
            </w:tcMar>
          </w:tcPr>
          <w:p w14:paraId="7E495BF7" w14:textId="77777777" w:rsidR="009A360A" w:rsidRPr="00A07BE9" w:rsidRDefault="009A360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tc>
        <w:tc>
          <w:tcPr>
            <w:tcW w:w="1767" w:type="dxa"/>
            <w:tcBorders>
              <w:top w:val="single" w:sz="4" w:space="0" w:color="auto"/>
              <w:left w:val="single" w:sz="2" w:space="0" w:color="000000"/>
              <w:bottom w:val="single" w:sz="2" w:space="0" w:color="000000"/>
            </w:tcBorders>
            <w:shd w:val="clear" w:color="auto" w:fill="auto"/>
            <w:tcMar>
              <w:top w:w="55" w:type="dxa"/>
              <w:left w:w="55" w:type="dxa"/>
              <w:bottom w:w="55" w:type="dxa"/>
              <w:right w:w="55" w:type="dxa"/>
            </w:tcMar>
          </w:tcPr>
          <w:p w14:paraId="5F5A1BFF" w14:textId="6FA9F244" w:rsidR="009A360A" w:rsidRPr="00A07BE9" w:rsidRDefault="009A360A" w:rsidP="00D572EA">
            <w:pPr>
              <w:widowControl w:val="0"/>
              <w:suppressLineNumbers/>
              <w:suppressAutoHyphens/>
              <w:autoSpaceDN w:val="0"/>
              <w:spacing w:after="0" w:line="240" w:lineRule="auto"/>
              <w:textAlignment w:val="baseline"/>
              <w:rPr>
                <w:rFonts w:ascii="Open Sans" w:eastAsia="Droid Sans Fallback" w:hAnsi="Open Sans" w:cs="FreeSans"/>
                <w:b/>
                <w:kern w:val="3"/>
                <w:sz w:val="18"/>
                <w:szCs w:val="18"/>
                <w:lang w:eastAsia="zh-CN" w:bidi="hi-IN"/>
              </w:rPr>
            </w:pPr>
            <w:r w:rsidRPr="00A07BE9">
              <w:rPr>
                <w:rFonts w:ascii="Open Sans" w:eastAsia="Droid Sans Fallback" w:hAnsi="Open Sans" w:cs="FreeSans"/>
                <w:b/>
                <w:kern w:val="3"/>
                <w:sz w:val="18"/>
                <w:szCs w:val="18"/>
                <w:lang w:eastAsia="zh-CN" w:bidi="hi-IN"/>
              </w:rPr>
              <w:t>Total puestos: 32</w:t>
            </w:r>
          </w:p>
        </w:tc>
        <w:tc>
          <w:tcPr>
            <w:tcW w:w="1683" w:type="dxa"/>
            <w:tcBorders>
              <w:top w:val="single" w:sz="4" w:space="0" w:color="auto"/>
              <w:left w:val="single" w:sz="2" w:space="0" w:color="000000"/>
              <w:bottom w:val="single" w:sz="2" w:space="0" w:color="000000"/>
            </w:tcBorders>
            <w:shd w:val="clear" w:color="auto" w:fill="auto"/>
            <w:tcMar>
              <w:top w:w="55" w:type="dxa"/>
              <w:left w:w="55" w:type="dxa"/>
              <w:bottom w:w="55" w:type="dxa"/>
              <w:right w:w="55" w:type="dxa"/>
            </w:tcMar>
          </w:tcPr>
          <w:p w14:paraId="1EF0FCDA" w14:textId="77777777" w:rsidR="009A360A" w:rsidRPr="00A07BE9" w:rsidRDefault="009A360A" w:rsidP="00D572EA">
            <w:pPr>
              <w:widowControl w:val="0"/>
              <w:suppressLineNumbers/>
              <w:suppressAutoHyphens/>
              <w:autoSpaceDN w:val="0"/>
              <w:spacing w:after="0" w:line="240" w:lineRule="auto"/>
              <w:jc w:val="center"/>
              <w:textAlignment w:val="baseline"/>
              <w:rPr>
                <w:rFonts w:ascii="Open Sans" w:eastAsia="Droid Sans Fallback" w:hAnsi="Open Sans" w:cs="FreeSans"/>
                <w:b/>
                <w:kern w:val="3"/>
                <w:sz w:val="18"/>
                <w:szCs w:val="18"/>
                <w:lang w:eastAsia="zh-CN" w:bidi="hi-IN"/>
              </w:rPr>
            </w:pPr>
          </w:p>
        </w:tc>
        <w:tc>
          <w:tcPr>
            <w:tcW w:w="1425" w:type="dxa"/>
            <w:tcBorders>
              <w:top w:val="single" w:sz="4" w:space="0" w:color="auto"/>
              <w:left w:val="single" w:sz="2" w:space="0" w:color="000000"/>
              <w:bottom w:val="single" w:sz="2" w:space="0" w:color="000000"/>
            </w:tcBorders>
            <w:shd w:val="clear" w:color="auto" w:fill="auto"/>
            <w:tcMar>
              <w:top w:w="55" w:type="dxa"/>
              <w:left w:w="55" w:type="dxa"/>
              <w:bottom w:w="55" w:type="dxa"/>
              <w:right w:w="55" w:type="dxa"/>
            </w:tcMar>
          </w:tcPr>
          <w:p w14:paraId="1E20EA4C" w14:textId="6B4A7C3E" w:rsidR="009A360A" w:rsidRPr="00A07BE9" w:rsidRDefault="009A360A" w:rsidP="00D572EA">
            <w:pPr>
              <w:widowControl w:val="0"/>
              <w:suppressLineNumbers/>
              <w:suppressAutoHyphens/>
              <w:autoSpaceDN w:val="0"/>
              <w:spacing w:after="0" w:line="240" w:lineRule="auto"/>
              <w:jc w:val="center"/>
              <w:textAlignment w:val="baseline"/>
              <w:rPr>
                <w:rFonts w:ascii="Open Sans" w:eastAsia="Droid Sans Fallback" w:hAnsi="Open Sans" w:cs="FreeSans"/>
                <w:b/>
                <w:kern w:val="3"/>
                <w:sz w:val="18"/>
                <w:szCs w:val="18"/>
                <w:lang w:eastAsia="zh-CN" w:bidi="hi-IN"/>
              </w:rPr>
            </w:pPr>
            <w:r w:rsidRPr="00A07BE9">
              <w:rPr>
                <w:rFonts w:ascii="Open Sans" w:eastAsia="Droid Sans Fallback" w:hAnsi="Open Sans" w:cs="FreeSans"/>
                <w:b/>
                <w:kern w:val="3"/>
                <w:sz w:val="18"/>
                <w:szCs w:val="18"/>
                <w:lang w:eastAsia="zh-CN" w:bidi="hi-IN"/>
              </w:rPr>
              <w:t>24</w:t>
            </w:r>
          </w:p>
        </w:tc>
        <w:tc>
          <w:tcPr>
            <w:tcW w:w="1424" w:type="dxa"/>
            <w:tcBorders>
              <w:top w:val="single" w:sz="4" w:space="0" w:color="auto"/>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6FC93ACD" w14:textId="06FAC498" w:rsidR="009A360A" w:rsidRPr="00A07BE9" w:rsidRDefault="009A360A" w:rsidP="00D572EA">
            <w:pPr>
              <w:widowControl w:val="0"/>
              <w:suppressLineNumbers/>
              <w:suppressAutoHyphens/>
              <w:autoSpaceDN w:val="0"/>
              <w:spacing w:after="0" w:line="240" w:lineRule="auto"/>
              <w:jc w:val="center"/>
              <w:textAlignment w:val="baseline"/>
              <w:rPr>
                <w:rFonts w:ascii="Open Sans" w:eastAsia="Droid Sans Fallback" w:hAnsi="Open Sans" w:cs="FreeSans"/>
                <w:b/>
                <w:kern w:val="3"/>
                <w:sz w:val="18"/>
                <w:szCs w:val="18"/>
                <w:lang w:eastAsia="zh-CN" w:bidi="hi-IN"/>
              </w:rPr>
            </w:pPr>
            <w:r w:rsidRPr="00A07BE9">
              <w:rPr>
                <w:rFonts w:ascii="Open Sans" w:eastAsia="Droid Sans Fallback" w:hAnsi="Open Sans" w:cs="FreeSans"/>
                <w:b/>
                <w:kern w:val="3"/>
                <w:sz w:val="18"/>
                <w:szCs w:val="18"/>
                <w:lang w:eastAsia="zh-CN" w:bidi="hi-IN"/>
              </w:rPr>
              <w:t>8</w:t>
            </w:r>
          </w:p>
        </w:tc>
      </w:tr>
    </w:tbl>
    <w:p w14:paraId="31F4B5BE" w14:textId="77777777" w:rsidR="00CF7179" w:rsidRDefault="00CF7179" w:rsidP="00D572EA">
      <w:pPr>
        <w:widowControl w:val="0"/>
        <w:suppressAutoHyphens/>
        <w:autoSpaceDN w:val="0"/>
        <w:spacing w:after="0" w:line="276" w:lineRule="auto"/>
        <w:jc w:val="both"/>
        <w:textAlignment w:val="baseline"/>
        <w:rPr>
          <w:rFonts w:ascii="Open Sans" w:eastAsia="Droid Sans Fallback" w:hAnsi="Open Sans" w:cs="Open Sans"/>
          <w:b/>
          <w:bCs/>
          <w:color w:val="9D2235"/>
          <w:kern w:val="3"/>
          <w:sz w:val="20"/>
          <w:szCs w:val="20"/>
          <w:lang w:eastAsia="zh-CN" w:bidi="hi-IN"/>
        </w:rPr>
      </w:pPr>
    </w:p>
    <w:p w14:paraId="082B81F4" w14:textId="77777777" w:rsidR="00CF7179" w:rsidRDefault="00CF7179" w:rsidP="00D572EA">
      <w:pPr>
        <w:widowControl w:val="0"/>
        <w:suppressAutoHyphens/>
        <w:autoSpaceDN w:val="0"/>
        <w:spacing w:after="0" w:line="276" w:lineRule="auto"/>
        <w:jc w:val="both"/>
        <w:textAlignment w:val="baseline"/>
        <w:rPr>
          <w:rFonts w:ascii="Open Sans" w:eastAsia="Droid Sans Fallback" w:hAnsi="Open Sans" w:cs="Open Sans"/>
          <w:b/>
          <w:bCs/>
          <w:color w:val="9D2235"/>
          <w:kern w:val="3"/>
          <w:sz w:val="20"/>
          <w:szCs w:val="20"/>
          <w:lang w:eastAsia="zh-CN" w:bidi="hi-IN"/>
        </w:rPr>
      </w:pPr>
    </w:p>
    <w:p w14:paraId="02578368" w14:textId="049BE946"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b/>
          <w:bCs/>
          <w:kern w:val="3"/>
          <w:sz w:val="20"/>
          <w:szCs w:val="20"/>
          <w:lang w:eastAsia="zh-CN" w:bidi="hi-IN"/>
        </w:rPr>
      </w:pPr>
      <w:r w:rsidRPr="00A07BE9">
        <w:rPr>
          <w:rFonts w:ascii="Open Sans" w:eastAsia="Droid Sans Fallback" w:hAnsi="Open Sans" w:cs="Open Sans"/>
          <w:b/>
          <w:bCs/>
          <w:color w:val="9D2235"/>
          <w:kern w:val="3"/>
          <w:sz w:val="20"/>
          <w:szCs w:val="20"/>
          <w:lang w:eastAsia="zh-CN" w:bidi="hi-IN"/>
        </w:rPr>
        <w:t xml:space="preserve">Tabla </w:t>
      </w:r>
      <w:r w:rsidR="00FF2B87" w:rsidRPr="00A07BE9">
        <w:rPr>
          <w:rFonts w:ascii="Open Sans" w:eastAsia="Droid Sans Fallback" w:hAnsi="Open Sans" w:cs="Open Sans"/>
          <w:b/>
          <w:bCs/>
          <w:color w:val="9D2235"/>
          <w:kern w:val="3"/>
          <w:sz w:val="20"/>
          <w:szCs w:val="20"/>
          <w:lang w:eastAsia="zh-CN" w:bidi="hi-IN"/>
        </w:rPr>
        <w:t>23</w:t>
      </w:r>
      <w:r w:rsidR="00AC7D1A">
        <w:rPr>
          <w:rFonts w:ascii="Open Sans" w:eastAsia="Droid Sans Fallback" w:hAnsi="Open Sans" w:cs="Open Sans"/>
          <w:b/>
          <w:bCs/>
          <w:color w:val="9D2235"/>
          <w:kern w:val="3"/>
          <w:sz w:val="20"/>
          <w:szCs w:val="20"/>
          <w:lang w:eastAsia="zh-CN" w:bidi="hi-IN"/>
        </w:rPr>
        <w:t>.</w:t>
      </w:r>
      <w:r w:rsidRPr="00A07BE9">
        <w:rPr>
          <w:rFonts w:ascii="Open Sans" w:eastAsia="Droid Sans Fallback" w:hAnsi="Open Sans" w:cs="Open Sans"/>
          <w:b/>
          <w:bCs/>
          <w:kern w:val="3"/>
          <w:sz w:val="20"/>
          <w:szCs w:val="20"/>
          <w:lang w:eastAsia="zh-CN" w:bidi="hi-IN"/>
        </w:rPr>
        <w:t xml:space="preserve"> Descripción de unidades administrativas, puestos de trabajo, su clasificación y estado de ocupación a 31/12/2019</w:t>
      </w:r>
    </w:p>
    <w:tbl>
      <w:tblPr>
        <w:tblW w:w="8624" w:type="dxa"/>
        <w:tblInd w:w="16" w:type="dxa"/>
        <w:tblLayout w:type="fixed"/>
        <w:tblCellMar>
          <w:left w:w="10" w:type="dxa"/>
          <w:right w:w="10" w:type="dxa"/>
        </w:tblCellMar>
        <w:tblLook w:val="0000" w:firstRow="0" w:lastRow="0" w:firstColumn="0" w:lastColumn="0" w:noHBand="0" w:noVBand="0"/>
      </w:tblPr>
      <w:tblGrid>
        <w:gridCol w:w="1724"/>
        <w:gridCol w:w="1725"/>
        <w:gridCol w:w="1725"/>
        <w:gridCol w:w="1725"/>
        <w:gridCol w:w="1725"/>
      </w:tblGrid>
      <w:tr w:rsidR="00D572EA" w:rsidRPr="00A07BE9" w14:paraId="15F4742C" w14:textId="77777777" w:rsidTr="008B6E1F">
        <w:trPr>
          <w:tblHeader/>
        </w:trPr>
        <w:tc>
          <w:tcPr>
            <w:tcW w:w="8624" w:type="dxa"/>
            <w:gridSpan w:val="5"/>
            <w:tcBorders>
              <w:top w:val="single" w:sz="2" w:space="0" w:color="000000"/>
              <w:left w:val="single" w:sz="2" w:space="0" w:color="000000"/>
              <w:bottom w:val="single" w:sz="2" w:space="0" w:color="000000"/>
              <w:right w:val="single" w:sz="2" w:space="0" w:color="000000"/>
            </w:tcBorders>
            <w:shd w:val="clear" w:color="auto" w:fill="5B6770"/>
            <w:tcMar>
              <w:top w:w="55" w:type="dxa"/>
              <w:left w:w="55" w:type="dxa"/>
              <w:bottom w:w="55" w:type="dxa"/>
              <w:right w:w="55" w:type="dxa"/>
            </w:tcMar>
          </w:tcPr>
          <w:p w14:paraId="5380F99A" w14:textId="227DC578"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b/>
                <w:bCs/>
                <w:color w:val="FFFFFF"/>
                <w:kern w:val="3"/>
                <w:sz w:val="18"/>
                <w:szCs w:val="18"/>
                <w:lang w:eastAsia="zh-CN" w:bidi="hi-IN"/>
              </w:rPr>
            </w:pPr>
            <w:r w:rsidRPr="00A07BE9">
              <w:rPr>
                <w:rFonts w:ascii="Open Sans" w:eastAsia="Droid Sans Fallback" w:hAnsi="Open Sans" w:cs="FreeSans"/>
                <w:b/>
                <w:bCs/>
                <w:color w:val="FFFFFF"/>
                <w:kern w:val="3"/>
                <w:sz w:val="18"/>
                <w:szCs w:val="18"/>
                <w:lang w:eastAsia="zh-CN" w:bidi="hi-IN"/>
              </w:rPr>
              <w:t>Resolución 19/08/2019</w:t>
            </w:r>
            <w:r w:rsidR="007663DF" w:rsidRPr="00A07BE9">
              <w:rPr>
                <w:rFonts w:ascii="Open Sans" w:eastAsia="Droid Sans Fallback" w:hAnsi="Open Sans" w:cs="FreeSans"/>
                <w:b/>
                <w:bCs/>
                <w:color w:val="FFFFFF"/>
                <w:kern w:val="3"/>
                <w:sz w:val="18"/>
                <w:szCs w:val="18"/>
                <w:lang w:eastAsia="zh-CN" w:bidi="hi-IN"/>
              </w:rPr>
              <w:t xml:space="preserve">   </w:t>
            </w:r>
            <w:r w:rsidRPr="00A07BE9">
              <w:rPr>
                <w:rFonts w:ascii="Open Sans" w:eastAsia="Droid Sans Fallback" w:hAnsi="Open Sans" w:cs="FreeSans"/>
                <w:b/>
                <w:bCs/>
                <w:color w:val="FFFFFF"/>
                <w:kern w:val="3"/>
                <w:sz w:val="18"/>
                <w:szCs w:val="18"/>
                <w:lang w:eastAsia="zh-CN" w:bidi="hi-IN"/>
              </w:rPr>
              <w:t xml:space="preserve">DOGV </w:t>
            </w:r>
            <w:r w:rsidR="00C87DEA" w:rsidRPr="00A07BE9">
              <w:rPr>
                <w:rFonts w:ascii="Open Sans" w:eastAsia="Droid Sans Fallback" w:hAnsi="Open Sans" w:cs="FreeSans"/>
                <w:b/>
                <w:bCs/>
                <w:color w:val="FFFFFF"/>
                <w:kern w:val="3"/>
                <w:sz w:val="18"/>
                <w:szCs w:val="18"/>
                <w:lang w:eastAsia="zh-CN" w:bidi="hi-IN"/>
              </w:rPr>
              <w:t xml:space="preserve">núm. </w:t>
            </w:r>
            <w:r w:rsidRPr="00A07BE9">
              <w:rPr>
                <w:rFonts w:ascii="Open Sans" w:eastAsia="Droid Sans Fallback" w:hAnsi="Open Sans" w:cs="FreeSans"/>
                <w:b/>
                <w:bCs/>
                <w:color w:val="FFFFFF"/>
                <w:kern w:val="3"/>
                <w:sz w:val="18"/>
                <w:szCs w:val="18"/>
                <w:lang w:eastAsia="zh-CN" w:bidi="hi-IN"/>
              </w:rPr>
              <w:t>8264</w:t>
            </w:r>
            <w:r w:rsidR="00C87DEA" w:rsidRPr="00A07BE9">
              <w:rPr>
                <w:rFonts w:ascii="Open Sans" w:eastAsia="Droid Sans Fallback" w:hAnsi="Open Sans" w:cs="FreeSans"/>
                <w:b/>
                <w:bCs/>
                <w:color w:val="FFFFFF"/>
                <w:kern w:val="3"/>
                <w:sz w:val="18"/>
                <w:szCs w:val="18"/>
                <w:lang w:eastAsia="zh-CN" w:bidi="hi-IN"/>
              </w:rPr>
              <w:t xml:space="preserve"> de </w:t>
            </w:r>
            <w:r w:rsidRPr="00A07BE9">
              <w:rPr>
                <w:rFonts w:ascii="Open Sans" w:eastAsia="Droid Sans Fallback" w:hAnsi="Open Sans" w:cs="FreeSans"/>
                <w:b/>
                <w:bCs/>
                <w:color w:val="FFFFFF"/>
                <w:kern w:val="3"/>
                <w:sz w:val="18"/>
                <w:szCs w:val="18"/>
                <w:lang w:eastAsia="zh-CN" w:bidi="hi-IN"/>
              </w:rPr>
              <w:t>30</w:t>
            </w:r>
            <w:r w:rsidR="00C87DEA" w:rsidRPr="00A07BE9">
              <w:rPr>
                <w:rFonts w:ascii="Open Sans" w:eastAsia="Droid Sans Fallback" w:hAnsi="Open Sans" w:cs="FreeSans"/>
                <w:b/>
                <w:bCs/>
                <w:color w:val="FFFFFF"/>
                <w:kern w:val="3"/>
                <w:sz w:val="18"/>
                <w:szCs w:val="18"/>
                <w:lang w:eastAsia="zh-CN" w:bidi="hi-IN"/>
              </w:rPr>
              <w:t xml:space="preserve"> de agosto de </w:t>
            </w:r>
            <w:r w:rsidRPr="00A07BE9">
              <w:rPr>
                <w:rFonts w:ascii="Open Sans" w:eastAsia="Droid Sans Fallback" w:hAnsi="Open Sans" w:cs="FreeSans"/>
                <w:b/>
                <w:bCs/>
                <w:color w:val="FFFFFF"/>
                <w:kern w:val="3"/>
                <w:sz w:val="18"/>
                <w:szCs w:val="18"/>
                <w:lang w:eastAsia="zh-CN" w:bidi="hi-IN"/>
              </w:rPr>
              <w:t>2019</w:t>
            </w:r>
          </w:p>
        </w:tc>
      </w:tr>
      <w:tr w:rsidR="00D572EA" w:rsidRPr="00A07BE9" w14:paraId="6A2F21DB" w14:textId="77777777" w:rsidTr="007E59E7">
        <w:trPr>
          <w:tblHeader/>
        </w:trPr>
        <w:tc>
          <w:tcPr>
            <w:tcW w:w="1724" w:type="dxa"/>
            <w:tcBorders>
              <w:left w:val="single" w:sz="2" w:space="0" w:color="000000"/>
              <w:bottom w:val="single" w:sz="2" w:space="0" w:color="000000"/>
            </w:tcBorders>
            <w:shd w:val="clear" w:color="auto" w:fill="9D2235"/>
            <w:tcMar>
              <w:top w:w="55" w:type="dxa"/>
              <w:left w:w="55" w:type="dxa"/>
              <w:bottom w:w="55" w:type="dxa"/>
              <w:right w:w="55" w:type="dxa"/>
            </w:tcMar>
            <w:vAlign w:val="center"/>
          </w:tcPr>
          <w:p w14:paraId="5E196CB0"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b/>
                <w:bCs/>
                <w:color w:val="FFFFFF"/>
                <w:kern w:val="3"/>
                <w:sz w:val="18"/>
                <w:szCs w:val="18"/>
                <w:lang w:eastAsia="zh-CN" w:bidi="hi-IN"/>
              </w:rPr>
            </w:pPr>
            <w:r w:rsidRPr="00A07BE9">
              <w:rPr>
                <w:rFonts w:ascii="Open Sans" w:eastAsia="Droid Sans Fallback" w:hAnsi="Open Sans" w:cs="FreeSans"/>
                <w:b/>
                <w:bCs/>
                <w:color w:val="FFFFFF"/>
                <w:kern w:val="3"/>
                <w:sz w:val="18"/>
                <w:szCs w:val="18"/>
                <w:lang w:eastAsia="zh-CN" w:bidi="hi-IN"/>
              </w:rPr>
              <w:t>Unidad administrativa</w:t>
            </w:r>
          </w:p>
        </w:tc>
        <w:tc>
          <w:tcPr>
            <w:tcW w:w="1725" w:type="dxa"/>
            <w:tcBorders>
              <w:left w:val="single" w:sz="2" w:space="0" w:color="000000"/>
              <w:bottom w:val="single" w:sz="2" w:space="0" w:color="000000"/>
            </w:tcBorders>
            <w:shd w:val="clear" w:color="auto" w:fill="9D2235"/>
            <w:tcMar>
              <w:top w:w="55" w:type="dxa"/>
              <w:left w:w="55" w:type="dxa"/>
              <w:bottom w:w="55" w:type="dxa"/>
              <w:right w:w="55" w:type="dxa"/>
            </w:tcMar>
            <w:vAlign w:val="center"/>
          </w:tcPr>
          <w:p w14:paraId="106B7854"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b/>
                <w:bCs/>
                <w:color w:val="FFFFFF"/>
                <w:kern w:val="3"/>
                <w:sz w:val="18"/>
                <w:szCs w:val="18"/>
                <w:lang w:eastAsia="zh-CN" w:bidi="hi-IN"/>
              </w:rPr>
            </w:pPr>
            <w:r w:rsidRPr="00A07BE9">
              <w:rPr>
                <w:rFonts w:ascii="Open Sans" w:eastAsia="Droid Sans Fallback" w:hAnsi="Open Sans" w:cs="FreeSans"/>
                <w:b/>
                <w:bCs/>
                <w:color w:val="FFFFFF"/>
                <w:kern w:val="3"/>
                <w:sz w:val="18"/>
                <w:szCs w:val="18"/>
                <w:lang w:eastAsia="zh-CN" w:bidi="hi-IN"/>
              </w:rPr>
              <w:t>Nº puestos totales por unidad administrativa</w:t>
            </w:r>
          </w:p>
        </w:tc>
        <w:tc>
          <w:tcPr>
            <w:tcW w:w="1725" w:type="dxa"/>
            <w:tcBorders>
              <w:left w:val="single" w:sz="2" w:space="0" w:color="000000"/>
              <w:bottom w:val="single" w:sz="2" w:space="0" w:color="000000"/>
            </w:tcBorders>
            <w:shd w:val="clear" w:color="auto" w:fill="9D2235"/>
            <w:tcMar>
              <w:top w:w="55" w:type="dxa"/>
              <w:left w:w="55" w:type="dxa"/>
              <w:bottom w:w="55" w:type="dxa"/>
              <w:right w:w="55" w:type="dxa"/>
            </w:tcMar>
            <w:vAlign w:val="center"/>
          </w:tcPr>
          <w:p w14:paraId="05F3E092"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b/>
                <w:bCs/>
                <w:color w:val="FFFFFF"/>
                <w:kern w:val="3"/>
                <w:sz w:val="18"/>
                <w:szCs w:val="18"/>
                <w:lang w:eastAsia="zh-CN" w:bidi="hi-IN"/>
              </w:rPr>
            </w:pPr>
            <w:r w:rsidRPr="00A07BE9">
              <w:rPr>
                <w:rFonts w:ascii="Open Sans" w:eastAsia="Droid Sans Fallback" w:hAnsi="Open Sans" w:cs="FreeSans"/>
                <w:b/>
                <w:bCs/>
                <w:color w:val="FFFFFF"/>
                <w:kern w:val="3"/>
                <w:sz w:val="18"/>
                <w:szCs w:val="18"/>
                <w:lang w:eastAsia="zh-CN" w:bidi="hi-IN"/>
              </w:rPr>
              <w:t>Clasificación según Grupo/subgrupo</w:t>
            </w:r>
          </w:p>
        </w:tc>
        <w:tc>
          <w:tcPr>
            <w:tcW w:w="1725" w:type="dxa"/>
            <w:tcBorders>
              <w:left w:val="single" w:sz="2" w:space="0" w:color="000000"/>
              <w:bottom w:val="single" w:sz="2" w:space="0" w:color="000000"/>
            </w:tcBorders>
            <w:shd w:val="clear" w:color="auto" w:fill="9D2235"/>
            <w:tcMar>
              <w:top w:w="55" w:type="dxa"/>
              <w:left w:w="55" w:type="dxa"/>
              <w:bottom w:w="55" w:type="dxa"/>
              <w:right w:w="55" w:type="dxa"/>
            </w:tcMar>
            <w:vAlign w:val="center"/>
          </w:tcPr>
          <w:p w14:paraId="77FB0166"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b/>
                <w:bCs/>
                <w:color w:val="FFFFFF"/>
                <w:kern w:val="3"/>
                <w:sz w:val="18"/>
                <w:szCs w:val="18"/>
                <w:lang w:eastAsia="zh-CN" w:bidi="hi-IN"/>
              </w:rPr>
            </w:pPr>
            <w:r w:rsidRPr="00A07BE9">
              <w:rPr>
                <w:rFonts w:ascii="Open Sans" w:eastAsia="Droid Sans Fallback" w:hAnsi="Open Sans" w:cs="FreeSans"/>
                <w:b/>
                <w:bCs/>
                <w:color w:val="FFFFFF"/>
                <w:kern w:val="3"/>
                <w:sz w:val="18"/>
                <w:szCs w:val="18"/>
                <w:lang w:eastAsia="zh-CN" w:bidi="hi-IN"/>
              </w:rPr>
              <w:t>Puestos ocupados a 31/12/2019</w:t>
            </w:r>
          </w:p>
        </w:tc>
        <w:tc>
          <w:tcPr>
            <w:tcW w:w="1725" w:type="dxa"/>
            <w:tcBorders>
              <w:left w:val="single" w:sz="2" w:space="0" w:color="000000"/>
              <w:bottom w:val="single" w:sz="2" w:space="0" w:color="000000"/>
              <w:right w:val="single" w:sz="2" w:space="0" w:color="000000"/>
            </w:tcBorders>
            <w:shd w:val="clear" w:color="auto" w:fill="9D2235"/>
            <w:tcMar>
              <w:top w:w="55" w:type="dxa"/>
              <w:left w:w="55" w:type="dxa"/>
              <w:bottom w:w="55" w:type="dxa"/>
              <w:right w:w="55" w:type="dxa"/>
            </w:tcMar>
            <w:vAlign w:val="center"/>
          </w:tcPr>
          <w:p w14:paraId="7371A761"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b/>
                <w:bCs/>
                <w:color w:val="FFFFFF"/>
                <w:kern w:val="3"/>
                <w:sz w:val="18"/>
                <w:szCs w:val="18"/>
                <w:lang w:eastAsia="zh-CN" w:bidi="hi-IN"/>
              </w:rPr>
            </w:pPr>
            <w:r w:rsidRPr="00A07BE9">
              <w:rPr>
                <w:rFonts w:ascii="Open Sans" w:eastAsia="Droid Sans Fallback" w:hAnsi="Open Sans" w:cs="FreeSans"/>
                <w:b/>
                <w:bCs/>
                <w:color w:val="FFFFFF"/>
                <w:kern w:val="3"/>
                <w:sz w:val="18"/>
                <w:szCs w:val="18"/>
                <w:lang w:eastAsia="zh-CN" w:bidi="hi-IN"/>
              </w:rPr>
              <w:t>Puestos vacantes a 31/12/2019</w:t>
            </w:r>
          </w:p>
        </w:tc>
      </w:tr>
      <w:tr w:rsidR="00D572EA" w:rsidRPr="00A07BE9" w14:paraId="1F09C916" w14:textId="77777777" w:rsidTr="007E59E7">
        <w:tc>
          <w:tcPr>
            <w:tcW w:w="1724" w:type="dxa"/>
            <w:tcBorders>
              <w:left w:val="single" w:sz="2" w:space="0" w:color="000000"/>
              <w:bottom w:val="single" w:sz="2" w:space="0" w:color="000000"/>
            </w:tcBorders>
            <w:shd w:val="clear" w:color="auto" w:fill="auto"/>
            <w:tcMar>
              <w:top w:w="55" w:type="dxa"/>
              <w:left w:w="55" w:type="dxa"/>
              <w:bottom w:w="55" w:type="dxa"/>
              <w:right w:w="55" w:type="dxa"/>
            </w:tcMar>
          </w:tcPr>
          <w:p w14:paraId="2D32C4DF"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Gabinete de Dirección, Relaciones Institucionales y Participación</w:t>
            </w:r>
          </w:p>
        </w:tc>
        <w:tc>
          <w:tcPr>
            <w:tcW w:w="1725" w:type="dxa"/>
            <w:tcBorders>
              <w:left w:val="single" w:sz="2" w:space="0" w:color="000000"/>
              <w:bottom w:val="single" w:sz="2" w:space="0" w:color="000000"/>
            </w:tcBorders>
            <w:shd w:val="clear" w:color="auto" w:fill="auto"/>
            <w:tcMar>
              <w:top w:w="55" w:type="dxa"/>
              <w:left w:w="55" w:type="dxa"/>
              <w:bottom w:w="55" w:type="dxa"/>
              <w:right w:w="55" w:type="dxa"/>
            </w:tcMar>
          </w:tcPr>
          <w:p w14:paraId="0FB77196"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Total puestos: 3</w:t>
            </w:r>
          </w:p>
          <w:p w14:paraId="0B8D416A"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tc>
        <w:tc>
          <w:tcPr>
            <w:tcW w:w="1725" w:type="dxa"/>
            <w:tcBorders>
              <w:left w:val="single" w:sz="2" w:space="0" w:color="000000"/>
              <w:bottom w:val="single" w:sz="2" w:space="0" w:color="000000"/>
            </w:tcBorders>
            <w:shd w:val="clear" w:color="auto" w:fill="auto"/>
            <w:tcMar>
              <w:top w:w="55" w:type="dxa"/>
              <w:left w:w="55" w:type="dxa"/>
              <w:bottom w:w="55" w:type="dxa"/>
              <w:right w:w="55" w:type="dxa"/>
            </w:tcMar>
          </w:tcPr>
          <w:p w14:paraId="451342A5"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 A1</w:t>
            </w:r>
          </w:p>
          <w:p w14:paraId="0EF08431"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 C1</w:t>
            </w:r>
          </w:p>
          <w:p w14:paraId="3C0C13E2"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 C1/C2</w:t>
            </w:r>
          </w:p>
        </w:tc>
        <w:tc>
          <w:tcPr>
            <w:tcW w:w="1725" w:type="dxa"/>
            <w:tcBorders>
              <w:left w:val="single" w:sz="2" w:space="0" w:color="000000"/>
              <w:bottom w:val="single" w:sz="2" w:space="0" w:color="000000"/>
            </w:tcBorders>
            <w:shd w:val="clear" w:color="auto" w:fill="auto"/>
            <w:tcMar>
              <w:top w:w="55" w:type="dxa"/>
              <w:left w:w="55" w:type="dxa"/>
              <w:bottom w:w="55" w:type="dxa"/>
              <w:right w:w="55" w:type="dxa"/>
            </w:tcMar>
          </w:tcPr>
          <w:p w14:paraId="366394E7"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w:t>
            </w:r>
          </w:p>
          <w:p w14:paraId="2554268E"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w:t>
            </w:r>
          </w:p>
          <w:p w14:paraId="2857D7C0"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w:t>
            </w:r>
          </w:p>
        </w:tc>
        <w:tc>
          <w:tcPr>
            <w:tcW w:w="172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4CFCA323"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p>
          <w:p w14:paraId="130B4D02"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p>
          <w:p w14:paraId="339610A8"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p>
        </w:tc>
      </w:tr>
      <w:tr w:rsidR="00D572EA" w:rsidRPr="00A07BE9" w14:paraId="2B9BD111" w14:textId="77777777" w:rsidTr="007E59E7">
        <w:tc>
          <w:tcPr>
            <w:tcW w:w="1724" w:type="dxa"/>
            <w:tcBorders>
              <w:left w:val="single" w:sz="2" w:space="0" w:color="000000"/>
              <w:bottom w:val="single" w:sz="2" w:space="0" w:color="000000"/>
            </w:tcBorders>
            <w:shd w:val="clear" w:color="auto" w:fill="auto"/>
            <w:tcMar>
              <w:top w:w="55" w:type="dxa"/>
              <w:left w:w="55" w:type="dxa"/>
              <w:bottom w:w="55" w:type="dxa"/>
              <w:right w:w="55" w:type="dxa"/>
            </w:tcMar>
          </w:tcPr>
          <w:p w14:paraId="5574127B"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Administración, Recursos Humanos y Gestión Económica</w:t>
            </w:r>
          </w:p>
        </w:tc>
        <w:tc>
          <w:tcPr>
            <w:tcW w:w="1725" w:type="dxa"/>
            <w:tcBorders>
              <w:left w:val="single" w:sz="2" w:space="0" w:color="000000"/>
              <w:bottom w:val="single" w:sz="2" w:space="0" w:color="000000"/>
            </w:tcBorders>
            <w:shd w:val="clear" w:color="auto" w:fill="auto"/>
            <w:tcMar>
              <w:top w:w="55" w:type="dxa"/>
              <w:left w:w="55" w:type="dxa"/>
              <w:bottom w:w="55" w:type="dxa"/>
              <w:right w:w="55" w:type="dxa"/>
            </w:tcMar>
          </w:tcPr>
          <w:p w14:paraId="60F5C914"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Total puestos: 7</w:t>
            </w:r>
          </w:p>
          <w:p w14:paraId="503000A5"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tc>
        <w:tc>
          <w:tcPr>
            <w:tcW w:w="1725" w:type="dxa"/>
            <w:tcBorders>
              <w:left w:val="single" w:sz="2" w:space="0" w:color="000000"/>
              <w:bottom w:val="single" w:sz="2" w:space="0" w:color="000000"/>
            </w:tcBorders>
            <w:shd w:val="clear" w:color="auto" w:fill="auto"/>
            <w:tcMar>
              <w:top w:w="55" w:type="dxa"/>
              <w:left w:w="55" w:type="dxa"/>
              <w:bottom w:w="55" w:type="dxa"/>
              <w:right w:w="55" w:type="dxa"/>
            </w:tcMar>
          </w:tcPr>
          <w:p w14:paraId="5C95A7DC"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2 A1</w:t>
            </w:r>
          </w:p>
          <w:p w14:paraId="74558EAA"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2 A1/A2</w:t>
            </w:r>
          </w:p>
          <w:p w14:paraId="114F179B"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 C1</w:t>
            </w:r>
          </w:p>
          <w:p w14:paraId="224954ED"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 C1/C2</w:t>
            </w:r>
          </w:p>
          <w:p w14:paraId="724BC3BD"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 APF 01-01</w:t>
            </w:r>
          </w:p>
        </w:tc>
        <w:tc>
          <w:tcPr>
            <w:tcW w:w="1725" w:type="dxa"/>
            <w:tcBorders>
              <w:left w:val="single" w:sz="2" w:space="0" w:color="000000"/>
              <w:bottom w:val="single" w:sz="2" w:space="0" w:color="000000"/>
            </w:tcBorders>
            <w:shd w:val="clear" w:color="auto" w:fill="auto"/>
            <w:tcMar>
              <w:top w:w="55" w:type="dxa"/>
              <w:left w:w="55" w:type="dxa"/>
              <w:bottom w:w="55" w:type="dxa"/>
              <w:right w:w="55" w:type="dxa"/>
            </w:tcMar>
          </w:tcPr>
          <w:p w14:paraId="5FA119FA"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2</w:t>
            </w:r>
          </w:p>
          <w:p w14:paraId="426E7073"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2</w:t>
            </w:r>
          </w:p>
          <w:p w14:paraId="21DCC372"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w:t>
            </w:r>
          </w:p>
          <w:p w14:paraId="2D42B3D2"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w:t>
            </w:r>
          </w:p>
          <w:p w14:paraId="72F95D19"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w:t>
            </w:r>
          </w:p>
        </w:tc>
        <w:tc>
          <w:tcPr>
            <w:tcW w:w="172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637571CE"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p>
        </w:tc>
      </w:tr>
      <w:tr w:rsidR="00D572EA" w:rsidRPr="00A07BE9" w14:paraId="242D7453" w14:textId="77777777" w:rsidTr="007E59E7">
        <w:tc>
          <w:tcPr>
            <w:tcW w:w="1724" w:type="dxa"/>
            <w:tcBorders>
              <w:left w:val="single" w:sz="2" w:space="0" w:color="000000"/>
              <w:bottom w:val="single" w:sz="2" w:space="0" w:color="000000"/>
            </w:tcBorders>
            <w:shd w:val="clear" w:color="auto" w:fill="auto"/>
            <w:tcMar>
              <w:top w:w="55" w:type="dxa"/>
              <w:left w:w="55" w:type="dxa"/>
              <w:bottom w:w="55" w:type="dxa"/>
              <w:right w:w="55" w:type="dxa"/>
            </w:tcMar>
          </w:tcPr>
          <w:p w14:paraId="13B03BDD"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Dirección de Análisis e Investigación</w:t>
            </w:r>
          </w:p>
        </w:tc>
        <w:tc>
          <w:tcPr>
            <w:tcW w:w="1725" w:type="dxa"/>
            <w:tcBorders>
              <w:left w:val="single" w:sz="2" w:space="0" w:color="000000"/>
              <w:bottom w:val="single" w:sz="2" w:space="0" w:color="000000"/>
            </w:tcBorders>
            <w:shd w:val="clear" w:color="auto" w:fill="auto"/>
            <w:tcMar>
              <w:top w:w="55" w:type="dxa"/>
              <w:left w:w="55" w:type="dxa"/>
              <w:bottom w:w="55" w:type="dxa"/>
              <w:right w:w="55" w:type="dxa"/>
            </w:tcMar>
          </w:tcPr>
          <w:p w14:paraId="6AF55A16"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Total puestos: 14</w:t>
            </w:r>
          </w:p>
          <w:p w14:paraId="618DDECC"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tc>
        <w:tc>
          <w:tcPr>
            <w:tcW w:w="1725" w:type="dxa"/>
            <w:tcBorders>
              <w:left w:val="single" w:sz="2" w:space="0" w:color="000000"/>
              <w:bottom w:val="single" w:sz="2" w:space="0" w:color="000000"/>
            </w:tcBorders>
            <w:shd w:val="clear" w:color="auto" w:fill="auto"/>
            <w:tcMar>
              <w:top w:w="55" w:type="dxa"/>
              <w:left w:w="55" w:type="dxa"/>
              <w:bottom w:w="55" w:type="dxa"/>
              <w:right w:w="55" w:type="dxa"/>
            </w:tcMar>
          </w:tcPr>
          <w:p w14:paraId="1AA92C07"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7 A1</w:t>
            </w:r>
          </w:p>
          <w:p w14:paraId="670ABBF1"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6 A1/A2</w:t>
            </w:r>
          </w:p>
          <w:p w14:paraId="21D8FD9F"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 C1</w:t>
            </w:r>
          </w:p>
        </w:tc>
        <w:tc>
          <w:tcPr>
            <w:tcW w:w="1725" w:type="dxa"/>
            <w:tcBorders>
              <w:left w:val="single" w:sz="2" w:space="0" w:color="000000"/>
              <w:bottom w:val="single" w:sz="2" w:space="0" w:color="000000"/>
            </w:tcBorders>
            <w:shd w:val="clear" w:color="auto" w:fill="auto"/>
            <w:tcMar>
              <w:top w:w="55" w:type="dxa"/>
              <w:left w:w="55" w:type="dxa"/>
              <w:bottom w:w="55" w:type="dxa"/>
              <w:right w:w="55" w:type="dxa"/>
            </w:tcMar>
          </w:tcPr>
          <w:p w14:paraId="1C8673E9"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4</w:t>
            </w:r>
          </w:p>
          <w:p w14:paraId="6D197F7E"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6</w:t>
            </w:r>
          </w:p>
          <w:p w14:paraId="063CFA6A"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w:t>
            </w:r>
          </w:p>
        </w:tc>
        <w:tc>
          <w:tcPr>
            <w:tcW w:w="172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6C5F6EE0"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3</w:t>
            </w:r>
          </w:p>
        </w:tc>
      </w:tr>
      <w:tr w:rsidR="00D572EA" w:rsidRPr="00A07BE9" w14:paraId="01BCBDDF" w14:textId="77777777" w:rsidTr="007E59E7">
        <w:tc>
          <w:tcPr>
            <w:tcW w:w="1724" w:type="dxa"/>
            <w:tcBorders>
              <w:left w:val="single" w:sz="2" w:space="0" w:color="000000"/>
              <w:bottom w:val="single" w:sz="2" w:space="0" w:color="000000"/>
            </w:tcBorders>
            <w:shd w:val="clear" w:color="auto" w:fill="auto"/>
            <w:tcMar>
              <w:top w:w="55" w:type="dxa"/>
              <w:left w:w="55" w:type="dxa"/>
              <w:bottom w:w="55" w:type="dxa"/>
              <w:right w:w="55" w:type="dxa"/>
            </w:tcMar>
          </w:tcPr>
          <w:p w14:paraId="7ED44BD2"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Dirección de Prevención y Formación</w:t>
            </w:r>
          </w:p>
        </w:tc>
        <w:tc>
          <w:tcPr>
            <w:tcW w:w="1725" w:type="dxa"/>
            <w:tcBorders>
              <w:left w:val="single" w:sz="2" w:space="0" w:color="000000"/>
              <w:bottom w:val="single" w:sz="2" w:space="0" w:color="000000"/>
            </w:tcBorders>
            <w:shd w:val="clear" w:color="auto" w:fill="auto"/>
            <w:tcMar>
              <w:top w:w="55" w:type="dxa"/>
              <w:left w:w="55" w:type="dxa"/>
              <w:bottom w:w="55" w:type="dxa"/>
              <w:right w:w="55" w:type="dxa"/>
            </w:tcMar>
          </w:tcPr>
          <w:p w14:paraId="316DB5EB"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Total puestos: 8</w:t>
            </w:r>
          </w:p>
          <w:p w14:paraId="58E8D14F"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tc>
        <w:tc>
          <w:tcPr>
            <w:tcW w:w="1725" w:type="dxa"/>
            <w:tcBorders>
              <w:left w:val="single" w:sz="2" w:space="0" w:color="000000"/>
              <w:bottom w:val="single" w:sz="2" w:space="0" w:color="000000"/>
            </w:tcBorders>
            <w:shd w:val="clear" w:color="auto" w:fill="auto"/>
            <w:tcMar>
              <w:top w:w="55" w:type="dxa"/>
              <w:left w:w="55" w:type="dxa"/>
              <w:bottom w:w="55" w:type="dxa"/>
              <w:right w:w="55" w:type="dxa"/>
            </w:tcMar>
          </w:tcPr>
          <w:p w14:paraId="76B2B4D7"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7 A1</w:t>
            </w:r>
          </w:p>
          <w:p w14:paraId="40D08096"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 C1/C2</w:t>
            </w:r>
          </w:p>
        </w:tc>
        <w:tc>
          <w:tcPr>
            <w:tcW w:w="1725" w:type="dxa"/>
            <w:tcBorders>
              <w:left w:val="single" w:sz="2" w:space="0" w:color="000000"/>
              <w:bottom w:val="single" w:sz="2" w:space="0" w:color="000000"/>
            </w:tcBorders>
            <w:shd w:val="clear" w:color="auto" w:fill="auto"/>
            <w:tcMar>
              <w:top w:w="55" w:type="dxa"/>
              <w:left w:w="55" w:type="dxa"/>
              <w:bottom w:w="55" w:type="dxa"/>
              <w:right w:w="55" w:type="dxa"/>
            </w:tcMar>
          </w:tcPr>
          <w:p w14:paraId="19E1C44D"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5</w:t>
            </w:r>
          </w:p>
          <w:p w14:paraId="05346E3B"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w:t>
            </w:r>
          </w:p>
        </w:tc>
        <w:tc>
          <w:tcPr>
            <w:tcW w:w="172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47758003"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2</w:t>
            </w:r>
          </w:p>
        </w:tc>
      </w:tr>
      <w:tr w:rsidR="00D572EA" w:rsidRPr="00A07BE9" w14:paraId="120498C0" w14:textId="77777777" w:rsidTr="007E59E7">
        <w:tc>
          <w:tcPr>
            <w:tcW w:w="1724" w:type="dxa"/>
            <w:tcBorders>
              <w:left w:val="single" w:sz="2" w:space="0" w:color="000000"/>
              <w:bottom w:val="single" w:sz="2" w:space="0" w:color="000000"/>
            </w:tcBorders>
            <w:shd w:val="clear" w:color="auto" w:fill="auto"/>
            <w:tcMar>
              <w:top w:w="55" w:type="dxa"/>
              <w:left w:w="55" w:type="dxa"/>
              <w:bottom w:w="55" w:type="dxa"/>
              <w:right w:w="55" w:type="dxa"/>
            </w:tcMar>
          </w:tcPr>
          <w:p w14:paraId="40CCD221"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Dirección de Asuntos Jurídicos</w:t>
            </w:r>
          </w:p>
        </w:tc>
        <w:tc>
          <w:tcPr>
            <w:tcW w:w="1725" w:type="dxa"/>
            <w:tcBorders>
              <w:left w:val="single" w:sz="2" w:space="0" w:color="000000"/>
              <w:bottom w:val="single" w:sz="2" w:space="0" w:color="000000"/>
            </w:tcBorders>
            <w:shd w:val="clear" w:color="auto" w:fill="auto"/>
            <w:tcMar>
              <w:top w:w="55" w:type="dxa"/>
              <w:left w:w="55" w:type="dxa"/>
              <w:bottom w:w="55" w:type="dxa"/>
              <w:right w:w="55" w:type="dxa"/>
            </w:tcMar>
          </w:tcPr>
          <w:p w14:paraId="0CA605B9"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Total puestos: 5</w:t>
            </w:r>
          </w:p>
          <w:p w14:paraId="58364A7F"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tc>
        <w:tc>
          <w:tcPr>
            <w:tcW w:w="1725" w:type="dxa"/>
            <w:tcBorders>
              <w:left w:val="single" w:sz="2" w:space="0" w:color="000000"/>
              <w:bottom w:val="single" w:sz="2" w:space="0" w:color="000000"/>
            </w:tcBorders>
            <w:shd w:val="clear" w:color="auto" w:fill="auto"/>
            <w:tcMar>
              <w:top w:w="55" w:type="dxa"/>
              <w:left w:w="55" w:type="dxa"/>
              <w:bottom w:w="55" w:type="dxa"/>
              <w:right w:w="55" w:type="dxa"/>
            </w:tcMar>
          </w:tcPr>
          <w:p w14:paraId="35D4BE22"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4 A1</w:t>
            </w:r>
          </w:p>
          <w:p w14:paraId="3D8EE994"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 C1/C2</w:t>
            </w:r>
          </w:p>
        </w:tc>
        <w:tc>
          <w:tcPr>
            <w:tcW w:w="1725" w:type="dxa"/>
            <w:tcBorders>
              <w:left w:val="single" w:sz="2" w:space="0" w:color="000000"/>
              <w:bottom w:val="single" w:sz="2" w:space="0" w:color="000000"/>
            </w:tcBorders>
            <w:shd w:val="clear" w:color="auto" w:fill="auto"/>
            <w:tcMar>
              <w:top w:w="55" w:type="dxa"/>
              <w:left w:w="55" w:type="dxa"/>
              <w:bottom w:w="55" w:type="dxa"/>
              <w:right w:w="55" w:type="dxa"/>
            </w:tcMar>
          </w:tcPr>
          <w:p w14:paraId="2EA3BAB1"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3</w:t>
            </w:r>
          </w:p>
          <w:p w14:paraId="5A3DEFAA"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w:t>
            </w:r>
          </w:p>
        </w:tc>
        <w:tc>
          <w:tcPr>
            <w:tcW w:w="172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15204505"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w:t>
            </w:r>
          </w:p>
        </w:tc>
      </w:tr>
      <w:tr w:rsidR="00D572EA" w:rsidRPr="00A07BE9" w14:paraId="11E6B896" w14:textId="77777777" w:rsidTr="007E59E7">
        <w:tc>
          <w:tcPr>
            <w:tcW w:w="1724" w:type="dxa"/>
            <w:tcBorders>
              <w:left w:val="single" w:sz="2" w:space="0" w:color="000000"/>
              <w:bottom w:val="single" w:sz="2" w:space="0" w:color="000000"/>
            </w:tcBorders>
            <w:shd w:val="clear" w:color="auto" w:fill="E7E6E6" w:themeFill="background2"/>
            <w:tcMar>
              <w:top w:w="55" w:type="dxa"/>
              <w:left w:w="55" w:type="dxa"/>
              <w:bottom w:w="55" w:type="dxa"/>
              <w:right w:w="55" w:type="dxa"/>
            </w:tcMar>
          </w:tcPr>
          <w:p w14:paraId="5564BF9C"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tc>
        <w:tc>
          <w:tcPr>
            <w:tcW w:w="1725" w:type="dxa"/>
            <w:tcBorders>
              <w:left w:val="single" w:sz="2" w:space="0" w:color="000000"/>
              <w:bottom w:val="single" w:sz="2" w:space="0" w:color="000000"/>
            </w:tcBorders>
            <w:shd w:val="clear" w:color="auto" w:fill="auto"/>
            <w:tcMar>
              <w:top w:w="55" w:type="dxa"/>
              <w:left w:w="55" w:type="dxa"/>
              <w:bottom w:w="55" w:type="dxa"/>
              <w:right w:w="55" w:type="dxa"/>
            </w:tcMar>
          </w:tcPr>
          <w:p w14:paraId="1517B6EA"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p w14:paraId="49D0F06C"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p w14:paraId="6FA428A9"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p w14:paraId="07B8DBE6"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p w14:paraId="59D8CDCF"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kern w:val="3"/>
                <w:sz w:val="18"/>
                <w:szCs w:val="18"/>
                <w:lang w:eastAsia="zh-CN" w:bidi="hi-IN"/>
              </w:rPr>
            </w:pPr>
          </w:p>
          <w:p w14:paraId="6D5C746F" w14:textId="77777777" w:rsidR="00D572EA" w:rsidRPr="00A07BE9" w:rsidRDefault="00D572EA" w:rsidP="00D572EA">
            <w:pPr>
              <w:widowControl w:val="0"/>
              <w:suppressLineNumbers/>
              <w:suppressAutoHyphens/>
              <w:autoSpaceDN w:val="0"/>
              <w:spacing w:after="0" w:line="240" w:lineRule="auto"/>
              <w:textAlignment w:val="baseline"/>
              <w:rPr>
                <w:rFonts w:ascii="Open Sans" w:eastAsia="Droid Sans Fallback" w:hAnsi="Open Sans" w:cs="FreeSans"/>
                <w:b/>
                <w:kern w:val="3"/>
                <w:sz w:val="18"/>
                <w:szCs w:val="18"/>
                <w:lang w:eastAsia="zh-CN" w:bidi="hi-IN"/>
              </w:rPr>
            </w:pPr>
            <w:r w:rsidRPr="00A07BE9">
              <w:rPr>
                <w:rFonts w:ascii="Open Sans" w:eastAsia="Droid Sans Fallback" w:hAnsi="Open Sans" w:cs="FreeSans"/>
                <w:b/>
                <w:kern w:val="3"/>
                <w:sz w:val="18"/>
                <w:szCs w:val="18"/>
                <w:lang w:eastAsia="zh-CN" w:bidi="hi-IN"/>
              </w:rPr>
              <w:t>Total puestos: 37</w:t>
            </w:r>
          </w:p>
        </w:tc>
        <w:tc>
          <w:tcPr>
            <w:tcW w:w="1725" w:type="dxa"/>
            <w:tcBorders>
              <w:left w:val="single" w:sz="2" w:space="0" w:color="000000"/>
              <w:bottom w:val="single" w:sz="2" w:space="0" w:color="000000"/>
            </w:tcBorders>
            <w:shd w:val="clear" w:color="auto" w:fill="auto"/>
            <w:tcMar>
              <w:top w:w="55" w:type="dxa"/>
              <w:left w:w="55" w:type="dxa"/>
              <w:bottom w:w="55" w:type="dxa"/>
              <w:right w:w="55" w:type="dxa"/>
            </w:tcMar>
          </w:tcPr>
          <w:p w14:paraId="0EEBB84B"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21 A1</w:t>
            </w:r>
          </w:p>
          <w:p w14:paraId="0409D35E"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8 A1/A2</w:t>
            </w:r>
          </w:p>
          <w:p w14:paraId="07FE6085"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3 C1</w:t>
            </w:r>
          </w:p>
          <w:p w14:paraId="44C9779A"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4 C1/C2</w:t>
            </w:r>
          </w:p>
          <w:p w14:paraId="7FFE2C01"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 APF 01-01</w:t>
            </w:r>
          </w:p>
        </w:tc>
        <w:tc>
          <w:tcPr>
            <w:tcW w:w="1725" w:type="dxa"/>
            <w:tcBorders>
              <w:left w:val="single" w:sz="2" w:space="0" w:color="000000"/>
              <w:bottom w:val="single" w:sz="2" w:space="0" w:color="000000"/>
            </w:tcBorders>
            <w:shd w:val="clear" w:color="auto" w:fill="auto"/>
            <w:tcMar>
              <w:top w:w="55" w:type="dxa"/>
              <w:left w:w="55" w:type="dxa"/>
              <w:bottom w:w="55" w:type="dxa"/>
              <w:right w:w="55" w:type="dxa"/>
            </w:tcMar>
          </w:tcPr>
          <w:p w14:paraId="54EB1321"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15</w:t>
            </w:r>
          </w:p>
          <w:p w14:paraId="5949C110"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8</w:t>
            </w:r>
          </w:p>
          <w:p w14:paraId="7D80681D"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3</w:t>
            </w:r>
          </w:p>
          <w:p w14:paraId="4227108E"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4</w:t>
            </w:r>
          </w:p>
          <w:p w14:paraId="6FB2E057"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1</w:t>
            </w:r>
          </w:p>
          <w:p w14:paraId="3C5551C2"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b/>
                <w:kern w:val="3"/>
                <w:sz w:val="18"/>
                <w:szCs w:val="18"/>
                <w:lang w:eastAsia="zh-CN" w:bidi="hi-IN"/>
              </w:rPr>
            </w:pPr>
            <w:r w:rsidRPr="00A07BE9">
              <w:rPr>
                <w:rFonts w:ascii="Open Sans" w:eastAsia="Droid Sans Fallback" w:hAnsi="Open Sans" w:cs="FreeSans"/>
                <w:b/>
                <w:kern w:val="3"/>
                <w:sz w:val="18"/>
                <w:szCs w:val="18"/>
                <w:lang w:eastAsia="zh-CN" w:bidi="hi-IN"/>
              </w:rPr>
              <w:t>31</w:t>
            </w:r>
          </w:p>
        </w:tc>
        <w:tc>
          <w:tcPr>
            <w:tcW w:w="172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302E4589"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r w:rsidRPr="00A07BE9">
              <w:rPr>
                <w:rFonts w:ascii="Open Sans" w:eastAsia="Droid Sans Fallback" w:hAnsi="Open Sans" w:cs="FreeSans"/>
                <w:kern w:val="3"/>
                <w:sz w:val="18"/>
                <w:szCs w:val="18"/>
                <w:lang w:eastAsia="zh-CN" w:bidi="hi-IN"/>
              </w:rPr>
              <w:t>6</w:t>
            </w:r>
          </w:p>
          <w:p w14:paraId="7A2E6C3D"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p>
          <w:p w14:paraId="61FB4756"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p>
          <w:p w14:paraId="7FEC8CB9"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p>
          <w:p w14:paraId="30DF9749" w14:textId="77777777" w:rsidR="00D572EA" w:rsidRPr="00A07BE9" w:rsidRDefault="00D572EA" w:rsidP="00D572EA">
            <w:pPr>
              <w:widowControl w:val="0"/>
              <w:suppressLineNumbers/>
              <w:suppressAutoHyphens/>
              <w:autoSpaceDN w:val="0"/>
              <w:spacing w:after="0" w:line="240" w:lineRule="auto"/>
              <w:jc w:val="center"/>
              <w:textAlignment w:val="baseline"/>
              <w:rPr>
                <w:rFonts w:ascii="Open Sans" w:eastAsia="Droid Sans Fallback" w:hAnsi="Open Sans" w:cs="FreeSans"/>
                <w:kern w:val="3"/>
                <w:sz w:val="18"/>
                <w:szCs w:val="18"/>
                <w:lang w:eastAsia="zh-CN" w:bidi="hi-IN"/>
              </w:rPr>
            </w:pPr>
          </w:p>
          <w:p w14:paraId="0CBB8B96" w14:textId="71674EB7" w:rsidR="008B6E1F" w:rsidRPr="00A07BE9" w:rsidRDefault="00D572EA" w:rsidP="008B6E1F">
            <w:pPr>
              <w:widowControl w:val="0"/>
              <w:suppressLineNumbers/>
              <w:suppressAutoHyphens/>
              <w:autoSpaceDN w:val="0"/>
              <w:spacing w:after="0" w:line="240" w:lineRule="auto"/>
              <w:jc w:val="center"/>
              <w:textAlignment w:val="baseline"/>
              <w:rPr>
                <w:rFonts w:ascii="Open Sans" w:eastAsia="Droid Sans Fallback" w:hAnsi="Open Sans" w:cs="FreeSans"/>
                <w:b/>
                <w:kern w:val="3"/>
                <w:sz w:val="18"/>
                <w:szCs w:val="18"/>
                <w:lang w:eastAsia="zh-CN" w:bidi="hi-IN"/>
              </w:rPr>
            </w:pPr>
            <w:r w:rsidRPr="00A07BE9">
              <w:rPr>
                <w:rFonts w:ascii="Open Sans" w:eastAsia="Droid Sans Fallback" w:hAnsi="Open Sans" w:cs="FreeSans"/>
                <w:b/>
                <w:kern w:val="3"/>
                <w:sz w:val="18"/>
                <w:szCs w:val="18"/>
                <w:lang w:eastAsia="zh-CN" w:bidi="hi-IN"/>
              </w:rPr>
              <w:t>6</w:t>
            </w:r>
          </w:p>
        </w:tc>
      </w:tr>
    </w:tbl>
    <w:p w14:paraId="5B4403B8" w14:textId="77777777"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23297F95" w14:textId="082525B1" w:rsidR="00264EC2"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r w:rsidRPr="00A07BE9">
        <w:rPr>
          <w:rFonts w:ascii="Open Sans" w:eastAsia="Droid Sans Fallback" w:hAnsi="Open Sans" w:cs="Open Sans"/>
          <w:kern w:val="3"/>
          <w:sz w:val="20"/>
          <w:szCs w:val="20"/>
          <w:lang w:eastAsia="zh-CN" w:bidi="hi-IN"/>
        </w:rPr>
        <w:t>Los datos permiten ofrecer los siguientes gráficos indicativos: uno del número de puestos atendiendo a su clasificación según subgrupo y otros que reflejan porcentualmente el grado de ocupación de los puestos de trabajo de la Agencia según puestos de trabajo y el grado de desocupación global.</w:t>
      </w:r>
    </w:p>
    <w:p w14:paraId="5766B6AC" w14:textId="44DD8030" w:rsidR="00C12B0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b/>
          <w:bCs/>
          <w:kern w:val="3"/>
          <w:sz w:val="20"/>
          <w:szCs w:val="20"/>
          <w:lang w:eastAsia="zh-CN" w:bidi="hi-IN"/>
        </w:rPr>
      </w:pPr>
      <w:r w:rsidRPr="00A07BE9">
        <w:rPr>
          <w:rFonts w:ascii="Open Sans" w:eastAsia="Droid Sans Fallback" w:hAnsi="Open Sans" w:cs="Open Sans"/>
          <w:b/>
          <w:bCs/>
          <w:color w:val="9D2235"/>
          <w:kern w:val="3"/>
          <w:sz w:val="20"/>
          <w:szCs w:val="20"/>
          <w:lang w:eastAsia="zh-CN" w:bidi="hi-IN"/>
        </w:rPr>
        <w:lastRenderedPageBreak/>
        <w:t xml:space="preserve">Gráfico </w:t>
      </w:r>
      <w:r w:rsidR="00152A36" w:rsidRPr="00A07BE9">
        <w:rPr>
          <w:rFonts w:ascii="Open Sans" w:eastAsia="Droid Sans Fallback" w:hAnsi="Open Sans" w:cs="Open Sans"/>
          <w:b/>
          <w:bCs/>
          <w:color w:val="9D2235"/>
          <w:kern w:val="3"/>
          <w:sz w:val="20"/>
          <w:szCs w:val="20"/>
          <w:lang w:eastAsia="zh-CN" w:bidi="hi-IN"/>
        </w:rPr>
        <w:t>3</w:t>
      </w:r>
      <w:r w:rsidR="00D201B5" w:rsidRPr="00A07BE9">
        <w:rPr>
          <w:rFonts w:ascii="Open Sans" w:eastAsia="Droid Sans Fallback" w:hAnsi="Open Sans" w:cs="Open Sans"/>
          <w:b/>
          <w:bCs/>
          <w:color w:val="9D2235"/>
          <w:kern w:val="3"/>
          <w:sz w:val="20"/>
          <w:szCs w:val="20"/>
          <w:lang w:eastAsia="zh-CN" w:bidi="hi-IN"/>
        </w:rPr>
        <w:t>5</w:t>
      </w:r>
      <w:r w:rsidR="00AC7D1A">
        <w:rPr>
          <w:rFonts w:ascii="Open Sans" w:eastAsia="Droid Sans Fallback" w:hAnsi="Open Sans" w:cs="Open Sans"/>
          <w:b/>
          <w:bCs/>
          <w:color w:val="9D2235"/>
          <w:kern w:val="3"/>
          <w:sz w:val="20"/>
          <w:szCs w:val="20"/>
          <w:lang w:eastAsia="zh-CN" w:bidi="hi-IN"/>
        </w:rPr>
        <w:t>.</w:t>
      </w:r>
      <w:r w:rsidRPr="00A07BE9">
        <w:rPr>
          <w:rFonts w:ascii="Open Sans" w:eastAsia="Droid Sans Fallback" w:hAnsi="Open Sans" w:cs="Open Sans"/>
          <w:b/>
          <w:bCs/>
          <w:kern w:val="3"/>
          <w:sz w:val="20"/>
          <w:szCs w:val="20"/>
          <w:lang w:eastAsia="zh-CN" w:bidi="hi-IN"/>
        </w:rPr>
        <w:t xml:space="preserve"> Clasificación y número de puestos de trabajo según subgrupo</w:t>
      </w:r>
    </w:p>
    <w:p w14:paraId="695CB9EF" w14:textId="3AE44067" w:rsidR="00C12B0A" w:rsidRDefault="00C12B0A" w:rsidP="00D572EA">
      <w:pPr>
        <w:widowControl w:val="0"/>
        <w:suppressAutoHyphens/>
        <w:autoSpaceDN w:val="0"/>
        <w:spacing w:after="0" w:line="276" w:lineRule="auto"/>
        <w:jc w:val="both"/>
        <w:textAlignment w:val="baseline"/>
        <w:rPr>
          <w:rFonts w:ascii="Open Sans" w:eastAsia="Droid Sans Fallback" w:hAnsi="Open Sans" w:cs="Open Sans"/>
          <w:b/>
          <w:bCs/>
          <w:color w:val="9D2235"/>
          <w:kern w:val="3"/>
          <w:sz w:val="20"/>
          <w:szCs w:val="20"/>
          <w:lang w:eastAsia="zh-CN" w:bidi="hi-IN"/>
        </w:rPr>
      </w:pPr>
      <w:r w:rsidRPr="00A07BE9">
        <w:rPr>
          <w:rFonts w:ascii="Open Sans" w:eastAsia="Droid Sans Fallback" w:hAnsi="Open Sans" w:cs="Open Sans"/>
          <w:noProof/>
          <w:kern w:val="3"/>
          <w:sz w:val="20"/>
          <w:szCs w:val="20"/>
          <w:lang w:eastAsia="zh-CN" w:bidi="hi-IN"/>
        </w:rPr>
        <w:drawing>
          <wp:anchor distT="0" distB="0" distL="114300" distR="114300" simplePos="0" relativeHeight="251913216" behindDoc="0" locked="0" layoutInCell="1" allowOverlap="1" wp14:anchorId="79BD4C32" wp14:editId="6187855C">
            <wp:simplePos x="0" y="0"/>
            <wp:positionH relativeFrom="margin">
              <wp:align>right</wp:align>
            </wp:positionH>
            <wp:positionV relativeFrom="paragraph">
              <wp:posOffset>274592</wp:posOffset>
            </wp:positionV>
            <wp:extent cx="5403850" cy="2267585"/>
            <wp:effectExtent l="0" t="0" r="6350" b="0"/>
            <wp:wrapSquare wrapText="bothSides"/>
            <wp:docPr id="107" name="Objeto9"/>
            <wp:cNvGraphicFramePr/>
            <a:graphic xmlns:a="http://schemas.openxmlformats.org/drawingml/2006/main">
              <a:graphicData uri="http://schemas.openxmlformats.org/drawingml/2006/chart">
                <c:chart xmlns:c="http://schemas.openxmlformats.org/drawingml/2006/chart" xmlns:r="http://schemas.openxmlformats.org/officeDocument/2006/relationships" r:id="rId412"/>
              </a:graphicData>
            </a:graphic>
            <wp14:sizeRelH relativeFrom="margin">
              <wp14:pctWidth>0</wp14:pctWidth>
            </wp14:sizeRelH>
            <wp14:sizeRelV relativeFrom="margin">
              <wp14:pctHeight>0</wp14:pctHeight>
            </wp14:sizeRelV>
          </wp:anchor>
        </w:drawing>
      </w:r>
    </w:p>
    <w:p w14:paraId="6BEADD7C" w14:textId="27140160" w:rsidR="00C12B0A" w:rsidRDefault="00C12B0A" w:rsidP="00D572EA">
      <w:pPr>
        <w:widowControl w:val="0"/>
        <w:suppressAutoHyphens/>
        <w:autoSpaceDN w:val="0"/>
        <w:spacing w:after="0" w:line="276" w:lineRule="auto"/>
        <w:jc w:val="both"/>
        <w:textAlignment w:val="baseline"/>
        <w:rPr>
          <w:rFonts w:ascii="Open Sans" w:eastAsia="Droid Sans Fallback" w:hAnsi="Open Sans" w:cs="Open Sans"/>
          <w:b/>
          <w:bCs/>
          <w:color w:val="9D2235"/>
          <w:kern w:val="3"/>
          <w:sz w:val="20"/>
          <w:szCs w:val="20"/>
          <w:lang w:eastAsia="zh-CN" w:bidi="hi-IN"/>
        </w:rPr>
      </w:pPr>
    </w:p>
    <w:p w14:paraId="45858961" w14:textId="77777777" w:rsidR="00C12B0A" w:rsidRDefault="00C12B0A" w:rsidP="00D572EA">
      <w:pPr>
        <w:widowControl w:val="0"/>
        <w:suppressAutoHyphens/>
        <w:autoSpaceDN w:val="0"/>
        <w:spacing w:after="0" w:line="276" w:lineRule="auto"/>
        <w:jc w:val="both"/>
        <w:textAlignment w:val="baseline"/>
        <w:rPr>
          <w:rFonts w:ascii="Open Sans" w:eastAsia="Droid Sans Fallback" w:hAnsi="Open Sans" w:cs="Open Sans"/>
          <w:b/>
          <w:bCs/>
          <w:color w:val="9D2235"/>
          <w:kern w:val="3"/>
          <w:sz w:val="20"/>
          <w:szCs w:val="20"/>
          <w:lang w:eastAsia="zh-CN" w:bidi="hi-IN"/>
        </w:rPr>
      </w:pPr>
    </w:p>
    <w:p w14:paraId="68675FE0" w14:textId="593FDDAA"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b/>
          <w:bCs/>
          <w:kern w:val="3"/>
          <w:sz w:val="20"/>
          <w:szCs w:val="20"/>
          <w:lang w:eastAsia="zh-CN" w:bidi="hi-IN"/>
        </w:rPr>
      </w:pPr>
      <w:r w:rsidRPr="00A07BE9">
        <w:rPr>
          <w:rFonts w:ascii="Open Sans" w:eastAsia="Droid Sans Fallback" w:hAnsi="Open Sans" w:cs="Open Sans"/>
          <w:b/>
          <w:bCs/>
          <w:color w:val="9D2235"/>
          <w:kern w:val="3"/>
          <w:sz w:val="20"/>
          <w:szCs w:val="20"/>
          <w:lang w:eastAsia="zh-CN" w:bidi="hi-IN"/>
        </w:rPr>
        <w:t xml:space="preserve">Gráfico </w:t>
      </w:r>
      <w:r w:rsidR="00152A36" w:rsidRPr="00A07BE9">
        <w:rPr>
          <w:rFonts w:ascii="Open Sans" w:eastAsia="Droid Sans Fallback" w:hAnsi="Open Sans" w:cs="Open Sans"/>
          <w:b/>
          <w:bCs/>
          <w:color w:val="9D2235"/>
          <w:kern w:val="3"/>
          <w:sz w:val="20"/>
          <w:szCs w:val="20"/>
          <w:lang w:eastAsia="zh-CN" w:bidi="hi-IN"/>
        </w:rPr>
        <w:t>3</w:t>
      </w:r>
      <w:r w:rsidR="00D201B5" w:rsidRPr="00A07BE9">
        <w:rPr>
          <w:rFonts w:ascii="Open Sans" w:eastAsia="Droid Sans Fallback" w:hAnsi="Open Sans" w:cs="Open Sans"/>
          <w:b/>
          <w:bCs/>
          <w:color w:val="9D2235"/>
          <w:kern w:val="3"/>
          <w:sz w:val="20"/>
          <w:szCs w:val="20"/>
          <w:lang w:eastAsia="zh-CN" w:bidi="hi-IN"/>
        </w:rPr>
        <w:t>6</w:t>
      </w:r>
      <w:r w:rsidR="00AC7D1A">
        <w:rPr>
          <w:rFonts w:ascii="Open Sans" w:eastAsia="Droid Sans Fallback" w:hAnsi="Open Sans" w:cs="Open Sans"/>
          <w:b/>
          <w:bCs/>
          <w:color w:val="9D2235"/>
          <w:kern w:val="3"/>
          <w:sz w:val="20"/>
          <w:szCs w:val="20"/>
          <w:lang w:eastAsia="zh-CN" w:bidi="hi-IN"/>
        </w:rPr>
        <w:t>.</w:t>
      </w:r>
      <w:r w:rsidRPr="00A07BE9">
        <w:rPr>
          <w:rFonts w:ascii="Open Sans" w:eastAsia="Droid Sans Fallback" w:hAnsi="Open Sans" w:cs="Open Sans"/>
          <w:b/>
          <w:bCs/>
          <w:kern w:val="3"/>
          <w:sz w:val="20"/>
          <w:szCs w:val="20"/>
          <w:lang w:eastAsia="zh-CN" w:bidi="hi-IN"/>
        </w:rPr>
        <w:t xml:space="preserve"> Grado de ocupación de los puestos de trabajo de la Agencia a 31/12/2017</w:t>
      </w:r>
    </w:p>
    <w:p w14:paraId="4B2A945B" w14:textId="77777777" w:rsidR="00465DB0" w:rsidRPr="00A07BE9" w:rsidRDefault="00465DB0"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60D5FA5A" w14:textId="67B5F951" w:rsidR="00D572EA" w:rsidRPr="00A07BE9" w:rsidRDefault="00264EC2"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r w:rsidRPr="00A07BE9">
        <w:rPr>
          <w:rFonts w:ascii="Open Sans" w:eastAsia="Droid Sans Fallback" w:hAnsi="Open Sans" w:cs="Open Sans"/>
          <w:noProof/>
          <w:kern w:val="3"/>
          <w:sz w:val="20"/>
          <w:szCs w:val="20"/>
          <w:lang w:eastAsia="zh-CN" w:bidi="hi-IN"/>
        </w:rPr>
        <w:drawing>
          <wp:anchor distT="0" distB="0" distL="114300" distR="114300" simplePos="0" relativeHeight="251895808" behindDoc="0" locked="0" layoutInCell="1" allowOverlap="1" wp14:anchorId="1326091F" wp14:editId="614A914A">
            <wp:simplePos x="0" y="0"/>
            <wp:positionH relativeFrom="margin">
              <wp:align>center</wp:align>
            </wp:positionH>
            <wp:positionV relativeFrom="paragraph">
              <wp:posOffset>26828</wp:posOffset>
            </wp:positionV>
            <wp:extent cx="2903220" cy="1929130"/>
            <wp:effectExtent l="0" t="19050" r="0" b="0"/>
            <wp:wrapSquare wrapText="bothSides"/>
            <wp:docPr id="6" name="Objeto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3"/>
              </a:graphicData>
            </a:graphic>
            <wp14:sizeRelH relativeFrom="margin">
              <wp14:pctWidth>0</wp14:pctWidth>
            </wp14:sizeRelH>
            <wp14:sizeRelV relativeFrom="margin">
              <wp14:pctHeight>0</wp14:pctHeight>
            </wp14:sizeRelV>
          </wp:anchor>
        </w:drawing>
      </w:r>
    </w:p>
    <w:p w14:paraId="0BF230B4" w14:textId="77777777"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65433358" w14:textId="79F18410"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5E159B85" w14:textId="0097F463"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7DFC3460" w14:textId="77777777"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4F7238C4" w14:textId="77777777"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6BF894A3" w14:textId="77777777"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3A6B1E76" w14:textId="77777777"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3A7C686A" w14:textId="3B8A5188"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4466AC84" w14:textId="77777777" w:rsidR="00465DB0" w:rsidRPr="00A07BE9" w:rsidRDefault="00465DB0"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701E113A" w14:textId="77777777" w:rsidR="00264EC2" w:rsidRPr="00A07BE9" w:rsidRDefault="00264EC2"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573D7C1A" w14:textId="1136E575"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r w:rsidRPr="00A07BE9">
        <w:rPr>
          <w:rFonts w:ascii="Open Sans" w:eastAsia="Droid Sans Fallback" w:hAnsi="Open Sans" w:cs="Open Sans"/>
          <w:b/>
          <w:bCs/>
          <w:color w:val="9D2235"/>
          <w:kern w:val="3"/>
          <w:sz w:val="20"/>
          <w:szCs w:val="20"/>
          <w:lang w:eastAsia="zh-CN" w:bidi="hi-IN"/>
        </w:rPr>
        <w:t xml:space="preserve">Gráfico </w:t>
      </w:r>
      <w:r w:rsidR="00321B23" w:rsidRPr="00A07BE9">
        <w:rPr>
          <w:rFonts w:ascii="Open Sans" w:eastAsia="Droid Sans Fallback" w:hAnsi="Open Sans" w:cs="Open Sans"/>
          <w:b/>
          <w:bCs/>
          <w:color w:val="9D2235"/>
          <w:kern w:val="3"/>
          <w:sz w:val="20"/>
          <w:szCs w:val="20"/>
          <w:lang w:eastAsia="zh-CN" w:bidi="hi-IN"/>
        </w:rPr>
        <w:t>3</w:t>
      </w:r>
      <w:r w:rsidR="00D201B5" w:rsidRPr="00A07BE9">
        <w:rPr>
          <w:rFonts w:ascii="Open Sans" w:eastAsia="Droid Sans Fallback" w:hAnsi="Open Sans" w:cs="Open Sans"/>
          <w:b/>
          <w:bCs/>
          <w:color w:val="9D2235"/>
          <w:kern w:val="3"/>
          <w:sz w:val="20"/>
          <w:szCs w:val="20"/>
          <w:lang w:eastAsia="zh-CN" w:bidi="hi-IN"/>
        </w:rPr>
        <w:t>7</w:t>
      </w:r>
      <w:r w:rsidR="00AC7D1A">
        <w:rPr>
          <w:rFonts w:ascii="Open Sans" w:eastAsia="Droid Sans Fallback" w:hAnsi="Open Sans" w:cs="Open Sans"/>
          <w:b/>
          <w:bCs/>
          <w:color w:val="9D2235"/>
          <w:kern w:val="3"/>
          <w:sz w:val="20"/>
          <w:szCs w:val="20"/>
          <w:lang w:eastAsia="zh-CN" w:bidi="hi-IN"/>
        </w:rPr>
        <w:t>.</w:t>
      </w:r>
      <w:r w:rsidRPr="00A07BE9">
        <w:rPr>
          <w:rFonts w:ascii="Open Sans" w:eastAsia="Droid Sans Fallback" w:hAnsi="Open Sans" w:cs="Open Sans"/>
          <w:b/>
          <w:bCs/>
          <w:kern w:val="3"/>
          <w:sz w:val="20"/>
          <w:szCs w:val="20"/>
          <w:lang w:eastAsia="zh-CN" w:bidi="hi-IN"/>
        </w:rPr>
        <w:t xml:space="preserve"> Grado de ocupación de los puestos de trabajo de la Agencia a 31/12/2018</w:t>
      </w:r>
    </w:p>
    <w:p w14:paraId="6CCED878" w14:textId="0246B5A9" w:rsidR="00D572EA" w:rsidRPr="00A07BE9" w:rsidRDefault="00264EC2"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r w:rsidRPr="00A07BE9">
        <w:rPr>
          <w:rFonts w:ascii="Open Sans" w:eastAsia="Droid Sans Fallback" w:hAnsi="Open Sans" w:cs="Open Sans"/>
          <w:noProof/>
          <w:kern w:val="3"/>
          <w:sz w:val="20"/>
          <w:szCs w:val="20"/>
          <w:lang w:eastAsia="zh-CN" w:bidi="hi-IN"/>
        </w:rPr>
        <w:drawing>
          <wp:anchor distT="0" distB="0" distL="114300" distR="114300" simplePos="0" relativeHeight="251902976" behindDoc="0" locked="0" layoutInCell="1" allowOverlap="1" wp14:anchorId="2F28E86B" wp14:editId="250787B0">
            <wp:simplePos x="0" y="0"/>
            <wp:positionH relativeFrom="column">
              <wp:posOffset>1215390</wp:posOffset>
            </wp:positionH>
            <wp:positionV relativeFrom="paragraph">
              <wp:posOffset>200660</wp:posOffset>
            </wp:positionV>
            <wp:extent cx="2771775" cy="1875790"/>
            <wp:effectExtent l="0" t="0" r="0" b="0"/>
            <wp:wrapSquare wrapText="bothSides"/>
            <wp:docPr id="108" name="Objeto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4"/>
              </a:graphicData>
            </a:graphic>
            <wp14:sizeRelH relativeFrom="margin">
              <wp14:pctWidth>0</wp14:pctWidth>
            </wp14:sizeRelH>
            <wp14:sizeRelV relativeFrom="margin">
              <wp14:pctHeight>0</wp14:pctHeight>
            </wp14:sizeRelV>
          </wp:anchor>
        </w:drawing>
      </w:r>
    </w:p>
    <w:p w14:paraId="56536A6E" w14:textId="2BAF61C6"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5926DB18" w14:textId="77777777"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42B01F74" w14:textId="77777777"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79B38904" w14:textId="77777777"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779C6386" w14:textId="77777777"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45A2FC4C" w14:textId="77777777"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18B5C9C0" w14:textId="77777777"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110991EF" w14:textId="77777777"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373046BB" w14:textId="77777777"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521643A8" w14:textId="77777777"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0809C9D8" w14:textId="7A911F8F" w:rsidR="00C12B0A" w:rsidRDefault="00C12B0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7E5AF417" w14:textId="02BAACDD"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r w:rsidRPr="00A07BE9">
        <w:rPr>
          <w:rFonts w:ascii="Open Sans" w:eastAsia="Droid Sans Fallback" w:hAnsi="Open Sans" w:cs="Open Sans"/>
          <w:b/>
          <w:bCs/>
          <w:color w:val="9D0000"/>
          <w:kern w:val="3"/>
          <w:sz w:val="20"/>
          <w:szCs w:val="20"/>
          <w:lang w:eastAsia="zh-CN" w:bidi="hi-IN"/>
        </w:rPr>
        <w:lastRenderedPageBreak/>
        <w:t xml:space="preserve">Gráfico </w:t>
      </w:r>
      <w:r w:rsidR="00321B23" w:rsidRPr="00A07BE9">
        <w:rPr>
          <w:rFonts w:ascii="Open Sans" w:eastAsia="Droid Sans Fallback" w:hAnsi="Open Sans" w:cs="Open Sans"/>
          <w:b/>
          <w:bCs/>
          <w:color w:val="9D0000"/>
          <w:kern w:val="3"/>
          <w:sz w:val="20"/>
          <w:szCs w:val="20"/>
          <w:lang w:eastAsia="zh-CN" w:bidi="hi-IN"/>
        </w:rPr>
        <w:t>3</w:t>
      </w:r>
      <w:r w:rsidR="00D201B5" w:rsidRPr="00A07BE9">
        <w:rPr>
          <w:rFonts w:ascii="Open Sans" w:eastAsia="Droid Sans Fallback" w:hAnsi="Open Sans" w:cs="Open Sans"/>
          <w:b/>
          <w:bCs/>
          <w:color w:val="9D0000"/>
          <w:kern w:val="3"/>
          <w:sz w:val="20"/>
          <w:szCs w:val="20"/>
          <w:lang w:eastAsia="zh-CN" w:bidi="hi-IN"/>
        </w:rPr>
        <w:t>8</w:t>
      </w:r>
      <w:r w:rsidR="00AC7D1A">
        <w:rPr>
          <w:rFonts w:ascii="Open Sans" w:eastAsia="Droid Sans Fallback" w:hAnsi="Open Sans" w:cs="Open Sans"/>
          <w:b/>
          <w:bCs/>
          <w:color w:val="9D0000"/>
          <w:kern w:val="3"/>
          <w:sz w:val="20"/>
          <w:szCs w:val="20"/>
          <w:lang w:eastAsia="zh-CN" w:bidi="hi-IN"/>
        </w:rPr>
        <w:t>.</w:t>
      </w:r>
      <w:r w:rsidRPr="00A07BE9">
        <w:rPr>
          <w:rFonts w:ascii="Open Sans" w:eastAsia="Droid Sans Fallback" w:hAnsi="Open Sans" w:cs="Open Sans"/>
          <w:b/>
          <w:bCs/>
          <w:kern w:val="3"/>
          <w:sz w:val="20"/>
          <w:szCs w:val="20"/>
          <w:lang w:eastAsia="zh-CN" w:bidi="hi-IN"/>
        </w:rPr>
        <w:t xml:space="preserve"> Grado de ocupación de los puestos de trabajo de la Agencia a 31/12/2019</w:t>
      </w:r>
    </w:p>
    <w:p w14:paraId="02532519" w14:textId="7C8C37C8" w:rsidR="00D572EA" w:rsidRPr="00A07BE9" w:rsidRDefault="008B6E1F"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r w:rsidRPr="00A07BE9">
        <w:rPr>
          <w:rFonts w:ascii="Open Sans" w:eastAsia="Droid Sans Fallback" w:hAnsi="Open Sans" w:cs="Open Sans"/>
          <w:noProof/>
          <w:kern w:val="3"/>
          <w:sz w:val="20"/>
          <w:szCs w:val="20"/>
          <w:lang w:eastAsia="zh-CN" w:bidi="hi-IN"/>
        </w:rPr>
        <w:drawing>
          <wp:anchor distT="0" distB="0" distL="114300" distR="114300" simplePos="0" relativeHeight="251897856" behindDoc="0" locked="0" layoutInCell="1" allowOverlap="1" wp14:anchorId="1B1AE1A9" wp14:editId="26922616">
            <wp:simplePos x="0" y="0"/>
            <wp:positionH relativeFrom="margin">
              <wp:align>center</wp:align>
            </wp:positionH>
            <wp:positionV relativeFrom="paragraph">
              <wp:posOffset>156372</wp:posOffset>
            </wp:positionV>
            <wp:extent cx="3086100" cy="2200275"/>
            <wp:effectExtent l="0" t="0" r="0" b="0"/>
            <wp:wrapSquare wrapText="bothSides"/>
            <wp:docPr id="109" name="Objeto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5"/>
              </a:graphicData>
            </a:graphic>
            <wp14:sizeRelH relativeFrom="margin">
              <wp14:pctWidth>0</wp14:pctWidth>
            </wp14:sizeRelH>
            <wp14:sizeRelV relativeFrom="margin">
              <wp14:pctHeight>0</wp14:pctHeight>
            </wp14:sizeRelV>
          </wp:anchor>
        </w:drawing>
      </w:r>
    </w:p>
    <w:p w14:paraId="4AC2E49B" w14:textId="77777777"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31C8F4D0" w14:textId="77777777"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0564ACA1" w14:textId="77777777"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023F4088" w14:textId="77777777"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4F9B630B" w14:textId="77777777"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17337B56" w14:textId="77777777"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2D0F50A9" w14:textId="77777777"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3F9622A2" w14:textId="77777777"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7DBB8660" w14:textId="77777777"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001B3EBC" w14:textId="77777777" w:rsidR="00C87DEA" w:rsidRPr="00A07BE9" w:rsidRDefault="00C87D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299415F1" w14:textId="169F6902"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6C3DECAD" w14:textId="7BBCE7AA" w:rsidR="00D572EA" w:rsidRPr="00A07BE9" w:rsidRDefault="00D572EA" w:rsidP="00D572EA">
      <w:pPr>
        <w:widowControl w:val="0"/>
        <w:suppressAutoHyphens/>
        <w:autoSpaceDN w:val="0"/>
        <w:spacing w:after="0" w:line="276" w:lineRule="auto"/>
        <w:jc w:val="both"/>
        <w:textAlignment w:val="baseline"/>
        <w:rPr>
          <w:rFonts w:ascii="Liberation Serif" w:eastAsia="Droid Sans Fallback" w:hAnsi="Liberation Serif" w:cs="FreeSans"/>
          <w:kern w:val="3"/>
          <w:sz w:val="20"/>
          <w:szCs w:val="20"/>
          <w:lang w:eastAsia="zh-CN" w:bidi="hi-IN"/>
        </w:rPr>
      </w:pPr>
      <w:r w:rsidRPr="00A07BE9">
        <w:rPr>
          <w:rFonts w:ascii="Open Sans" w:eastAsia="Calibri" w:hAnsi="Open Sans" w:cs="Open Sans"/>
          <w:color w:val="000000"/>
          <w:sz w:val="20"/>
          <w:szCs w:val="20"/>
        </w:rPr>
        <w:t xml:space="preserve">Por último, teniendo en cuenta que uno de los rasgos singulares de esta Agencia, en cuanto a su personal, es que </w:t>
      </w:r>
      <w:r w:rsidR="007E59E7" w:rsidRPr="00A07BE9">
        <w:rPr>
          <w:rFonts w:ascii="Open Sans" w:eastAsia="Calibri" w:hAnsi="Open Sans" w:cs="Open Sans"/>
          <w:color w:val="000000"/>
          <w:sz w:val="20"/>
          <w:szCs w:val="20"/>
        </w:rPr>
        <w:t>e</w:t>
      </w:r>
      <w:r w:rsidRPr="00A07BE9">
        <w:rPr>
          <w:rFonts w:ascii="Open Sans" w:eastAsia="Calibri" w:hAnsi="Open Sans" w:cs="Open Sans"/>
          <w:color w:val="000000"/>
          <w:sz w:val="20"/>
          <w:szCs w:val="20"/>
        </w:rPr>
        <w:t>sta se nutre de funcionarios y funcionarias de carrera de las distintas administraciones públicas, interesa destacar la procedencia de los que a 31</w:t>
      </w:r>
      <w:r w:rsidR="007E59E7" w:rsidRPr="00A07BE9">
        <w:rPr>
          <w:rFonts w:ascii="Open Sans" w:eastAsia="Calibri" w:hAnsi="Open Sans" w:cs="Open Sans"/>
          <w:color w:val="000000"/>
          <w:sz w:val="20"/>
          <w:szCs w:val="20"/>
        </w:rPr>
        <w:t xml:space="preserve"> de diciembre de </w:t>
      </w:r>
      <w:r w:rsidRPr="00A07BE9">
        <w:rPr>
          <w:rFonts w:ascii="Open Sans" w:eastAsia="Calibri" w:hAnsi="Open Sans" w:cs="Open Sans"/>
          <w:color w:val="000000"/>
          <w:sz w:val="20"/>
          <w:szCs w:val="20"/>
        </w:rPr>
        <w:t>2019 forman parte de esta, tal y como se describe en el cuadro siguiente:</w:t>
      </w:r>
    </w:p>
    <w:p w14:paraId="72A4EBA7" w14:textId="77777777" w:rsidR="00EF354F" w:rsidRPr="00A07BE9" w:rsidRDefault="00EF354F" w:rsidP="00D572EA">
      <w:pPr>
        <w:widowControl w:val="0"/>
        <w:suppressAutoHyphens/>
        <w:autoSpaceDN w:val="0"/>
        <w:spacing w:after="0" w:line="276" w:lineRule="auto"/>
        <w:jc w:val="both"/>
        <w:textAlignment w:val="baseline"/>
        <w:rPr>
          <w:rFonts w:ascii="Open Sans" w:eastAsia="Droid Sans Fallback" w:hAnsi="Open Sans" w:cs="Open Sans"/>
          <w:kern w:val="3"/>
          <w:sz w:val="20"/>
          <w:szCs w:val="20"/>
          <w:lang w:eastAsia="zh-CN" w:bidi="hi-IN"/>
        </w:rPr>
      </w:pPr>
    </w:p>
    <w:p w14:paraId="15C9AE62" w14:textId="3BF157C9" w:rsidR="00D572EA" w:rsidRPr="00A07BE9" w:rsidRDefault="00D572EA" w:rsidP="00D572EA">
      <w:pPr>
        <w:widowControl w:val="0"/>
        <w:suppressAutoHyphens/>
        <w:autoSpaceDN w:val="0"/>
        <w:spacing w:after="0" w:line="276" w:lineRule="auto"/>
        <w:jc w:val="both"/>
        <w:textAlignment w:val="baseline"/>
        <w:rPr>
          <w:rFonts w:ascii="Open Sans" w:eastAsia="Calibri" w:hAnsi="Open Sans" w:cs="Open Sans"/>
          <w:b/>
          <w:bCs/>
          <w:color w:val="000000"/>
          <w:sz w:val="20"/>
          <w:szCs w:val="20"/>
        </w:rPr>
      </w:pPr>
      <w:r w:rsidRPr="00A07BE9">
        <w:rPr>
          <w:rFonts w:ascii="Open Sans" w:eastAsia="Calibri" w:hAnsi="Open Sans" w:cs="Open Sans"/>
          <w:b/>
          <w:bCs/>
          <w:color w:val="9D2235"/>
          <w:sz w:val="20"/>
          <w:szCs w:val="20"/>
        </w:rPr>
        <w:t xml:space="preserve">Tabla </w:t>
      </w:r>
      <w:r w:rsidR="00EF354F" w:rsidRPr="00A07BE9">
        <w:rPr>
          <w:rFonts w:ascii="Open Sans" w:eastAsia="Calibri" w:hAnsi="Open Sans" w:cs="Open Sans"/>
          <w:b/>
          <w:bCs/>
          <w:color w:val="9D2235"/>
          <w:sz w:val="20"/>
          <w:szCs w:val="20"/>
        </w:rPr>
        <w:t>24</w:t>
      </w:r>
      <w:r w:rsidRPr="00A07BE9">
        <w:rPr>
          <w:rFonts w:ascii="Open Sans" w:eastAsia="Calibri" w:hAnsi="Open Sans" w:cs="Open Sans"/>
          <w:b/>
          <w:bCs/>
          <w:color w:val="9D2235"/>
          <w:sz w:val="20"/>
          <w:szCs w:val="20"/>
        </w:rPr>
        <w:t xml:space="preserve">. </w:t>
      </w:r>
      <w:r w:rsidRPr="00A07BE9">
        <w:rPr>
          <w:rFonts w:ascii="Open Sans" w:eastAsia="Calibri" w:hAnsi="Open Sans" w:cs="Open Sans"/>
          <w:b/>
          <w:bCs/>
          <w:color w:val="000000"/>
          <w:sz w:val="20"/>
          <w:szCs w:val="20"/>
        </w:rPr>
        <w:t>Administración de origen de los funcionarios de la Agencia, según procedencia</w:t>
      </w:r>
    </w:p>
    <w:tbl>
      <w:tblPr>
        <w:tblStyle w:val="Tablaconcuadrcula"/>
        <w:tblW w:w="8624" w:type="dxa"/>
        <w:tblInd w:w="-5" w:type="dxa"/>
        <w:tblLook w:val="04A0" w:firstRow="1" w:lastRow="0" w:firstColumn="1" w:lastColumn="0" w:noHBand="0" w:noVBand="1"/>
      </w:tblPr>
      <w:tblGrid>
        <w:gridCol w:w="1701"/>
        <w:gridCol w:w="1276"/>
        <w:gridCol w:w="1333"/>
        <w:gridCol w:w="935"/>
        <w:gridCol w:w="1276"/>
        <w:gridCol w:w="2103"/>
      </w:tblGrid>
      <w:tr w:rsidR="00CC2939" w:rsidRPr="0069728D" w14:paraId="1F8F832F" w14:textId="77777777" w:rsidTr="00CC2939">
        <w:trPr>
          <w:trHeight w:val="285"/>
        </w:trPr>
        <w:tc>
          <w:tcPr>
            <w:tcW w:w="1701" w:type="dxa"/>
            <w:vMerge w:val="restart"/>
            <w:tcBorders>
              <w:top w:val="single" w:sz="4" w:space="0" w:color="auto"/>
            </w:tcBorders>
            <w:shd w:val="clear" w:color="auto" w:fill="9D2235"/>
          </w:tcPr>
          <w:p w14:paraId="07C5535F" w14:textId="5269FB12" w:rsidR="00CC2939" w:rsidRPr="0069728D" w:rsidRDefault="00CC2939" w:rsidP="00CC2939">
            <w:pPr>
              <w:widowControl w:val="0"/>
              <w:suppressAutoHyphens/>
              <w:autoSpaceDN w:val="0"/>
              <w:textAlignment w:val="baseline"/>
              <w:rPr>
                <w:rFonts w:ascii="Open Sans" w:eastAsia="Open Sans" w:hAnsi="Open Sans" w:cs="Open Sans"/>
                <w:b/>
                <w:color w:val="FFFFFF" w:themeColor="background1"/>
                <w:sz w:val="20"/>
                <w:szCs w:val="20"/>
              </w:rPr>
            </w:pPr>
            <w:r w:rsidRPr="0069728D">
              <w:rPr>
                <w:rFonts w:ascii="Open Sans" w:eastAsia="Open Sans" w:hAnsi="Open Sans" w:cs="Open Sans"/>
                <w:b/>
                <w:color w:val="FFFFFF" w:themeColor="background1"/>
                <w:sz w:val="20"/>
                <w:szCs w:val="20"/>
              </w:rPr>
              <w:t>Adm. de origen</w:t>
            </w:r>
          </w:p>
        </w:tc>
        <w:tc>
          <w:tcPr>
            <w:tcW w:w="1276" w:type="dxa"/>
            <w:vMerge w:val="restart"/>
            <w:tcBorders>
              <w:top w:val="single" w:sz="4" w:space="0" w:color="auto"/>
            </w:tcBorders>
            <w:shd w:val="clear" w:color="auto" w:fill="9D2235"/>
          </w:tcPr>
          <w:p w14:paraId="381C1D6F" w14:textId="78427856" w:rsidR="00CC2939" w:rsidRPr="0069728D" w:rsidRDefault="00CC2939" w:rsidP="00CC2939">
            <w:pPr>
              <w:widowControl w:val="0"/>
              <w:suppressAutoHyphens/>
              <w:autoSpaceDN w:val="0"/>
              <w:textAlignment w:val="baseline"/>
              <w:rPr>
                <w:rFonts w:ascii="Open Sans" w:eastAsia="Open Sans" w:hAnsi="Open Sans" w:cs="Open Sans"/>
                <w:b/>
                <w:color w:val="FFFFFF" w:themeColor="background1"/>
                <w:sz w:val="20"/>
                <w:szCs w:val="20"/>
              </w:rPr>
            </w:pPr>
            <w:r w:rsidRPr="0069728D">
              <w:rPr>
                <w:rFonts w:ascii="Open Sans" w:eastAsia="Open Sans" w:hAnsi="Open Sans" w:cs="Open Sans"/>
                <w:b/>
                <w:color w:val="FFFFFF" w:themeColor="background1"/>
                <w:sz w:val="20"/>
                <w:szCs w:val="20"/>
              </w:rPr>
              <w:t>Adm del Estado</w:t>
            </w:r>
          </w:p>
        </w:tc>
        <w:tc>
          <w:tcPr>
            <w:tcW w:w="2268" w:type="dxa"/>
            <w:gridSpan w:val="2"/>
            <w:tcBorders>
              <w:top w:val="single" w:sz="4" w:space="0" w:color="auto"/>
              <w:bottom w:val="single" w:sz="4" w:space="0" w:color="auto"/>
            </w:tcBorders>
            <w:shd w:val="clear" w:color="auto" w:fill="9D2235"/>
          </w:tcPr>
          <w:p w14:paraId="4445F51E" w14:textId="2E574E83" w:rsidR="00CC2939" w:rsidRPr="0069728D" w:rsidRDefault="00CC2939" w:rsidP="00CC2939">
            <w:pPr>
              <w:widowControl w:val="0"/>
              <w:suppressAutoHyphens/>
              <w:autoSpaceDN w:val="0"/>
              <w:jc w:val="center"/>
              <w:textAlignment w:val="baseline"/>
              <w:rPr>
                <w:rFonts w:ascii="Open Sans" w:eastAsia="Open Sans" w:hAnsi="Open Sans" w:cs="Open Sans"/>
                <w:b/>
                <w:color w:val="FFFFFF" w:themeColor="background1"/>
                <w:sz w:val="20"/>
                <w:szCs w:val="20"/>
              </w:rPr>
            </w:pPr>
            <w:r w:rsidRPr="0069728D">
              <w:rPr>
                <w:rFonts w:ascii="Open Sans" w:eastAsia="Open Sans" w:hAnsi="Open Sans" w:cs="Open Sans"/>
                <w:b/>
                <w:color w:val="FFFFFF" w:themeColor="background1"/>
                <w:sz w:val="20"/>
                <w:szCs w:val="20"/>
              </w:rPr>
              <w:t>Adm Autonómica</w:t>
            </w:r>
          </w:p>
        </w:tc>
        <w:tc>
          <w:tcPr>
            <w:tcW w:w="1276" w:type="dxa"/>
            <w:vMerge w:val="restart"/>
            <w:tcBorders>
              <w:top w:val="single" w:sz="4" w:space="0" w:color="auto"/>
            </w:tcBorders>
            <w:shd w:val="clear" w:color="auto" w:fill="9D2235"/>
          </w:tcPr>
          <w:p w14:paraId="4AD947FB" w14:textId="74BDB924" w:rsidR="00CC2939" w:rsidRPr="0069728D" w:rsidRDefault="00CC2939" w:rsidP="00CC2939">
            <w:pPr>
              <w:widowControl w:val="0"/>
              <w:suppressAutoHyphens/>
              <w:autoSpaceDN w:val="0"/>
              <w:textAlignment w:val="baseline"/>
              <w:rPr>
                <w:rFonts w:ascii="Open Sans" w:eastAsia="Open Sans" w:hAnsi="Open Sans" w:cs="Open Sans"/>
                <w:b/>
                <w:color w:val="FFFFFF" w:themeColor="background1"/>
                <w:sz w:val="20"/>
                <w:szCs w:val="20"/>
              </w:rPr>
            </w:pPr>
            <w:r w:rsidRPr="0069728D">
              <w:rPr>
                <w:rFonts w:ascii="Open Sans" w:eastAsia="Open Sans" w:hAnsi="Open Sans" w:cs="Open Sans"/>
                <w:b/>
                <w:color w:val="FFFFFF" w:themeColor="background1"/>
                <w:sz w:val="20"/>
                <w:szCs w:val="20"/>
              </w:rPr>
              <w:t>Adm Local</w:t>
            </w:r>
          </w:p>
        </w:tc>
        <w:tc>
          <w:tcPr>
            <w:tcW w:w="2103" w:type="dxa"/>
            <w:vMerge w:val="restart"/>
            <w:tcBorders>
              <w:top w:val="single" w:sz="4" w:space="0" w:color="auto"/>
            </w:tcBorders>
            <w:shd w:val="clear" w:color="auto" w:fill="9D2235"/>
          </w:tcPr>
          <w:p w14:paraId="0CAB37FC" w14:textId="666BCA9C" w:rsidR="00CC2939" w:rsidRPr="0069728D" w:rsidRDefault="00CC2939" w:rsidP="00CC2939">
            <w:pPr>
              <w:widowControl w:val="0"/>
              <w:suppressAutoHyphens/>
              <w:autoSpaceDN w:val="0"/>
              <w:textAlignment w:val="baseline"/>
              <w:rPr>
                <w:rFonts w:ascii="Open Sans" w:eastAsia="Open Sans" w:hAnsi="Open Sans" w:cs="Open Sans"/>
                <w:b/>
                <w:color w:val="FFFFFF" w:themeColor="background1"/>
                <w:sz w:val="20"/>
                <w:szCs w:val="20"/>
              </w:rPr>
            </w:pPr>
            <w:r w:rsidRPr="0069728D">
              <w:rPr>
                <w:rFonts w:ascii="Open Sans" w:eastAsia="Open Sans" w:hAnsi="Open Sans" w:cs="Open Sans"/>
                <w:b/>
                <w:color w:val="FFFFFF" w:themeColor="background1"/>
                <w:sz w:val="20"/>
                <w:szCs w:val="20"/>
              </w:rPr>
              <w:t>Puestos vacantes a 31/12/2019</w:t>
            </w:r>
          </w:p>
        </w:tc>
      </w:tr>
      <w:tr w:rsidR="00CC2939" w:rsidRPr="0069728D" w14:paraId="56625CD0" w14:textId="77777777" w:rsidTr="00CC2939">
        <w:trPr>
          <w:trHeight w:val="284"/>
        </w:trPr>
        <w:tc>
          <w:tcPr>
            <w:tcW w:w="1701" w:type="dxa"/>
            <w:vMerge/>
            <w:tcBorders>
              <w:bottom w:val="single" w:sz="4" w:space="0" w:color="auto"/>
            </w:tcBorders>
            <w:shd w:val="clear" w:color="auto" w:fill="9D2235"/>
          </w:tcPr>
          <w:p w14:paraId="200B253A" w14:textId="77777777" w:rsidR="00CC2939" w:rsidRPr="0069728D" w:rsidRDefault="00CC2939" w:rsidP="00CC2939">
            <w:pPr>
              <w:widowControl w:val="0"/>
              <w:suppressAutoHyphens/>
              <w:autoSpaceDN w:val="0"/>
              <w:textAlignment w:val="baseline"/>
              <w:rPr>
                <w:rFonts w:ascii="Open Sans" w:eastAsia="Open Sans" w:hAnsi="Open Sans" w:cs="Open Sans"/>
                <w:b/>
                <w:color w:val="FFFFFF" w:themeColor="background1"/>
                <w:sz w:val="20"/>
                <w:szCs w:val="20"/>
              </w:rPr>
            </w:pPr>
          </w:p>
        </w:tc>
        <w:tc>
          <w:tcPr>
            <w:tcW w:w="1276" w:type="dxa"/>
            <w:vMerge/>
            <w:tcBorders>
              <w:bottom w:val="single" w:sz="4" w:space="0" w:color="auto"/>
            </w:tcBorders>
          </w:tcPr>
          <w:p w14:paraId="669FE701" w14:textId="77777777" w:rsidR="00CC2939" w:rsidRPr="0069728D" w:rsidRDefault="00CC2939" w:rsidP="00CC2939">
            <w:pPr>
              <w:widowControl w:val="0"/>
              <w:suppressAutoHyphens/>
              <w:autoSpaceDN w:val="0"/>
              <w:textAlignment w:val="baseline"/>
              <w:rPr>
                <w:rFonts w:ascii="Open Sans" w:eastAsia="Open Sans" w:hAnsi="Open Sans" w:cs="Open Sans"/>
                <w:color w:val="00000A"/>
                <w:sz w:val="20"/>
                <w:szCs w:val="20"/>
              </w:rPr>
            </w:pPr>
          </w:p>
        </w:tc>
        <w:tc>
          <w:tcPr>
            <w:tcW w:w="1333" w:type="dxa"/>
            <w:tcBorders>
              <w:top w:val="single" w:sz="4" w:space="0" w:color="auto"/>
              <w:bottom w:val="single" w:sz="4" w:space="0" w:color="auto"/>
            </w:tcBorders>
            <w:shd w:val="clear" w:color="auto" w:fill="9D2235"/>
          </w:tcPr>
          <w:p w14:paraId="1F6DEF67" w14:textId="02CA3FE7" w:rsidR="00CC2939" w:rsidRPr="0069728D" w:rsidRDefault="00CC2939" w:rsidP="00CC2939">
            <w:pPr>
              <w:widowControl w:val="0"/>
              <w:suppressAutoHyphens/>
              <w:autoSpaceDN w:val="0"/>
              <w:textAlignment w:val="baseline"/>
              <w:rPr>
                <w:rFonts w:ascii="Open Sans" w:eastAsia="Open Sans" w:hAnsi="Open Sans" w:cs="Open Sans"/>
                <w:color w:val="FFFFFF" w:themeColor="background1"/>
                <w:sz w:val="20"/>
                <w:szCs w:val="20"/>
              </w:rPr>
            </w:pPr>
            <w:r w:rsidRPr="0069728D">
              <w:rPr>
                <w:rFonts w:ascii="Open Sans" w:eastAsia="Open Sans" w:hAnsi="Open Sans" w:cs="Open Sans"/>
                <w:color w:val="FFFFFF" w:themeColor="background1"/>
                <w:sz w:val="20"/>
                <w:szCs w:val="20"/>
              </w:rPr>
              <w:t>Valenciana</w:t>
            </w:r>
          </w:p>
        </w:tc>
        <w:tc>
          <w:tcPr>
            <w:tcW w:w="935" w:type="dxa"/>
            <w:tcBorders>
              <w:bottom w:val="single" w:sz="4" w:space="0" w:color="auto"/>
            </w:tcBorders>
            <w:shd w:val="clear" w:color="auto" w:fill="9D2235"/>
          </w:tcPr>
          <w:p w14:paraId="5785F452" w14:textId="24024089" w:rsidR="00CC2939" w:rsidRPr="0069728D" w:rsidRDefault="00CC2939" w:rsidP="00CC2939">
            <w:pPr>
              <w:widowControl w:val="0"/>
              <w:suppressAutoHyphens/>
              <w:autoSpaceDN w:val="0"/>
              <w:textAlignment w:val="baseline"/>
              <w:rPr>
                <w:rFonts w:ascii="Open Sans" w:eastAsia="Open Sans" w:hAnsi="Open Sans" w:cs="Open Sans"/>
                <w:color w:val="FFFFFF" w:themeColor="background1"/>
                <w:sz w:val="20"/>
                <w:szCs w:val="20"/>
              </w:rPr>
            </w:pPr>
            <w:r w:rsidRPr="0069728D">
              <w:rPr>
                <w:rFonts w:ascii="Open Sans" w:eastAsia="Open Sans" w:hAnsi="Open Sans" w:cs="Open Sans"/>
                <w:color w:val="FFFFFF" w:themeColor="background1"/>
                <w:sz w:val="20"/>
                <w:szCs w:val="20"/>
              </w:rPr>
              <w:t>Otras</w:t>
            </w:r>
          </w:p>
        </w:tc>
        <w:tc>
          <w:tcPr>
            <w:tcW w:w="1276" w:type="dxa"/>
            <w:vMerge/>
            <w:tcBorders>
              <w:bottom w:val="single" w:sz="4" w:space="0" w:color="auto"/>
            </w:tcBorders>
          </w:tcPr>
          <w:p w14:paraId="48FAC694" w14:textId="77777777" w:rsidR="00CC2939" w:rsidRPr="0069728D" w:rsidRDefault="00CC2939" w:rsidP="00CC2939">
            <w:pPr>
              <w:widowControl w:val="0"/>
              <w:suppressAutoHyphens/>
              <w:autoSpaceDN w:val="0"/>
              <w:textAlignment w:val="baseline"/>
              <w:rPr>
                <w:rFonts w:ascii="Open Sans" w:eastAsia="Open Sans" w:hAnsi="Open Sans" w:cs="Open Sans"/>
                <w:color w:val="00000A"/>
                <w:sz w:val="20"/>
                <w:szCs w:val="20"/>
              </w:rPr>
            </w:pPr>
          </w:p>
        </w:tc>
        <w:tc>
          <w:tcPr>
            <w:tcW w:w="2103" w:type="dxa"/>
            <w:vMerge/>
            <w:tcBorders>
              <w:bottom w:val="single" w:sz="4" w:space="0" w:color="auto"/>
            </w:tcBorders>
          </w:tcPr>
          <w:p w14:paraId="57A0FEF8" w14:textId="77777777" w:rsidR="00CC2939" w:rsidRPr="0069728D" w:rsidRDefault="00CC2939" w:rsidP="00CC2939">
            <w:pPr>
              <w:widowControl w:val="0"/>
              <w:suppressAutoHyphens/>
              <w:autoSpaceDN w:val="0"/>
              <w:textAlignment w:val="baseline"/>
              <w:rPr>
                <w:rFonts w:ascii="Open Sans" w:eastAsia="Open Sans" w:hAnsi="Open Sans" w:cs="Open Sans"/>
                <w:color w:val="00000A"/>
                <w:sz w:val="20"/>
                <w:szCs w:val="20"/>
              </w:rPr>
            </w:pPr>
          </w:p>
        </w:tc>
      </w:tr>
      <w:tr w:rsidR="00CC2939" w:rsidRPr="0069728D" w14:paraId="05648239" w14:textId="77777777" w:rsidTr="0069728D">
        <w:trPr>
          <w:trHeight w:val="601"/>
        </w:trPr>
        <w:tc>
          <w:tcPr>
            <w:tcW w:w="1701" w:type="dxa"/>
            <w:tcBorders>
              <w:top w:val="single" w:sz="4" w:space="0" w:color="auto"/>
              <w:bottom w:val="single" w:sz="4" w:space="0" w:color="auto"/>
            </w:tcBorders>
            <w:shd w:val="clear" w:color="auto" w:fill="9D2235"/>
          </w:tcPr>
          <w:p w14:paraId="2500083E" w14:textId="5B3CA129" w:rsidR="00CC2939" w:rsidRPr="0069728D" w:rsidRDefault="00CC2939" w:rsidP="00DC24FA">
            <w:pPr>
              <w:widowControl w:val="0"/>
              <w:suppressAutoHyphens/>
              <w:autoSpaceDN w:val="0"/>
              <w:textAlignment w:val="baseline"/>
              <w:rPr>
                <w:rFonts w:ascii="Open Sans" w:eastAsia="Open Sans" w:hAnsi="Open Sans" w:cs="Open Sans"/>
                <w:b/>
                <w:color w:val="FFFFFF" w:themeColor="background1"/>
                <w:sz w:val="20"/>
                <w:szCs w:val="20"/>
              </w:rPr>
            </w:pPr>
            <w:r w:rsidRPr="0069728D">
              <w:rPr>
                <w:rFonts w:ascii="Open Sans" w:eastAsia="Open Sans" w:hAnsi="Open Sans" w:cs="Open Sans"/>
                <w:b/>
                <w:color w:val="FFFFFF" w:themeColor="background1"/>
                <w:sz w:val="20"/>
                <w:szCs w:val="20"/>
              </w:rPr>
              <w:t>Director/a y Jefe/a de área</w:t>
            </w:r>
          </w:p>
        </w:tc>
        <w:tc>
          <w:tcPr>
            <w:tcW w:w="1276" w:type="dxa"/>
            <w:tcBorders>
              <w:top w:val="single" w:sz="4" w:space="0" w:color="auto"/>
              <w:bottom w:val="single" w:sz="4" w:space="0" w:color="auto"/>
            </w:tcBorders>
            <w:vAlign w:val="center"/>
          </w:tcPr>
          <w:p w14:paraId="0D48FC42" w14:textId="77777777"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p>
        </w:tc>
        <w:tc>
          <w:tcPr>
            <w:tcW w:w="1333" w:type="dxa"/>
            <w:tcBorders>
              <w:top w:val="single" w:sz="4" w:space="0" w:color="auto"/>
              <w:bottom w:val="single" w:sz="4" w:space="0" w:color="auto"/>
            </w:tcBorders>
            <w:vAlign w:val="center"/>
          </w:tcPr>
          <w:p w14:paraId="44021943" w14:textId="46D1D0F5"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r w:rsidRPr="0069728D">
              <w:rPr>
                <w:rFonts w:ascii="Open Sans" w:eastAsia="Open Sans" w:hAnsi="Open Sans" w:cs="Open Sans"/>
                <w:color w:val="00000A"/>
                <w:sz w:val="20"/>
                <w:szCs w:val="20"/>
              </w:rPr>
              <w:t>2</w:t>
            </w:r>
          </w:p>
        </w:tc>
        <w:tc>
          <w:tcPr>
            <w:tcW w:w="935" w:type="dxa"/>
            <w:tcBorders>
              <w:top w:val="single" w:sz="4" w:space="0" w:color="auto"/>
              <w:bottom w:val="single" w:sz="4" w:space="0" w:color="auto"/>
            </w:tcBorders>
            <w:vAlign w:val="center"/>
          </w:tcPr>
          <w:p w14:paraId="1F8FFC67" w14:textId="43825D7E"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p>
        </w:tc>
        <w:tc>
          <w:tcPr>
            <w:tcW w:w="1276" w:type="dxa"/>
            <w:tcBorders>
              <w:top w:val="single" w:sz="4" w:space="0" w:color="auto"/>
              <w:bottom w:val="single" w:sz="4" w:space="0" w:color="auto"/>
            </w:tcBorders>
            <w:vAlign w:val="center"/>
          </w:tcPr>
          <w:p w14:paraId="71D2C5D2" w14:textId="4EBC0958" w:rsidR="00CC2939" w:rsidRPr="0069728D" w:rsidRDefault="00CD5F6C" w:rsidP="00DC24FA">
            <w:pPr>
              <w:widowControl w:val="0"/>
              <w:suppressAutoHyphens/>
              <w:autoSpaceDN w:val="0"/>
              <w:jc w:val="center"/>
              <w:textAlignment w:val="baseline"/>
              <w:rPr>
                <w:rFonts w:ascii="Open Sans" w:eastAsia="Open Sans" w:hAnsi="Open Sans" w:cs="Open Sans"/>
                <w:color w:val="00000A"/>
                <w:sz w:val="20"/>
                <w:szCs w:val="20"/>
              </w:rPr>
            </w:pPr>
            <w:r w:rsidRPr="0069728D">
              <w:rPr>
                <w:rFonts w:ascii="Open Sans" w:eastAsia="Open Sans" w:hAnsi="Open Sans" w:cs="Open Sans"/>
                <w:color w:val="00000A"/>
                <w:sz w:val="20"/>
                <w:szCs w:val="20"/>
              </w:rPr>
              <w:t>2</w:t>
            </w:r>
          </w:p>
        </w:tc>
        <w:tc>
          <w:tcPr>
            <w:tcW w:w="2103" w:type="dxa"/>
            <w:tcBorders>
              <w:top w:val="single" w:sz="4" w:space="0" w:color="auto"/>
              <w:bottom w:val="single" w:sz="4" w:space="0" w:color="auto"/>
            </w:tcBorders>
            <w:vAlign w:val="center"/>
          </w:tcPr>
          <w:p w14:paraId="3DFBF14A" w14:textId="4576E6F7"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r w:rsidRPr="0069728D">
              <w:rPr>
                <w:rFonts w:ascii="Open Sans" w:eastAsia="Open Sans" w:hAnsi="Open Sans" w:cs="Open Sans"/>
                <w:color w:val="00000A"/>
                <w:sz w:val="20"/>
                <w:szCs w:val="20"/>
              </w:rPr>
              <w:t>1</w:t>
            </w:r>
          </w:p>
        </w:tc>
      </w:tr>
      <w:tr w:rsidR="00CC2939" w:rsidRPr="0069728D" w14:paraId="0431747F" w14:textId="77777777" w:rsidTr="0069728D">
        <w:trPr>
          <w:trHeight w:val="837"/>
        </w:trPr>
        <w:tc>
          <w:tcPr>
            <w:tcW w:w="1701" w:type="dxa"/>
            <w:tcBorders>
              <w:top w:val="single" w:sz="4" w:space="0" w:color="auto"/>
              <w:bottom w:val="single" w:sz="4" w:space="0" w:color="auto"/>
            </w:tcBorders>
            <w:shd w:val="clear" w:color="auto" w:fill="9D2235"/>
          </w:tcPr>
          <w:p w14:paraId="7715B2C3" w14:textId="03D56B65" w:rsidR="00CC2939" w:rsidRPr="0069728D" w:rsidRDefault="00CC2939" w:rsidP="00DC24FA">
            <w:pPr>
              <w:widowControl w:val="0"/>
              <w:suppressAutoHyphens/>
              <w:autoSpaceDN w:val="0"/>
              <w:textAlignment w:val="baseline"/>
              <w:rPr>
                <w:rFonts w:ascii="Open Sans" w:eastAsia="Open Sans" w:hAnsi="Open Sans" w:cs="Open Sans"/>
                <w:b/>
                <w:color w:val="FFFFFF" w:themeColor="background1"/>
                <w:sz w:val="20"/>
                <w:szCs w:val="20"/>
              </w:rPr>
            </w:pPr>
            <w:r w:rsidRPr="0069728D">
              <w:rPr>
                <w:rFonts w:ascii="Open Sans" w:eastAsia="Open Sans" w:hAnsi="Open Sans" w:cs="Open Sans"/>
                <w:b/>
                <w:color w:val="FFFFFF" w:themeColor="background1"/>
                <w:sz w:val="20"/>
                <w:szCs w:val="20"/>
              </w:rPr>
              <w:t>Jefa/a de servicio y Letrado/a</w:t>
            </w:r>
          </w:p>
        </w:tc>
        <w:tc>
          <w:tcPr>
            <w:tcW w:w="1276" w:type="dxa"/>
            <w:tcBorders>
              <w:top w:val="single" w:sz="4" w:space="0" w:color="auto"/>
              <w:bottom w:val="single" w:sz="4" w:space="0" w:color="auto"/>
            </w:tcBorders>
            <w:vAlign w:val="center"/>
          </w:tcPr>
          <w:p w14:paraId="1677E24C" w14:textId="77777777"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p>
        </w:tc>
        <w:tc>
          <w:tcPr>
            <w:tcW w:w="1333" w:type="dxa"/>
            <w:tcBorders>
              <w:top w:val="single" w:sz="4" w:space="0" w:color="auto"/>
              <w:bottom w:val="single" w:sz="4" w:space="0" w:color="auto"/>
            </w:tcBorders>
            <w:vAlign w:val="center"/>
          </w:tcPr>
          <w:p w14:paraId="1031300A" w14:textId="7D877A07"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r w:rsidRPr="0069728D">
              <w:rPr>
                <w:rFonts w:ascii="Open Sans" w:eastAsia="Open Sans" w:hAnsi="Open Sans" w:cs="Open Sans"/>
                <w:color w:val="00000A"/>
                <w:sz w:val="20"/>
                <w:szCs w:val="20"/>
              </w:rPr>
              <w:t>2</w:t>
            </w:r>
          </w:p>
        </w:tc>
        <w:tc>
          <w:tcPr>
            <w:tcW w:w="935" w:type="dxa"/>
            <w:tcBorders>
              <w:top w:val="single" w:sz="4" w:space="0" w:color="auto"/>
              <w:bottom w:val="single" w:sz="4" w:space="0" w:color="auto"/>
            </w:tcBorders>
            <w:vAlign w:val="center"/>
          </w:tcPr>
          <w:p w14:paraId="4A0CAC79" w14:textId="77777777"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p>
        </w:tc>
        <w:tc>
          <w:tcPr>
            <w:tcW w:w="1276" w:type="dxa"/>
            <w:tcBorders>
              <w:top w:val="single" w:sz="4" w:space="0" w:color="auto"/>
              <w:bottom w:val="single" w:sz="4" w:space="0" w:color="auto"/>
            </w:tcBorders>
            <w:vAlign w:val="center"/>
          </w:tcPr>
          <w:p w14:paraId="63418AAD" w14:textId="516158C0"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r w:rsidRPr="0069728D">
              <w:rPr>
                <w:rFonts w:ascii="Open Sans" w:eastAsia="Open Sans" w:hAnsi="Open Sans" w:cs="Open Sans"/>
                <w:color w:val="00000A"/>
                <w:sz w:val="20"/>
                <w:szCs w:val="20"/>
              </w:rPr>
              <w:t>2</w:t>
            </w:r>
          </w:p>
        </w:tc>
        <w:tc>
          <w:tcPr>
            <w:tcW w:w="2103" w:type="dxa"/>
            <w:tcBorders>
              <w:top w:val="single" w:sz="4" w:space="0" w:color="auto"/>
              <w:bottom w:val="single" w:sz="4" w:space="0" w:color="auto"/>
            </w:tcBorders>
            <w:vAlign w:val="center"/>
          </w:tcPr>
          <w:p w14:paraId="6471FE30" w14:textId="1E96A17B"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r w:rsidRPr="0069728D">
              <w:rPr>
                <w:rFonts w:ascii="Open Sans" w:eastAsia="Open Sans" w:hAnsi="Open Sans" w:cs="Open Sans"/>
                <w:color w:val="00000A"/>
                <w:sz w:val="20"/>
                <w:szCs w:val="20"/>
              </w:rPr>
              <w:t>5</w:t>
            </w:r>
          </w:p>
        </w:tc>
      </w:tr>
      <w:tr w:rsidR="00CC2939" w:rsidRPr="0069728D" w14:paraId="0E2D4E61" w14:textId="77777777" w:rsidTr="0069728D">
        <w:trPr>
          <w:trHeight w:val="410"/>
        </w:trPr>
        <w:tc>
          <w:tcPr>
            <w:tcW w:w="1701" w:type="dxa"/>
            <w:tcBorders>
              <w:top w:val="single" w:sz="4" w:space="0" w:color="auto"/>
              <w:bottom w:val="single" w:sz="4" w:space="0" w:color="auto"/>
            </w:tcBorders>
            <w:shd w:val="clear" w:color="auto" w:fill="9D2235"/>
          </w:tcPr>
          <w:p w14:paraId="4F11F869" w14:textId="668AE0FB" w:rsidR="00CC2939" w:rsidRPr="0069728D" w:rsidRDefault="00CC2939" w:rsidP="00DC24FA">
            <w:pPr>
              <w:widowControl w:val="0"/>
              <w:suppressAutoHyphens/>
              <w:autoSpaceDN w:val="0"/>
              <w:textAlignment w:val="baseline"/>
              <w:rPr>
                <w:rFonts w:ascii="Open Sans" w:eastAsia="Open Sans" w:hAnsi="Open Sans" w:cs="Open Sans"/>
                <w:b/>
                <w:color w:val="FFFFFF" w:themeColor="background1"/>
                <w:sz w:val="20"/>
                <w:szCs w:val="20"/>
              </w:rPr>
            </w:pPr>
            <w:r w:rsidRPr="0069728D">
              <w:rPr>
                <w:rFonts w:ascii="Open Sans" w:eastAsia="Open Sans" w:hAnsi="Open Sans" w:cs="Open Sans"/>
                <w:b/>
                <w:color w:val="FFFFFF" w:themeColor="background1"/>
                <w:sz w:val="20"/>
                <w:szCs w:val="20"/>
              </w:rPr>
              <w:t>Jefe/a de Unidad</w:t>
            </w:r>
          </w:p>
        </w:tc>
        <w:tc>
          <w:tcPr>
            <w:tcW w:w="1276" w:type="dxa"/>
            <w:tcBorders>
              <w:top w:val="single" w:sz="4" w:space="0" w:color="auto"/>
              <w:bottom w:val="single" w:sz="4" w:space="0" w:color="auto"/>
            </w:tcBorders>
            <w:vAlign w:val="center"/>
          </w:tcPr>
          <w:p w14:paraId="7F73BF10" w14:textId="77777777"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p>
        </w:tc>
        <w:tc>
          <w:tcPr>
            <w:tcW w:w="1333" w:type="dxa"/>
            <w:tcBorders>
              <w:top w:val="single" w:sz="4" w:space="0" w:color="auto"/>
              <w:bottom w:val="single" w:sz="4" w:space="0" w:color="auto"/>
            </w:tcBorders>
            <w:vAlign w:val="center"/>
          </w:tcPr>
          <w:p w14:paraId="1675D0BC" w14:textId="13BDBC76"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r w:rsidRPr="0069728D">
              <w:rPr>
                <w:rFonts w:ascii="Open Sans" w:eastAsia="Open Sans" w:hAnsi="Open Sans" w:cs="Open Sans"/>
                <w:color w:val="00000A"/>
                <w:sz w:val="20"/>
                <w:szCs w:val="20"/>
              </w:rPr>
              <w:t>3</w:t>
            </w:r>
          </w:p>
        </w:tc>
        <w:tc>
          <w:tcPr>
            <w:tcW w:w="935" w:type="dxa"/>
            <w:tcBorders>
              <w:top w:val="single" w:sz="4" w:space="0" w:color="auto"/>
              <w:bottom w:val="single" w:sz="4" w:space="0" w:color="auto"/>
            </w:tcBorders>
            <w:vAlign w:val="center"/>
          </w:tcPr>
          <w:p w14:paraId="40D582F4" w14:textId="70F3A6FF"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r w:rsidRPr="0069728D">
              <w:rPr>
                <w:rFonts w:ascii="Open Sans" w:eastAsia="Open Sans" w:hAnsi="Open Sans" w:cs="Open Sans"/>
                <w:color w:val="00000A"/>
                <w:sz w:val="20"/>
                <w:szCs w:val="20"/>
              </w:rPr>
              <w:t>1</w:t>
            </w:r>
          </w:p>
        </w:tc>
        <w:tc>
          <w:tcPr>
            <w:tcW w:w="1276" w:type="dxa"/>
            <w:tcBorders>
              <w:top w:val="single" w:sz="4" w:space="0" w:color="auto"/>
              <w:bottom w:val="single" w:sz="4" w:space="0" w:color="auto"/>
            </w:tcBorders>
            <w:vAlign w:val="center"/>
          </w:tcPr>
          <w:p w14:paraId="5A0DAF7E" w14:textId="4E5A8450"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r w:rsidRPr="0069728D">
              <w:rPr>
                <w:rFonts w:ascii="Open Sans" w:eastAsia="Open Sans" w:hAnsi="Open Sans" w:cs="Open Sans"/>
                <w:color w:val="00000A"/>
                <w:sz w:val="20"/>
                <w:szCs w:val="20"/>
              </w:rPr>
              <w:t>5</w:t>
            </w:r>
          </w:p>
        </w:tc>
        <w:tc>
          <w:tcPr>
            <w:tcW w:w="2103" w:type="dxa"/>
            <w:tcBorders>
              <w:top w:val="single" w:sz="4" w:space="0" w:color="auto"/>
              <w:bottom w:val="single" w:sz="4" w:space="0" w:color="auto"/>
            </w:tcBorders>
            <w:vAlign w:val="center"/>
          </w:tcPr>
          <w:p w14:paraId="5A126158" w14:textId="0192DEB0"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r w:rsidRPr="0069728D">
              <w:rPr>
                <w:rFonts w:ascii="Open Sans" w:eastAsia="Open Sans" w:hAnsi="Open Sans" w:cs="Open Sans"/>
                <w:color w:val="00000A"/>
                <w:sz w:val="20"/>
                <w:szCs w:val="20"/>
              </w:rPr>
              <w:t>0</w:t>
            </w:r>
          </w:p>
        </w:tc>
      </w:tr>
      <w:tr w:rsidR="00CC2939" w:rsidRPr="0069728D" w14:paraId="366EC608" w14:textId="77777777" w:rsidTr="0069728D">
        <w:trPr>
          <w:trHeight w:val="557"/>
        </w:trPr>
        <w:tc>
          <w:tcPr>
            <w:tcW w:w="1701" w:type="dxa"/>
            <w:tcBorders>
              <w:top w:val="single" w:sz="4" w:space="0" w:color="auto"/>
              <w:bottom w:val="single" w:sz="4" w:space="0" w:color="auto"/>
            </w:tcBorders>
            <w:shd w:val="clear" w:color="auto" w:fill="9D2235"/>
          </w:tcPr>
          <w:p w14:paraId="25A4D540" w14:textId="71FFFEC1" w:rsidR="00CC2939" w:rsidRPr="0069728D" w:rsidRDefault="00CC2939" w:rsidP="00DC24FA">
            <w:pPr>
              <w:widowControl w:val="0"/>
              <w:suppressAutoHyphens/>
              <w:autoSpaceDN w:val="0"/>
              <w:textAlignment w:val="baseline"/>
              <w:rPr>
                <w:rFonts w:ascii="Open Sans" w:eastAsia="Open Sans" w:hAnsi="Open Sans" w:cs="Open Sans"/>
                <w:b/>
                <w:color w:val="FFFFFF" w:themeColor="background1"/>
                <w:sz w:val="20"/>
                <w:szCs w:val="20"/>
              </w:rPr>
            </w:pPr>
            <w:r w:rsidRPr="0069728D">
              <w:rPr>
                <w:rFonts w:ascii="Open Sans" w:eastAsia="Open Sans" w:hAnsi="Open Sans" w:cs="Open Sans"/>
                <w:b/>
                <w:color w:val="FFFFFF" w:themeColor="background1"/>
                <w:sz w:val="20"/>
                <w:szCs w:val="20"/>
              </w:rPr>
              <w:t>Investigador/a y Técnico/a</w:t>
            </w:r>
          </w:p>
        </w:tc>
        <w:tc>
          <w:tcPr>
            <w:tcW w:w="1276" w:type="dxa"/>
            <w:tcBorders>
              <w:top w:val="single" w:sz="4" w:space="0" w:color="auto"/>
              <w:bottom w:val="single" w:sz="4" w:space="0" w:color="auto"/>
            </w:tcBorders>
            <w:vAlign w:val="center"/>
          </w:tcPr>
          <w:p w14:paraId="3F95C4D4" w14:textId="77777777"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p>
        </w:tc>
        <w:tc>
          <w:tcPr>
            <w:tcW w:w="1333" w:type="dxa"/>
            <w:tcBorders>
              <w:top w:val="single" w:sz="4" w:space="0" w:color="auto"/>
              <w:bottom w:val="single" w:sz="4" w:space="0" w:color="auto"/>
            </w:tcBorders>
            <w:vAlign w:val="center"/>
          </w:tcPr>
          <w:p w14:paraId="6FACDBEB" w14:textId="04DD340B"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r w:rsidRPr="0069728D">
              <w:rPr>
                <w:rFonts w:ascii="Open Sans" w:eastAsia="Open Sans" w:hAnsi="Open Sans" w:cs="Open Sans"/>
                <w:color w:val="00000A"/>
                <w:sz w:val="20"/>
                <w:szCs w:val="20"/>
              </w:rPr>
              <w:t>2</w:t>
            </w:r>
          </w:p>
        </w:tc>
        <w:tc>
          <w:tcPr>
            <w:tcW w:w="935" w:type="dxa"/>
            <w:tcBorders>
              <w:top w:val="single" w:sz="4" w:space="0" w:color="auto"/>
              <w:bottom w:val="single" w:sz="4" w:space="0" w:color="auto"/>
            </w:tcBorders>
            <w:vAlign w:val="center"/>
          </w:tcPr>
          <w:p w14:paraId="557DBD95" w14:textId="10D4CC4B"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p>
        </w:tc>
        <w:tc>
          <w:tcPr>
            <w:tcW w:w="1276" w:type="dxa"/>
            <w:tcBorders>
              <w:top w:val="single" w:sz="4" w:space="0" w:color="auto"/>
              <w:bottom w:val="single" w:sz="4" w:space="0" w:color="auto"/>
            </w:tcBorders>
            <w:vAlign w:val="center"/>
          </w:tcPr>
          <w:p w14:paraId="53DED6AB" w14:textId="355ECA1D" w:rsidR="00CC2939" w:rsidRPr="0069728D" w:rsidRDefault="004149CE" w:rsidP="00DC24FA">
            <w:pPr>
              <w:widowControl w:val="0"/>
              <w:suppressAutoHyphens/>
              <w:autoSpaceDN w:val="0"/>
              <w:jc w:val="center"/>
              <w:textAlignment w:val="baseline"/>
              <w:rPr>
                <w:rFonts w:ascii="Open Sans" w:eastAsia="Open Sans" w:hAnsi="Open Sans" w:cs="Open Sans"/>
                <w:color w:val="00000A"/>
                <w:sz w:val="20"/>
                <w:szCs w:val="20"/>
              </w:rPr>
            </w:pPr>
            <w:r w:rsidRPr="0069728D">
              <w:rPr>
                <w:rFonts w:ascii="Open Sans" w:eastAsia="Open Sans" w:hAnsi="Open Sans" w:cs="Open Sans"/>
                <w:color w:val="00000A"/>
                <w:sz w:val="20"/>
                <w:szCs w:val="20"/>
              </w:rPr>
              <w:t>4</w:t>
            </w:r>
          </w:p>
        </w:tc>
        <w:tc>
          <w:tcPr>
            <w:tcW w:w="2103" w:type="dxa"/>
            <w:tcBorders>
              <w:top w:val="single" w:sz="4" w:space="0" w:color="auto"/>
              <w:bottom w:val="single" w:sz="4" w:space="0" w:color="auto"/>
            </w:tcBorders>
            <w:vAlign w:val="center"/>
          </w:tcPr>
          <w:p w14:paraId="26DE3A49" w14:textId="2AF987A1"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r w:rsidRPr="0069728D">
              <w:rPr>
                <w:rFonts w:ascii="Open Sans" w:eastAsia="Open Sans" w:hAnsi="Open Sans" w:cs="Open Sans"/>
                <w:color w:val="00000A"/>
                <w:sz w:val="20"/>
                <w:szCs w:val="20"/>
              </w:rPr>
              <w:t>0</w:t>
            </w:r>
          </w:p>
        </w:tc>
      </w:tr>
      <w:tr w:rsidR="00CC2939" w:rsidRPr="0069728D" w14:paraId="53779745" w14:textId="77777777" w:rsidTr="0069728D">
        <w:trPr>
          <w:trHeight w:val="423"/>
        </w:trPr>
        <w:tc>
          <w:tcPr>
            <w:tcW w:w="1701" w:type="dxa"/>
            <w:tcBorders>
              <w:top w:val="single" w:sz="4" w:space="0" w:color="auto"/>
              <w:bottom w:val="single" w:sz="4" w:space="0" w:color="auto"/>
            </w:tcBorders>
            <w:shd w:val="clear" w:color="auto" w:fill="9D2235"/>
          </w:tcPr>
          <w:p w14:paraId="3C8DE32E" w14:textId="35AF9610" w:rsidR="00CC2939" w:rsidRPr="0069728D" w:rsidRDefault="00CC2939" w:rsidP="00DC24FA">
            <w:pPr>
              <w:widowControl w:val="0"/>
              <w:suppressAutoHyphens/>
              <w:autoSpaceDN w:val="0"/>
              <w:textAlignment w:val="baseline"/>
              <w:rPr>
                <w:rFonts w:ascii="Open Sans" w:eastAsia="Open Sans" w:hAnsi="Open Sans" w:cs="Open Sans"/>
                <w:b/>
                <w:color w:val="FFFFFF" w:themeColor="background1"/>
                <w:sz w:val="20"/>
                <w:szCs w:val="20"/>
              </w:rPr>
            </w:pPr>
            <w:r w:rsidRPr="0069728D">
              <w:rPr>
                <w:rFonts w:ascii="Open Sans" w:eastAsia="Open Sans" w:hAnsi="Open Sans" w:cs="Open Sans"/>
                <w:b/>
                <w:color w:val="FFFFFF" w:themeColor="background1"/>
                <w:sz w:val="20"/>
                <w:szCs w:val="20"/>
              </w:rPr>
              <w:t>Jefe/a de Equipo</w:t>
            </w:r>
          </w:p>
        </w:tc>
        <w:tc>
          <w:tcPr>
            <w:tcW w:w="1276" w:type="dxa"/>
            <w:tcBorders>
              <w:top w:val="single" w:sz="4" w:space="0" w:color="auto"/>
              <w:bottom w:val="single" w:sz="4" w:space="0" w:color="auto"/>
            </w:tcBorders>
            <w:vAlign w:val="center"/>
          </w:tcPr>
          <w:p w14:paraId="2A513A92" w14:textId="77777777"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p>
        </w:tc>
        <w:tc>
          <w:tcPr>
            <w:tcW w:w="1333" w:type="dxa"/>
            <w:tcBorders>
              <w:top w:val="single" w:sz="4" w:space="0" w:color="auto"/>
              <w:bottom w:val="single" w:sz="4" w:space="0" w:color="auto"/>
            </w:tcBorders>
            <w:vAlign w:val="center"/>
          </w:tcPr>
          <w:p w14:paraId="0940CB3C" w14:textId="41D4F3CB"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r w:rsidRPr="0069728D">
              <w:rPr>
                <w:rFonts w:ascii="Open Sans" w:eastAsia="Open Sans" w:hAnsi="Open Sans" w:cs="Open Sans"/>
                <w:color w:val="00000A"/>
                <w:sz w:val="20"/>
                <w:szCs w:val="20"/>
              </w:rPr>
              <w:t>1</w:t>
            </w:r>
          </w:p>
        </w:tc>
        <w:tc>
          <w:tcPr>
            <w:tcW w:w="935" w:type="dxa"/>
            <w:tcBorders>
              <w:top w:val="single" w:sz="4" w:space="0" w:color="auto"/>
              <w:bottom w:val="single" w:sz="4" w:space="0" w:color="auto"/>
            </w:tcBorders>
            <w:vAlign w:val="center"/>
          </w:tcPr>
          <w:p w14:paraId="15C16842" w14:textId="77777777"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p>
        </w:tc>
        <w:tc>
          <w:tcPr>
            <w:tcW w:w="1276" w:type="dxa"/>
            <w:tcBorders>
              <w:top w:val="single" w:sz="4" w:space="0" w:color="auto"/>
              <w:bottom w:val="single" w:sz="4" w:space="0" w:color="auto"/>
            </w:tcBorders>
            <w:vAlign w:val="center"/>
          </w:tcPr>
          <w:p w14:paraId="37C96CF1" w14:textId="21999774"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r w:rsidRPr="0069728D">
              <w:rPr>
                <w:rFonts w:ascii="Open Sans" w:eastAsia="Open Sans" w:hAnsi="Open Sans" w:cs="Open Sans"/>
                <w:color w:val="00000A"/>
                <w:sz w:val="20"/>
                <w:szCs w:val="20"/>
              </w:rPr>
              <w:t>1</w:t>
            </w:r>
          </w:p>
        </w:tc>
        <w:tc>
          <w:tcPr>
            <w:tcW w:w="2103" w:type="dxa"/>
            <w:tcBorders>
              <w:top w:val="single" w:sz="4" w:space="0" w:color="auto"/>
              <w:bottom w:val="single" w:sz="4" w:space="0" w:color="auto"/>
            </w:tcBorders>
            <w:vAlign w:val="center"/>
          </w:tcPr>
          <w:p w14:paraId="45651F89" w14:textId="1C53F56A"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r w:rsidRPr="0069728D">
              <w:rPr>
                <w:rFonts w:ascii="Open Sans" w:eastAsia="Open Sans" w:hAnsi="Open Sans" w:cs="Open Sans"/>
                <w:color w:val="00000A"/>
                <w:sz w:val="20"/>
                <w:szCs w:val="20"/>
              </w:rPr>
              <w:t>0</w:t>
            </w:r>
          </w:p>
        </w:tc>
      </w:tr>
      <w:tr w:rsidR="00CC2939" w:rsidRPr="0069728D" w14:paraId="386F7F02" w14:textId="77777777" w:rsidTr="0069728D">
        <w:trPr>
          <w:trHeight w:val="557"/>
        </w:trPr>
        <w:tc>
          <w:tcPr>
            <w:tcW w:w="1701" w:type="dxa"/>
            <w:tcBorders>
              <w:top w:val="single" w:sz="4" w:space="0" w:color="auto"/>
              <w:bottom w:val="single" w:sz="4" w:space="0" w:color="auto"/>
            </w:tcBorders>
            <w:shd w:val="clear" w:color="auto" w:fill="9D2235"/>
          </w:tcPr>
          <w:p w14:paraId="754BF962" w14:textId="507185DA" w:rsidR="00CC2939" w:rsidRPr="0069728D" w:rsidRDefault="00CC2939" w:rsidP="00DC24FA">
            <w:pPr>
              <w:widowControl w:val="0"/>
              <w:suppressAutoHyphens/>
              <w:autoSpaceDN w:val="0"/>
              <w:textAlignment w:val="baseline"/>
              <w:rPr>
                <w:rFonts w:ascii="Open Sans" w:eastAsia="Open Sans" w:hAnsi="Open Sans" w:cs="Open Sans"/>
                <w:b/>
                <w:color w:val="FFFFFF" w:themeColor="background1"/>
                <w:sz w:val="20"/>
                <w:szCs w:val="20"/>
              </w:rPr>
            </w:pPr>
            <w:r w:rsidRPr="0069728D">
              <w:rPr>
                <w:rFonts w:ascii="Open Sans" w:eastAsia="Open Sans" w:hAnsi="Open Sans" w:cs="Open Sans"/>
                <w:b/>
                <w:color w:val="FFFFFF" w:themeColor="background1"/>
                <w:sz w:val="20"/>
                <w:szCs w:val="20"/>
              </w:rPr>
              <w:t>Jefe/a de Negociado</w:t>
            </w:r>
          </w:p>
        </w:tc>
        <w:tc>
          <w:tcPr>
            <w:tcW w:w="1276" w:type="dxa"/>
            <w:tcBorders>
              <w:top w:val="single" w:sz="4" w:space="0" w:color="auto"/>
              <w:bottom w:val="single" w:sz="4" w:space="0" w:color="auto"/>
            </w:tcBorders>
            <w:vAlign w:val="center"/>
          </w:tcPr>
          <w:p w14:paraId="7EAB0854" w14:textId="5BFAA6CB"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r w:rsidRPr="0069728D">
              <w:rPr>
                <w:rFonts w:ascii="Open Sans" w:eastAsia="Open Sans" w:hAnsi="Open Sans" w:cs="Open Sans"/>
                <w:color w:val="00000A"/>
                <w:sz w:val="20"/>
                <w:szCs w:val="20"/>
              </w:rPr>
              <w:t>1</w:t>
            </w:r>
          </w:p>
        </w:tc>
        <w:tc>
          <w:tcPr>
            <w:tcW w:w="1333" w:type="dxa"/>
            <w:tcBorders>
              <w:top w:val="single" w:sz="4" w:space="0" w:color="auto"/>
              <w:bottom w:val="single" w:sz="4" w:space="0" w:color="auto"/>
            </w:tcBorders>
            <w:vAlign w:val="center"/>
          </w:tcPr>
          <w:p w14:paraId="026B75BB" w14:textId="77777777"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p>
        </w:tc>
        <w:tc>
          <w:tcPr>
            <w:tcW w:w="935" w:type="dxa"/>
            <w:tcBorders>
              <w:top w:val="single" w:sz="4" w:space="0" w:color="auto"/>
              <w:bottom w:val="single" w:sz="4" w:space="0" w:color="auto"/>
            </w:tcBorders>
            <w:vAlign w:val="center"/>
          </w:tcPr>
          <w:p w14:paraId="6F903A1B" w14:textId="39DD97EF"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r w:rsidRPr="0069728D">
              <w:rPr>
                <w:rFonts w:ascii="Open Sans" w:eastAsia="Open Sans" w:hAnsi="Open Sans" w:cs="Open Sans"/>
                <w:color w:val="00000A"/>
                <w:sz w:val="20"/>
                <w:szCs w:val="20"/>
              </w:rPr>
              <w:t>1</w:t>
            </w:r>
          </w:p>
        </w:tc>
        <w:tc>
          <w:tcPr>
            <w:tcW w:w="1276" w:type="dxa"/>
            <w:tcBorders>
              <w:top w:val="single" w:sz="4" w:space="0" w:color="auto"/>
              <w:bottom w:val="single" w:sz="4" w:space="0" w:color="auto"/>
            </w:tcBorders>
            <w:vAlign w:val="center"/>
          </w:tcPr>
          <w:p w14:paraId="0B122057" w14:textId="051A6BAB"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r w:rsidRPr="0069728D">
              <w:rPr>
                <w:rFonts w:ascii="Open Sans" w:eastAsia="Open Sans" w:hAnsi="Open Sans" w:cs="Open Sans"/>
                <w:color w:val="00000A"/>
                <w:sz w:val="20"/>
                <w:szCs w:val="20"/>
              </w:rPr>
              <w:t>2</w:t>
            </w:r>
          </w:p>
        </w:tc>
        <w:tc>
          <w:tcPr>
            <w:tcW w:w="2103" w:type="dxa"/>
            <w:tcBorders>
              <w:top w:val="single" w:sz="4" w:space="0" w:color="auto"/>
              <w:bottom w:val="single" w:sz="4" w:space="0" w:color="auto"/>
            </w:tcBorders>
            <w:vAlign w:val="center"/>
          </w:tcPr>
          <w:p w14:paraId="516F5DD4" w14:textId="61A1294E"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r w:rsidRPr="0069728D">
              <w:rPr>
                <w:rFonts w:ascii="Open Sans" w:eastAsia="Open Sans" w:hAnsi="Open Sans" w:cs="Open Sans"/>
                <w:color w:val="00000A"/>
                <w:sz w:val="20"/>
                <w:szCs w:val="20"/>
              </w:rPr>
              <w:t>0</w:t>
            </w:r>
          </w:p>
        </w:tc>
      </w:tr>
      <w:tr w:rsidR="00CC2939" w:rsidRPr="0069728D" w14:paraId="33427CEF" w14:textId="77777777" w:rsidTr="0069728D">
        <w:trPr>
          <w:trHeight w:val="693"/>
        </w:trPr>
        <w:tc>
          <w:tcPr>
            <w:tcW w:w="1701" w:type="dxa"/>
            <w:tcBorders>
              <w:top w:val="single" w:sz="4" w:space="0" w:color="auto"/>
              <w:bottom w:val="single" w:sz="4" w:space="0" w:color="auto"/>
            </w:tcBorders>
            <w:shd w:val="clear" w:color="auto" w:fill="9D2235"/>
          </w:tcPr>
          <w:p w14:paraId="044880D4" w14:textId="3E92FCB5" w:rsidR="00CC2939" w:rsidRPr="0069728D" w:rsidRDefault="00CC2939" w:rsidP="00DC24FA">
            <w:pPr>
              <w:widowControl w:val="0"/>
              <w:suppressAutoHyphens/>
              <w:autoSpaceDN w:val="0"/>
              <w:textAlignment w:val="baseline"/>
              <w:rPr>
                <w:rFonts w:ascii="Open Sans" w:eastAsia="Open Sans" w:hAnsi="Open Sans" w:cs="Open Sans"/>
                <w:b/>
                <w:color w:val="FFFFFF" w:themeColor="background1"/>
                <w:sz w:val="20"/>
                <w:szCs w:val="20"/>
              </w:rPr>
            </w:pPr>
            <w:r w:rsidRPr="0069728D">
              <w:rPr>
                <w:rFonts w:ascii="Open Sans" w:eastAsia="Open Sans" w:hAnsi="Open Sans" w:cs="Open Sans"/>
                <w:b/>
                <w:color w:val="FFFFFF" w:themeColor="background1"/>
                <w:sz w:val="20"/>
                <w:szCs w:val="20"/>
              </w:rPr>
              <w:t>Secretario/a de Dirección</w:t>
            </w:r>
          </w:p>
        </w:tc>
        <w:tc>
          <w:tcPr>
            <w:tcW w:w="1276" w:type="dxa"/>
            <w:tcBorders>
              <w:top w:val="single" w:sz="4" w:space="0" w:color="auto"/>
              <w:bottom w:val="single" w:sz="4" w:space="0" w:color="auto"/>
            </w:tcBorders>
            <w:vAlign w:val="center"/>
          </w:tcPr>
          <w:p w14:paraId="6C82F14C" w14:textId="7EBA7949"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r w:rsidRPr="0069728D">
              <w:rPr>
                <w:rFonts w:ascii="Open Sans" w:eastAsia="Open Sans" w:hAnsi="Open Sans" w:cs="Open Sans"/>
                <w:color w:val="00000A"/>
                <w:sz w:val="20"/>
                <w:szCs w:val="20"/>
              </w:rPr>
              <w:t>1</w:t>
            </w:r>
          </w:p>
        </w:tc>
        <w:tc>
          <w:tcPr>
            <w:tcW w:w="1333" w:type="dxa"/>
            <w:tcBorders>
              <w:top w:val="single" w:sz="4" w:space="0" w:color="auto"/>
              <w:bottom w:val="single" w:sz="4" w:space="0" w:color="auto"/>
            </w:tcBorders>
            <w:vAlign w:val="center"/>
          </w:tcPr>
          <w:p w14:paraId="766FD7DC" w14:textId="77777777"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p>
        </w:tc>
        <w:tc>
          <w:tcPr>
            <w:tcW w:w="935" w:type="dxa"/>
            <w:tcBorders>
              <w:top w:val="single" w:sz="4" w:space="0" w:color="auto"/>
              <w:bottom w:val="single" w:sz="4" w:space="0" w:color="auto"/>
            </w:tcBorders>
            <w:vAlign w:val="center"/>
          </w:tcPr>
          <w:p w14:paraId="3BB8F873" w14:textId="77777777"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p>
        </w:tc>
        <w:tc>
          <w:tcPr>
            <w:tcW w:w="1276" w:type="dxa"/>
            <w:tcBorders>
              <w:top w:val="single" w:sz="4" w:space="0" w:color="auto"/>
              <w:bottom w:val="single" w:sz="4" w:space="0" w:color="auto"/>
            </w:tcBorders>
            <w:vAlign w:val="center"/>
          </w:tcPr>
          <w:p w14:paraId="42203269" w14:textId="77777777"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p>
        </w:tc>
        <w:tc>
          <w:tcPr>
            <w:tcW w:w="2103" w:type="dxa"/>
            <w:tcBorders>
              <w:top w:val="single" w:sz="4" w:space="0" w:color="auto"/>
              <w:bottom w:val="single" w:sz="4" w:space="0" w:color="auto"/>
            </w:tcBorders>
            <w:vAlign w:val="center"/>
          </w:tcPr>
          <w:p w14:paraId="683ACFCB" w14:textId="52CBF18F"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r w:rsidRPr="0069728D">
              <w:rPr>
                <w:rFonts w:ascii="Open Sans" w:eastAsia="Open Sans" w:hAnsi="Open Sans" w:cs="Open Sans"/>
                <w:color w:val="00000A"/>
                <w:sz w:val="20"/>
                <w:szCs w:val="20"/>
              </w:rPr>
              <w:t>0</w:t>
            </w:r>
          </w:p>
        </w:tc>
      </w:tr>
      <w:tr w:rsidR="00CC2939" w:rsidRPr="0069728D" w14:paraId="5C214F50" w14:textId="77777777" w:rsidTr="0069728D">
        <w:trPr>
          <w:trHeight w:val="419"/>
        </w:trPr>
        <w:tc>
          <w:tcPr>
            <w:tcW w:w="1701" w:type="dxa"/>
            <w:tcBorders>
              <w:top w:val="single" w:sz="4" w:space="0" w:color="auto"/>
              <w:bottom w:val="single" w:sz="4" w:space="0" w:color="auto"/>
            </w:tcBorders>
            <w:shd w:val="clear" w:color="auto" w:fill="9D2235"/>
          </w:tcPr>
          <w:p w14:paraId="4DF5E678" w14:textId="2D983B9F" w:rsidR="00CC2939" w:rsidRPr="0069728D" w:rsidRDefault="00CC2939" w:rsidP="00DC24FA">
            <w:pPr>
              <w:widowControl w:val="0"/>
              <w:suppressAutoHyphens/>
              <w:autoSpaceDN w:val="0"/>
              <w:textAlignment w:val="baseline"/>
              <w:rPr>
                <w:rFonts w:ascii="Open Sans" w:eastAsia="Open Sans" w:hAnsi="Open Sans" w:cs="Open Sans"/>
                <w:b/>
                <w:color w:val="FFFFFF" w:themeColor="background1"/>
                <w:sz w:val="20"/>
                <w:szCs w:val="20"/>
              </w:rPr>
            </w:pPr>
            <w:r w:rsidRPr="0069728D">
              <w:rPr>
                <w:rFonts w:ascii="Open Sans" w:eastAsia="Open Sans" w:hAnsi="Open Sans" w:cs="Open Sans"/>
                <w:b/>
                <w:color w:val="FFFFFF" w:themeColor="background1"/>
                <w:sz w:val="20"/>
                <w:szCs w:val="20"/>
              </w:rPr>
              <w:t>Subalterno/a</w:t>
            </w:r>
          </w:p>
        </w:tc>
        <w:tc>
          <w:tcPr>
            <w:tcW w:w="1276" w:type="dxa"/>
            <w:tcBorders>
              <w:top w:val="single" w:sz="4" w:space="0" w:color="auto"/>
              <w:bottom w:val="single" w:sz="4" w:space="0" w:color="auto"/>
            </w:tcBorders>
            <w:vAlign w:val="center"/>
          </w:tcPr>
          <w:p w14:paraId="6D976CB9" w14:textId="2F9BEC23" w:rsidR="00CC2939" w:rsidRPr="0069728D" w:rsidRDefault="00CC2939" w:rsidP="00DC24FA">
            <w:pPr>
              <w:widowControl w:val="0"/>
              <w:tabs>
                <w:tab w:val="left" w:pos="636"/>
              </w:tabs>
              <w:suppressAutoHyphens/>
              <w:autoSpaceDN w:val="0"/>
              <w:jc w:val="center"/>
              <w:textAlignment w:val="baseline"/>
              <w:rPr>
                <w:rFonts w:ascii="Open Sans" w:eastAsia="Open Sans" w:hAnsi="Open Sans" w:cs="Open Sans"/>
                <w:color w:val="00000A"/>
                <w:sz w:val="20"/>
                <w:szCs w:val="20"/>
              </w:rPr>
            </w:pPr>
          </w:p>
        </w:tc>
        <w:tc>
          <w:tcPr>
            <w:tcW w:w="1333" w:type="dxa"/>
            <w:tcBorders>
              <w:top w:val="single" w:sz="4" w:space="0" w:color="auto"/>
              <w:bottom w:val="single" w:sz="4" w:space="0" w:color="auto"/>
            </w:tcBorders>
            <w:vAlign w:val="center"/>
          </w:tcPr>
          <w:p w14:paraId="6532DAF5" w14:textId="53F55765" w:rsidR="00CC2939" w:rsidRPr="0069728D" w:rsidRDefault="00DC24FA" w:rsidP="00DC24FA">
            <w:pPr>
              <w:widowControl w:val="0"/>
              <w:suppressAutoHyphens/>
              <w:autoSpaceDN w:val="0"/>
              <w:jc w:val="center"/>
              <w:textAlignment w:val="baseline"/>
              <w:rPr>
                <w:rFonts w:ascii="Open Sans" w:eastAsia="Open Sans" w:hAnsi="Open Sans" w:cs="Open Sans"/>
                <w:color w:val="00000A"/>
                <w:sz w:val="20"/>
                <w:szCs w:val="20"/>
              </w:rPr>
            </w:pPr>
            <w:r w:rsidRPr="0069728D">
              <w:rPr>
                <w:rFonts w:ascii="Open Sans" w:eastAsia="Open Sans" w:hAnsi="Open Sans" w:cs="Open Sans"/>
                <w:color w:val="00000A"/>
                <w:sz w:val="20"/>
                <w:szCs w:val="20"/>
              </w:rPr>
              <w:t>1</w:t>
            </w:r>
          </w:p>
        </w:tc>
        <w:tc>
          <w:tcPr>
            <w:tcW w:w="935" w:type="dxa"/>
            <w:tcBorders>
              <w:top w:val="single" w:sz="4" w:space="0" w:color="auto"/>
              <w:bottom w:val="single" w:sz="4" w:space="0" w:color="auto"/>
            </w:tcBorders>
            <w:vAlign w:val="center"/>
          </w:tcPr>
          <w:p w14:paraId="6B06DC9E" w14:textId="77777777"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p>
        </w:tc>
        <w:tc>
          <w:tcPr>
            <w:tcW w:w="1276" w:type="dxa"/>
            <w:tcBorders>
              <w:top w:val="single" w:sz="4" w:space="0" w:color="auto"/>
              <w:bottom w:val="single" w:sz="4" w:space="0" w:color="auto"/>
            </w:tcBorders>
            <w:vAlign w:val="center"/>
          </w:tcPr>
          <w:p w14:paraId="014A7DA8" w14:textId="77777777" w:rsidR="00CC2939" w:rsidRPr="0069728D" w:rsidRDefault="00CC2939" w:rsidP="00DC24FA">
            <w:pPr>
              <w:widowControl w:val="0"/>
              <w:suppressAutoHyphens/>
              <w:autoSpaceDN w:val="0"/>
              <w:jc w:val="center"/>
              <w:textAlignment w:val="baseline"/>
              <w:rPr>
                <w:rFonts w:ascii="Open Sans" w:eastAsia="Open Sans" w:hAnsi="Open Sans" w:cs="Open Sans"/>
                <w:color w:val="00000A"/>
                <w:sz w:val="20"/>
                <w:szCs w:val="20"/>
              </w:rPr>
            </w:pPr>
          </w:p>
        </w:tc>
        <w:tc>
          <w:tcPr>
            <w:tcW w:w="2103" w:type="dxa"/>
            <w:tcBorders>
              <w:top w:val="single" w:sz="4" w:space="0" w:color="auto"/>
              <w:bottom w:val="single" w:sz="4" w:space="0" w:color="auto"/>
            </w:tcBorders>
            <w:vAlign w:val="center"/>
          </w:tcPr>
          <w:p w14:paraId="21C34B02" w14:textId="0626A7B8" w:rsidR="00CC2939" w:rsidRPr="0069728D" w:rsidRDefault="00DC24FA" w:rsidP="00DC24FA">
            <w:pPr>
              <w:widowControl w:val="0"/>
              <w:suppressAutoHyphens/>
              <w:autoSpaceDN w:val="0"/>
              <w:jc w:val="center"/>
              <w:textAlignment w:val="baseline"/>
              <w:rPr>
                <w:rFonts w:ascii="Open Sans" w:eastAsia="Open Sans" w:hAnsi="Open Sans" w:cs="Open Sans"/>
                <w:color w:val="00000A"/>
                <w:sz w:val="20"/>
                <w:szCs w:val="20"/>
              </w:rPr>
            </w:pPr>
            <w:r w:rsidRPr="0069728D">
              <w:rPr>
                <w:rFonts w:ascii="Open Sans" w:eastAsia="Open Sans" w:hAnsi="Open Sans" w:cs="Open Sans"/>
                <w:color w:val="00000A"/>
                <w:sz w:val="20"/>
                <w:szCs w:val="20"/>
              </w:rPr>
              <w:t>0</w:t>
            </w:r>
          </w:p>
        </w:tc>
      </w:tr>
      <w:tr w:rsidR="00CC2939" w:rsidRPr="0069728D" w14:paraId="19B7A446" w14:textId="77777777" w:rsidTr="00DC24FA">
        <w:tc>
          <w:tcPr>
            <w:tcW w:w="1701" w:type="dxa"/>
            <w:tcBorders>
              <w:top w:val="single" w:sz="4" w:space="0" w:color="auto"/>
            </w:tcBorders>
            <w:shd w:val="clear" w:color="auto" w:fill="9D2235"/>
          </w:tcPr>
          <w:p w14:paraId="7EEC8519" w14:textId="092695B7" w:rsidR="00CC2939" w:rsidRPr="0069728D" w:rsidRDefault="00CC2939" w:rsidP="00DC24FA">
            <w:pPr>
              <w:widowControl w:val="0"/>
              <w:suppressAutoHyphens/>
              <w:autoSpaceDN w:val="0"/>
              <w:textAlignment w:val="baseline"/>
              <w:rPr>
                <w:rFonts w:ascii="Open Sans" w:eastAsia="Open Sans" w:hAnsi="Open Sans" w:cs="Open Sans"/>
                <w:b/>
                <w:color w:val="FFFFFF" w:themeColor="background1"/>
                <w:sz w:val="20"/>
                <w:szCs w:val="20"/>
              </w:rPr>
            </w:pPr>
            <w:r w:rsidRPr="0069728D">
              <w:rPr>
                <w:rFonts w:ascii="Open Sans" w:eastAsia="Open Sans" w:hAnsi="Open Sans" w:cs="Open Sans"/>
                <w:b/>
                <w:color w:val="FFFFFF" w:themeColor="background1"/>
                <w:sz w:val="20"/>
                <w:szCs w:val="20"/>
              </w:rPr>
              <w:t>Total</w:t>
            </w:r>
          </w:p>
        </w:tc>
        <w:tc>
          <w:tcPr>
            <w:tcW w:w="1276" w:type="dxa"/>
            <w:tcBorders>
              <w:top w:val="single" w:sz="4" w:space="0" w:color="auto"/>
            </w:tcBorders>
            <w:vAlign w:val="center"/>
          </w:tcPr>
          <w:p w14:paraId="52BB1408" w14:textId="13FCF226" w:rsidR="00CC2939" w:rsidRPr="0069728D" w:rsidRDefault="00DC24FA" w:rsidP="00DC24FA">
            <w:pPr>
              <w:widowControl w:val="0"/>
              <w:suppressAutoHyphens/>
              <w:autoSpaceDN w:val="0"/>
              <w:jc w:val="center"/>
              <w:textAlignment w:val="baseline"/>
              <w:rPr>
                <w:rFonts w:ascii="Open Sans" w:eastAsia="Open Sans" w:hAnsi="Open Sans" w:cs="Open Sans"/>
                <w:b/>
                <w:color w:val="00000A"/>
                <w:sz w:val="20"/>
                <w:szCs w:val="20"/>
              </w:rPr>
            </w:pPr>
            <w:r w:rsidRPr="0069728D">
              <w:rPr>
                <w:rFonts w:ascii="Open Sans" w:eastAsia="Open Sans" w:hAnsi="Open Sans" w:cs="Open Sans"/>
                <w:b/>
                <w:color w:val="00000A"/>
                <w:sz w:val="20"/>
                <w:szCs w:val="20"/>
              </w:rPr>
              <w:t>2</w:t>
            </w:r>
          </w:p>
        </w:tc>
        <w:tc>
          <w:tcPr>
            <w:tcW w:w="1333" w:type="dxa"/>
            <w:tcBorders>
              <w:top w:val="single" w:sz="4" w:space="0" w:color="auto"/>
            </w:tcBorders>
            <w:vAlign w:val="center"/>
          </w:tcPr>
          <w:p w14:paraId="6DFC4BCC" w14:textId="28CC1D0E" w:rsidR="00CC2939" w:rsidRPr="0069728D" w:rsidRDefault="00DC24FA" w:rsidP="00DC24FA">
            <w:pPr>
              <w:widowControl w:val="0"/>
              <w:suppressAutoHyphens/>
              <w:autoSpaceDN w:val="0"/>
              <w:jc w:val="center"/>
              <w:textAlignment w:val="baseline"/>
              <w:rPr>
                <w:rFonts w:ascii="Open Sans" w:eastAsia="Open Sans" w:hAnsi="Open Sans" w:cs="Open Sans"/>
                <w:b/>
                <w:color w:val="00000A"/>
                <w:sz w:val="20"/>
                <w:szCs w:val="20"/>
              </w:rPr>
            </w:pPr>
            <w:r w:rsidRPr="0069728D">
              <w:rPr>
                <w:rFonts w:ascii="Open Sans" w:eastAsia="Open Sans" w:hAnsi="Open Sans" w:cs="Open Sans"/>
                <w:b/>
                <w:color w:val="00000A"/>
                <w:sz w:val="20"/>
                <w:szCs w:val="20"/>
              </w:rPr>
              <w:t>11</w:t>
            </w:r>
          </w:p>
        </w:tc>
        <w:tc>
          <w:tcPr>
            <w:tcW w:w="935" w:type="dxa"/>
            <w:tcBorders>
              <w:top w:val="single" w:sz="4" w:space="0" w:color="auto"/>
            </w:tcBorders>
            <w:vAlign w:val="center"/>
          </w:tcPr>
          <w:p w14:paraId="02F4C999" w14:textId="2D5E9FF1" w:rsidR="00CC2939" w:rsidRPr="0069728D" w:rsidRDefault="00CD5F6C" w:rsidP="00DC24FA">
            <w:pPr>
              <w:widowControl w:val="0"/>
              <w:suppressAutoHyphens/>
              <w:autoSpaceDN w:val="0"/>
              <w:jc w:val="center"/>
              <w:textAlignment w:val="baseline"/>
              <w:rPr>
                <w:rFonts w:ascii="Open Sans" w:eastAsia="Open Sans" w:hAnsi="Open Sans" w:cs="Open Sans"/>
                <w:b/>
                <w:color w:val="00000A"/>
                <w:sz w:val="20"/>
                <w:szCs w:val="20"/>
              </w:rPr>
            </w:pPr>
            <w:r w:rsidRPr="0069728D">
              <w:rPr>
                <w:rFonts w:ascii="Open Sans" w:eastAsia="Open Sans" w:hAnsi="Open Sans" w:cs="Open Sans"/>
                <w:b/>
                <w:color w:val="00000A"/>
                <w:sz w:val="20"/>
                <w:szCs w:val="20"/>
              </w:rPr>
              <w:t>2</w:t>
            </w:r>
          </w:p>
        </w:tc>
        <w:tc>
          <w:tcPr>
            <w:tcW w:w="1276" w:type="dxa"/>
            <w:tcBorders>
              <w:top w:val="single" w:sz="4" w:space="0" w:color="auto"/>
            </w:tcBorders>
            <w:vAlign w:val="center"/>
          </w:tcPr>
          <w:p w14:paraId="03E6A90F" w14:textId="57E7D1EB" w:rsidR="00CC2939" w:rsidRPr="0069728D" w:rsidRDefault="00DC24FA" w:rsidP="00DC24FA">
            <w:pPr>
              <w:widowControl w:val="0"/>
              <w:suppressAutoHyphens/>
              <w:autoSpaceDN w:val="0"/>
              <w:jc w:val="center"/>
              <w:textAlignment w:val="baseline"/>
              <w:rPr>
                <w:rFonts w:ascii="Open Sans" w:eastAsia="Open Sans" w:hAnsi="Open Sans" w:cs="Open Sans"/>
                <w:b/>
                <w:color w:val="00000A"/>
                <w:sz w:val="20"/>
                <w:szCs w:val="20"/>
              </w:rPr>
            </w:pPr>
            <w:r w:rsidRPr="0069728D">
              <w:rPr>
                <w:rFonts w:ascii="Open Sans" w:eastAsia="Open Sans" w:hAnsi="Open Sans" w:cs="Open Sans"/>
                <w:b/>
                <w:color w:val="00000A"/>
                <w:sz w:val="20"/>
                <w:szCs w:val="20"/>
              </w:rPr>
              <w:t>1</w:t>
            </w:r>
            <w:r w:rsidR="00CD5F6C" w:rsidRPr="0069728D">
              <w:rPr>
                <w:rFonts w:ascii="Open Sans" w:eastAsia="Open Sans" w:hAnsi="Open Sans" w:cs="Open Sans"/>
                <w:b/>
                <w:color w:val="00000A"/>
                <w:sz w:val="20"/>
                <w:szCs w:val="20"/>
              </w:rPr>
              <w:t>6</w:t>
            </w:r>
          </w:p>
        </w:tc>
        <w:tc>
          <w:tcPr>
            <w:tcW w:w="2103" w:type="dxa"/>
            <w:tcBorders>
              <w:top w:val="single" w:sz="4" w:space="0" w:color="auto"/>
            </w:tcBorders>
            <w:vAlign w:val="center"/>
          </w:tcPr>
          <w:p w14:paraId="42F059F3" w14:textId="25177AF5" w:rsidR="00CC2939" w:rsidRPr="0069728D" w:rsidRDefault="00DC24FA" w:rsidP="00DC24FA">
            <w:pPr>
              <w:widowControl w:val="0"/>
              <w:suppressAutoHyphens/>
              <w:autoSpaceDN w:val="0"/>
              <w:jc w:val="center"/>
              <w:textAlignment w:val="baseline"/>
              <w:rPr>
                <w:rFonts w:ascii="Open Sans" w:eastAsia="Open Sans" w:hAnsi="Open Sans" w:cs="Open Sans"/>
                <w:b/>
                <w:color w:val="00000A"/>
                <w:sz w:val="20"/>
                <w:szCs w:val="20"/>
              </w:rPr>
            </w:pPr>
            <w:r w:rsidRPr="0069728D">
              <w:rPr>
                <w:rFonts w:ascii="Open Sans" w:eastAsia="Open Sans" w:hAnsi="Open Sans" w:cs="Open Sans"/>
                <w:b/>
                <w:color w:val="00000A"/>
                <w:sz w:val="20"/>
                <w:szCs w:val="20"/>
              </w:rPr>
              <w:t>6</w:t>
            </w:r>
          </w:p>
        </w:tc>
      </w:tr>
    </w:tbl>
    <w:p w14:paraId="5E0CB777" w14:textId="28E72EB7" w:rsidR="00264EC2" w:rsidRPr="00A07BE9" w:rsidRDefault="00264EC2" w:rsidP="00D572EA">
      <w:pPr>
        <w:widowControl w:val="0"/>
        <w:suppressAutoHyphens/>
        <w:autoSpaceDN w:val="0"/>
        <w:spacing w:after="0" w:line="240" w:lineRule="auto"/>
        <w:jc w:val="both"/>
        <w:textAlignment w:val="baseline"/>
        <w:rPr>
          <w:rFonts w:ascii="Open Sans" w:eastAsia="Open Sans" w:hAnsi="Open Sans" w:cs="Open Sans"/>
          <w:color w:val="00000A"/>
          <w:sz w:val="21"/>
          <w:szCs w:val="21"/>
        </w:rPr>
      </w:pPr>
    </w:p>
    <w:p w14:paraId="47F7FE31" w14:textId="2EF42F59" w:rsidR="00264EC2" w:rsidRDefault="00264EC2" w:rsidP="00D572EA">
      <w:pPr>
        <w:widowControl w:val="0"/>
        <w:suppressAutoHyphens/>
        <w:autoSpaceDN w:val="0"/>
        <w:spacing w:after="0" w:line="240" w:lineRule="auto"/>
        <w:jc w:val="both"/>
        <w:textAlignment w:val="baseline"/>
        <w:rPr>
          <w:rFonts w:ascii="Open Sans" w:eastAsia="Open Sans" w:hAnsi="Open Sans" w:cs="Open Sans"/>
          <w:color w:val="00000A"/>
          <w:sz w:val="21"/>
          <w:szCs w:val="21"/>
        </w:rPr>
      </w:pPr>
    </w:p>
    <w:p w14:paraId="2B18EA05" w14:textId="531AF850" w:rsidR="00C12B0A" w:rsidRDefault="00C12B0A" w:rsidP="00D572EA">
      <w:pPr>
        <w:widowControl w:val="0"/>
        <w:suppressAutoHyphens/>
        <w:autoSpaceDN w:val="0"/>
        <w:spacing w:after="0" w:line="240" w:lineRule="auto"/>
        <w:jc w:val="both"/>
        <w:textAlignment w:val="baseline"/>
        <w:rPr>
          <w:rFonts w:ascii="Open Sans" w:eastAsia="Open Sans" w:hAnsi="Open Sans" w:cs="Open Sans"/>
          <w:color w:val="00000A"/>
          <w:sz w:val="21"/>
          <w:szCs w:val="21"/>
        </w:rPr>
      </w:pPr>
    </w:p>
    <w:p w14:paraId="4CB505FB" w14:textId="77777777" w:rsidR="0069728D" w:rsidRPr="00A07BE9" w:rsidRDefault="0069728D" w:rsidP="00D572EA">
      <w:pPr>
        <w:widowControl w:val="0"/>
        <w:suppressAutoHyphens/>
        <w:autoSpaceDN w:val="0"/>
        <w:spacing w:after="0" w:line="240" w:lineRule="auto"/>
        <w:jc w:val="both"/>
        <w:textAlignment w:val="baseline"/>
        <w:rPr>
          <w:rFonts w:ascii="Open Sans" w:eastAsia="Open Sans" w:hAnsi="Open Sans" w:cs="Open Sans"/>
          <w:color w:val="00000A"/>
          <w:sz w:val="21"/>
          <w:szCs w:val="21"/>
        </w:rPr>
      </w:pPr>
    </w:p>
    <w:p w14:paraId="2458570E" w14:textId="584ACAC5" w:rsidR="00D572EA" w:rsidRPr="00A07BE9" w:rsidRDefault="00D572EA" w:rsidP="00D572EA">
      <w:pPr>
        <w:widowControl w:val="0"/>
        <w:suppressAutoHyphens/>
        <w:autoSpaceDN w:val="0"/>
        <w:spacing w:after="0" w:line="240" w:lineRule="auto"/>
        <w:jc w:val="both"/>
        <w:textAlignment w:val="baseline"/>
        <w:rPr>
          <w:rFonts w:ascii="Liberation Serif" w:eastAsia="Droid Sans Fallback" w:hAnsi="Liberation Serif" w:cs="FreeSans"/>
          <w:b/>
          <w:bCs/>
          <w:kern w:val="3"/>
          <w:sz w:val="20"/>
          <w:szCs w:val="20"/>
          <w:lang w:eastAsia="zh-CN" w:bidi="hi-IN"/>
        </w:rPr>
      </w:pPr>
      <w:r w:rsidRPr="00A07BE9">
        <w:rPr>
          <w:rFonts w:ascii="Open Sans" w:eastAsia="Open Sans" w:hAnsi="Open Sans" w:cs="Open Sans"/>
          <w:b/>
          <w:bCs/>
          <w:color w:val="9D2235"/>
          <w:sz w:val="20"/>
          <w:szCs w:val="20"/>
        </w:rPr>
        <w:lastRenderedPageBreak/>
        <w:t xml:space="preserve">Gráfico </w:t>
      </w:r>
      <w:r w:rsidR="00DC24FA" w:rsidRPr="00A07BE9">
        <w:rPr>
          <w:rFonts w:ascii="Open Sans" w:eastAsia="Open Sans" w:hAnsi="Open Sans" w:cs="Open Sans"/>
          <w:b/>
          <w:bCs/>
          <w:color w:val="9D2235"/>
          <w:sz w:val="20"/>
          <w:szCs w:val="20"/>
        </w:rPr>
        <w:t>3</w:t>
      </w:r>
      <w:r w:rsidR="00D201B5" w:rsidRPr="00A07BE9">
        <w:rPr>
          <w:rFonts w:ascii="Open Sans" w:eastAsia="Open Sans" w:hAnsi="Open Sans" w:cs="Open Sans"/>
          <w:b/>
          <w:bCs/>
          <w:color w:val="9D2235"/>
          <w:sz w:val="20"/>
          <w:szCs w:val="20"/>
        </w:rPr>
        <w:t>9</w:t>
      </w:r>
      <w:r w:rsidR="00AC7D1A">
        <w:rPr>
          <w:rFonts w:ascii="Open Sans" w:eastAsia="Open Sans" w:hAnsi="Open Sans" w:cs="Open Sans"/>
          <w:b/>
          <w:bCs/>
          <w:color w:val="9D2235"/>
          <w:sz w:val="20"/>
          <w:szCs w:val="20"/>
        </w:rPr>
        <w:t>.</w:t>
      </w:r>
      <w:r w:rsidRPr="00A07BE9">
        <w:rPr>
          <w:rFonts w:ascii="Open Sans" w:eastAsia="Open Sans" w:hAnsi="Open Sans" w:cs="Open Sans"/>
          <w:b/>
          <w:bCs/>
          <w:color w:val="9D2235"/>
          <w:sz w:val="20"/>
          <w:szCs w:val="20"/>
        </w:rPr>
        <w:t xml:space="preserve"> </w:t>
      </w:r>
      <w:r w:rsidRPr="00A07BE9">
        <w:rPr>
          <w:rFonts w:ascii="Open Sans" w:eastAsia="Calibri" w:hAnsi="Open Sans" w:cs="Open Sans"/>
          <w:b/>
          <w:bCs/>
          <w:color w:val="00000A"/>
          <w:sz w:val="20"/>
          <w:szCs w:val="20"/>
        </w:rPr>
        <w:t xml:space="preserve">Administración de procedencia del personal funcionario de la Agencia </w:t>
      </w:r>
      <w:r w:rsidR="00DC24FA" w:rsidRPr="00A07BE9">
        <w:rPr>
          <w:rFonts w:ascii="Open Sans" w:eastAsia="Calibri" w:hAnsi="Open Sans" w:cs="Open Sans"/>
          <w:b/>
          <w:bCs/>
          <w:color w:val="00000A"/>
          <w:sz w:val="20"/>
          <w:szCs w:val="20"/>
        </w:rPr>
        <w:t xml:space="preserve">a fecha </w:t>
      </w:r>
      <w:r w:rsidRPr="00A07BE9">
        <w:rPr>
          <w:rFonts w:ascii="Open Sans" w:eastAsia="Calibri" w:hAnsi="Open Sans" w:cs="Open Sans"/>
          <w:b/>
          <w:bCs/>
          <w:color w:val="00000A"/>
          <w:sz w:val="20"/>
          <w:szCs w:val="20"/>
        </w:rPr>
        <w:t>31/12/2019</w:t>
      </w:r>
    </w:p>
    <w:p w14:paraId="6C1068E8" w14:textId="77777777" w:rsidR="00D572EA" w:rsidRPr="00A07BE9" w:rsidRDefault="00D572EA" w:rsidP="00D572EA">
      <w:pPr>
        <w:widowControl w:val="0"/>
        <w:suppressAutoHyphens/>
        <w:autoSpaceDN w:val="0"/>
        <w:spacing w:after="0" w:line="240" w:lineRule="auto"/>
        <w:jc w:val="both"/>
        <w:textAlignment w:val="baseline"/>
        <w:rPr>
          <w:rFonts w:ascii="Open Sans" w:eastAsia="Calibri" w:hAnsi="Open Sans" w:cs="Open Sans"/>
          <w:color w:val="00000A"/>
        </w:rPr>
      </w:pPr>
    </w:p>
    <w:p w14:paraId="4C958EA8" w14:textId="37DE4335" w:rsidR="00D572EA" w:rsidRPr="00A07BE9" w:rsidRDefault="00262F77" w:rsidP="00D572EA">
      <w:pPr>
        <w:widowControl w:val="0"/>
        <w:suppressAutoHyphens/>
        <w:autoSpaceDN w:val="0"/>
        <w:spacing w:after="0" w:line="240" w:lineRule="auto"/>
        <w:jc w:val="both"/>
        <w:textAlignment w:val="baseline"/>
        <w:rPr>
          <w:rFonts w:ascii="Open Sans" w:eastAsia="Open Sans" w:hAnsi="Open Sans" w:cs="Open Sans"/>
          <w:color w:val="00000A"/>
          <w:sz w:val="21"/>
          <w:szCs w:val="21"/>
        </w:rPr>
      </w:pPr>
      <w:r w:rsidRPr="00A07BE9">
        <w:rPr>
          <w:noProof/>
        </w:rPr>
        <w:drawing>
          <wp:inline distT="0" distB="0" distL="0" distR="0" wp14:anchorId="64C518CD" wp14:editId="7855546D">
            <wp:extent cx="5379862" cy="2761545"/>
            <wp:effectExtent l="0" t="0" r="11430" b="1270"/>
            <wp:docPr id="200" name="Gráfico 200">
              <a:extLst xmlns:a="http://schemas.openxmlformats.org/drawingml/2006/main">
                <a:ext uri="{FF2B5EF4-FFF2-40B4-BE49-F238E27FC236}">
                  <a16:creationId xmlns:a16="http://schemas.microsoft.com/office/drawing/2014/main" id="{F2E968ED-02E7-49A9-9757-C7AE28A6C9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6"/>
              </a:graphicData>
            </a:graphic>
          </wp:inline>
        </w:drawing>
      </w:r>
    </w:p>
    <w:p w14:paraId="208E9EF8" w14:textId="77777777" w:rsidR="00D572EA" w:rsidRPr="00A07BE9" w:rsidRDefault="00D572EA" w:rsidP="00D572EA">
      <w:pPr>
        <w:widowControl w:val="0"/>
        <w:suppressAutoHyphens/>
        <w:autoSpaceDN w:val="0"/>
        <w:spacing w:after="0" w:line="240" w:lineRule="auto"/>
        <w:jc w:val="both"/>
        <w:textAlignment w:val="baseline"/>
        <w:rPr>
          <w:rFonts w:ascii="Open Sans" w:eastAsia="Open Sans" w:hAnsi="Open Sans" w:cs="Open Sans"/>
          <w:color w:val="00000A"/>
          <w:sz w:val="21"/>
          <w:szCs w:val="21"/>
        </w:rPr>
      </w:pPr>
    </w:p>
    <w:p w14:paraId="25324D79" w14:textId="39F05B2D" w:rsidR="00C12B0A" w:rsidRDefault="00C12B0A" w:rsidP="00D572EA">
      <w:pPr>
        <w:widowControl w:val="0"/>
        <w:suppressAutoHyphens/>
        <w:autoSpaceDN w:val="0"/>
        <w:spacing w:after="0" w:line="240" w:lineRule="auto"/>
        <w:jc w:val="both"/>
        <w:textAlignment w:val="baseline"/>
        <w:rPr>
          <w:rFonts w:ascii="Open Sans" w:eastAsia="Open Sans" w:hAnsi="Open Sans" w:cs="Open Sans"/>
          <w:color w:val="00000A"/>
          <w:sz w:val="20"/>
          <w:szCs w:val="20"/>
        </w:rPr>
      </w:pPr>
    </w:p>
    <w:p w14:paraId="54E6A9F5" w14:textId="77777777" w:rsidR="00CF7179" w:rsidRPr="00A07BE9" w:rsidRDefault="00CF7179" w:rsidP="00D572EA">
      <w:pPr>
        <w:widowControl w:val="0"/>
        <w:suppressAutoHyphens/>
        <w:autoSpaceDN w:val="0"/>
        <w:spacing w:after="0" w:line="240" w:lineRule="auto"/>
        <w:jc w:val="both"/>
        <w:textAlignment w:val="baseline"/>
        <w:rPr>
          <w:rFonts w:ascii="Open Sans" w:eastAsia="Open Sans" w:hAnsi="Open Sans" w:cs="Open Sans"/>
          <w:color w:val="00000A"/>
          <w:sz w:val="20"/>
          <w:szCs w:val="20"/>
        </w:rPr>
      </w:pPr>
    </w:p>
    <w:p w14:paraId="3F491964" w14:textId="77777777" w:rsidR="00D572EA" w:rsidRPr="00A07BE9" w:rsidRDefault="00D572EA" w:rsidP="008B6E1F">
      <w:pPr>
        <w:autoSpaceDN w:val="0"/>
        <w:spacing w:after="0" w:line="276" w:lineRule="auto"/>
        <w:jc w:val="both"/>
        <w:rPr>
          <w:rFonts w:ascii="Open Sans" w:eastAsia="Times New Roman" w:hAnsi="Open Sans" w:cs="Open Sans"/>
          <w:b/>
          <w:bCs/>
          <w:smallCaps/>
          <w:color w:val="9D2235"/>
          <w:sz w:val="32"/>
          <w:szCs w:val="32"/>
          <w:lang w:eastAsia="es-ES"/>
        </w:rPr>
      </w:pPr>
      <w:bookmarkStart w:id="36" w:name="Marcador_44"/>
      <w:bookmarkEnd w:id="36"/>
      <w:r w:rsidRPr="00A07BE9">
        <w:rPr>
          <w:rFonts w:ascii="Open Sans" w:eastAsia="Times New Roman" w:hAnsi="Open Sans" w:cs="Open Sans"/>
          <w:b/>
          <w:bCs/>
          <w:smallCaps/>
          <w:color w:val="9D2235"/>
          <w:sz w:val="32"/>
          <w:szCs w:val="32"/>
          <w:lang w:eastAsia="es-ES"/>
        </w:rPr>
        <w:t>6.2. Gestión económica y contratación de la Agencia</w:t>
      </w:r>
    </w:p>
    <w:p w14:paraId="725FE758" w14:textId="77777777" w:rsidR="00D572EA" w:rsidRPr="00A07BE9" w:rsidRDefault="00D572EA" w:rsidP="008B6E1F">
      <w:pPr>
        <w:autoSpaceDN w:val="0"/>
        <w:spacing w:after="0" w:line="276" w:lineRule="auto"/>
        <w:jc w:val="both"/>
        <w:rPr>
          <w:rFonts w:ascii="Open Sans" w:eastAsia="Times New Roman" w:hAnsi="Open Sans" w:cs="Open Sans"/>
          <w:b/>
          <w:bCs/>
          <w:smallCaps/>
          <w:color w:val="993333"/>
          <w:sz w:val="20"/>
          <w:szCs w:val="20"/>
          <w:lang w:eastAsia="es-ES"/>
        </w:rPr>
      </w:pPr>
    </w:p>
    <w:p w14:paraId="643B08E3" w14:textId="7F6564E7" w:rsidR="00D572EA" w:rsidRPr="00A07BE9" w:rsidRDefault="00D572EA" w:rsidP="008B6E1F">
      <w:pPr>
        <w:suppressAutoHyphens/>
        <w:autoSpaceDN w:val="0"/>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 xml:space="preserve">De acuerdo con el artículo 30 de la </w:t>
      </w:r>
      <w:hyperlink r:id="rId417" w:history="1">
        <w:r w:rsidR="0050097D" w:rsidRPr="00A07BE9">
          <w:rPr>
            <w:rStyle w:val="Hipervnculo"/>
            <w:rFonts w:ascii="Open Sans" w:hAnsi="Open Sans" w:cs="Open Sans"/>
            <w:sz w:val="20"/>
            <w:szCs w:val="20"/>
          </w:rPr>
          <w:t>Ley 11/2016</w:t>
        </w:r>
        <w:r w:rsidR="0050097D" w:rsidRPr="00A07BE9">
          <w:rPr>
            <w:rStyle w:val="Hipervnculo"/>
            <w:rFonts w:ascii="Open Sans" w:hAnsi="Open Sans"/>
            <w:color w:val="auto"/>
            <w:sz w:val="20"/>
            <w:szCs w:val="20"/>
            <w:u w:val="none"/>
          </w:rPr>
          <w:t>, de 28 de noviembre, de la Generalitat</w:t>
        </w:r>
      </w:hyperlink>
      <w:r w:rsidRPr="00A07BE9">
        <w:rPr>
          <w:rFonts w:ascii="Open Sans" w:eastAsia="Times New Roman" w:hAnsi="Open Sans" w:cs="Open Sans"/>
          <w:sz w:val="20"/>
          <w:szCs w:val="20"/>
          <w:lang w:eastAsia="es-ES"/>
        </w:rPr>
        <w:t>, la Agencia tiene que disponer de los recursos económicos necesarios y adecuados para el cumplimiento eficaz de las funciones asignadas. Es por ello que el mismo precepto establece que la dotación económica necesaria para el funcionamiento de la Agencia constituirá una partida independiente en los presupuestos generales de les Corts Valencianes y que la dirección de la Agencia elaborará y aprobará el proyecto de presupuesto de funcionamiento y lo remitirá a Mesa de les Corts a los efectos oportunos, para que sea integrado con la debida independencia en el proyecto de presupuestos de la Generalitat, de acuerdo con la normativa reguladora en materia presupuestaría.</w:t>
      </w:r>
    </w:p>
    <w:p w14:paraId="47D0D849" w14:textId="77777777" w:rsidR="00D572EA" w:rsidRPr="00A07BE9" w:rsidRDefault="00D572EA" w:rsidP="008B6E1F">
      <w:pPr>
        <w:suppressAutoHyphens/>
        <w:autoSpaceDN w:val="0"/>
        <w:spacing w:after="0" w:line="276" w:lineRule="auto"/>
        <w:jc w:val="both"/>
        <w:rPr>
          <w:rFonts w:ascii="Open Sans" w:eastAsia="Times New Roman" w:hAnsi="Open Sans" w:cs="Open Sans"/>
          <w:sz w:val="20"/>
          <w:szCs w:val="20"/>
          <w:lang w:eastAsia="es-ES"/>
        </w:rPr>
      </w:pPr>
    </w:p>
    <w:p w14:paraId="320650F9" w14:textId="47C13CE1" w:rsidR="00D572EA" w:rsidRPr="00A07BE9" w:rsidRDefault="00D572EA" w:rsidP="008B6E1F">
      <w:pPr>
        <w:suppressAutoHyphens/>
        <w:autoSpaceDN w:val="0"/>
        <w:spacing w:after="0" w:line="276" w:lineRule="auto"/>
        <w:jc w:val="both"/>
        <w:rPr>
          <w:rFonts w:ascii="Liberation Serif" w:eastAsia="Droid Sans Fallback" w:hAnsi="Liberation Serif" w:cs="FreeSans"/>
          <w:kern w:val="3"/>
          <w:sz w:val="20"/>
          <w:szCs w:val="20"/>
          <w:lang w:eastAsia="zh-CN" w:bidi="hi-IN"/>
        </w:rPr>
      </w:pPr>
      <w:r w:rsidRPr="00A07BE9">
        <w:rPr>
          <w:rFonts w:ascii="Open Sans" w:eastAsia="Times New Roman" w:hAnsi="Open Sans" w:cs="Open Sans"/>
          <w:color w:val="000000"/>
          <w:sz w:val="20"/>
          <w:szCs w:val="20"/>
          <w:lang w:eastAsia="es-ES"/>
        </w:rPr>
        <w:t xml:space="preserve">Cumpliendo esta previsión, el director de la Agencia presentó en fecha 17 de octubre de 2018 a la Mesa de les Corts, el proyecto de presupuestos de la Agencia para el ejercicio 2019, que fueron aprobados por el Consell, mediante la </w:t>
      </w:r>
      <w:hyperlink r:id="rId418" w:history="1">
        <w:r w:rsidRPr="00A07BE9">
          <w:rPr>
            <w:rStyle w:val="Hipervnculo"/>
            <w:rFonts w:ascii="Open Sans" w:eastAsia="Times New Roman" w:hAnsi="Open Sans" w:cs="Open Sans"/>
            <w:sz w:val="20"/>
            <w:szCs w:val="20"/>
            <w:lang w:eastAsia="es-ES"/>
          </w:rPr>
          <w:t>Ley 28/2018, de 28 de diciembre, de presupuestos de la Generalitat para el ejercicio 2019</w:t>
        </w:r>
      </w:hyperlink>
      <w:r w:rsidRPr="00A07BE9">
        <w:rPr>
          <w:rFonts w:ascii="Open Sans" w:eastAsia="Times New Roman" w:hAnsi="Open Sans" w:cs="Open Sans"/>
          <w:sz w:val="20"/>
          <w:szCs w:val="20"/>
          <w:lang w:eastAsia="es-ES"/>
        </w:rPr>
        <w:t xml:space="preserve"> (</w:t>
      </w:r>
      <w:r w:rsidRPr="00A07BE9">
        <w:rPr>
          <w:rFonts w:ascii="Open Sans" w:eastAsia="Times New Roman" w:hAnsi="Open Sans" w:cs="Open Sans"/>
          <w:color w:val="000000"/>
          <w:sz w:val="20"/>
          <w:szCs w:val="20"/>
          <w:lang w:eastAsia="es-ES"/>
        </w:rPr>
        <w:t>DOGV número 8454 de 31 de diciembre de 2018</w:t>
      </w:r>
      <w:r w:rsidRPr="00A07BE9">
        <w:rPr>
          <w:rFonts w:ascii="Open Sans" w:eastAsia="Times New Roman" w:hAnsi="Open Sans" w:cs="Open Sans"/>
          <w:sz w:val="20"/>
          <w:szCs w:val="20"/>
          <w:lang w:eastAsia="es-ES"/>
        </w:rPr>
        <w:t>), como partida independiente en los presupuestos de les Corts Valencianes.</w:t>
      </w:r>
    </w:p>
    <w:p w14:paraId="23AE101E" w14:textId="67AD115C" w:rsidR="00264EC2" w:rsidRPr="00A07BE9" w:rsidRDefault="00264EC2" w:rsidP="008B6E1F">
      <w:pPr>
        <w:autoSpaceDN w:val="0"/>
        <w:spacing w:after="0" w:line="276" w:lineRule="auto"/>
        <w:jc w:val="both"/>
        <w:rPr>
          <w:rFonts w:ascii="Open Sans" w:eastAsia="Droid Sans Fallback" w:hAnsi="Open Sans" w:cs="Open Sans"/>
          <w:kern w:val="3"/>
          <w:sz w:val="20"/>
          <w:szCs w:val="20"/>
          <w:lang w:eastAsia="zh-CN" w:bidi="hi-IN"/>
        </w:rPr>
      </w:pPr>
    </w:p>
    <w:p w14:paraId="757FD4AE" w14:textId="75D67C42" w:rsidR="00264EC2" w:rsidRDefault="00264EC2" w:rsidP="008B6E1F">
      <w:pPr>
        <w:autoSpaceDN w:val="0"/>
        <w:spacing w:after="0" w:line="276" w:lineRule="auto"/>
        <w:jc w:val="both"/>
        <w:rPr>
          <w:rFonts w:ascii="Open Sans" w:eastAsia="Droid Sans Fallback" w:hAnsi="Open Sans" w:cs="Open Sans"/>
          <w:kern w:val="3"/>
          <w:sz w:val="20"/>
          <w:szCs w:val="20"/>
          <w:lang w:eastAsia="zh-CN" w:bidi="hi-IN"/>
        </w:rPr>
      </w:pPr>
    </w:p>
    <w:p w14:paraId="07763DF2" w14:textId="7DAF6D8D" w:rsidR="00C12B0A" w:rsidRDefault="00C12B0A" w:rsidP="008B6E1F">
      <w:pPr>
        <w:autoSpaceDN w:val="0"/>
        <w:spacing w:after="0" w:line="276" w:lineRule="auto"/>
        <w:jc w:val="both"/>
        <w:rPr>
          <w:rFonts w:ascii="Open Sans" w:eastAsia="Droid Sans Fallback" w:hAnsi="Open Sans" w:cs="Open Sans"/>
          <w:kern w:val="3"/>
          <w:sz w:val="20"/>
          <w:szCs w:val="20"/>
          <w:lang w:eastAsia="zh-CN" w:bidi="hi-IN"/>
        </w:rPr>
      </w:pPr>
    </w:p>
    <w:p w14:paraId="12E36D9A" w14:textId="77777777" w:rsidR="00CF7179" w:rsidRPr="00A07BE9" w:rsidRDefault="00CF7179" w:rsidP="008B6E1F">
      <w:pPr>
        <w:autoSpaceDN w:val="0"/>
        <w:spacing w:after="0" w:line="276" w:lineRule="auto"/>
        <w:jc w:val="both"/>
        <w:rPr>
          <w:rFonts w:ascii="Open Sans" w:eastAsia="Droid Sans Fallback" w:hAnsi="Open Sans" w:cs="Open Sans"/>
          <w:kern w:val="3"/>
          <w:sz w:val="20"/>
          <w:szCs w:val="20"/>
          <w:lang w:eastAsia="zh-CN" w:bidi="hi-IN"/>
        </w:rPr>
      </w:pPr>
    </w:p>
    <w:p w14:paraId="0A033BCB" w14:textId="77777777" w:rsidR="00D572EA" w:rsidRPr="00A07BE9" w:rsidRDefault="00D572EA" w:rsidP="008B6E1F">
      <w:pPr>
        <w:autoSpaceDN w:val="0"/>
        <w:spacing w:after="0" w:line="276" w:lineRule="auto"/>
        <w:jc w:val="both"/>
        <w:rPr>
          <w:rFonts w:ascii="Open Sans" w:eastAsia="Times New Roman" w:hAnsi="Open Sans" w:cs="Open Sans"/>
          <w:b/>
          <w:bCs/>
          <w:smallCaps/>
          <w:color w:val="9D2235"/>
          <w:sz w:val="28"/>
          <w:szCs w:val="28"/>
          <w:lang w:eastAsia="es-ES"/>
        </w:rPr>
      </w:pPr>
      <w:bookmarkStart w:id="37" w:name="Marcador_47"/>
      <w:bookmarkEnd w:id="37"/>
      <w:r w:rsidRPr="00A07BE9">
        <w:rPr>
          <w:rFonts w:ascii="Open Sans" w:eastAsia="Times New Roman" w:hAnsi="Open Sans" w:cs="Open Sans"/>
          <w:b/>
          <w:bCs/>
          <w:smallCaps/>
          <w:color w:val="9D2235"/>
          <w:sz w:val="28"/>
          <w:szCs w:val="28"/>
          <w:lang w:eastAsia="es-ES"/>
        </w:rPr>
        <w:lastRenderedPageBreak/>
        <w:t>6.2.1. Ejecución presupuestaria 2019</w:t>
      </w:r>
    </w:p>
    <w:p w14:paraId="39197EF0" w14:textId="77777777" w:rsidR="00D572EA" w:rsidRPr="00A07BE9" w:rsidRDefault="00D572EA" w:rsidP="008B6E1F">
      <w:pPr>
        <w:autoSpaceDN w:val="0"/>
        <w:spacing w:after="0" w:line="276" w:lineRule="auto"/>
        <w:jc w:val="both"/>
        <w:rPr>
          <w:rFonts w:ascii="Open Sans" w:eastAsia="Times New Roman" w:hAnsi="Open Sans" w:cs="Open Sans"/>
          <w:b/>
          <w:bCs/>
          <w:smallCaps/>
          <w:color w:val="993333"/>
          <w:sz w:val="20"/>
          <w:szCs w:val="20"/>
          <w:lang w:eastAsia="es-ES"/>
        </w:rPr>
      </w:pPr>
    </w:p>
    <w:p w14:paraId="22278CC3" w14:textId="77777777" w:rsidR="00D572EA" w:rsidRPr="00A07BE9" w:rsidRDefault="00D572EA" w:rsidP="008B6E1F">
      <w:pPr>
        <w:autoSpaceDN w:val="0"/>
        <w:spacing w:after="0" w:line="276" w:lineRule="auto"/>
        <w:jc w:val="both"/>
        <w:rPr>
          <w:rFonts w:ascii="Liberation Serif" w:eastAsia="Droid Sans Fallback" w:hAnsi="Liberation Serif" w:cs="FreeSans"/>
          <w:kern w:val="3"/>
          <w:sz w:val="20"/>
          <w:szCs w:val="20"/>
          <w:lang w:eastAsia="zh-CN" w:bidi="hi-IN"/>
        </w:rPr>
      </w:pPr>
      <w:r w:rsidRPr="00A07BE9">
        <w:rPr>
          <w:rFonts w:ascii="Open Sans" w:eastAsia="Times New Roman" w:hAnsi="Open Sans" w:cs="Open Sans"/>
          <w:sz w:val="20"/>
          <w:szCs w:val="20"/>
          <w:lang w:eastAsia="es-ES"/>
        </w:rPr>
        <w:t xml:space="preserve">El presupuesto de la Agencia para el ejercicio 2019 ascendió a </w:t>
      </w:r>
      <w:r w:rsidRPr="00A07BE9">
        <w:rPr>
          <w:rFonts w:ascii="Open Sans" w:eastAsia="Times New Roman" w:hAnsi="Open Sans" w:cs="Open Sans"/>
          <w:b/>
          <w:bCs/>
          <w:color w:val="000000"/>
          <w:sz w:val="20"/>
          <w:szCs w:val="20"/>
          <w:lang w:eastAsia="es-ES"/>
        </w:rPr>
        <w:t>3.381.464,60</w:t>
      </w:r>
      <w:r w:rsidRPr="00A07BE9">
        <w:rPr>
          <w:rFonts w:ascii="Open Sans" w:eastAsia="Times New Roman" w:hAnsi="Open Sans" w:cs="Open Sans"/>
          <w:color w:val="000000"/>
          <w:sz w:val="20"/>
          <w:szCs w:val="20"/>
          <w:lang w:eastAsia="es-ES"/>
        </w:rPr>
        <w:t xml:space="preserve"> </w:t>
      </w:r>
      <w:r w:rsidRPr="00A07BE9">
        <w:rPr>
          <w:rFonts w:ascii="Open Sans" w:eastAsia="Times New Roman" w:hAnsi="Open Sans" w:cs="Open Sans"/>
          <w:b/>
          <w:bCs/>
          <w:color w:val="000000"/>
          <w:sz w:val="20"/>
          <w:szCs w:val="20"/>
          <w:lang w:eastAsia="es-ES"/>
        </w:rPr>
        <w:t>e</w:t>
      </w:r>
      <w:r w:rsidRPr="00A07BE9">
        <w:rPr>
          <w:rFonts w:ascii="Open Sans" w:eastAsia="Times New Roman" w:hAnsi="Open Sans" w:cs="Open Sans"/>
          <w:b/>
          <w:bCs/>
          <w:sz w:val="20"/>
          <w:szCs w:val="20"/>
          <w:lang w:eastAsia="es-ES"/>
        </w:rPr>
        <w:t>uros</w:t>
      </w:r>
      <w:r w:rsidRPr="00A07BE9">
        <w:rPr>
          <w:rFonts w:ascii="Open Sans" w:eastAsia="Times New Roman" w:hAnsi="Open Sans" w:cs="Open Sans"/>
          <w:sz w:val="20"/>
          <w:szCs w:val="20"/>
          <w:lang w:eastAsia="es-ES"/>
        </w:rPr>
        <w:t>, de acuerdo con el detalle por capítulo de gastos que a continuación se ofrece:</w:t>
      </w:r>
    </w:p>
    <w:p w14:paraId="624FEAEE" w14:textId="77777777" w:rsidR="00D572EA" w:rsidRPr="00A07BE9" w:rsidRDefault="00D572EA" w:rsidP="008B6E1F">
      <w:pPr>
        <w:autoSpaceDN w:val="0"/>
        <w:spacing w:after="0" w:line="276" w:lineRule="auto"/>
        <w:jc w:val="both"/>
        <w:rPr>
          <w:rFonts w:ascii="Open Sans" w:eastAsia="Times New Roman" w:hAnsi="Open Sans" w:cs="Open Sans"/>
          <w:sz w:val="20"/>
          <w:szCs w:val="20"/>
          <w:lang w:eastAsia="es-ES"/>
        </w:rPr>
      </w:pPr>
    </w:p>
    <w:p w14:paraId="2EF4A15A" w14:textId="52DEFC8A" w:rsidR="00D572EA" w:rsidRPr="00A07BE9" w:rsidRDefault="00D572EA" w:rsidP="008B6E1F">
      <w:pPr>
        <w:autoSpaceDN w:val="0"/>
        <w:spacing w:after="0" w:line="276" w:lineRule="auto"/>
        <w:rPr>
          <w:rFonts w:ascii="Open Sans" w:eastAsia="Times New Roman" w:hAnsi="Open Sans" w:cs="Open Sans"/>
          <w:b/>
          <w:bCs/>
          <w:color w:val="00000A"/>
          <w:sz w:val="20"/>
          <w:szCs w:val="20"/>
          <w:lang w:eastAsia="es-ES"/>
        </w:rPr>
      </w:pPr>
      <w:r w:rsidRPr="00A07BE9">
        <w:rPr>
          <w:rFonts w:ascii="Open Sans" w:eastAsia="Times New Roman" w:hAnsi="Open Sans" w:cs="Open Sans"/>
          <w:b/>
          <w:bCs/>
          <w:color w:val="993333"/>
          <w:sz w:val="20"/>
          <w:szCs w:val="20"/>
          <w:lang w:eastAsia="es-ES"/>
        </w:rPr>
        <w:t xml:space="preserve">Tabla </w:t>
      </w:r>
      <w:r w:rsidR="006C55A1" w:rsidRPr="00A07BE9">
        <w:rPr>
          <w:rFonts w:ascii="Open Sans" w:eastAsia="Times New Roman" w:hAnsi="Open Sans" w:cs="Open Sans"/>
          <w:b/>
          <w:bCs/>
          <w:color w:val="993333"/>
          <w:sz w:val="20"/>
          <w:szCs w:val="20"/>
          <w:lang w:eastAsia="es-ES"/>
        </w:rPr>
        <w:t>25</w:t>
      </w:r>
      <w:r w:rsidRPr="00A07BE9">
        <w:rPr>
          <w:rFonts w:ascii="Open Sans" w:eastAsia="Times New Roman" w:hAnsi="Open Sans" w:cs="Open Sans"/>
          <w:b/>
          <w:bCs/>
          <w:color w:val="993333"/>
          <w:sz w:val="20"/>
          <w:szCs w:val="20"/>
          <w:lang w:eastAsia="es-ES"/>
        </w:rPr>
        <w:t>.</w:t>
      </w:r>
      <w:r w:rsidRPr="00A07BE9">
        <w:rPr>
          <w:rFonts w:ascii="Open Sans" w:eastAsia="Times New Roman" w:hAnsi="Open Sans" w:cs="Open Sans"/>
          <w:color w:val="00000A"/>
          <w:sz w:val="20"/>
          <w:szCs w:val="20"/>
          <w:lang w:eastAsia="es-ES"/>
        </w:rPr>
        <w:t xml:space="preserve"> </w:t>
      </w:r>
      <w:r w:rsidRPr="00A07BE9">
        <w:rPr>
          <w:rFonts w:ascii="Open Sans" w:eastAsia="Times New Roman" w:hAnsi="Open Sans" w:cs="Open Sans"/>
          <w:b/>
          <w:bCs/>
          <w:color w:val="00000A"/>
          <w:sz w:val="20"/>
          <w:szCs w:val="20"/>
          <w:lang w:eastAsia="es-ES"/>
        </w:rPr>
        <w:t>Presupuesto de gastos ejercicio 2019</w:t>
      </w:r>
    </w:p>
    <w:tbl>
      <w:tblPr>
        <w:tblW w:w="8828" w:type="dxa"/>
        <w:tblLayout w:type="fixed"/>
        <w:tblCellMar>
          <w:left w:w="10" w:type="dxa"/>
          <w:right w:w="10" w:type="dxa"/>
        </w:tblCellMar>
        <w:tblLook w:val="0000" w:firstRow="0" w:lastRow="0" w:firstColumn="0" w:lastColumn="0" w:noHBand="0" w:noVBand="0"/>
      </w:tblPr>
      <w:tblGrid>
        <w:gridCol w:w="4511"/>
        <w:gridCol w:w="4317"/>
      </w:tblGrid>
      <w:tr w:rsidR="00D572EA" w:rsidRPr="00A07BE9" w14:paraId="70B72ADC" w14:textId="77777777" w:rsidTr="00741601">
        <w:tc>
          <w:tcPr>
            <w:tcW w:w="8828" w:type="dxa"/>
            <w:gridSpan w:val="2"/>
            <w:tcBorders>
              <w:top w:val="single" w:sz="18" w:space="0" w:color="FFFFFF"/>
              <w:bottom w:val="single" w:sz="6" w:space="0" w:color="993333"/>
            </w:tcBorders>
            <w:shd w:val="clear" w:color="auto" w:fill="9D2235"/>
            <w:tcMar>
              <w:top w:w="0" w:type="dxa"/>
              <w:left w:w="0" w:type="dxa"/>
              <w:bottom w:w="0" w:type="dxa"/>
              <w:right w:w="0" w:type="dxa"/>
            </w:tcMar>
            <w:vAlign w:val="center"/>
          </w:tcPr>
          <w:p w14:paraId="79DEBAF4" w14:textId="77777777" w:rsidR="00D572EA" w:rsidRPr="00A07BE9" w:rsidRDefault="00D572EA" w:rsidP="00D572EA">
            <w:pPr>
              <w:autoSpaceDN w:val="0"/>
              <w:spacing w:after="0" w:line="360" w:lineRule="auto"/>
              <w:rPr>
                <w:rFonts w:ascii="Open Sans" w:eastAsia="Times New Roman" w:hAnsi="Open Sans" w:cs="Open Sans"/>
                <w:b/>
                <w:bCs/>
                <w:color w:val="FFFFFF"/>
                <w:sz w:val="20"/>
                <w:szCs w:val="20"/>
                <w:lang w:eastAsia="es-ES"/>
              </w:rPr>
            </w:pPr>
            <w:r w:rsidRPr="00A07BE9">
              <w:rPr>
                <w:rFonts w:ascii="Open Sans" w:eastAsia="Times New Roman" w:hAnsi="Open Sans" w:cs="Open Sans"/>
                <w:b/>
                <w:bCs/>
                <w:color w:val="FFFFFF"/>
                <w:sz w:val="20"/>
                <w:szCs w:val="20"/>
                <w:lang w:eastAsia="es-ES"/>
              </w:rPr>
              <w:t>PRESUPUESTO GASTOS 2019</w:t>
            </w:r>
          </w:p>
        </w:tc>
      </w:tr>
      <w:tr w:rsidR="00D572EA" w:rsidRPr="00A07BE9" w14:paraId="3276E32B" w14:textId="77777777" w:rsidTr="00741601">
        <w:tc>
          <w:tcPr>
            <w:tcW w:w="4511" w:type="dxa"/>
            <w:tcBorders>
              <w:bottom w:val="single" w:sz="6" w:space="0" w:color="993333"/>
            </w:tcBorders>
            <w:shd w:val="clear" w:color="auto" w:fill="FFFFFF"/>
            <w:tcMar>
              <w:top w:w="0" w:type="dxa"/>
              <w:left w:w="0" w:type="dxa"/>
              <w:bottom w:w="0" w:type="dxa"/>
              <w:right w:w="0" w:type="dxa"/>
            </w:tcMar>
            <w:vAlign w:val="center"/>
          </w:tcPr>
          <w:p w14:paraId="3DF41C74" w14:textId="77777777" w:rsidR="00D572EA" w:rsidRPr="00A07BE9" w:rsidRDefault="00D572EA" w:rsidP="00D572EA">
            <w:pPr>
              <w:autoSpaceDN w:val="0"/>
              <w:spacing w:after="0" w:line="360" w:lineRule="auto"/>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CAP. I</w:t>
            </w:r>
          </w:p>
        </w:tc>
        <w:tc>
          <w:tcPr>
            <w:tcW w:w="4317" w:type="dxa"/>
            <w:tcBorders>
              <w:bottom w:val="single" w:sz="6" w:space="0" w:color="993333"/>
            </w:tcBorders>
            <w:shd w:val="clear" w:color="auto" w:fill="FFFFFF"/>
            <w:tcMar>
              <w:top w:w="0" w:type="dxa"/>
              <w:left w:w="0" w:type="dxa"/>
              <w:bottom w:w="0" w:type="dxa"/>
              <w:right w:w="0" w:type="dxa"/>
            </w:tcMar>
            <w:vAlign w:val="center"/>
          </w:tcPr>
          <w:p w14:paraId="58F46295" w14:textId="77777777" w:rsidR="00D572EA" w:rsidRPr="00A07BE9" w:rsidRDefault="00D572EA" w:rsidP="00D572EA">
            <w:pPr>
              <w:autoSpaceDN w:val="0"/>
              <w:spacing w:after="0" w:line="360" w:lineRule="auto"/>
              <w:jc w:val="right"/>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2.543.764,60</w:t>
            </w:r>
          </w:p>
        </w:tc>
      </w:tr>
      <w:tr w:rsidR="00D572EA" w:rsidRPr="00A07BE9" w14:paraId="3D569D0C" w14:textId="77777777" w:rsidTr="00741601">
        <w:tc>
          <w:tcPr>
            <w:tcW w:w="4511" w:type="dxa"/>
            <w:tcBorders>
              <w:bottom w:val="single" w:sz="6" w:space="0" w:color="993333"/>
            </w:tcBorders>
            <w:shd w:val="clear" w:color="auto" w:fill="FFFFFF"/>
            <w:tcMar>
              <w:top w:w="0" w:type="dxa"/>
              <w:left w:w="0" w:type="dxa"/>
              <w:bottom w:w="0" w:type="dxa"/>
              <w:right w:w="0" w:type="dxa"/>
            </w:tcMar>
            <w:vAlign w:val="center"/>
          </w:tcPr>
          <w:p w14:paraId="15F5B7D3" w14:textId="77777777" w:rsidR="00D572EA" w:rsidRPr="00A07BE9" w:rsidRDefault="00D572EA" w:rsidP="00D572EA">
            <w:pPr>
              <w:autoSpaceDN w:val="0"/>
              <w:spacing w:after="0" w:line="360" w:lineRule="auto"/>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CAP. II</w:t>
            </w:r>
          </w:p>
        </w:tc>
        <w:tc>
          <w:tcPr>
            <w:tcW w:w="4317" w:type="dxa"/>
            <w:tcBorders>
              <w:bottom w:val="single" w:sz="6" w:space="0" w:color="993333"/>
            </w:tcBorders>
            <w:shd w:val="clear" w:color="auto" w:fill="FFFFFF"/>
            <w:tcMar>
              <w:top w:w="0" w:type="dxa"/>
              <w:left w:w="0" w:type="dxa"/>
              <w:bottom w:w="0" w:type="dxa"/>
              <w:right w:w="0" w:type="dxa"/>
            </w:tcMar>
            <w:vAlign w:val="center"/>
          </w:tcPr>
          <w:p w14:paraId="0E99CCE8" w14:textId="77777777" w:rsidR="00D572EA" w:rsidRPr="00A07BE9" w:rsidRDefault="00D572EA" w:rsidP="00D572EA">
            <w:pPr>
              <w:autoSpaceDN w:val="0"/>
              <w:spacing w:after="0" w:line="360" w:lineRule="auto"/>
              <w:jc w:val="right"/>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596.200,00</w:t>
            </w:r>
          </w:p>
        </w:tc>
      </w:tr>
      <w:tr w:rsidR="00D572EA" w:rsidRPr="00A07BE9" w14:paraId="262A8789" w14:textId="77777777" w:rsidTr="00741601">
        <w:tc>
          <w:tcPr>
            <w:tcW w:w="4511" w:type="dxa"/>
            <w:tcBorders>
              <w:bottom w:val="single" w:sz="6" w:space="0" w:color="993333"/>
            </w:tcBorders>
            <w:shd w:val="clear" w:color="auto" w:fill="FFFFFF"/>
            <w:tcMar>
              <w:top w:w="0" w:type="dxa"/>
              <w:left w:w="0" w:type="dxa"/>
              <w:bottom w:w="0" w:type="dxa"/>
              <w:right w:w="0" w:type="dxa"/>
            </w:tcMar>
            <w:vAlign w:val="center"/>
          </w:tcPr>
          <w:p w14:paraId="3ED3BB1D" w14:textId="77777777" w:rsidR="00D572EA" w:rsidRPr="00A07BE9" w:rsidRDefault="00D572EA" w:rsidP="00D572EA">
            <w:pPr>
              <w:autoSpaceDN w:val="0"/>
              <w:spacing w:after="0" w:line="360" w:lineRule="auto"/>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CAP. VI</w:t>
            </w:r>
          </w:p>
        </w:tc>
        <w:tc>
          <w:tcPr>
            <w:tcW w:w="4317" w:type="dxa"/>
            <w:tcBorders>
              <w:bottom w:val="single" w:sz="6" w:space="0" w:color="993333"/>
            </w:tcBorders>
            <w:shd w:val="clear" w:color="auto" w:fill="FFFFFF"/>
            <w:tcMar>
              <w:top w:w="0" w:type="dxa"/>
              <w:left w:w="0" w:type="dxa"/>
              <w:bottom w:w="0" w:type="dxa"/>
              <w:right w:w="0" w:type="dxa"/>
            </w:tcMar>
            <w:vAlign w:val="center"/>
          </w:tcPr>
          <w:p w14:paraId="5BBE14A3" w14:textId="77777777" w:rsidR="00D572EA" w:rsidRPr="00A07BE9" w:rsidRDefault="00D572EA" w:rsidP="00D572EA">
            <w:pPr>
              <w:autoSpaceDN w:val="0"/>
              <w:spacing w:after="0" w:line="360" w:lineRule="auto"/>
              <w:jc w:val="right"/>
              <w:rPr>
                <w:rFonts w:ascii="Liberation Serif" w:eastAsia="Droid Sans Fallback" w:hAnsi="Liberation Serif" w:cs="FreeSans"/>
                <w:kern w:val="3"/>
                <w:sz w:val="20"/>
                <w:szCs w:val="20"/>
                <w:lang w:eastAsia="zh-CN" w:bidi="hi-IN"/>
              </w:rPr>
            </w:pPr>
            <w:r w:rsidRPr="00A07BE9">
              <w:rPr>
                <w:rFonts w:ascii="Open Sans" w:eastAsia="Times New Roman" w:hAnsi="Open Sans" w:cs="Open Sans"/>
                <w:color w:val="000000"/>
                <w:sz w:val="20"/>
                <w:szCs w:val="20"/>
                <w:lang w:eastAsia="es-ES"/>
              </w:rPr>
              <w:t>241.500,00</w:t>
            </w:r>
            <w:r w:rsidRPr="00A07BE9">
              <w:rPr>
                <w:rFonts w:ascii="Open Sans" w:eastAsia="Times New Roman" w:hAnsi="Open Sans" w:cs="Open Sans"/>
                <w:sz w:val="20"/>
                <w:szCs w:val="20"/>
                <w:lang w:eastAsia="es-ES"/>
              </w:rPr>
              <w:t>0</w:t>
            </w:r>
          </w:p>
        </w:tc>
      </w:tr>
      <w:tr w:rsidR="00D572EA" w:rsidRPr="00A07BE9" w14:paraId="7B2C2957" w14:textId="77777777" w:rsidTr="00741601">
        <w:tc>
          <w:tcPr>
            <w:tcW w:w="4511" w:type="dxa"/>
            <w:tcBorders>
              <w:bottom w:val="single" w:sz="6" w:space="0" w:color="993333"/>
            </w:tcBorders>
            <w:shd w:val="clear" w:color="auto" w:fill="EEEEEE"/>
            <w:tcMar>
              <w:top w:w="0" w:type="dxa"/>
              <w:left w:w="0" w:type="dxa"/>
              <w:bottom w:w="0" w:type="dxa"/>
              <w:right w:w="0" w:type="dxa"/>
            </w:tcMar>
            <w:vAlign w:val="center"/>
          </w:tcPr>
          <w:p w14:paraId="489E4FD6" w14:textId="77777777" w:rsidR="00D572EA" w:rsidRPr="00A07BE9" w:rsidRDefault="00D572EA" w:rsidP="00D572EA">
            <w:pPr>
              <w:autoSpaceDN w:val="0"/>
              <w:spacing w:after="0" w:line="360" w:lineRule="auto"/>
              <w:rPr>
                <w:rFonts w:ascii="Open Sans" w:eastAsia="Times New Roman" w:hAnsi="Open Sans" w:cs="Open Sans"/>
                <w:b/>
                <w:bCs/>
                <w:sz w:val="20"/>
                <w:szCs w:val="20"/>
                <w:lang w:eastAsia="es-ES"/>
              </w:rPr>
            </w:pPr>
            <w:r w:rsidRPr="00A07BE9">
              <w:rPr>
                <w:rFonts w:ascii="Open Sans" w:eastAsia="Times New Roman" w:hAnsi="Open Sans" w:cs="Open Sans"/>
                <w:b/>
                <w:bCs/>
                <w:sz w:val="20"/>
                <w:szCs w:val="20"/>
                <w:lang w:eastAsia="es-ES"/>
              </w:rPr>
              <w:t>TOTAL PRESUPUESTO</w:t>
            </w:r>
          </w:p>
        </w:tc>
        <w:tc>
          <w:tcPr>
            <w:tcW w:w="4317" w:type="dxa"/>
            <w:tcBorders>
              <w:bottom w:val="single" w:sz="6" w:space="0" w:color="993333"/>
            </w:tcBorders>
            <w:shd w:val="clear" w:color="auto" w:fill="EEEEEE"/>
            <w:tcMar>
              <w:top w:w="0" w:type="dxa"/>
              <w:left w:w="0" w:type="dxa"/>
              <w:bottom w:w="0" w:type="dxa"/>
              <w:right w:w="0" w:type="dxa"/>
            </w:tcMar>
            <w:vAlign w:val="center"/>
          </w:tcPr>
          <w:p w14:paraId="7C69A000" w14:textId="77777777" w:rsidR="00D572EA" w:rsidRPr="00A07BE9" w:rsidRDefault="00D572EA" w:rsidP="00D572EA">
            <w:pPr>
              <w:autoSpaceDN w:val="0"/>
              <w:spacing w:after="0" w:line="360" w:lineRule="auto"/>
              <w:jc w:val="right"/>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3.381.464,60</w:t>
            </w:r>
          </w:p>
        </w:tc>
      </w:tr>
    </w:tbl>
    <w:p w14:paraId="683AECDC" w14:textId="77777777" w:rsidR="00D572EA" w:rsidRPr="00A07BE9" w:rsidRDefault="00D572EA" w:rsidP="00D572EA">
      <w:pPr>
        <w:autoSpaceDN w:val="0"/>
        <w:spacing w:after="0" w:line="360" w:lineRule="auto"/>
        <w:jc w:val="both"/>
        <w:rPr>
          <w:rFonts w:ascii="Open Sans" w:eastAsia="Times New Roman" w:hAnsi="Open Sans" w:cs="Open Sans"/>
          <w:sz w:val="20"/>
          <w:szCs w:val="20"/>
          <w:lang w:eastAsia="es-ES"/>
        </w:rPr>
      </w:pPr>
    </w:p>
    <w:p w14:paraId="6F4BF86C" w14:textId="5E33124D" w:rsidR="00C87DEA" w:rsidRPr="00A07BE9" w:rsidRDefault="00D572EA" w:rsidP="00C12B0A">
      <w:pPr>
        <w:autoSpaceDN w:val="0"/>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La financiación prevista de los créditos contemplados en el presupuesto de gastos de la Agencia para 2019 procede íntegramente de transferencias de la Generalitat Valenciana, según la siguiente distribución:</w:t>
      </w:r>
    </w:p>
    <w:p w14:paraId="4B4C8D8B" w14:textId="77777777" w:rsidR="00C87DEA" w:rsidRPr="00A07BE9" w:rsidRDefault="00C87DEA" w:rsidP="00D572EA">
      <w:pPr>
        <w:autoSpaceDN w:val="0"/>
        <w:spacing w:after="0" w:line="360" w:lineRule="auto"/>
        <w:jc w:val="both"/>
        <w:rPr>
          <w:rFonts w:ascii="Open Sans" w:eastAsia="Times New Roman" w:hAnsi="Open Sans" w:cs="Open Sans"/>
          <w:sz w:val="20"/>
          <w:szCs w:val="20"/>
          <w:lang w:eastAsia="es-ES"/>
        </w:rPr>
      </w:pPr>
    </w:p>
    <w:p w14:paraId="0B08E244" w14:textId="3776A808" w:rsidR="00D572EA" w:rsidRPr="00A07BE9" w:rsidRDefault="00D572EA" w:rsidP="008B6E1F">
      <w:pPr>
        <w:autoSpaceDN w:val="0"/>
        <w:spacing w:after="0" w:line="276" w:lineRule="auto"/>
        <w:rPr>
          <w:rFonts w:ascii="Liberation Serif" w:eastAsia="Droid Sans Fallback" w:hAnsi="Liberation Serif" w:cs="FreeSans"/>
          <w:kern w:val="3"/>
          <w:sz w:val="20"/>
          <w:szCs w:val="20"/>
          <w:lang w:eastAsia="zh-CN" w:bidi="hi-IN"/>
        </w:rPr>
      </w:pPr>
      <w:bookmarkStart w:id="38" w:name="Marcador_46"/>
      <w:bookmarkEnd w:id="38"/>
      <w:r w:rsidRPr="00A07BE9">
        <w:rPr>
          <w:rFonts w:ascii="Open Sans" w:eastAsia="Times New Roman" w:hAnsi="Open Sans" w:cs="Open Sans"/>
          <w:b/>
          <w:bCs/>
          <w:color w:val="9D2235"/>
          <w:sz w:val="20"/>
          <w:szCs w:val="20"/>
          <w:lang w:eastAsia="es-ES"/>
        </w:rPr>
        <w:t xml:space="preserve">Tabla </w:t>
      </w:r>
      <w:r w:rsidR="006C55A1" w:rsidRPr="00A07BE9">
        <w:rPr>
          <w:rFonts w:ascii="Open Sans" w:eastAsia="Times New Roman" w:hAnsi="Open Sans" w:cs="Open Sans"/>
          <w:b/>
          <w:bCs/>
          <w:color w:val="9D2235"/>
          <w:sz w:val="20"/>
          <w:szCs w:val="20"/>
          <w:lang w:eastAsia="es-ES"/>
        </w:rPr>
        <w:t>26</w:t>
      </w:r>
      <w:r w:rsidRPr="00A07BE9">
        <w:rPr>
          <w:rFonts w:ascii="Open Sans" w:eastAsia="Times New Roman" w:hAnsi="Open Sans" w:cs="Open Sans"/>
          <w:b/>
          <w:bCs/>
          <w:color w:val="9D2235"/>
          <w:sz w:val="20"/>
          <w:szCs w:val="20"/>
          <w:lang w:eastAsia="es-ES"/>
        </w:rPr>
        <w:t>.</w:t>
      </w:r>
      <w:r w:rsidRPr="00A07BE9">
        <w:rPr>
          <w:rFonts w:ascii="Open Sans" w:eastAsia="Times New Roman" w:hAnsi="Open Sans" w:cs="Open Sans"/>
          <w:color w:val="00000A"/>
          <w:sz w:val="20"/>
          <w:szCs w:val="20"/>
          <w:lang w:eastAsia="es-ES"/>
        </w:rPr>
        <w:t xml:space="preserve"> </w:t>
      </w:r>
      <w:r w:rsidRPr="00A07BE9">
        <w:rPr>
          <w:rFonts w:ascii="Open Sans" w:eastAsia="Times New Roman" w:hAnsi="Open Sans" w:cs="Open Sans"/>
          <w:b/>
          <w:bCs/>
          <w:color w:val="00000A"/>
          <w:sz w:val="20"/>
          <w:szCs w:val="20"/>
          <w:lang w:eastAsia="es-ES"/>
        </w:rPr>
        <w:t>Presupuesto de ingresos ejercicio 2019</w:t>
      </w:r>
    </w:p>
    <w:tbl>
      <w:tblPr>
        <w:tblW w:w="8760" w:type="dxa"/>
        <w:tblLayout w:type="fixed"/>
        <w:tblCellMar>
          <w:left w:w="10" w:type="dxa"/>
          <w:right w:w="10" w:type="dxa"/>
        </w:tblCellMar>
        <w:tblLook w:val="0000" w:firstRow="0" w:lastRow="0" w:firstColumn="0" w:lastColumn="0" w:noHBand="0" w:noVBand="0"/>
      </w:tblPr>
      <w:tblGrid>
        <w:gridCol w:w="4530"/>
        <w:gridCol w:w="4230"/>
      </w:tblGrid>
      <w:tr w:rsidR="00D572EA" w:rsidRPr="00A07BE9" w14:paraId="2F3B1A72" w14:textId="77777777" w:rsidTr="00741601">
        <w:tc>
          <w:tcPr>
            <w:tcW w:w="8760" w:type="dxa"/>
            <w:gridSpan w:val="2"/>
            <w:tcBorders>
              <w:top w:val="single" w:sz="18" w:space="0" w:color="FFFFFF"/>
              <w:bottom w:val="single" w:sz="6" w:space="0" w:color="993333"/>
            </w:tcBorders>
            <w:shd w:val="clear" w:color="auto" w:fill="9D2235"/>
            <w:tcMar>
              <w:top w:w="0" w:type="dxa"/>
              <w:left w:w="0" w:type="dxa"/>
              <w:bottom w:w="0" w:type="dxa"/>
              <w:right w:w="0" w:type="dxa"/>
            </w:tcMar>
            <w:vAlign w:val="center"/>
          </w:tcPr>
          <w:p w14:paraId="6EDCFF4D" w14:textId="77777777" w:rsidR="00D572EA" w:rsidRPr="00A07BE9" w:rsidRDefault="00D572EA" w:rsidP="008B6E1F">
            <w:pPr>
              <w:autoSpaceDN w:val="0"/>
              <w:spacing w:after="0" w:line="276" w:lineRule="auto"/>
              <w:rPr>
                <w:rFonts w:ascii="Open Sans" w:eastAsia="Times New Roman" w:hAnsi="Open Sans" w:cs="Open Sans"/>
                <w:b/>
                <w:bCs/>
                <w:color w:val="FFFFFF"/>
                <w:sz w:val="20"/>
                <w:szCs w:val="20"/>
                <w:lang w:eastAsia="es-ES"/>
              </w:rPr>
            </w:pPr>
            <w:r w:rsidRPr="00A07BE9">
              <w:rPr>
                <w:rFonts w:ascii="Open Sans" w:eastAsia="Times New Roman" w:hAnsi="Open Sans" w:cs="Open Sans"/>
                <w:b/>
                <w:bCs/>
                <w:color w:val="FFFFFF"/>
                <w:sz w:val="20"/>
                <w:szCs w:val="20"/>
                <w:lang w:eastAsia="es-ES"/>
              </w:rPr>
              <w:t>PRESUPUESTO INGRESOS 2019</w:t>
            </w:r>
          </w:p>
        </w:tc>
      </w:tr>
      <w:tr w:rsidR="00D572EA" w:rsidRPr="00A07BE9" w14:paraId="0B775CAE" w14:textId="77777777" w:rsidTr="00741601">
        <w:tc>
          <w:tcPr>
            <w:tcW w:w="4530" w:type="dxa"/>
            <w:tcBorders>
              <w:bottom w:val="single" w:sz="6" w:space="0" w:color="993333"/>
            </w:tcBorders>
            <w:shd w:val="clear" w:color="auto" w:fill="FFFFFF"/>
            <w:tcMar>
              <w:top w:w="0" w:type="dxa"/>
              <w:left w:w="0" w:type="dxa"/>
              <w:bottom w:w="0" w:type="dxa"/>
              <w:right w:w="0" w:type="dxa"/>
            </w:tcMar>
            <w:vAlign w:val="center"/>
          </w:tcPr>
          <w:p w14:paraId="0972496E" w14:textId="77777777" w:rsidR="00D572EA" w:rsidRPr="00A07BE9" w:rsidRDefault="00D572EA" w:rsidP="008B6E1F">
            <w:pPr>
              <w:autoSpaceDN w:val="0"/>
              <w:spacing w:after="0" w:line="276" w:lineRule="auto"/>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CAP. IV</w:t>
            </w:r>
          </w:p>
        </w:tc>
        <w:tc>
          <w:tcPr>
            <w:tcW w:w="4230" w:type="dxa"/>
            <w:tcBorders>
              <w:bottom w:val="single" w:sz="6" w:space="0" w:color="993333"/>
            </w:tcBorders>
            <w:shd w:val="clear" w:color="auto" w:fill="FFFFFF"/>
            <w:tcMar>
              <w:top w:w="0" w:type="dxa"/>
              <w:left w:w="0" w:type="dxa"/>
              <w:bottom w:w="0" w:type="dxa"/>
              <w:right w:w="0" w:type="dxa"/>
            </w:tcMar>
            <w:vAlign w:val="center"/>
          </w:tcPr>
          <w:p w14:paraId="0077B56A" w14:textId="77777777" w:rsidR="00D572EA" w:rsidRPr="00A07BE9" w:rsidRDefault="00D572EA" w:rsidP="008B6E1F">
            <w:pPr>
              <w:autoSpaceDN w:val="0"/>
              <w:spacing w:after="0" w:line="276" w:lineRule="auto"/>
              <w:jc w:val="right"/>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3.139.964,60</w:t>
            </w:r>
          </w:p>
        </w:tc>
      </w:tr>
      <w:tr w:rsidR="00D572EA" w:rsidRPr="00A07BE9" w14:paraId="498BDA31" w14:textId="77777777" w:rsidTr="00741601">
        <w:tc>
          <w:tcPr>
            <w:tcW w:w="4530" w:type="dxa"/>
            <w:tcBorders>
              <w:bottom w:val="single" w:sz="6" w:space="0" w:color="993333"/>
            </w:tcBorders>
            <w:shd w:val="clear" w:color="auto" w:fill="FFFFFF"/>
            <w:tcMar>
              <w:top w:w="0" w:type="dxa"/>
              <w:left w:w="0" w:type="dxa"/>
              <w:bottom w:w="0" w:type="dxa"/>
              <w:right w:w="0" w:type="dxa"/>
            </w:tcMar>
            <w:vAlign w:val="center"/>
          </w:tcPr>
          <w:p w14:paraId="7D2B4963" w14:textId="77777777" w:rsidR="00D572EA" w:rsidRPr="00A07BE9" w:rsidRDefault="00D572EA" w:rsidP="008B6E1F">
            <w:pPr>
              <w:autoSpaceDN w:val="0"/>
              <w:spacing w:after="0" w:line="276" w:lineRule="auto"/>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CAP. VII</w:t>
            </w:r>
          </w:p>
        </w:tc>
        <w:tc>
          <w:tcPr>
            <w:tcW w:w="4230" w:type="dxa"/>
            <w:tcBorders>
              <w:bottom w:val="single" w:sz="6" w:space="0" w:color="993333"/>
            </w:tcBorders>
            <w:shd w:val="clear" w:color="auto" w:fill="FFFFFF"/>
            <w:tcMar>
              <w:top w:w="0" w:type="dxa"/>
              <w:left w:w="0" w:type="dxa"/>
              <w:bottom w:w="0" w:type="dxa"/>
              <w:right w:w="0" w:type="dxa"/>
            </w:tcMar>
            <w:vAlign w:val="center"/>
          </w:tcPr>
          <w:p w14:paraId="00AB5FEE" w14:textId="77777777" w:rsidR="00D572EA" w:rsidRPr="00A07BE9" w:rsidRDefault="00D572EA" w:rsidP="008B6E1F">
            <w:pPr>
              <w:autoSpaceDN w:val="0"/>
              <w:spacing w:after="0" w:line="276" w:lineRule="auto"/>
              <w:jc w:val="right"/>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241.500,00</w:t>
            </w:r>
          </w:p>
        </w:tc>
      </w:tr>
      <w:tr w:rsidR="00D572EA" w:rsidRPr="00A07BE9" w14:paraId="0C57BA41" w14:textId="77777777" w:rsidTr="00741601">
        <w:tc>
          <w:tcPr>
            <w:tcW w:w="4530" w:type="dxa"/>
            <w:tcBorders>
              <w:bottom w:val="single" w:sz="6" w:space="0" w:color="993333"/>
            </w:tcBorders>
            <w:shd w:val="clear" w:color="auto" w:fill="EEEEEE"/>
            <w:tcMar>
              <w:top w:w="0" w:type="dxa"/>
              <w:left w:w="0" w:type="dxa"/>
              <w:bottom w:w="0" w:type="dxa"/>
              <w:right w:w="0" w:type="dxa"/>
            </w:tcMar>
            <w:vAlign w:val="center"/>
          </w:tcPr>
          <w:p w14:paraId="153E7481" w14:textId="77777777" w:rsidR="00D572EA" w:rsidRPr="00A07BE9" w:rsidRDefault="00D572EA" w:rsidP="008B6E1F">
            <w:pPr>
              <w:autoSpaceDN w:val="0"/>
              <w:spacing w:after="0" w:line="276" w:lineRule="auto"/>
              <w:rPr>
                <w:rFonts w:ascii="Open Sans" w:eastAsia="Times New Roman" w:hAnsi="Open Sans" w:cs="Open Sans"/>
                <w:b/>
                <w:bCs/>
                <w:sz w:val="20"/>
                <w:szCs w:val="20"/>
                <w:lang w:eastAsia="es-ES"/>
              </w:rPr>
            </w:pPr>
            <w:r w:rsidRPr="00A07BE9">
              <w:rPr>
                <w:rFonts w:ascii="Open Sans" w:eastAsia="Times New Roman" w:hAnsi="Open Sans" w:cs="Open Sans"/>
                <w:b/>
                <w:bCs/>
                <w:sz w:val="20"/>
                <w:szCs w:val="20"/>
                <w:lang w:eastAsia="es-ES"/>
              </w:rPr>
              <w:t>TOTAL PRESUPUESTO</w:t>
            </w:r>
          </w:p>
        </w:tc>
        <w:tc>
          <w:tcPr>
            <w:tcW w:w="4230" w:type="dxa"/>
            <w:tcBorders>
              <w:bottom w:val="single" w:sz="6" w:space="0" w:color="993333"/>
            </w:tcBorders>
            <w:shd w:val="clear" w:color="auto" w:fill="EEEEEE"/>
            <w:tcMar>
              <w:top w:w="0" w:type="dxa"/>
              <w:left w:w="0" w:type="dxa"/>
              <w:bottom w:w="0" w:type="dxa"/>
              <w:right w:w="0" w:type="dxa"/>
            </w:tcMar>
            <w:vAlign w:val="center"/>
          </w:tcPr>
          <w:p w14:paraId="18082A9E" w14:textId="77777777" w:rsidR="00D572EA" w:rsidRPr="00A07BE9" w:rsidRDefault="00D572EA" w:rsidP="008B6E1F">
            <w:pPr>
              <w:autoSpaceDN w:val="0"/>
              <w:spacing w:after="0" w:line="276" w:lineRule="auto"/>
              <w:jc w:val="right"/>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3.381.464,60</w:t>
            </w:r>
          </w:p>
        </w:tc>
      </w:tr>
    </w:tbl>
    <w:p w14:paraId="1C9114B3" w14:textId="77777777" w:rsidR="00D572EA" w:rsidRPr="00A07BE9" w:rsidRDefault="00D572EA" w:rsidP="008B6E1F">
      <w:pPr>
        <w:autoSpaceDN w:val="0"/>
        <w:spacing w:after="0" w:line="276" w:lineRule="auto"/>
        <w:rPr>
          <w:rFonts w:ascii="Open Sans" w:eastAsia="Times New Roman" w:hAnsi="Open Sans" w:cs="Open Sans"/>
          <w:b/>
          <w:bCs/>
          <w:color w:val="94070A"/>
          <w:sz w:val="20"/>
          <w:szCs w:val="20"/>
          <w:lang w:eastAsia="es-ES"/>
        </w:rPr>
      </w:pPr>
    </w:p>
    <w:p w14:paraId="04D3DCA4" w14:textId="76062258" w:rsidR="00D572EA" w:rsidRPr="00A07BE9" w:rsidRDefault="00D572EA" w:rsidP="008B6E1F">
      <w:pPr>
        <w:autoSpaceDN w:val="0"/>
        <w:spacing w:after="0" w:line="276" w:lineRule="auto"/>
        <w:rPr>
          <w:rFonts w:ascii="Open Sans" w:eastAsia="Times New Roman" w:hAnsi="Open Sans" w:cs="Open Sans"/>
          <w:color w:val="94070A"/>
          <w:sz w:val="20"/>
          <w:szCs w:val="20"/>
          <w:lang w:eastAsia="es-ES"/>
        </w:rPr>
      </w:pPr>
      <w:r w:rsidRPr="00A07BE9">
        <w:rPr>
          <w:rFonts w:ascii="Open Sans" w:eastAsia="Times New Roman" w:hAnsi="Open Sans" w:cs="Open Sans"/>
          <w:b/>
          <w:bCs/>
          <w:color w:val="94070A"/>
          <w:sz w:val="20"/>
          <w:szCs w:val="20"/>
          <w:lang w:eastAsia="es-ES"/>
        </w:rPr>
        <w:t>Presupuesto de ingresos</w:t>
      </w:r>
      <w:r w:rsidRPr="00A07BE9">
        <w:rPr>
          <w:rFonts w:ascii="Open Sans" w:eastAsia="Times New Roman" w:hAnsi="Open Sans" w:cs="Open Sans"/>
          <w:color w:val="94070A"/>
          <w:sz w:val="20"/>
          <w:szCs w:val="20"/>
          <w:lang w:eastAsia="es-ES"/>
        </w:rPr>
        <w:t>:</w:t>
      </w:r>
    </w:p>
    <w:p w14:paraId="64607CAF" w14:textId="77777777" w:rsidR="00262F77" w:rsidRPr="00A07BE9" w:rsidRDefault="00262F77" w:rsidP="008B6E1F">
      <w:pPr>
        <w:autoSpaceDN w:val="0"/>
        <w:spacing w:after="0" w:line="276" w:lineRule="auto"/>
        <w:rPr>
          <w:rFonts w:ascii="Liberation Serif" w:eastAsia="Droid Sans Fallback" w:hAnsi="Liberation Serif" w:cs="FreeSans"/>
          <w:kern w:val="3"/>
          <w:sz w:val="20"/>
          <w:szCs w:val="20"/>
          <w:lang w:eastAsia="zh-CN" w:bidi="hi-IN"/>
        </w:rPr>
      </w:pPr>
    </w:p>
    <w:p w14:paraId="4EC4293D" w14:textId="77777777" w:rsidR="00D572EA" w:rsidRPr="00A07BE9" w:rsidRDefault="00D572EA" w:rsidP="008B6E1F">
      <w:pPr>
        <w:suppressAutoHyphens/>
        <w:autoSpaceDN w:val="0"/>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Se han hecho efectivas transferencias corrientes por un importe de 2.093.306,64 euros y transferencias de capital por importe de 100.625,00 euros, lo que hace un total de 2.194.491,75 euros. Asimismo, se ha ingresado un importe de 560,11 euros, en concepto de penalizaciones por incumplimientos contractuales impuestas durante el ejercicio 2019.</w:t>
      </w:r>
    </w:p>
    <w:p w14:paraId="566EE2B3" w14:textId="77777777" w:rsidR="00D572EA" w:rsidRPr="00A07BE9" w:rsidRDefault="00D572EA" w:rsidP="008B6E1F">
      <w:pPr>
        <w:suppressAutoHyphens/>
        <w:autoSpaceDN w:val="0"/>
        <w:spacing w:after="0" w:line="276" w:lineRule="auto"/>
        <w:jc w:val="both"/>
        <w:rPr>
          <w:rFonts w:ascii="Open Sans" w:eastAsia="Times New Roman" w:hAnsi="Open Sans" w:cs="Open Sans"/>
          <w:color w:val="000000"/>
          <w:sz w:val="20"/>
          <w:szCs w:val="20"/>
          <w:lang w:eastAsia="es-ES"/>
        </w:rPr>
      </w:pPr>
    </w:p>
    <w:p w14:paraId="728199A9" w14:textId="127941CC" w:rsidR="00C87DEA" w:rsidRPr="00A07BE9" w:rsidRDefault="00D572EA" w:rsidP="008B6E1F">
      <w:pPr>
        <w:suppressAutoHyphens/>
        <w:autoSpaceDN w:val="0"/>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Está pendiente de liquidar por la Intervención de la Generalitat, el reintegro, mediante compensación de ingresos, de los fondos no dispuestos transferidos en el ejercicio 2019, por importe de 1.220.387,10 euros, en aplicación del </w:t>
      </w:r>
      <w:hyperlink r:id="rId419" w:history="1">
        <w:r w:rsidRPr="00A07BE9">
          <w:rPr>
            <w:rStyle w:val="Hipervnculo"/>
            <w:rFonts w:ascii="Open Sans" w:eastAsia="Times New Roman" w:hAnsi="Open Sans" w:cs="Open Sans"/>
            <w:sz w:val="20"/>
            <w:szCs w:val="20"/>
            <w:lang w:eastAsia="es-ES"/>
          </w:rPr>
          <w:t>Decreto 204/1990, de 26 de diciembre, del Consell de la Generalitat Valenciana</w:t>
        </w:r>
      </w:hyperlink>
      <w:r w:rsidRPr="00A07BE9">
        <w:rPr>
          <w:rFonts w:ascii="Open Sans" w:eastAsia="Times New Roman" w:hAnsi="Open Sans" w:cs="Open Sans"/>
          <w:color w:val="000000"/>
          <w:sz w:val="20"/>
          <w:szCs w:val="20"/>
          <w:lang w:eastAsia="es-ES"/>
        </w:rPr>
        <w:t>, sobre reintegro de transferencias corrientes y de capital</w:t>
      </w:r>
      <w:r w:rsidR="00C87DEA" w:rsidRPr="00A07BE9">
        <w:rPr>
          <w:rFonts w:ascii="Open Sans" w:eastAsia="Times New Roman" w:hAnsi="Open Sans" w:cs="Open Sans"/>
          <w:color w:val="000000"/>
          <w:sz w:val="20"/>
          <w:szCs w:val="20"/>
          <w:lang w:eastAsia="es-ES"/>
        </w:rPr>
        <w:t>.</w:t>
      </w:r>
    </w:p>
    <w:p w14:paraId="76FBC930" w14:textId="26A3BC75" w:rsidR="00D572EA" w:rsidRPr="00A07BE9" w:rsidRDefault="00D572EA" w:rsidP="008B6E1F">
      <w:pPr>
        <w:suppressAutoHyphens/>
        <w:autoSpaceDN w:val="0"/>
        <w:spacing w:after="0" w:line="276" w:lineRule="auto"/>
        <w:jc w:val="both"/>
        <w:rPr>
          <w:rFonts w:ascii="Open Sans" w:eastAsia="Times New Roman" w:hAnsi="Open Sans" w:cs="Open Sans"/>
          <w:color w:val="000000"/>
          <w:sz w:val="20"/>
          <w:szCs w:val="20"/>
          <w:lang w:eastAsia="es-ES"/>
        </w:rPr>
        <w:sectPr w:rsidR="00D572EA" w:rsidRPr="00A07BE9" w:rsidSect="00D256F0">
          <w:headerReference w:type="default" r:id="rId420"/>
          <w:footerReference w:type="default" r:id="rId421"/>
          <w:pgSz w:w="11906" w:h="16838"/>
          <w:pgMar w:top="1134" w:right="1701" w:bottom="1134" w:left="1701" w:header="1134" w:footer="227" w:gutter="0"/>
          <w:cols w:space="720"/>
          <w:docGrid w:linePitch="299"/>
        </w:sectPr>
      </w:pPr>
      <w:r w:rsidRPr="00A07BE9">
        <w:rPr>
          <w:rFonts w:ascii="Open Sans" w:eastAsia="Times New Roman" w:hAnsi="Open Sans" w:cs="Open Sans"/>
          <w:color w:val="000000"/>
          <w:sz w:val="20"/>
          <w:szCs w:val="20"/>
          <w:lang w:eastAsia="es-ES"/>
        </w:rPr>
        <w:t>.</w:t>
      </w:r>
    </w:p>
    <w:p w14:paraId="52E1AD8F" w14:textId="7EF06F72" w:rsidR="00877A02" w:rsidRDefault="00D572EA" w:rsidP="00C12B0A">
      <w:pPr>
        <w:autoSpaceDN w:val="0"/>
        <w:spacing w:after="0" w:line="240" w:lineRule="auto"/>
        <w:rPr>
          <w:rFonts w:ascii="Open Sans" w:eastAsia="Times New Roman" w:hAnsi="Open Sans" w:cs="Open Sans"/>
          <w:b/>
          <w:bCs/>
          <w:color w:val="00000A"/>
          <w:sz w:val="20"/>
          <w:szCs w:val="20"/>
          <w:lang w:eastAsia="es-ES"/>
        </w:rPr>
      </w:pPr>
      <w:r w:rsidRPr="00A07BE9">
        <w:rPr>
          <w:rFonts w:ascii="Open Sans" w:eastAsia="Times New Roman" w:hAnsi="Open Sans" w:cs="Open Sans"/>
          <w:b/>
          <w:bCs/>
          <w:color w:val="993333"/>
          <w:sz w:val="20"/>
          <w:szCs w:val="20"/>
          <w:lang w:eastAsia="es-ES"/>
        </w:rPr>
        <w:lastRenderedPageBreak/>
        <w:t xml:space="preserve">Tabla </w:t>
      </w:r>
      <w:r w:rsidR="0095711F" w:rsidRPr="00A07BE9">
        <w:rPr>
          <w:rFonts w:ascii="Open Sans" w:eastAsia="Times New Roman" w:hAnsi="Open Sans" w:cs="Open Sans"/>
          <w:b/>
          <w:bCs/>
          <w:color w:val="993333"/>
          <w:sz w:val="20"/>
          <w:szCs w:val="20"/>
          <w:lang w:eastAsia="es-ES"/>
        </w:rPr>
        <w:t>2</w:t>
      </w:r>
      <w:r w:rsidR="00747A7D" w:rsidRPr="00A07BE9">
        <w:rPr>
          <w:rFonts w:ascii="Open Sans" w:eastAsia="Times New Roman" w:hAnsi="Open Sans" w:cs="Open Sans"/>
          <w:b/>
          <w:bCs/>
          <w:color w:val="993333"/>
          <w:sz w:val="20"/>
          <w:szCs w:val="20"/>
          <w:lang w:eastAsia="es-ES"/>
        </w:rPr>
        <w:t>7</w:t>
      </w:r>
      <w:r w:rsidRPr="00A07BE9">
        <w:rPr>
          <w:rFonts w:ascii="Open Sans" w:eastAsia="Times New Roman" w:hAnsi="Open Sans" w:cs="Open Sans"/>
          <w:b/>
          <w:bCs/>
          <w:color w:val="993333"/>
          <w:sz w:val="20"/>
          <w:szCs w:val="20"/>
          <w:lang w:eastAsia="es-ES"/>
        </w:rPr>
        <w:t>.</w:t>
      </w:r>
      <w:r w:rsidRPr="00A07BE9">
        <w:rPr>
          <w:rFonts w:ascii="Open Sans" w:eastAsia="Times New Roman" w:hAnsi="Open Sans" w:cs="Open Sans"/>
          <w:color w:val="00000A"/>
          <w:sz w:val="20"/>
          <w:szCs w:val="20"/>
          <w:lang w:eastAsia="es-ES"/>
        </w:rPr>
        <w:t xml:space="preserve"> </w:t>
      </w:r>
      <w:r w:rsidRPr="00A07BE9">
        <w:rPr>
          <w:rFonts w:ascii="Open Sans" w:eastAsia="Times New Roman" w:hAnsi="Open Sans" w:cs="Open Sans"/>
          <w:b/>
          <w:bCs/>
          <w:color w:val="00000A"/>
          <w:sz w:val="20"/>
          <w:szCs w:val="20"/>
          <w:lang w:eastAsia="es-ES"/>
        </w:rPr>
        <w:t>Ejecución del presupuesto de ingresos ejercicio 201</w:t>
      </w:r>
      <w:r w:rsidR="00877A02" w:rsidRPr="00A07BE9">
        <w:rPr>
          <w:rFonts w:ascii="Open Sans" w:eastAsia="Times New Roman" w:hAnsi="Open Sans" w:cs="Open Sans"/>
          <w:b/>
          <w:bCs/>
          <w:color w:val="00000A"/>
          <w:sz w:val="20"/>
          <w:szCs w:val="20"/>
          <w:lang w:eastAsia="es-ES"/>
        </w:rPr>
        <w:t>9</w:t>
      </w:r>
    </w:p>
    <w:p w14:paraId="68F07607" w14:textId="77777777" w:rsidR="00C12B0A" w:rsidRPr="00A07BE9" w:rsidRDefault="00C12B0A" w:rsidP="00C12B0A">
      <w:pPr>
        <w:autoSpaceDN w:val="0"/>
        <w:spacing w:after="0" w:line="240" w:lineRule="auto"/>
        <w:rPr>
          <w:rFonts w:ascii="Open Sans" w:eastAsia="Times New Roman" w:hAnsi="Open Sans" w:cs="Open Sans"/>
          <w:b/>
          <w:bCs/>
          <w:color w:val="00000A"/>
          <w:sz w:val="20"/>
          <w:szCs w:val="20"/>
          <w:lang w:eastAsia="es-ES"/>
        </w:rPr>
      </w:pPr>
    </w:p>
    <w:tbl>
      <w:tblPr>
        <w:tblW w:w="13890" w:type="dxa"/>
        <w:tblLayout w:type="fixed"/>
        <w:tblCellMar>
          <w:left w:w="10" w:type="dxa"/>
          <w:right w:w="10" w:type="dxa"/>
        </w:tblCellMar>
        <w:tblLook w:val="0000" w:firstRow="0" w:lastRow="0" w:firstColumn="0" w:lastColumn="0" w:noHBand="0" w:noVBand="0"/>
      </w:tblPr>
      <w:tblGrid>
        <w:gridCol w:w="1643"/>
        <w:gridCol w:w="1450"/>
        <w:gridCol w:w="1754"/>
        <w:gridCol w:w="1643"/>
        <w:gridCol w:w="1874"/>
        <w:gridCol w:w="1984"/>
        <w:gridCol w:w="1844"/>
        <w:gridCol w:w="1698"/>
      </w:tblGrid>
      <w:tr w:rsidR="00D572EA" w:rsidRPr="00A07BE9" w14:paraId="423F90BF" w14:textId="77777777" w:rsidTr="00741601">
        <w:tc>
          <w:tcPr>
            <w:tcW w:w="1643" w:type="dxa"/>
            <w:shd w:val="clear" w:color="auto" w:fill="9D2235"/>
            <w:tcMar>
              <w:top w:w="0" w:type="dxa"/>
              <w:left w:w="0" w:type="dxa"/>
              <w:bottom w:w="0" w:type="dxa"/>
              <w:right w:w="0" w:type="dxa"/>
            </w:tcMar>
            <w:vAlign w:val="center"/>
          </w:tcPr>
          <w:p w14:paraId="13B02418" w14:textId="77777777" w:rsidR="00D572EA" w:rsidRPr="00A07BE9" w:rsidRDefault="00D572EA" w:rsidP="00D572EA">
            <w:pPr>
              <w:autoSpaceDN w:val="0"/>
              <w:spacing w:after="0" w:line="240" w:lineRule="auto"/>
              <w:jc w:val="center"/>
              <w:rPr>
                <w:rFonts w:ascii="Open Sans" w:eastAsia="Times New Roman" w:hAnsi="Open Sans" w:cs="Open Sans"/>
                <w:b/>
                <w:bCs/>
                <w:color w:val="FFFFFF"/>
                <w:sz w:val="16"/>
                <w:szCs w:val="16"/>
                <w:lang w:eastAsia="es-ES"/>
              </w:rPr>
            </w:pPr>
            <w:r w:rsidRPr="00A07BE9">
              <w:rPr>
                <w:rFonts w:ascii="Open Sans" w:eastAsia="Times New Roman" w:hAnsi="Open Sans" w:cs="Open Sans"/>
                <w:b/>
                <w:bCs/>
                <w:color w:val="FFFFFF"/>
                <w:sz w:val="16"/>
                <w:szCs w:val="16"/>
                <w:lang w:eastAsia="es-ES"/>
              </w:rPr>
              <w:t>Capítulos</w:t>
            </w:r>
          </w:p>
        </w:tc>
        <w:tc>
          <w:tcPr>
            <w:tcW w:w="1450" w:type="dxa"/>
            <w:shd w:val="clear" w:color="auto" w:fill="9D2235"/>
            <w:tcMar>
              <w:top w:w="0" w:type="dxa"/>
              <w:left w:w="0" w:type="dxa"/>
              <w:bottom w:w="0" w:type="dxa"/>
              <w:right w:w="0" w:type="dxa"/>
            </w:tcMar>
            <w:vAlign w:val="center"/>
          </w:tcPr>
          <w:p w14:paraId="67657A44" w14:textId="77777777" w:rsidR="00D572EA" w:rsidRPr="00A07BE9" w:rsidRDefault="00D572EA" w:rsidP="00D572EA">
            <w:pPr>
              <w:autoSpaceDN w:val="0"/>
              <w:spacing w:after="0" w:line="240" w:lineRule="auto"/>
              <w:jc w:val="center"/>
              <w:rPr>
                <w:rFonts w:ascii="Open Sans" w:eastAsia="Times New Roman" w:hAnsi="Open Sans" w:cs="Open Sans"/>
                <w:b/>
                <w:bCs/>
                <w:color w:val="FFFFFF"/>
                <w:sz w:val="16"/>
                <w:szCs w:val="16"/>
                <w:lang w:eastAsia="es-ES"/>
              </w:rPr>
            </w:pPr>
            <w:r w:rsidRPr="00A07BE9">
              <w:rPr>
                <w:rFonts w:ascii="Open Sans" w:eastAsia="Times New Roman" w:hAnsi="Open Sans" w:cs="Open Sans"/>
                <w:b/>
                <w:bCs/>
                <w:color w:val="FFFFFF"/>
                <w:sz w:val="16"/>
                <w:szCs w:val="16"/>
                <w:lang w:eastAsia="es-ES"/>
              </w:rPr>
              <w:t>Previsiones totales</w:t>
            </w:r>
          </w:p>
        </w:tc>
        <w:tc>
          <w:tcPr>
            <w:tcW w:w="1754" w:type="dxa"/>
            <w:shd w:val="clear" w:color="auto" w:fill="9D2235"/>
            <w:tcMar>
              <w:top w:w="0" w:type="dxa"/>
              <w:left w:w="0" w:type="dxa"/>
              <w:bottom w:w="0" w:type="dxa"/>
              <w:right w:w="0" w:type="dxa"/>
            </w:tcMar>
            <w:vAlign w:val="center"/>
          </w:tcPr>
          <w:p w14:paraId="3B1082D5" w14:textId="77777777" w:rsidR="00D572EA" w:rsidRPr="00A07BE9" w:rsidRDefault="00D572EA" w:rsidP="00D572EA">
            <w:pPr>
              <w:autoSpaceDN w:val="0"/>
              <w:spacing w:after="0" w:line="240" w:lineRule="auto"/>
              <w:jc w:val="center"/>
              <w:rPr>
                <w:rFonts w:ascii="Open Sans" w:eastAsia="Times New Roman" w:hAnsi="Open Sans" w:cs="Open Sans"/>
                <w:b/>
                <w:bCs/>
                <w:color w:val="FFFFFF"/>
                <w:sz w:val="16"/>
                <w:szCs w:val="16"/>
                <w:lang w:eastAsia="es-ES"/>
              </w:rPr>
            </w:pPr>
            <w:r w:rsidRPr="00A07BE9">
              <w:rPr>
                <w:rFonts w:ascii="Open Sans" w:eastAsia="Times New Roman" w:hAnsi="Open Sans" w:cs="Open Sans"/>
                <w:b/>
                <w:bCs/>
                <w:color w:val="FFFFFF"/>
                <w:sz w:val="16"/>
                <w:szCs w:val="16"/>
                <w:lang w:eastAsia="es-ES"/>
              </w:rPr>
              <w:t>Derechos reconocidos netos</w:t>
            </w:r>
          </w:p>
        </w:tc>
        <w:tc>
          <w:tcPr>
            <w:tcW w:w="1643" w:type="dxa"/>
            <w:shd w:val="clear" w:color="auto" w:fill="9D2235"/>
            <w:tcMar>
              <w:top w:w="0" w:type="dxa"/>
              <w:left w:w="0" w:type="dxa"/>
              <w:bottom w:w="0" w:type="dxa"/>
              <w:right w:w="0" w:type="dxa"/>
            </w:tcMar>
            <w:vAlign w:val="center"/>
          </w:tcPr>
          <w:p w14:paraId="0377F016" w14:textId="77777777" w:rsidR="00D572EA" w:rsidRPr="00A07BE9" w:rsidRDefault="00D572EA" w:rsidP="00D572EA">
            <w:pPr>
              <w:autoSpaceDN w:val="0"/>
              <w:spacing w:after="0" w:line="240" w:lineRule="auto"/>
              <w:jc w:val="center"/>
              <w:rPr>
                <w:rFonts w:ascii="Open Sans" w:eastAsia="Times New Roman" w:hAnsi="Open Sans" w:cs="Open Sans"/>
                <w:b/>
                <w:bCs/>
                <w:color w:val="FFFFFF"/>
                <w:sz w:val="16"/>
                <w:szCs w:val="16"/>
                <w:lang w:eastAsia="es-ES"/>
              </w:rPr>
            </w:pPr>
            <w:r w:rsidRPr="00A07BE9">
              <w:rPr>
                <w:rFonts w:ascii="Open Sans" w:eastAsia="Times New Roman" w:hAnsi="Open Sans" w:cs="Open Sans"/>
                <w:b/>
                <w:bCs/>
                <w:color w:val="FFFFFF"/>
                <w:sz w:val="16"/>
                <w:szCs w:val="16"/>
                <w:lang w:eastAsia="es-ES"/>
              </w:rPr>
              <w:t>Ingresos realizados</w:t>
            </w:r>
          </w:p>
        </w:tc>
        <w:tc>
          <w:tcPr>
            <w:tcW w:w="1874" w:type="dxa"/>
            <w:shd w:val="clear" w:color="auto" w:fill="9D2235"/>
            <w:tcMar>
              <w:top w:w="0" w:type="dxa"/>
              <w:left w:w="0" w:type="dxa"/>
              <w:bottom w:w="0" w:type="dxa"/>
              <w:right w:w="0" w:type="dxa"/>
            </w:tcMar>
            <w:vAlign w:val="center"/>
          </w:tcPr>
          <w:p w14:paraId="2B423324" w14:textId="77777777" w:rsidR="00D572EA" w:rsidRPr="00A07BE9" w:rsidRDefault="00D572EA" w:rsidP="00D572EA">
            <w:pPr>
              <w:autoSpaceDN w:val="0"/>
              <w:spacing w:after="0" w:line="240" w:lineRule="auto"/>
              <w:jc w:val="center"/>
              <w:rPr>
                <w:rFonts w:ascii="Open Sans" w:eastAsia="Times New Roman" w:hAnsi="Open Sans" w:cs="Open Sans"/>
                <w:b/>
                <w:bCs/>
                <w:color w:val="FFFFFF"/>
                <w:sz w:val="16"/>
                <w:szCs w:val="16"/>
                <w:lang w:eastAsia="es-ES"/>
              </w:rPr>
            </w:pPr>
            <w:r w:rsidRPr="00A07BE9">
              <w:rPr>
                <w:rFonts w:ascii="Open Sans" w:eastAsia="Times New Roman" w:hAnsi="Open Sans" w:cs="Open Sans"/>
                <w:b/>
                <w:bCs/>
                <w:color w:val="FFFFFF"/>
                <w:sz w:val="16"/>
                <w:szCs w:val="16"/>
                <w:lang w:eastAsia="es-ES"/>
              </w:rPr>
              <w:t>Devoluciones de ingresos</w:t>
            </w:r>
          </w:p>
        </w:tc>
        <w:tc>
          <w:tcPr>
            <w:tcW w:w="1984" w:type="dxa"/>
            <w:shd w:val="clear" w:color="auto" w:fill="9D2235"/>
            <w:tcMar>
              <w:top w:w="0" w:type="dxa"/>
              <w:left w:w="0" w:type="dxa"/>
              <w:bottom w:w="0" w:type="dxa"/>
              <w:right w:w="0" w:type="dxa"/>
            </w:tcMar>
            <w:vAlign w:val="center"/>
          </w:tcPr>
          <w:p w14:paraId="25B0B9EE" w14:textId="77777777" w:rsidR="00D572EA" w:rsidRPr="00A07BE9" w:rsidRDefault="00D572EA" w:rsidP="00D572EA">
            <w:pPr>
              <w:autoSpaceDN w:val="0"/>
              <w:spacing w:after="0" w:line="240" w:lineRule="auto"/>
              <w:jc w:val="center"/>
              <w:rPr>
                <w:rFonts w:ascii="Open Sans" w:eastAsia="Times New Roman" w:hAnsi="Open Sans" w:cs="Open Sans"/>
                <w:b/>
                <w:bCs/>
                <w:color w:val="FFFFFF"/>
                <w:sz w:val="16"/>
                <w:szCs w:val="16"/>
                <w:lang w:eastAsia="es-ES"/>
              </w:rPr>
            </w:pPr>
            <w:r w:rsidRPr="00A07BE9">
              <w:rPr>
                <w:rFonts w:ascii="Open Sans" w:eastAsia="Times New Roman" w:hAnsi="Open Sans" w:cs="Open Sans"/>
                <w:b/>
                <w:bCs/>
                <w:color w:val="FFFFFF"/>
                <w:sz w:val="16"/>
                <w:szCs w:val="16"/>
                <w:lang w:eastAsia="es-ES"/>
              </w:rPr>
              <w:t>Recaudación líquida</w:t>
            </w:r>
          </w:p>
        </w:tc>
        <w:tc>
          <w:tcPr>
            <w:tcW w:w="1844" w:type="dxa"/>
            <w:shd w:val="clear" w:color="auto" w:fill="9D2235"/>
            <w:tcMar>
              <w:top w:w="0" w:type="dxa"/>
              <w:left w:w="0" w:type="dxa"/>
              <w:bottom w:w="0" w:type="dxa"/>
              <w:right w:w="0" w:type="dxa"/>
            </w:tcMar>
            <w:vAlign w:val="center"/>
          </w:tcPr>
          <w:p w14:paraId="07D9AEBD" w14:textId="77777777" w:rsidR="00D572EA" w:rsidRPr="00A07BE9" w:rsidRDefault="00D572EA" w:rsidP="00D572EA">
            <w:pPr>
              <w:autoSpaceDN w:val="0"/>
              <w:spacing w:after="0" w:line="240" w:lineRule="auto"/>
              <w:jc w:val="center"/>
              <w:rPr>
                <w:rFonts w:ascii="Open Sans" w:eastAsia="Times New Roman" w:hAnsi="Open Sans" w:cs="Open Sans"/>
                <w:b/>
                <w:bCs/>
                <w:color w:val="FFFFFF"/>
                <w:sz w:val="16"/>
                <w:szCs w:val="16"/>
                <w:lang w:eastAsia="es-ES"/>
              </w:rPr>
            </w:pPr>
            <w:r w:rsidRPr="00A07BE9">
              <w:rPr>
                <w:rFonts w:ascii="Open Sans" w:eastAsia="Times New Roman" w:hAnsi="Open Sans" w:cs="Open Sans"/>
                <w:b/>
                <w:bCs/>
                <w:color w:val="FFFFFF"/>
                <w:sz w:val="16"/>
                <w:szCs w:val="16"/>
                <w:lang w:eastAsia="es-ES"/>
              </w:rPr>
              <w:t>Pendiente de cobro</w:t>
            </w:r>
          </w:p>
        </w:tc>
        <w:tc>
          <w:tcPr>
            <w:tcW w:w="1698" w:type="dxa"/>
            <w:shd w:val="clear" w:color="auto" w:fill="9D2235"/>
            <w:tcMar>
              <w:top w:w="0" w:type="dxa"/>
              <w:left w:w="0" w:type="dxa"/>
              <w:bottom w:w="0" w:type="dxa"/>
              <w:right w:w="0" w:type="dxa"/>
            </w:tcMar>
            <w:vAlign w:val="center"/>
          </w:tcPr>
          <w:p w14:paraId="451142E1" w14:textId="77777777" w:rsidR="00D572EA" w:rsidRPr="00A07BE9" w:rsidRDefault="00D572EA" w:rsidP="00D572EA">
            <w:pPr>
              <w:autoSpaceDN w:val="0"/>
              <w:spacing w:after="0" w:line="240" w:lineRule="auto"/>
              <w:jc w:val="center"/>
              <w:rPr>
                <w:rFonts w:ascii="Open Sans" w:eastAsia="Times New Roman" w:hAnsi="Open Sans" w:cs="Open Sans"/>
                <w:b/>
                <w:bCs/>
                <w:color w:val="FFFFFF"/>
                <w:sz w:val="16"/>
                <w:szCs w:val="16"/>
                <w:lang w:eastAsia="es-ES"/>
              </w:rPr>
            </w:pPr>
            <w:r w:rsidRPr="00A07BE9">
              <w:rPr>
                <w:rFonts w:ascii="Open Sans" w:eastAsia="Times New Roman" w:hAnsi="Open Sans" w:cs="Open Sans"/>
                <w:b/>
                <w:bCs/>
                <w:color w:val="FFFFFF"/>
                <w:sz w:val="16"/>
                <w:szCs w:val="16"/>
                <w:lang w:eastAsia="es-ES"/>
              </w:rPr>
              <w:t>Estado de ejecución</w:t>
            </w:r>
          </w:p>
        </w:tc>
      </w:tr>
      <w:tr w:rsidR="00D572EA" w:rsidRPr="00A07BE9" w14:paraId="0E9F78C0" w14:textId="77777777" w:rsidTr="00741601">
        <w:tc>
          <w:tcPr>
            <w:tcW w:w="1643" w:type="dxa"/>
            <w:tcBorders>
              <w:bottom w:val="single" w:sz="6" w:space="0" w:color="993333"/>
            </w:tcBorders>
            <w:shd w:val="clear" w:color="auto" w:fill="FFFFFF"/>
            <w:tcMar>
              <w:top w:w="0" w:type="dxa"/>
              <w:left w:w="0" w:type="dxa"/>
              <w:bottom w:w="57" w:type="dxa"/>
              <w:right w:w="0" w:type="dxa"/>
            </w:tcMar>
            <w:vAlign w:val="center"/>
          </w:tcPr>
          <w:p w14:paraId="1BA0D584" w14:textId="77777777" w:rsidR="00D572EA" w:rsidRPr="00A07BE9" w:rsidRDefault="00D572EA" w:rsidP="00D572EA">
            <w:pPr>
              <w:autoSpaceDN w:val="0"/>
              <w:spacing w:after="0" w:line="360" w:lineRule="auto"/>
              <w:jc w:val="center"/>
              <w:rPr>
                <w:rFonts w:ascii="Open Sans" w:eastAsia="Times New Roman" w:hAnsi="Open Sans" w:cs="Open Sans"/>
                <w:b/>
                <w:bCs/>
                <w:color w:val="000000"/>
                <w:sz w:val="16"/>
                <w:szCs w:val="16"/>
                <w:lang w:eastAsia="es-ES"/>
              </w:rPr>
            </w:pPr>
            <w:r w:rsidRPr="00A07BE9">
              <w:rPr>
                <w:rFonts w:ascii="Open Sans" w:eastAsia="Times New Roman" w:hAnsi="Open Sans" w:cs="Open Sans"/>
                <w:b/>
                <w:bCs/>
                <w:color w:val="000000"/>
                <w:sz w:val="16"/>
                <w:szCs w:val="16"/>
                <w:lang w:eastAsia="es-ES"/>
              </w:rPr>
              <w:t>III</w:t>
            </w:r>
          </w:p>
        </w:tc>
        <w:tc>
          <w:tcPr>
            <w:tcW w:w="1450" w:type="dxa"/>
            <w:tcBorders>
              <w:bottom w:val="single" w:sz="6" w:space="0" w:color="993333"/>
            </w:tcBorders>
            <w:shd w:val="clear" w:color="auto" w:fill="FFFFFF"/>
            <w:tcMar>
              <w:top w:w="0" w:type="dxa"/>
              <w:left w:w="0" w:type="dxa"/>
              <w:bottom w:w="57" w:type="dxa"/>
              <w:right w:w="0" w:type="dxa"/>
            </w:tcMar>
            <w:vAlign w:val="center"/>
          </w:tcPr>
          <w:p w14:paraId="042BF289" w14:textId="77777777" w:rsidR="00D572EA" w:rsidRPr="00A07BE9" w:rsidRDefault="00D572EA" w:rsidP="00D572EA">
            <w:pPr>
              <w:autoSpaceDN w:val="0"/>
              <w:spacing w:after="0" w:line="360" w:lineRule="auto"/>
              <w:jc w:val="right"/>
              <w:rPr>
                <w:rFonts w:ascii="Open Sans" w:eastAsia="Times New Roman" w:hAnsi="Open Sans" w:cs="Open Sans"/>
                <w:color w:val="000000"/>
                <w:sz w:val="16"/>
                <w:szCs w:val="16"/>
                <w:lang w:eastAsia="es-ES"/>
              </w:rPr>
            </w:pPr>
            <w:r w:rsidRPr="00A07BE9">
              <w:rPr>
                <w:rFonts w:ascii="Open Sans" w:eastAsia="Times New Roman" w:hAnsi="Open Sans" w:cs="Open Sans"/>
                <w:color w:val="000000"/>
                <w:sz w:val="16"/>
                <w:szCs w:val="16"/>
                <w:lang w:eastAsia="es-ES"/>
              </w:rPr>
              <w:t>0,00</w:t>
            </w:r>
          </w:p>
        </w:tc>
        <w:tc>
          <w:tcPr>
            <w:tcW w:w="1754" w:type="dxa"/>
            <w:tcBorders>
              <w:bottom w:val="single" w:sz="6" w:space="0" w:color="993333"/>
            </w:tcBorders>
            <w:shd w:val="clear" w:color="auto" w:fill="FFFFFF"/>
            <w:tcMar>
              <w:top w:w="0" w:type="dxa"/>
              <w:left w:w="0" w:type="dxa"/>
              <w:bottom w:w="57" w:type="dxa"/>
              <w:right w:w="0" w:type="dxa"/>
            </w:tcMar>
            <w:vAlign w:val="center"/>
          </w:tcPr>
          <w:p w14:paraId="2504337C" w14:textId="77777777" w:rsidR="00D572EA" w:rsidRPr="00A07BE9" w:rsidRDefault="00D572EA" w:rsidP="00D572EA">
            <w:pPr>
              <w:autoSpaceDN w:val="0"/>
              <w:spacing w:after="0" w:line="360" w:lineRule="auto"/>
              <w:jc w:val="right"/>
              <w:rPr>
                <w:rFonts w:ascii="Open Sans" w:eastAsia="Times New Roman" w:hAnsi="Open Sans" w:cs="Open Sans"/>
                <w:color w:val="000000"/>
                <w:sz w:val="16"/>
                <w:szCs w:val="16"/>
                <w:lang w:eastAsia="es-ES"/>
              </w:rPr>
            </w:pPr>
            <w:r w:rsidRPr="00A07BE9">
              <w:rPr>
                <w:rFonts w:ascii="Open Sans" w:eastAsia="Times New Roman" w:hAnsi="Open Sans" w:cs="Open Sans"/>
                <w:color w:val="000000"/>
                <w:sz w:val="16"/>
                <w:szCs w:val="16"/>
                <w:lang w:eastAsia="es-ES"/>
              </w:rPr>
              <w:t>560,11</w:t>
            </w:r>
          </w:p>
        </w:tc>
        <w:tc>
          <w:tcPr>
            <w:tcW w:w="1643" w:type="dxa"/>
            <w:tcBorders>
              <w:bottom w:val="single" w:sz="6" w:space="0" w:color="993333"/>
            </w:tcBorders>
            <w:shd w:val="clear" w:color="auto" w:fill="FFFFFF"/>
            <w:tcMar>
              <w:top w:w="0" w:type="dxa"/>
              <w:left w:w="0" w:type="dxa"/>
              <w:bottom w:w="57" w:type="dxa"/>
              <w:right w:w="0" w:type="dxa"/>
            </w:tcMar>
            <w:vAlign w:val="center"/>
          </w:tcPr>
          <w:p w14:paraId="2D37DAFD" w14:textId="77777777" w:rsidR="00D572EA" w:rsidRPr="00A07BE9" w:rsidRDefault="00D572EA" w:rsidP="00D572EA">
            <w:pPr>
              <w:autoSpaceDN w:val="0"/>
              <w:spacing w:after="0" w:line="360" w:lineRule="auto"/>
              <w:jc w:val="right"/>
              <w:rPr>
                <w:rFonts w:ascii="Open Sans" w:eastAsia="Times New Roman" w:hAnsi="Open Sans" w:cs="Open Sans"/>
                <w:color w:val="000000"/>
                <w:sz w:val="16"/>
                <w:szCs w:val="16"/>
                <w:lang w:eastAsia="es-ES"/>
              </w:rPr>
            </w:pPr>
            <w:r w:rsidRPr="00A07BE9">
              <w:rPr>
                <w:rFonts w:ascii="Open Sans" w:eastAsia="Times New Roman" w:hAnsi="Open Sans" w:cs="Open Sans"/>
                <w:color w:val="000000"/>
                <w:sz w:val="16"/>
                <w:szCs w:val="16"/>
                <w:lang w:eastAsia="es-ES"/>
              </w:rPr>
              <w:t>560,11</w:t>
            </w:r>
          </w:p>
        </w:tc>
        <w:tc>
          <w:tcPr>
            <w:tcW w:w="1874" w:type="dxa"/>
            <w:tcBorders>
              <w:bottom w:val="single" w:sz="6" w:space="0" w:color="993333"/>
            </w:tcBorders>
            <w:shd w:val="clear" w:color="auto" w:fill="FFFFFF"/>
            <w:tcMar>
              <w:top w:w="0" w:type="dxa"/>
              <w:left w:w="0" w:type="dxa"/>
              <w:bottom w:w="57" w:type="dxa"/>
              <w:right w:w="0" w:type="dxa"/>
            </w:tcMar>
            <w:vAlign w:val="center"/>
          </w:tcPr>
          <w:p w14:paraId="52D8E590" w14:textId="77777777" w:rsidR="00D572EA" w:rsidRPr="00A07BE9" w:rsidRDefault="00D572EA" w:rsidP="00D572EA">
            <w:pPr>
              <w:autoSpaceDN w:val="0"/>
              <w:spacing w:after="0" w:line="360" w:lineRule="auto"/>
              <w:jc w:val="right"/>
              <w:rPr>
                <w:rFonts w:ascii="Open Sans" w:eastAsia="Times New Roman" w:hAnsi="Open Sans" w:cs="Open Sans"/>
                <w:color w:val="000000"/>
                <w:sz w:val="16"/>
                <w:szCs w:val="16"/>
                <w:lang w:eastAsia="es-ES"/>
              </w:rPr>
            </w:pPr>
            <w:r w:rsidRPr="00A07BE9">
              <w:rPr>
                <w:rFonts w:ascii="Open Sans" w:eastAsia="Times New Roman" w:hAnsi="Open Sans" w:cs="Open Sans"/>
                <w:color w:val="000000"/>
                <w:sz w:val="16"/>
                <w:szCs w:val="16"/>
                <w:lang w:eastAsia="es-ES"/>
              </w:rPr>
              <w:t>0,00</w:t>
            </w:r>
          </w:p>
        </w:tc>
        <w:tc>
          <w:tcPr>
            <w:tcW w:w="1984" w:type="dxa"/>
            <w:tcBorders>
              <w:bottom w:val="single" w:sz="6" w:space="0" w:color="993333"/>
            </w:tcBorders>
            <w:shd w:val="clear" w:color="auto" w:fill="FFFFFF"/>
            <w:tcMar>
              <w:top w:w="0" w:type="dxa"/>
              <w:left w:w="0" w:type="dxa"/>
              <w:bottom w:w="57" w:type="dxa"/>
              <w:right w:w="0" w:type="dxa"/>
            </w:tcMar>
            <w:vAlign w:val="center"/>
          </w:tcPr>
          <w:p w14:paraId="65EBB45B" w14:textId="77777777" w:rsidR="00D572EA" w:rsidRPr="00A07BE9" w:rsidRDefault="00D572EA" w:rsidP="00D572EA">
            <w:pPr>
              <w:autoSpaceDN w:val="0"/>
              <w:spacing w:after="0" w:line="360" w:lineRule="auto"/>
              <w:jc w:val="right"/>
              <w:rPr>
                <w:rFonts w:ascii="Open Sans" w:eastAsia="Times New Roman" w:hAnsi="Open Sans" w:cs="Open Sans"/>
                <w:color w:val="000000"/>
                <w:sz w:val="16"/>
                <w:szCs w:val="16"/>
                <w:lang w:eastAsia="es-ES"/>
              </w:rPr>
            </w:pPr>
            <w:r w:rsidRPr="00A07BE9">
              <w:rPr>
                <w:rFonts w:ascii="Open Sans" w:eastAsia="Times New Roman" w:hAnsi="Open Sans" w:cs="Open Sans"/>
                <w:color w:val="000000"/>
                <w:sz w:val="16"/>
                <w:szCs w:val="16"/>
                <w:lang w:eastAsia="es-ES"/>
              </w:rPr>
              <w:t>560,11</w:t>
            </w:r>
          </w:p>
        </w:tc>
        <w:tc>
          <w:tcPr>
            <w:tcW w:w="1844" w:type="dxa"/>
            <w:tcBorders>
              <w:bottom w:val="single" w:sz="6" w:space="0" w:color="993333"/>
            </w:tcBorders>
            <w:shd w:val="clear" w:color="auto" w:fill="FFFFFF"/>
            <w:tcMar>
              <w:top w:w="0" w:type="dxa"/>
              <w:left w:w="0" w:type="dxa"/>
              <w:bottom w:w="57" w:type="dxa"/>
              <w:right w:w="0" w:type="dxa"/>
            </w:tcMar>
            <w:vAlign w:val="center"/>
          </w:tcPr>
          <w:p w14:paraId="1E72E83E" w14:textId="77777777" w:rsidR="00D572EA" w:rsidRPr="00A07BE9" w:rsidRDefault="00D572EA" w:rsidP="00D572EA">
            <w:pPr>
              <w:autoSpaceDN w:val="0"/>
              <w:spacing w:after="0" w:line="360" w:lineRule="auto"/>
              <w:jc w:val="right"/>
              <w:rPr>
                <w:rFonts w:ascii="Open Sans" w:eastAsia="Times New Roman" w:hAnsi="Open Sans" w:cs="Open Sans"/>
                <w:color w:val="000000"/>
                <w:sz w:val="16"/>
                <w:szCs w:val="16"/>
                <w:lang w:eastAsia="es-ES"/>
              </w:rPr>
            </w:pPr>
            <w:r w:rsidRPr="00A07BE9">
              <w:rPr>
                <w:rFonts w:ascii="Open Sans" w:eastAsia="Times New Roman" w:hAnsi="Open Sans" w:cs="Open Sans"/>
                <w:color w:val="000000"/>
                <w:sz w:val="16"/>
                <w:szCs w:val="16"/>
                <w:lang w:eastAsia="es-ES"/>
              </w:rPr>
              <w:t>0,00</w:t>
            </w:r>
          </w:p>
        </w:tc>
        <w:tc>
          <w:tcPr>
            <w:tcW w:w="1698" w:type="dxa"/>
            <w:tcBorders>
              <w:bottom w:val="single" w:sz="6" w:space="0" w:color="993333"/>
            </w:tcBorders>
            <w:shd w:val="clear" w:color="auto" w:fill="FFFFFF"/>
            <w:tcMar>
              <w:top w:w="0" w:type="dxa"/>
              <w:left w:w="0" w:type="dxa"/>
              <w:bottom w:w="57" w:type="dxa"/>
              <w:right w:w="0" w:type="dxa"/>
            </w:tcMar>
            <w:vAlign w:val="center"/>
          </w:tcPr>
          <w:p w14:paraId="39445C8E" w14:textId="77777777" w:rsidR="00D572EA" w:rsidRPr="00A07BE9" w:rsidRDefault="00D572EA" w:rsidP="00D572EA">
            <w:pPr>
              <w:autoSpaceDN w:val="0"/>
              <w:spacing w:after="0" w:line="360" w:lineRule="auto"/>
              <w:jc w:val="right"/>
              <w:rPr>
                <w:rFonts w:ascii="Open Sans" w:eastAsia="Times New Roman" w:hAnsi="Open Sans" w:cs="Open Sans"/>
                <w:color w:val="000000"/>
                <w:sz w:val="16"/>
                <w:szCs w:val="16"/>
                <w:lang w:eastAsia="es-ES"/>
              </w:rPr>
            </w:pPr>
            <w:r w:rsidRPr="00A07BE9">
              <w:rPr>
                <w:rFonts w:ascii="Open Sans" w:eastAsia="Times New Roman" w:hAnsi="Open Sans" w:cs="Open Sans"/>
                <w:color w:val="000000"/>
                <w:sz w:val="16"/>
                <w:szCs w:val="16"/>
                <w:lang w:eastAsia="es-ES"/>
              </w:rPr>
              <w:t>560,11</w:t>
            </w:r>
          </w:p>
        </w:tc>
      </w:tr>
      <w:tr w:rsidR="00D572EA" w:rsidRPr="00A07BE9" w14:paraId="4F75A7AF" w14:textId="77777777" w:rsidTr="00741601">
        <w:tc>
          <w:tcPr>
            <w:tcW w:w="1643" w:type="dxa"/>
            <w:tcBorders>
              <w:bottom w:val="single" w:sz="6" w:space="0" w:color="993333"/>
            </w:tcBorders>
            <w:shd w:val="clear" w:color="auto" w:fill="FFFFFF"/>
            <w:tcMar>
              <w:top w:w="0" w:type="dxa"/>
              <w:left w:w="0" w:type="dxa"/>
              <w:bottom w:w="57" w:type="dxa"/>
              <w:right w:w="0" w:type="dxa"/>
            </w:tcMar>
            <w:vAlign w:val="center"/>
          </w:tcPr>
          <w:p w14:paraId="16E803F7" w14:textId="77777777" w:rsidR="00D572EA" w:rsidRPr="00A07BE9" w:rsidRDefault="00D572EA" w:rsidP="00D572EA">
            <w:pPr>
              <w:autoSpaceDN w:val="0"/>
              <w:spacing w:after="0" w:line="360" w:lineRule="auto"/>
              <w:jc w:val="center"/>
              <w:rPr>
                <w:rFonts w:ascii="Open Sans" w:eastAsia="Times New Roman" w:hAnsi="Open Sans" w:cs="Open Sans"/>
                <w:b/>
                <w:bCs/>
                <w:color w:val="000000"/>
                <w:sz w:val="16"/>
                <w:szCs w:val="16"/>
                <w:lang w:eastAsia="es-ES"/>
              </w:rPr>
            </w:pPr>
            <w:r w:rsidRPr="00A07BE9">
              <w:rPr>
                <w:rFonts w:ascii="Open Sans" w:eastAsia="Times New Roman" w:hAnsi="Open Sans" w:cs="Open Sans"/>
                <w:b/>
                <w:bCs/>
                <w:color w:val="000000"/>
                <w:sz w:val="16"/>
                <w:szCs w:val="16"/>
                <w:lang w:eastAsia="es-ES"/>
              </w:rPr>
              <w:t>IV</w:t>
            </w:r>
          </w:p>
        </w:tc>
        <w:tc>
          <w:tcPr>
            <w:tcW w:w="1450" w:type="dxa"/>
            <w:tcBorders>
              <w:bottom w:val="single" w:sz="6" w:space="0" w:color="993333"/>
            </w:tcBorders>
            <w:shd w:val="clear" w:color="auto" w:fill="FFFFFF"/>
            <w:tcMar>
              <w:top w:w="0" w:type="dxa"/>
              <w:left w:w="0" w:type="dxa"/>
              <w:bottom w:w="57" w:type="dxa"/>
              <w:right w:w="0" w:type="dxa"/>
            </w:tcMar>
            <w:vAlign w:val="center"/>
          </w:tcPr>
          <w:p w14:paraId="5DECE6A2" w14:textId="77777777" w:rsidR="00D572EA" w:rsidRPr="00A07BE9" w:rsidRDefault="00D572EA" w:rsidP="00D572EA">
            <w:pPr>
              <w:autoSpaceDN w:val="0"/>
              <w:spacing w:after="0" w:line="360" w:lineRule="auto"/>
              <w:jc w:val="right"/>
              <w:rPr>
                <w:rFonts w:ascii="Open Sans" w:eastAsia="Times New Roman" w:hAnsi="Open Sans" w:cs="Open Sans"/>
                <w:color w:val="000000"/>
                <w:sz w:val="16"/>
                <w:szCs w:val="16"/>
                <w:lang w:eastAsia="es-ES"/>
              </w:rPr>
            </w:pPr>
            <w:r w:rsidRPr="00A07BE9">
              <w:rPr>
                <w:rFonts w:ascii="Open Sans" w:eastAsia="Times New Roman" w:hAnsi="Open Sans" w:cs="Open Sans"/>
                <w:color w:val="000000"/>
                <w:sz w:val="16"/>
                <w:szCs w:val="16"/>
                <w:lang w:eastAsia="es-ES"/>
              </w:rPr>
              <w:t>3.139.964,60</w:t>
            </w:r>
          </w:p>
        </w:tc>
        <w:tc>
          <w:tcPr>
            <w:tcW w:w="1754" w:type="dxa"/>
            <w:tcBorders>
              <w:bottom w:val="single" w:sz="6" w:space="0" w:color="993333"/>
            </w:tcBorders>
            <w:shd w:val="clear" w:color="auto" w:fill="FFFFFF"/>
            <w:tcMar>
              <w:top w:w="0" w:type="dxa"/>
              <w:left w:w="0" w:type="dxa"/>
              <w:bottom w:w="57" w:type="dxa"/>
              <w:right w:w="0" w:type="dxa"/>
            </w:tcMar>
            <w:vAlign w:val="center"/>
          </w:tcPr>
          <w:p w14:paraId="6458AEC3" w14:textId="77777777" w:rsidR="00D572EA" w:rsidRPr="00A07BE9" w:rsidRDefault="00D572EA" w:rsidP="00D572EA">
            <w:pPr>
              <w:autoSpaceDN w:val="0"/>
              <w:spacing w:after="0" w:line="360" w:lineRule="auto"/>
              <w:jc w:val="right"/>
              <w:rPr>
                <w:rFonts w:ascii="Open Sans" w:eastAsia="Times New Roman" w:hAnsi="Open Sans" w:cs="Open Sans"/>
                <w:color w:val="000000"/>
                <w:sz w:val="16"/>
                <w:szCs w:val="16"/>
                <w:lang w:eastAsia="es-ES"/>
              </w:rPr>
            </w:pPr>
            <w:r w:rsidRPr="00A07BE9">
              <w:rPr>
                <w:rFonts w:ascii="Open Sans" w:eastAsia="Times New Roman" w:hAnsi="Open Sans" w:cs="Open Sans"/>
                <w:color w:val="000000"/>
                <w:sz w:val="16"/>
                <w:szCs w:val="16"/>
                <w:lang w:eastAsia="es-ES"/>
              </w:rPr>
              <w:t>3.139.960,00</w:t>
            </w:r>
          </w:p>
        </w:tc>
        <w:tc>
          <w:tcPr>
            <w:tcW w:w="1643" w:type="dxa"/>
            <w:tcBorders>
              <w:bottom w:val="single" w:sz="6" w:space="0" w:color="993333"/>
            </w:tcBorders>
            <w:shd w:val="clear" w:color="auto" w:fill="FFFFFF"/>
            <w:tcMar>
              <w:top w:w="0" w:type="dxa"/>
              <w:left w:w="0" w:type="dxa"/>
              <w:bottom w:w="57" w:type="dxa"/>
              <w:right w:w="0" w:type="dxa"/>
            </w:tcMar>
            <w:vAlign w:val="center"/>
          </w:tcPr>
          <w:p w14:paraId="39356DD8" w14:textId="77777777" w:rsidR="00D572EA" w:rsidRPr="00A07BE9" w:rsidRDefault="00D572EA" w:rsidP="00D572EA">
            <w:pPr>
              <w:autoSpaceDN w:val="0"/>
              <w:spacing w:after="0" w:line="360" w:lineRule="auto"/>
              <w:jc w:val="right"/>
              <w:rPr>
                <w:rFonts w:ascii="Open Sans" w:eastAsia="Times New Roman" w:hAnsi="Open Sans" w:cs="Open Sans"/>
                <w:color w:val="000000"/>
                <w:sz w:val="16"/>
                <w:szCs w:val="16"/>
                <w:lang w:eastAsia="es-ES"/>
              </w:rPr>
            </w:pPr>
            <w:r w:rsidRPr="00A07BE9">
              <w:rPr>
                <w:rFonts w:ascii="Open Sans" w:eastAsia="Times New Roman" w:hAnsi="Open Sans" w:cs="Open Sans"/>
                <w:color w:val="000000"/>
                <w:sz w:val="16"/>
                <w:szCs w:val="16"/>
                <w:lang w:eastAsia="es-ES"/>
              </w:rPr>
              <w:t>2.093.306,64</w:t>
            </w:r>
          </w:p>
        </w:tc>
        <w:tc>
          <w:tcPr>
            <w:tcW w:w="1874" w:type="dxa"/>
            <w:tcBorders>
              <w:bottom w:val="single" w:sz="6" w:space="0" w:color="993333"/>
            </w:tcBorders>
            <w:shd w:val="clear" w:color="auto" w:fill="FFFFFF"/>
            <w:tcMar>
              <w:top w:w="0" w:type="dxa"/>
              <w:left w:w="0" w:type="dxa"/>
              <w:bottom w:w="57" w:type="dxa"/>
              <w:right w:w="0" w:type="dxa"/>
            </w:tcMar>
            <w:vAlign w:val="center"/>
          </w:tcPr>
          <w:p w14:paraId="51C3CCBD" w14:textId="77777777" w:rsidR="00D572EA" w:rsidRPr="00A07BE9" w:rsidRDefault="00D572EA" w:rsidP="00D572EA">
            <w:pPr>
              <w:autoSpaceDN w:val="0"/>
              <w:spacing w:after="0" w:line="360" w:lineRule="auto"/>
              <w:jc w:val="right"/>
              <w:rPr>
                <w:rFonts w:ascii="Open Sans" w:eastAsia="Times New Roman" w:hAnsi="Open Sans" w:cs="Open Sans"/>
                <w:color w:val="000000"/>
                <w:sz w:val="16"/>
                <w:szCs w:val="16"/>
                <w:lang w:eastAsia="es-ES"/>
              </w:rPr>
            </w:pPr>
            <w:r w:rsidRPr="00A07BE9">
              <w:rPr>
                <w:rFonts w:ascii="Open Sans" w:eastAsia="Times New Roman" w:hAnsi="Open Sans" w:cs="Open Sans"/>
                <w:color w:val="000000"/>
                <w:sz w:val="16"/>
                <w:szCs w:val="16"/>
                <w:lang w:eastAsia="es-ES"/>
              </w:rPr>
              <w:t>0,00</w:t>
            </w:r>
          </w:p>
        </w:tc>
        <w:tc>
          <w:tcPr>
            <w:tcW w:w="1984" w:type="dxa"/>
            <w:tcBorders>
              <w:bottom w:val="single" w:sz="6" w:space="0" w:color="993333"/>
            </w:tcBorders>
            <w:shd w:val="clear" w:color="auto" w:fill="FFFFFF"/>
            <w:tcMar>
              <w:top w:w="0" w:type="dxa"/>
              <w:left w:w="0" w:type="dxa"/>
              <w:bottom w:w="57" w:type="dxa"/>
              <w:right w:w="0" w:type="dxa"/>
            </w:tcMar>
            <w:vAlign w:val="center"/>
          </w:tcPr>
          <w:p w14:paraId="5F923D42" w14:textId="77777777" w:rsidR="00D572EA" w:rsidRPr="00A07BE9" w:rsidRDefault="00D572EA" w:rsidP="00D572EA">
            <w:pPr>
              <w:autoSpaceDN w:val="0"/>
              <w:spacing w:after="0" w:line="360" w:lineRule="auto"/>
              <w:jc w:val="right"/>
              <w:rPr>
                <w:rFonts w:ascii="Open Sans" w:eastAsia="Times New Roman" w:hAnsi="Open Sans" w:cs="Open Sans"/>
                <w:color w:val="000000"/>
                <w:sz w:val="16"/>
                <w:szCs w:val="16"/>
                <w:lang w:eastAsia="es-ES"/>
              </w:rPr>
            </w:pPr>
            <w:r w:rsidRPr="00A07BE9">
              <w:rPr>
                <w:rFonts w:ascii="Open Sans" w:eastAsia="Times New Roman" w:hAnsi="Open Sans" w:cs="Open Sans"/>
                <w:color w:val="000000"/>
                <w:sz w:val="16"/>
                <w:szCs w:val="16"/>
                <w:lang w:eastAsia="es-ES"/>
              </w:rPr>
              <w:t>2.093.306,64</w:t>
            </w:r>
          </w:p>
        </w:tc>
        <w:tc>
          <w:tcPr>
            <w:tcW w:w="1844" w:type="dxa"/>
            <w:tcBorders>
              <w:bottom w:val="single" w:sz="6" w:space="0" w:color="993333"/>
            </w:tcBorders>
            <w:shd w:val="clear" w:color="auto" w:fill="FFFFFF"/>
            <w:tcMar>
              <w:top w:w="0" w:type="dxa"/>
              <w:left w:w="0" w:type="dxa"/>
              <w:bottom w:w="57" w:type="dxa"/>
              <w:right w:w="0" w:type="dxa"/>
            </w:tcMar>
            <w:vAlign w:val="center"/>
          </w:tcPr>
          <w:p w14:paraId="0844FB93" w14:textId="77777777" w:rsidR="00D572EA" w:rsidRPr="00A07BE9" w:rsidRDefault="00D572EA" w:rsidP="00D572EA">
            <w:pPr>
              <w:autoSpaceDN w:val="0"/>
              <w:spacing w:after="0" w:line="360" w:lineRule="auto"/>
              <w:jc w:val="right"/>
              <w:rPr>
                <w:rFonts w:ascii="Open Sans" w:eastAsia="Times New Roman" w:hAnsi="Open Sans" w:cs="Open Sans"/>
                <w:color w:val="000000"/>
                <w:sz w:val="16"/>
                <w:szCs w:val="16"/>
                <w:lang w:eastAsia="es-ES"/>
              </w:rPr>
            </w:pPr>
            <w:r w:rsidRPr="00A07BE9">
              <w:rPr>
                <w:rFonts w:ascii="Open Sans" w:eastAsia="Times New Roman" w:hAnsi="Open Sans" w:cs="Open Sans"/>
                <w:color w:val="000000"/>
                <w:sz w:val="16"/>
                <w:szCs w:val="16"/>
                <w:lang w:eastAsia="es-ES"/>
              </w:rPr>
              <w:t>1.046.653,36</w:t>
            </w:r>
          </w:p>
        </w:tc>
        <w:tc>
          <w:tcPr>
            <w:tcW w:w="1698" w:type="dxa"/>
            <w:tcBorders>
              <w:bottom w:val="single" w:sz="6" w:space="0" w:color="993333"/>
            </w:tcBorders>
            <w:shd w:val="clear" w:color="auto" w:fill="FFFFFF"/>
            <w:tcMar>
              <w:top w:w="0" w:type="dxa"/>
              <w:left w:w="0" w:type="dxa"/>
              <w:bottom w:w="57" w:type="dxa"/>
              <w:right w:w="0" w:type="dxa"/>
            </w:tcMar>
            <w:vAlign w:val="center"/>
          </w:tcPr>
          <w:p w14:paraId="5973EDC6" w14:textId="77777777" w:rsidR="00D572EA" w:rsidRPr="00A07BE9" w:rsidRDefault="00D572EA" w:rsidP="00D572EA">
            <w:pPr>
              <w:autoSpaceDN w:val="0"/>
              <w:spacing w:after="0" w:line="360" w:lineRule="auto"/>
              <w:jc w:val="right"/>
              <w:rPr>
                <w:rFonts w:ascii="Open Sans" w:eastAsia="Times New Roman" w:hAnsi="Open Sans" w:cs="Open Sans"/>
                <w:color w:val="000000"/>
                <w:sz w:val="16"/>
                <w:szCs w:val="16"/>
                <w:lang w:eastAsia="es-ES"/>
              </w:rPr>
            </w:pPr>
            <w:r w:rsidRPr="00A07BE9">
              <w:rPr>
                <w:rFonts w:ascii="Open Sans" w:eastAsia="Times New Roman" w:hAnsi="Open Sans" w:cs="Open Sans"/>
                <w:color w:val="000000"/>
                <w:sz w:val="16"/>
                <w:szCs w:val="16"/>
                <w:lang w:eastAsia="es-ES"/>
              </w:rPr>
              <w:t>-4,60</w:t>
            </w:r>
          </w:p>
        </w:tc>
      </w:tr>
      <w:tr w:rsidR="00D572EA" w:rsidRPr="00A07BE9" w14:paraId="3F34DF97" w14:textId="77777777" w:rsidTr="00741601">
        <w:trPr>
          <w:trHeight w:val="270"/>
        </w:trPr>
        <w:tc>
          <w:tcPr>
            <w:tcW w:w="1643" w:type="dxa"/>
            <w:tcBorders>
              <w:bottom w:val="single" w:sz="6" w:space="0" w:color="993333"/>
            </w:tcBorders>
            <w:shd w:val="clear" w:color="auto" w:fill="EEEEEE"/>
            <w:tcMar>
              <w:top w:w="0" w:type="dxa"/>
              <w:left w:w="0" w:type="dxa"/>
              <w:bottom w:w="57" w:type="dxa"/>
              <w:right w:w="0" w:type="dxa"/>
            </w:tcMar>
            <w:vAlign w:val="center"/>
          </w:tcPr>
          <w:p w14:paraId="6FAECDD9" w14:textId="77777777" w:rsidR="00D572EA" w:rsidRPr="00A07BE9" w:rsidRDefault="00D572EA" w:rsidP="00D572EA">
            <w:pPr>
              <w:autoSpaceDN w:val="0"/>
              <w:spacing w:after="0" w:line="360" w:lineRule="auto"/>
              <w:jc w:val="center"/>
              <w:rPr>
                <w:rFonts w:ascii="Open Sans" w:eastAsia="Times New Roman" w:hAnsi="Open Sans" w:cs="Open Sans"/>
                <w:b/>
                <w:bCs/>
                <w:color w:val="000000"/>
                <w:sz w:val="16"/>
                <w:szCs w:val="16"/>
                <w:lang w:eastAsia="es-ES"/>
              </w:rPr>
            </w:pPr>
            <w:r w:rsidRPr="00A07BE9">
              <w:rPr>
                <w:rFonts w:ascii="Open Sans" w:eastAsia="Times New Roman" w:hAnsi="Open Sans" w:cs="Open Sans"/>
                <w:b/>
                <w:bCs/>
                <w:color w:val="000000"/>
                <w:sz w:val="16"/>
                <w:szCs w:val="16"/>
                <w:lang w:eastAsia="es-ES"/>
              </w:rPr>
              <w:t>TOTAL operaciones corrientes</w:t>
            </w:r>
          </w:p>
        </w:tc>
        <w:tc>
          <w:tcPr>
            <w:tcW w:w="1450" w:type="dxa"/>
            <w:tcBorders>
              <w:bottom w:val="single" w:sz="6" w:space="0" w:color="993333"/>
            </w:tcBorders>
            <w:shd w:val="clear" w:color="auto" w:fill="EEEEEE"/>
            <w:tcMar>
              <w:top w:w="0" w:type="dxa"/>
              <w:left w:w="0" w:type="dxa"/>
              <w:bottom w:w="57" w:type="dxa"/>
              <w:right w:w="0" w:type="dxa"/>
            </w:tcMar>
            <w:vAlign w:val="center"/>
          </w:tcPr>
          <w:p w14:paraId="201BDF8A" w14:textId="77777777" w:rsidR="00D572EA" w:rsidRPr="00A07BE9" w:rsidRDefault="00D572EA" w:rsidP="00D572EA">
            <w:pPr>
              <w:autoSpaceDN w:val="0"/>
              <w:spacing w:after="0" w:line="360" w:lineRule="auto"/>
              <w:jc w:val="right"/>
              <w:rPr>
                <w:rFonts w:ascii="Open Sans" w:eastAsia="Times New Roman" w:hAnsi="Open Sans" w:cs="Open Sans"/>
                <w:color w:val="000000"/>
                <w:sz w:val="16"/>
                <w:szCs w:val="16"/>
                <w:lang w:eastAsia="es-ES"/>
              </w:rPr>
            </w:pPr>
            <w:r w:rsidRPr="00A07BE9">
              <w:rPr>
                <w:rFonts w:ascii="Open Sans" w:eastAsia="Times New Roman" w:hAnsi="Open Sans" w:cs="Open Sans"/>
                <w:color w:val="000000"/>
                <w:sz w:val="16"/>
                <w:szCs w:val="16"/>
                <w:lang w:eastAsia="es-ES"/>
              </w:rPr>
              <w:t>3.139.964,60</w:t>
            </w:r>
          </w:p>
        </w:tc>
        <w:tc>
          <w:tcPr>
            <w:tcW w:w="1754" w:type="dxa"/>
            <w:tcBorders>
              <w:bottom w:val="single" w:sz="6" w:space="0" w:color="993333"/>
            </w:tcBorders>
            <w:shd w:val="clear" w:color="auto" w:fill="EEEEEE"/>
            <w:tcMar>
              <w:top w:w="0" w:type="dxa"/>
              <w:left w:w="0" w:type="dxa"/>
              <w:bottom w:w="57" w:type="dxa"/>
              <w:right w:w="0" w:type="dxa"/>
            </w:tcMar>
            <w:vAlign w:val="center"/>
          </w:tcPr>
          <w:p w14:paraId="685B8593" w14:textId="77777777" w:rsidR="00D572EA" w:rsidRPr="00A07BE9" w:rsidRDefault="00D572EA" w:rsidP="00D572EA">
            <w:pPr>
              <w:autoSpaceDN w:val="0"/>
              <w:spacing w:after="0" w:line="360" w:lineRule="auto"/>
              <w:jc w:val="right"/>
              <w:rPr>
                <w:rFonts w:ascii="Open Sans" w:eastAsia="Times New Roman" w:hAnsi="Open Sans" w:cs="Open Sans"/>
                <w:color w:val="000000"/>
                <w:sz w:val="16"/>
                <w:szCs w:val="16"/>
                <w:lang w:eastAsia="es-ES"/>
              </w:rPr>
            </w:pPr>
            <w:r w:rsidRPr="00A07BE9">
              <w:rPr>
                <w:rFonts w:ascii="Open Sans" w:eastAsia="Times New Roman" w:hAnsi="Open Sans" w:cs="Open Sans"/>
                <w:color w:val="000000"/>
                <w:sz w:val="16"/>
                <w:szCs w:val="16"/>
                <w:lang w:eastAsia="es-ES"/>
              </w:rPr>
              <w:t>3.140.520,11</w:t>
            </w:r>
          </w:p>
        </w:tc>
        <w:tc>
          <w:tcPr>
            <w:tcW w:w="1643" w:type="dxa"/>
            <w:tcBorders>
              <w:bottom w:val="single" w:sz="6" w:space="0" w:color="993333"/>
            </w:tcBorders>
            <w:shd w:val="clear" w:color="auto" w:fill="EEEEEE"/>
            <w:tcMar>
              <w:top w:w="0" w:type="dxa"/>
              <w:left w:w="0" w:type="dxa"/>
              <w:bottom w:w="57" w:type="dxa"/>
              <w:right w:w="0" w:type="dxa"/>
            </w:tcMar>
            <w:vAlign w:val="center"/>
          </w:tcPr>
          <w:p w14:paraId="1A204D71" w14:textId="77777777" w:rsidR="00D572EA" w:rsidRPr="00A07BE9" w:rsidRDefault="00D572EA" w:rsidP="00D572EA">
            <w:pPr>
              <w:autoSpaceDN w:val="0"/>
              <w:spacing w:after="0" w:line="360" w:lineRule="auto"/>
              <w:jc w:val="right"/>
              <w:rPr>
                <w:rFonts w:ascii="Open Sans" w:eastAsia="Times New Roman" w:hAnsi="Open Sans" w:cs="Open Sans"/>
                <w:color w:val="000000"/>
                <w:sz w:val="16"/>
                <w:szCs w:val="16"/>
                <w:lang w:eastAsia="es-ES"/>
              </w:rPr>
            </w:pPr>
            <w:r w:rsidRPr="00A07BE9">
              <w:rPr>
                <w:rFonts w:ascii="Open Sans" w:eastAsia="Times New Roman" w:hAnsi="Open Sans" w:cs="Open Sans"/>
                <w:color w:val="000000"/>
                <w:sz w:val="16"/>
                <w:szCs w:val="16"/>
                <w:lang w:eastAsia="es-ES"/>
              </w:rPr>
              <w:t>2.093.866,75</w:t>
            </w:r>
          </w:p>
        </w:tc>
        <w:tc>
          <w:tcPr>
            <w:tcW w:w="1874" w:type="dxa"/>
            <w:tcBorders>
              <w:bottom w:val="single" w:sz="6" w:space="0" w:color="993333"/>
            </w:tcBorders>
            <w:shd w:val="clear" w:color="auto" w:fill="EEEEEE"/>
            <w:tcMar>
              <w:top w:w="0" w:type="dxa"/>
              <w:left w:w="0" w:type="dxa"/>
              <w:bottom w:w="57" w:type="dxa"/>
              <w:right w:w="0" w:type="dxa"/>
            </w:tcMar>
            <w:vAlign w:val="center"/>
          </w:tcPr>
          <w:p w14:paraId="6447B740" w14:textId="77777777" w:rsidR="00D572EA" w:rsidRPr="00A07BE9" w:rsidRDefault="00D572EA" w:rsidP="00D572EA">
            <w:pPr>
              <w:autoSpaceDN w:val="0"/>
              <w:spacing w:after="0" w:line="360" w:lineRule="auto"/>
              <w:jc w:val="right"/>
              <w:rPr>
                <w:rFonts w:ascii="Open Sans" w:eastAsia="Times New Roman" w:hAnsi="Open Sans" w:cs="Open Sans"/>
                <w:color w:val="000000"/>
                <w:sz w:val="16"/>
                <w:szCs w:val="16"/>
                <w:lang w:eastAsia="es-ES"/>
              </w:rPr>
            </w:pPr>
            <w:r w:rsidRPr="00A07BE9">
              <w:rPr>
                <w:rFonts w:ascii="Open Sans" w:eastAsia="Times New Roman" w:hAnsi="Open Sans" w:cs="Open Sans"/>
                <w:color w:val="000000"/>
                <w:sz w:val="16"/>
                <w:szCs w:val="16"/>
                <w:lang w:eastAsia="es-ES"/>
              </w:rPr>
              <w:t>0,00</w:t>
            </w:r>
          </w:p>
        </w:tc>
        <w:tc>
          <w:tcPr>
            <w:tcW w:w="1984" w:type="dxa"/>
            <w:tcBorders>
              <w:bottom w:val="single" w:sz="6" w:space="0" w:color="993333"/>
            </w:tcBorders>
            <w:shd w:val="clear" w:color="auto" w:fill="EEEEEE"/>
            <w:tcMar>
              <w:top w:w="0" w:type="dxa"/>
              <w:left w:w="0" w:type="dxa"/>
              <w:bottom w:w="57" w:type="dxa"/>
              <w:right w:w="0" w:type="dxa"/>
            </w:tcMar>
            <w:vAlign w:val="center"/>
          </w:tcPr>
          <w:p w14:paraId="2E4DEBDE" w14:textId="77777777" w:rsidR="00D572EA" w:rsidRPr="00A07BE9" w:rsidRDefault="00D572EA" w:rsidP="00D572EA">
            <w:pPr>
              <w:autoSpaceDN w:val="0"/>
              <w:spacing w:after="0" w:line="360" w:lineRule="auto"/>
              <w:jc w:val="right"/>
              <w:rPr>
                <w:rFonts w:ascii="Open Sans" w:eastAsia="Times New Roman" w:hAnsi="Open Sans" w:cs="Open Sans"/>
                <w:color w:val="000000"/>
                <w:sz w:val="16"/>
                <w:szCs w:val="16"/>
                <w:lang w:eastAsia="es-ES"/>
              </w:rPr>
            </w:pPr>
            <w:r w:rsidRPr="00A07BE9">
              <w:rPr>
                <w:rFonts w:ascii="Open Sans" w:eastAsia="Times New Roman" w:hAnsi="Open Sans" w:cs="Open Sans"/>
                <w:color w:val="000000"/>
                <w:sz w:val="16"/>
                <w:szCs w:val="16"/>
                <w:lang w:eastAsia="es-ES"/>
              </w:rPr>
              <w:t>2.093.866,75</w:t>
            </w:r>
          </w:p>
        </w:tc>
        <w:tc>
          <w:tcPr>
            <w:tcW w:w="1844" w:type="dxa"/>
            <w:tcBorders>
              <w:bottom w:val="single" w:sz="6" w:space="0" w:color="993333"/>
            </w:tcBorders>
            <w:shd w:val="clear" w:color="auto" w:fill="EEEEEE"/>
            <w:tcMar>
              <w:top w:w="0" w:type="dxa"/>
              <w:left w:w="0" w:type="dxa"/>
              <w:bottom w:w="57" w:type="dxa"/>
              <w:right w:w="0" w:type="dxa"/>
            </w:tcMar>
            <w:vAlign w:val="center"/>
          </w:tcPr>
          <w:p w14:paraId="7E5E6069" w14:textId="77777777" w:rsidR="00D572EA" w:rsidRPr="00A07BE9" w:rsidRDefault="00D572EA" w:rsidP="00D572EA">
            <w:pPr>
              <w:autoSpaceDN w:val="0"/>
              <w:spacing w:after="0" w:line="360" w:lineRule="auto"/>
              <w:jc w:val="right"/>
              <w:rPr>
                <w:rFonts w:ascii="Open Sans" w:eastAsia="Times New Roman" w:hAnsi="Open Sans" w:cs="Open Sans"/>
                <w:color w:val="000000"/>
                <w:sz w:val="16"/>
                <w:szCs w:val="16"/>
                <w:lang w:eastAsia="es-ES"/>
              </w:rPr>
            </w:pPr>
            <w:r w:rsidRPr="00A07BE9">
              <w:rPr>
                <w:rFonts w:ascii="Open Sans" w:eastAsia="Times New Roman" w:hAnsi="Open Sans" w:cs="Open Sans"/>
                <w:color w:val="000000"/>
                <w:sz w:val="16"/>
                <w:szCs w:val="16"/>
                <w:lang w:eastAsia="es-ES"/>
              </w:rPr>
              <w:t>1.046.653,36</w:t>
            </w:r>
          </w:p>
        </w:tc>
        <w:tc>
          <w:tcPr>
            <w:tcW w:w="1698" w:type="dxa"/>
            <w:tcBorders>
              <w:bottom w:val="single" w:sz="6" w:space="0" w:color="993333"/>
            </w:tcBorders>
            <w:shd w:val="clear" w:color="auto" w:fill="EEEEEE"/>
            <w:tcMar>
              <w:top w:w="0" w:type="dxa"/>
              <w:left w:w="0" w:type="dxa"/>
              <w:bottom w:w="57" w:type="dxa"/>
              <w:right w:w="0" w:type="dxa"/>
            </w:tcMar>
            <w:vAlign w:val="center"/>
          </w:tcPr>
          <w:p w14:paraId="05A5A844" w14:textId="77777777" w:rsidR="00D572EA" w:rsidRPr="00A07BE9" w:rsidRDefault="00D572EA" w:rsidP="00D572EA">
            <w:pPr>
              <w:autoSpaceDN w:val="0"/>
              <w:spacing w:after="0" w:line="360" w:lineRule="auto"/>
              <w:jc w:val="right"/>
              <w:rPr>
                <w:rFonts w:ascii="Open Sans" w:eastAsia="Times New Roman" w:hAnsi="Open Sans" w:cs="Open Sans"/>
                <w:color w:val="000000"/>
                <w:sz w:val="16"/>
                <w:szCs w:val="16"/>
                <w:lang w:eastAsia="es-ES"/>
              </w:rPr>
            </w:pPr>
            <w:r w:rsidRPr="00A07BE9">
              <w:rPr>
                <w:rFonts w:ascii="Open Sans" w:eastAsia="Times New Roman" w:hAnsi="Open Sans" w:cs="Open Sans"/>
                <w:color w:val="000000"/>
                <w:sz w:val="16"/>
                <w:szCs w:val="16"/>
                <w:lang w:eastAsia="es-ES"/>
              </w:rPr>
              <w:t>555,51</w:t>
            </w:r>
          </w:p>
        </w:tc>
      </w:tr>
      <w:tr w:rsidR="00D572EA" w:rsidRPr="00A07BE9" w14:paraId="63B61107" w14:textId="77777777" w:rsidTr="00741601">
        <w:tc>
          <w:tcPr>
            <w:tcW w:w="1643" w:type="dxa"/>
            <w:tcBorders>
              <w:bottom w:val="single" w:sz="6" w:space="0" w:color="993333"/>
            </w:tcBorders>
            <w:shd w:val="clear" w:color="auto" w:fill="FFFFFF"/>
            <w:tcMar>
              <w:top w:w="0" w:type="dxa"/>
              <w:left w:w="0" w:type="dxa"/>
              <w:bottom w:w="57" w:type="dxa"/>
              <w:right w:w="0" w:type="dxa"/>
            </w:tcMar>
            <w:vAlign w:val="center"/>
          </w:tcPr>
          <w:p w14:paraId="6A72881B" w14:textId="77777777" w:rsidR="00D572EA" w:rsidRPr="00A07BE9" w:rsidRDefault="00D572EA" w:rsidP="00D572EA">
            <w:pPr>
              <w:autoSpaceDN w:val="0"/>
              <w:spacing w:after="0" w:line="360" w:lineRule="auto"/>
              <w:jc w:val="center"/>
              <w:rPr>
                <w:rFonts w:ascii="Open Sans" w:eastAsia="Times New Roman" w:hAnsi="Open Sans" w:cs="Open Sans"/>
                <w:b/>
                <w:bCs/>
                <w:sz w:val="16"/>
                <w:szCs w:val="16"/>
                <w:lang w:eastAsia="es-ES"/>
              </w:rPr>
            </w:pPr>
            <w:r w:rsidRPr="00A07BE9">
              <w:rPr>
                <w:rFonts w:ascii="Open Sans" w:eastAsia="Times New Roman" w:hAnsi="Open Sans" w:cs="Open Sans"/>
                <w:b/>
                <w:bCs/>
                <w:sz w:val="16"/>
                <w:szCs w:val="16"/>
                <w:lang w:eastAsia="es-ES"/>
              </w:rPr>
              <w:t>VII</w:t>
            </w:r>
          </w:p>
        </w:tc>
        <w:tc>
          <w:tcPr>
            <w:tcW w:w="1450" w:type="dxa"/>
            <w:tcBorders>
              <w:bottom w:val="single" w:sz="6" w:space="0" w:color="993333"/>
            </w:tcBorders>
            <w:shd w:val="clear" w:color="auto" w:fill="FFFFFF"/>
            <w:tcMar>
              <w:top w:w="0" w:type="dxa"/>
              <w:left w:w="0" w:type="dxa"/>
              <w:bottom w:w="57" w:type="dxa"/>
              <w:right w:w="0" w:type="dxa"/>
            </w:tcMar>
            <w:vAlign w:val="center"/>
          </w:tcPr>
          <w:p w14:paraId="46DC755C" w14:textId="77777777" w:rsidR="00D572EA" w:rsidRPr="00A07BE9" w:rsidRDefault="00D572EA" w:rsidP="00D572EA">
            <w:pPr>
              <w:autoSpaceDN w:val="0"/>
              <w:spacing w:after="0" w:line="360" w:lineRule="auto"/>
              <w:jc w:val="right"/>
              <w:rPr>
                <w:rFonts w:ascii="Open Sans" w:eastAsia="Times New Roman" w:hAnsi="Open Sans" w:cs="Open Sans"/>
                <w:sz w:val="16"/>
                <w:szCs w:val="16"/>
                <w:lang w:eastAsia="es-ES"/>
              </w:rPr>
            </w:pPr>
            <w:r w:rsidRPr="00A07BE9">
              <w:rPr>
                <w:rFonts w:ascii="Open Sans" w:eastAsia="Times New Roman" w:hAnsi="Open Sans" w:cs="Open Sans"/>
                <w:sz w:val="16"/>
                <w:szCs w:val="16"/>
                <w:lang w:eastAsia="es-ES"/>
              </w:rPr>
              <w:t>241.500,00</w:t>
            </w:r>
          </w:p>
        </w:tc>
        <w:tc>
          <w:tcPr>
            <w:tcW w:w="1754" w:type="dxa"/>
            <w:tcBorders>
              <w:bottom w:val="single" w:sz="6" w:space="0" w:color="993333"/>
            </w:tcBorders>
            <w:shd w:val="clear" w:color="auto" w:fill="FFFFFF"/>
            <w:tcMar>
              <w:top w:w="0" w:type="dxa"/>
              <w:left w:w="0" w:type="dxa"/>
              <w:bottom w:w="57" w:type="dxa"/>
              <w:right w:w="0" w:type="dxa"/>
            </w:tcMar>
            <w:vAlign w:val="center"/>
          </w:tcPr>
          <w:p w14:paraId="128F2670" w14:textId="77777777" w:rsidR="00D572EA" w:rsidRPr="00A07BE9" w:rsidRDefault="00D572EA" w:rsidP="00D572EA">
            <w:pPr>
              <w:autoSpaceDN w:val="0"/>
              <w:spacing w:after="0" w:line="360" w:lineRule="auto"/>
              <w:jc w:val="right"/>
              <w:rPr>
                <w:rFonts w:ascii="Open Sans" w:eastAsia="Times New Roman" w:hAnsi="Open Sans" w:cs="Open Sans"/>
                <w:sz w:val="16"/>
                <w:szCs w:val="16"/>
                <w:lang w:eastAsia="es-ES"/>
              </w:rPr>
            </w:pPr>
            <w:r w:rsidRPr="00A07BE9">
              <w:rPr>
                <w:rFonts w:ascii="Open Sans" w:eastAsia="Times New Roman" w:hAnsi="Open Sans" w:cs="Open Sans"/>
                <w:sz w:val="16"/>
                <w:szCs w:val="16"/>
                <w:lang w:eastAsia="es-ES"/>
              </w:rPr>
              <w:t>241.500,00</w:t>
            </w:r>
          </w:p>
        </w:tc>
        <w:tc>
          <w:tcPr>
            <w:tcW w:w="1643" w:type="dxa"/>
            <w:tcBorders>
              <w:bottom w:val="single" w:sz="6" w:space="0" w:color="993333"/>
            </w:tcBorders>
            <w:shd w:val="clear" w:color="auto" w:fill="FFFFFF"/>
            <w:tcMar>
              <w:top w:w="0" w:type="dxa"/>
              <w:left w:w="0" w:type="dxa"/>
              <w:bottom w:w="57" w:type="dxa"/>
              <w:right w:w="0" w:type="dxa"/>
            </w:tcMar>
            <w:vAlign w:val="center"/>
          </w:tcPr>
          <w:p w14:paraId="18C24C44" w14:textId="77777777" w:rsidR="00D572EA" w:rsidRPr="00A07BE9" w:rsidRDefault="00D572EA" w:rsidP="00D572EA">
            <w:pPr>
              <w:autoSpaceDN w:val="0"/>
              <w:spacing w:after="0" w:line="360" w:lineRule="auto"/>
              <w:jc w:val="right"/>
              <w:rPr>
                <w:rFonts w:ascii="Open Sans" w:eastAsia="Times New Roman" w:hAnsi="Open Sans" w:cs="Open Sans"/>
                <w:sz w:val="16"/>
                <w:szCs w:val="16"/>
                <w:lang w:eastAsia="es-ES"/>
              </w:rPr>
            </w:pPr>
            <w:r w:rsidRPr="00A07BE9">
              <w:rPr>
                <w:rFonts w:ascii="Open Sans" w:eastAsia="Times New Roman" w:hAnsi="Open Sans" w:cs="Open Sans"/>
                <w:sz w:val="16"/>
                <w:szCs w:val="16"/>
                <w:lang w:eastAsia="es-ES"/>
              </w:rPr>
              <w:t>100.625,00</w:t>
            </w:r>
          </w:p>
        </w:tc>
        <w:tc>
          <w:tcPr>
            <w:tcW w:w="1874" w:type="dxa"/>
            <w:tcBorders>
              <w:bottom w:val="single" w:sz="6" w:space="0" w:color="993333"/>
            </w:tcBorders>
            <w:shd w:val="clear" w:color="auto" w:fill="FFFFFF"/>
            <w:tcMar>
              <w:top w:w="0" w:type="dxa"/>
              <w:left w:w="0" w:type="dxa"/>
              <w:bottom w:w="57" w:type="dxa"/>
              <w:right w:w="0" w:type="dxa"/>
            </w:tcMar>
            <w:vAlign w:val="center"/>
          </w:tcPr>
          <w:p w14:paraId="70F47B4E" w14:textId="77777777" w:rsidR="00D572EA" w:rsidRPr="00A07BE9" w:rsidRDefault="00D572EA" w:rsidP="00D572EA">
            <w:pPr>
              <w:autoSpaceDN w:val="0"/>
              <w:spacing w:after="0" w:line="360" w:lineRule="auto"/>
              <w:jc w:val="right"/>
              <w:rPr>
                <w:rFonts w:ascii="Open Sans" w:eastAsia="Times New Roman" w:hAnsi="Open Sans" w:cs="Open Sans"/>
                <w:sz w:val="16"/>
                <w:szCs w:val="16"/>
                <w:lang w:eastAsia="es-ES"/>
              </w:rPr>
            </w:pPr>
            <w:r w:rsidRPr="00A07BE9">
              <w:rPr>
                <w:rFonts w:ascii="Open Sans" w:eastAsia="Times New Roman" w:hAnsi="Open Sans" w:cs="Open Sans"/>
                <w:sz w:val="16"/>
                <w:szCs w:val="16"/>
                <w:lang w:eastAsia="es-ES"/>
              </w:rPr>
              <w:t>0,00</w:t>
            </w:r>
          </w:p>
        </w:tc>
        <w:tc>
          <w:tcPr>
            <w:tcW w:w="1984" w:type="dxa"/>
            <w:tcBorders>
              <w:bottom w:val="single" w:sz="6" w:space="0" w:color="993333"/>
            </w:tcBorders>
            <w:shd w:val="clear" w:color="auto" w:fill="FFFFFF"/>
            <w:tcMar>
              <w:top w:w="0" w:type="dxa"/>
              <w:left w:w="0" w:type="dxa"/>
              <w:bottom w:w="57" w:type="dxa"/>
              <w:right w:w="0" w:type="dxa"/>
            </w:tcMar>
            <w:vAlign w:val="center"/>
          </w:tcPr>
          <w:p w14:paraId="6E2B5EC9" w14:textId="77777777" w:rsidR="00D572EA" w:rsidRPr="00A07BE9" w:rsidRDefault="00D572EA" w:rsidP="00D572EA">
            <w:pPr>
              <w:autoSpaceDN w:val="0"/>
              <w:spacing w:after="0" w:line="360" w:lineRule="auto"/>
              <w:jc w:val="right"/>
              <w:rPr>
                <w:rFonts w:ascii="Open Sans" w:eastAsia="Times New Roman" w:hAnsi="Open Sans" w:cs="Open Sans"/>
                <w:sz w:val="16"/>
                <w:szCs w:val="16"/>
                <w:lang w:eastAsia="es-ES"/>
              </w:rPr>
            </w:pPr>
            <w:r w:rsidRPr="00A07BE9">
              <w:rPr>
                <w:rFonts w:ascii="Open Sans" w:eastAsia="Times New Roman" w:hAnsi="Open Sans" w:cs="Open Sans"/>
                <w:sz w:val="16"/>
                <w:szCs w:val="16"/>
                <w:lang w:eastAsia="es-ES"/>
              </w:rPr>
              <w:t>100.625,00</w:t>
            </w:r>
          </w:p>
        </w:tc>
        <w:tc>
          <w:tcPr>
            <w:tcW w:w="1844" w:type="dxa"/>
            <w:tcBorders>
              <w:bottom w:val="single" w:sz="6" w:space="0" w:color="993333"/>
            </w:tcBorders>
            <w:shd w:val="clear" w:color="auto" w:fill="FFFFFF"/>
            <w:tcMar>
              <w:top w:w="0" w:type="dxa"/>
              <w:left w:w="0" w:type="dxa"/>
              <w:bottom w:w="57" w:type="dxa"/>
              <w:right w:w="0" w:type="dxa"/>
            </w:tcMar>
            <w:vAlign w:val="center"/>
          </w:tcPr>
          <w:p w14:paraId="10E0442D" w14:textId="77777777" w:rsidR="00D572EA" w:rsidRPr="00A07BE9" w:rsidRDefault="00D572EA" w:rsidP="00D572EA">
            <w:pPr>
              <w:autoSpaceDN w:val="0"/>
              <w:spacing w:after="0" w:line="360" w:lineRule="auto"/>
              <w:jc w:val="right"/>
              <w:rPr>
                <w:rFonts w:ascii="Open Sans" w:eastAsia="Times New Roman" w:hAnsi="Open Sans" w:cs="Open Sans"/>
                <w:sz w:val="16"/>
                <w:szCs w:val="16"/>
                <w:lang w:eastAsia="es-ES"/>
              </w:rPr>
            </w:pPr>
            <w:r w:rsidRPr="00A07BE9">
              <w:rPr>
                <w:rFonts w:ascii="Open Sans" w:eastAsia="Times New Roman" w:hAnsi="Open Sans" w:cs="Open Sans"/>
                <w:sz w:val="16"/>
                <w:szCs w:val="16"/>
                <w:lang w:eastAsia="es-ES"/>
              </w:rPr>
              <w:t>140.875,00</w:t>
            </w:r>
          </w:p>
        </w:tc>
        <w:tc>
          <w:tcPr>
            <w:tcW w:w="1698" w:type="dxa"/>
            <w:tcBorders>
              <w:bottom w:val="single" w:sz="6" w:space="0" w:color="993333"/>
            </w:tcBorders>
            <w:shd w:val="clear" w:color="auto" w:fill="FFFFFF"/>
            <w:tcMar>
              <w:top w:w="0" w:type="dxa"/>
              <w:left w:w="0" w:type="dxa"/>
              <w:bottom w:w="57" w:type="dxa"/>
              <w:right w:w="0" w:type="dxa"/>
            </w:tcMar>
            <w:vAlign w:val="center"/>
          </w:tcPr>
          <w:p w14:paraId="06A42F45" w14:textId="77777777" w:rsidR="00D572EA" w:rsidRPr="00A07BE9" w:rsidRDefault="00D572EA" w:rsidP="00D572EA">
            <w:pPr>
              <w:autoSpaceDN w:val="0"/>
              <w:spacing w:after="0" w:line="360" w:lineRule="auto"/>
              <w:jc w:val="right"/>
              <w:rPr>
                <w:rFonts w:ascii="Open Sans" w:eastAsia="Times New Roman" w:hAnsi="Open Sans" w:cs="Open Sans"/>
                <w:sz w:val="16"/>
                <w:szCs w:val="16"/>
                <w:lang w:eastAsia="es-ES"/>
              </w:rPr>
            </w:pPr>
            <w:r w:rsidRPr="00A07BE9">
              <w:rPr>
                <w:rFonts w:ascii="Open Sans" w:eastAsia="Times New Roman" w:hAnsi="Open Sans" w:cs="Open Sans"/>
                <w:sz w:val="16"/>
                <w:szCs w:val="16"/>
                <w:lang w:eastAsia="es-ES"/>
              </w:rPr>
              <w:t>0,00</w:t>
            </w:r>
          </w:p>
        </w:tc>
      </w:tr>
      <w:tr w:rsidR="00D572EA" w:rsidRPr="00A07BE9" w14:paraId="7EB8365A" w14:textId="77777777" w:rsidTr="00741601">
        <w:tc>
          <w:tcPr>
            <w:tcW w:w="1643" w:type="dxa"/>
            <w:tcBorders>
              <w:bottom w:val="single" w:sz="6" w:space="0" w:color="993333"/>
            </w:tcBorders>
            <w:shd w:val="clear" w:color="auto" w:fill="EEEEEE"/>
            <w:tcMar>
              <w:top w:w="0" w:type="dxa"/>
              <w:left w:w="0" w:type="dxa"/>
              <w:bottom w:w="57" w:type="dxa"/>
              <w:right w:w="0" w:type="dxa"/>
            </w:tcMar>
            <w:vAlign w:val="center"/>
          </w:tcPr>
          <w:p w14:paraId="5AB824C4" w14:textId="77777777" w:rsidR="00D572EA" w:rsidRPr="00A07BE9" w:rsidRDefault="00D572EA" w:rsidP="00D572EA">
            <w:pPr>
              <w:autoSpaceDN w:val="0"/>
              <w:spacing w:after="0" w:line="360" w:lineRule="auto"/>
              <w:jc w:val="center"/>
              <w:rPr>
                <w:rFonts w:ascii="Open Sans" w:eastAsia="Times New Roman" w:hAnsi="Open Sans" w:cs="Open Sans"/>
                <w:b/>
                <w:bCs/>
                <w:sz w:val="16"/>
                <w:szCs w:val="16"/>
                <w:lang w:eastAsia="es-ES"/>
              </w:rPr>
            </w:pPr>
            <w:r w:rsidRPr="00A07BE9">
              <w:rPr>
                <w:rFonts w:ascii="Open Sans" w:eastAsia="Times New Roman" w:hAnsi="Open Sans" w:cs="Open Sans"/>
                <w:b/>
                <w:bCs/>
                <w:sz w:val="16"/>
                <w:szCs w:val="16"/>
                <w:lang w:eastAsia="es-ES"/>
              </w:rPr>
              <w:t>TOTAL operaciones capital</w:t>
            </w:r>
          </w:p>
        </w:tc>
        <w:tc>
          <w:tcPr>
            <w:tcW w:w="1450" w:type="dxa"/>
            <w:tcBorders>
              <w:bottom w:val="single" w:sz="6" w:space="0" w:color="993333"/>
            </w:tcBorders>
            <w:shd w:val="clear" w:color="auto" w:fill="EEEEEE"/>
            <w:tcMar>
              <w:top w:w="0" w:type="dxa"/>
              <w:left w:w="0" w:type="dxa"/>
              <w:bottom w:w="57" w:type="dxa"/>
              <w:right w:w="0" w:type="dxa"/>
            </w:tcMar>
            <w:vAlign w:val="center"/>
          </w:tcPr>
          <w:p w14:paraId="65674A45" w14:textId="77777777" w:rsidR="00D572EA" w:rsidRPr="00A07BE9" w:rsidRDefault="00D572EA" w:rsidP="00D572EA">
            <w:pPr>
              <w:autoSpaceDN w:val="0"/>
              <w:spacing w:after="0" w:line="360" w:lineRule="auto"/>
              <w:jc w:val="right"/>
              <w:rPr>
                <w:rFonts w:ascii="Open Sans" w:eastAsia="Times New Roman" w:hAnsi="Open Sans" w:cs="Open Sans"/>
                <w:sz w:val="16"/>
                <w:szCs w:val="16"/>
                <w:lang w:eastAsia="es-ES"/>
              </w:rPr>
            </w:pPr>
            <w:r w:rsidRPr="00A07BE9">
              <w:rPr>
                <w:rFonts w:ascii="Open Sans" w:eastAsia="Times New Roman" w:hAnsi="Open Sans" w:cs="Open Sans"/>
                <w:sz w:val="16"/>
                <w:szCs w:val="16"/>
                <w:lang w:eastAsia="es-ES"/>
              </w:rPr>
              <w:t>241.500,00</w:t>
            </w:r>
          </w:p>
        </w:tc>
        <w:tc>
          <w:tcPr>
            <w:tcW w:w="1754" w:type="dxa"/>
            <w:tcBorders>
              <w:bottom w:val="single" w:sz="6" w:space="0" w:color="993333"/>
            </w:tcBorders>
            <w:shd w:val="clear" w:color="auto" w:fill="EEEEEE"/>
            <w:tcMar>
              <w:top w:w="0" w:type="dxa"/>
              <w:left w:w="0" w:type="dxa"/>
              <w:bottom w:w="57" w:type="dxa"/>
              <w:right w:w="0" w:type="dxa"/>
            </w:tcMar>
            <w:vAlign w:val="center"/>
          </w:tcPr>
          <w:p w14:paraId="46991574" w14:textId="77777777" w:rsidR="00D572EA" w:rsidRPr="00A07BE9" w:rsidRDefault="00D572EA" w:rsidP="00D572EA">
            <w:pPr>
              <w:autoSpaceDN w:val="0"/>
              <w:spacing w:after="0" w:line="360" w:lineRule="auto"/>
              <w:jc w:val="right"/>
              <w:rPr>
                <w:rFonts w:ascii="Open Sans" w:eastAsia="Times New Roman" w:hAnsi="Open Sans" w:cs="Open Sans"/>
                <w:sz w:val="16"/>
                <w:szCs w:val="16"/>
                <w:lang w:eastAsia="es-ES"/>
              </w:rPr>
            </w:pPr>
            <w:r w:rsidRPr="00A07BE9">
              <w:rPr>
                <w:rFonts w:ascii="Open Sans" w:eastAsia="Times New Roman" w:hAnsi="Open Sans" w:cs="Open Sans"/>
                <w:sz w:val="16"/>
                <w:szCs w:val="16"/>
                <w:lang w:eastAsia="es-ES"/>
              </w:rPr>
              <w:t>241.500,00</w:t>
            </w:r>
          </w:p>
        </w:tc>
        <w:tc>
          <w:tcPr>
            <w:tcW w:w="1643" w:type="dxa"/>
            <w:tcBorders>
              <w:bottom w:val="single" w:sz="6" w:space="0" w:color="993333"/>
            </w:tcBorders>
            <w:shd w:val="clear" w:color="auto" w:fill="EEEEEE"/>
            <w:tcMar>
              <w:top w:w="0" w:type="dxa"/>
              <w:left w:w="0" w:type="dxa"/>
              <w:bottom w:w="57" w:type="dxa"/>
              <w:right w:w="0" w:type="dxa"/>
            </w:tcMar>
            <w:vAlign w:val="center"/>
          </w:tcPr>
          <w:p w14:paraId="79D8DB8E" w14:textId="77777777" w:rsidR="00D572EA" w:rsidRPr="00A07BE9" w:rsidRDefault="00D572EA" w:rsidP="00D572EA">
            <w:pPr>
              <w:autoSpaceDN w:val="0"/>
              <w:spacing w:after="0" w:line="360" w:lineRule="auto"/>
              <w:jc w:val="right"/>
              <w:rPr>
                <w:rFonts w:ascii="Open Sans" w:eastAsia="Times New Roman" w:hAnsi="Open Sans" w:cs="Open Sans"/>
                <w:sz w:val="16"/>
                <w:szCs w:val="16"/>
                <w:lang w:eastAsia="es-ES"/>
              </w:rPr>
            </w:pPr>
            <w:r w:rsidRPr="00A07BE9">
              <w:rPr>
                <w:rFonts w:ascii="Open Sans" w:eastAsia="Times New Roman" w:hAnsi="Open Sans" w:cs="Open Sans"/>
                <w:sz w:val="16"/>
                <w:szCs w:val="16"/>
                <w:lang w:eastAsia="es-ES"/>
              </w:rPr>
              <w:t>100.625,00</w:t>
            </w:r>
          </w:p>
        </w:tc>
        <w:tc>
          <w:tcPr>
            <w:tcW w:w="1874" w:type="dxa"/>
            <w:tcBorders>
              <w:bottom w:val="single" w:sz="6" w:space="0" w:color="993333"/>
            </w:tcBorders>
            <w:shd w:val="clear" w:color="auto" w:fill="EEEEEE"/>
            <w:tcMar>
              <w:top w:w="0" w:type="dxa"/>
              <w:left w:w="0" w:type="dxa"/>
              <w:bottom w:w="57" w:type="dxa"/>
              <w:right w:w="0" w:type="dxa"/>
            </w:tcMar>
            <w:vAlign w:val="center"/>
          </w:tcPr>
          <w:p w14:paraId="0F6BBD51" w14:textId="77777777" w:rsidR="00D572EA" w:rsidRPr="00A07BE9" w:rsidRDefault="00D572EA" w:rsidP="00D572EA">
            <w:pPr>
              <w:autoSpaceDN w:val="0"/>
              <w:spacing w:after="0" w:line="360" w:lineRule="auto"/>
              <w:jc w:val="right"/>
              <w:rPr>
                <w:rFonts w:ascii="Open Sans" w:eastAsia="Times New Roman" w:hAnsi="Open Sans" w:cs="Open Sans"/>
                <w:sz w:val="16"/>
                <w:szCs w:val="16"/>
                <w:lang w:eastAsia="es-ES"/>
              </w:rPr>
            </w:pPr>
            <w:r w:rsidRPr="00A07BE9">
              <w:rPr>
                <w:rFonts w:ascii="Open Sans" w:eastAsia="Times New Roman" w:hAnsi="Open Sans" w:cs="Open Sans"/>
                <w:sz w:val="16"/>
                <w:szCs w:val="16"/>
                <w:lang w:eastAsia="es-ES"/>
              </w:rPr>
              <w:t>0,00</w:t>
            </w:r>
          </w:p>
        </w:tc>
        <w:tc>
          <w:tcPr>
            <w:tcW w:w="1984" w:type="dxa"/>
            <w:tcBorders>
              <w:bottom w:val="single" w:sz="6" w:space="0" w:color="993333"/>
            </w:tcBorders>
            <w:shd w:val="clear" w:color="auto" w:fill="EEEEEE"/>
            <w:tcMar>
              <w:top w:w="0" w:type="dxa"/>
              <w:left w:w="0" w:type="dxa"/>
              <w:bottom w:w="57" w:type="dxa"/>
              <w:right w:w="0" w:type="dxa"/>
            </w:tcMar>
            <w:vAlign w:val="center"/>
          </w:tcPr>
          <w:p w14:paraId="334A811A" w14:textId="77777777" w:rsidR="00D572EA" w:rsidRPr="00A07BE9" w:rsidRDefault="00D572EA" w:rsidP="00D572EA">
            <w:pPr>
              <w:autoSpaceDN w:val="0"/>
              <w:spacing w:after="0" w:line="360" w:lineRule="auto"/>
              <w:jc w:val="right"/>
              <w:rPr>
                <w:rFonts w:ascii="Open Sans" w:eastAsia="Times New Roman" w:hAnsi="Open Sans" w:cs="Open Sans"/>
                <w:sz w:val="16"/>
                <w:szCs w:val="16"/>
                <w:lang w:eastAsia="es-ES"/>
              </w:rPr>
            </w:pPr>
            <w:r w:rsidRPr="00A07BE9">
              <w:rPr>
                <w:rFonts w:ascii="Open Sans" w:eastAsia="Times New Roman" w:hAnsi="Open Sans" w:cs="Open Sans"/>
                <w:sz w:val="16"/>
                <w:szCs w:val="16"/>
                <w:lang w:eastAsia="es-ES"/>
              </w:rPr>
              <w:t>100.625,00</w:t>
            </w:r>
          </w:p>
        </w:tc>
        <w:tc>
          <w:tcPr>
            <w:tcW w:w="1844" w:type="dxa"/>
            <w:tcBorders>
              <w:bottom w:val="single" w:sz="6" w:space="0" w:color="993333"/>
            </w:tcBorders>
            <w:shd w:val="clear" w:color="auto" w:fill="EEEEEE"/>
            <w:tcMar>
              <w:top w:w="0" w:type="dxa"/>
              <w:left w:w="0" w:type="dxa"/>
              <w:bottom w:w="57" w:type="dxa"/>
              <w:right w:w="0" w:type="dxa"/>
            </w:tcMar>
            <w:vAlign w:val="center"/>
          </w:tcPr>
          <w:p w14:paraId="4C479085" w14:textId="77777777" w:rsidR="00D572EA" w:rsidRPr="00A07BE9" w:rsidRDefault="00D572EA" w:rsidP="00D572EA">
            <w:pPr>
              <w:autoSpaceDN w:val="0"/>
              <w:spacing w:after="0" w:line="360" w:lineRule="auto"/>
              <w:jc w:val="right"/>
              <w:rPr>
                <w:rFonts w:ascii="Open Sans" w:eastAsia="Times New Roman" w:hAnsi="Open Sans" w:cs="Open Sans"/>
                <w:sz w:val="16"/>
                <w:szCs w:val="16"/>
                <w:lang w:eastAsia="es-ES"/>
              </w:rPr>
            </w:pPr>
            <w:r w:rsidRPr="00A07BE9">
              <w:rPr>
                <w:rFonts w:ascii="Open Sans" w:eastAsia="Times New Roman" w:hAnsi="Open Sans" w:cs="Open Sans"/>
                <w:sz w:val="16"/>
                <w:szCs w:val="16"/>
                <w:lang w:eastAsia="es-ES"/>
              </w:rPr>
              <w:t>140.875,00</w:t>
            </w:r>
          </w:p>
        </w:tc>
        <w:tc>
          <w:tcPr>
            <w:tcW w:w="1698" w:type="dxa"/>
            <w:tcBorders>
              <w:bottom w:val="single" w:sz="6" w:space="0" w:color="993333"/>
            </w:tcBorders>
            <w:shd w:val="clear" w:color="auto" w:fill="EEEEEE"/>
            <w:tcMar>
              <w:top w:w="0" w:type="dxa"/>
              <w:left w:w="0" w:type="dxa"/>
              <w:bottom w:w="57" w:type="dxa"/>
              <w:right w:w="0" w:type="dxa"/>
            </w:tcMar>
            <w:vAlign w:val="center"/>
          </w:tcPr>
          <w:p w14:paraId="7080227E" w14:textId="77777777" w:rsidR="00D572EA" w:rsidRPr="00A07BE9" w:rsidRDefault="00D572EA" w:rsidP="00D572EA">
            <w:pPr>
              <w:autoSpaceDN w:val="0"/>
              <w:spacing w:after="0" w:line="360" w:lineRule="auto"/>
              <w:jc w:val="right"/>
              <w:rPr>
                <w:rFonts w:ascii="Open Sans" w:eastAsia="Times New Roman" w:hAnsi="Open Sans" w:cs="Open Sans"/>
                <w:sz w:val="16"/>
                <w:szCs w:val="16"/>
                <w:lang w:eastAsia="es-ES"/>
              </w:rPr>
            </w:pPr>
            <w:r w:rsidRPr="00A07BE9">
              <w:rPr>
                <w:rFonts w:ascii="Open Sans" w:eastAsia="Times New Roman" w:hAnsi="Open Sans" w:cs="Open Sans"/>
                <w:sz w:val="16"/>
                <w:szCs w:val="16"/>
                <w:lang w:eastAsia="es-ES"/>
              </w:rPr>
              <w:t>0,00</w:t>
            </w:r>
          </w:p>
        </w:tc>
      </w:tr>
      <w:tr w:rsidR="00D572EA" w:rsidRPr="00A07BE9" w14:paraId="597C15B0" w14:textId="77777777" w:rsidTr="00741601">
        <w:tc>
          <w:tcPr>
            <w:tcW w:w="1643" w:type="dxa"/>
            <w:tcBorders>
              <w:bottom w:val="single" w:sz="6" w:space="0" w:color="993333"/>
            </w:tcBorders>
            <w:shd w:val="clear" w:color="auto" w:fill="FFFFFF"/>
            <w:tcMar>
              <w:top w:w="0" w:type="dxa"/>
              <w:left w:w="0" w:type="dxa"/>
              <w:bottom w:w="57" w:type="dxa"/>
              <w:right w:w="0" w:type="dxa"/>
            </w:tcMar>
            <w:vAlign w:val="center"/>
          </w:tcPr>
          <w:p w14:paraId="7C0A2130" w14:textId="77777777" w:rsidR="00D572EA" w:rsidRPr="00A07BE9" w:rsidRDefault="00D572EA" w:rsidP="00D572EA">
            <w:pPr>
              <w:autoSpaceDN w:val="0"/>
              <w:spacing w:after="0" w:line="360" w:lineRule="auto"/>
              <w:jc w:val="center"/>
              <w:rPr>
                <w:rFonts w:ascii="Open Sans" w:eastAsia="Times New Roman" w:hAnsi="Open Sans" w:cs="Open Sans"/>
                <w:b/>
                <w:bCs/>
                <w:sz w:val="16"/>
                <w:szCs w:val="16"/>
                <w:lang w:eastAsia="es-ES"/>
              </w:rPr>
            </w:pPr>
            <w:r w:rsidRPr="00A07BE9">
              <w:rPr>
                <w:rFonts w:ascii="Open Sans" w:eastAsia="Times New Roman" w:hAnsi="Open Sans" w:cs="Open Sans"/>
                <w:b/>
                <w:bCs/>
                <w:sz w:val="16"/>
                <w:szCs w:val="16"/>
                <w:lang w:eastAsia="es-ES"/>
              </w:rPr>
              <w:t>TOTAL</w:t>
            </w:r>
          </w:p>
        </w:tc>
        <w:tc>
          <w:tcPr>
            <w:tcW w:w="1450" w:type="dxa"/>
            <w:tcBorders>
              <w:bottom w:val="single" w:sz="6" w:space="0" w:color="993333"/>
            </w:tcBorders>
            <w:shd w:val="clear" w:color="auto" w:fill="FFFFFF"/>
            <w:tcMar>
              <w:top w:w="0" w:type="dxa"/>
              <w:left w:w="0" w:type="dxa"/>
              <w:bottom w:w="57" w:type="dxa"/>
              <w:right w:w="0" w:type="dxa"/>
            </w:tcMar>
            <w:vAlign w:val="center"/>
          </w:tcPr>
          <w:p w14:paraId="2BA83071" w14:textId="77777777" w:rsidR="00D572EA" w:rsidRPr="00A07BE9" w:rsidRDefault="00D572EA" w:rsidP="00D572EA">
            <w:pPr>
              <w:autoSpaceDN w:val="0"/>
              <w:spacing w:after="0" w:line="360" w:lineRule="auto"/>
              <w:jc w:val="right"/>
              <w:rPr>
                <w:rFonts w:ascii="Open Sans" w:eastAsia="Times New Roman" w:hAnsi="Open Sans" w:cs="Open Sans"/>
                <w:b/>
                <w:bCs/>
                <w:sz w:val="16"/>
                <w:szCs w:val="16"/>
                <w:lang w:eastAsia="es-ES"/>
              </w:rPr>
            </w:pPr>
            <w:r w:rsidRPr="00A07BE9">
              <w:rPr>
                <w:rFonts w:ascii="Open Sans" w:eastAsia="Times New Roman" w:hAnsi="Open Sans" w:cs="Open Sans"/>
                <w:b/>
                <w:bCs/>
                <w:sz w:val="16"/>
                <w:szCs w:val="16"/>
                <w:lang w:eastAsia="es-ES"/>
              </w:rPr>
              <w:t>3.381.464,60</w:t>
            </w:r>
          </w:p>
        </w:tc>
        <w:tc>
          <w:tcPr>
            <w:tcW w:w="1754" w:type="dxa"/>
            <w:tcBorders>
              <w:bottom w:val="single" w:sz="6" w:space="0" w:color="993333"/>
            </w:tcBorders>
            <w:shd w:val="clear" w:color="auto" w:fill="FFFFFF"/>
            <w:tcMar>
              <w:top w:w="0" w:type="dxa"/>
              <w:left w:w="0" w:type="dxa"/>
              <w:bottom w:w="57" w:type="dxa"/>
              <w:right w:w="0" w:type="dxa"/>
            </w:tcMar>
            <w:vAlign w:val="center"/>
          </w:tcPr>
          <w:p w14:paraId="6E571838" w14:textId="77777777" w:rsidR="00D572EA" w:rsidRPr="00A07BE9" w:rsidRDefault="00D572EA" w:rsidP="00D572EA">
            <w:pPr>
              <w:autoSpaceDN w:val="0"/>
              <w:spacing w:after="0" w:line="360" w:lineRule="auto"/>
              <w:jc w:val="right"/>
              <w:rPr>
                <w:rFonts w:ascii="Open Sans" w:eastAsia="Times New Roman" w:hAnsi="Open Sans" w:cs="Open Sans"/>
                <w:b/>
                <w:bCs/>
                <w:sz w:val="16"/>
                <w:szCs w:val="16"/>
                <w:lang w:eastAsia="es-ES"/>
              </w:rPr>
            </w:pPr>
            <w:r w:rsidRPr="00A07BE9">
              <w:rPr>
                <w:rFonts w:ascii="Open Sans" w:eastAsia="Times New Roman" w:hAnsi="Open Sans" w:cs="Open Sans"/>
                <w:b/>
                <w:bCs/>
                <w:sz w:val="16"/>
                <w:szCs w:val="16"/>
                <w:lang w:eastAsia="es-ES"/>
              </w:rPr>
              <w:t>3.382.020,11</w:t>
            </w:r>
          </w:p>
        </w:tc>
        <w:tc>
          <w:tcPr>
            <w:tcW w:w="1643" w:type="dxa"/>
            <w:tcBorders>
              <w:bottom w:val="single" w:sz="6" w:space="0" w:color="993333"/>
            </w:tcBorders>
            <w:shd w:val="clear" w:color="auto" w:fill="FFFFFF"/>
            <w:tcMar>
              <w:top w:w="0" w:type="dxa"/>
              <w:left w:w="0" w:type="dxa"/>
              <w:bottom w:w="57" w:type="dxa"/>
              <w:right w:w="0" w:type="dxa"/>
            </w:tcMar>
            <w:vAlign w:val="center"/>
          </w:tcPr>
          <w:p w14:paraId="1E490CE3" w14:textId="77777777" w:rsidR="00D572EA" w:rsidRPr="00A07BE9" w:rsidRDefault="00D572EA" w:rsidP="00D572EA">
            <w:pPr>
              <w:autoSpaceDN w:val="0"/>
              <w:spacing w:after="0" w:line="360" w:lineRule="auto"/>
              <w:jc w:val="right"/>
              <w:rPr>
                <w:rFonts w:ascii="Open Sans" w:eastAsia="Times New Roman" w:hAnsi="Open Sans" w:cs="Open Sans"/>
                <w:b/>
                <w:bCs/>
                <w:sz w:val="16"/>
                <w:szCs w:val="16"/>
                <w:lang w:eastAsia="es-ES"/>
              </w:rPr>
            </w:pPr>
            <w:r w:rsidRPr="00A07BE9">
              <w:rPr>
                <w:rFonts w:ascii="Open Sans" w:eastAsia="Times New Roman" w:hAnsi="Open Sans" w:cs="Open Sans"/>
                <w:b/>
                <w:bCs/>
                <w:sz w:val="16"/>
                <w:szCs w:val="16"/>
                <w:lang w:eastAsia="es-ES"/>
              </w:rPr>
              <w:t>2.194.491,75</w:t>
            </w:r>
          </w:p>
        </w:tc>
        <w:tc>
          <w:tcPr>
            <w:tcW w:w="1874" w:type="dxa"/>
            <w:tcBorders>
              <w:bottom w:val="single" w:sz="6" w:space="0" w:color="993333"/>
            </w:tcBorders>
            <w:shd w:val="clear" w:color="auto" w:fill="FFFFFF"/>
            <w:tcMar>
              <w:top w:w="0" w:type="dxa"/>
              <w:left w:w="0" w:type="dxa"/>
              <w:bottom w:w="57" w:type="dxa"/>
              <w:right w:w="0" w:type="dxa"/>
            </w:tcMar>
            <w:vAlign w:val="center"/>
          </w:tcPr>
          <w:p w14:paraId="738033B5" w14:textId="77777777" w:rsidR="00D572EA" w:rsidRPr="00A07BE9" w:rsidRDefault="00D572EA" w:rsidP="00D572EA">
            <w:pPr>
              <w:autoSpaceDN w:val="0"/>
              <w:spacing w:after="0" w:line="360" w:lineRule="auto"/>
              <w:jc w:val="right"/>
              <w:rPr>
                <w:rFonts w:ascii="Open Sans" w:eastAsia="Times New Roman" w:hAnsi="Open Sans" w:cs="Open Sans"/>
                <w:b/>
                <w:bCs/>
                <w:sz w:val="16"/>
                <w:szCs w:val="16"/>
                <w:lang w:eastAsia="es-ES"/>
              </w:rPr>
            </w:pPr>
            <w:r w:rsidRPr="00A07BE9">
              <w:rPr>
                <w:rFonts w:ascii="Open Sans" w:eastAsia="Times New Roman" w:hAnsi="Open Sans" w:cs="Open Sans"/>
                <w:b/>
                <w:bCs/>
                <w:sz w:val="16"/>
                <w:szCs w:val="16"/>
                <w:lang w:eastAsia="es-ES"/>
              </w:rPr>
              <w:t>0,00</w:t>
            </w:r>
          </w:p>
        </w:tc>
        <w:tc>
          <w:tcPr>
            <w:tcW w:w="1984" w:type="dxa"/>
            <w:tcBorders>
              <w:bottom w:val="single" w:sz="6" w:space="0" w:color="993333"/>
            </w:tcBorders>
            <w:shd w:val="clear" w:color="auto" w:fill="FFFFFF"/>
            <w:tcMar>
              <w:top w:w="0" w:type="dxa"/>
              <w:left w:w="0" w:type="dxa"/>
              <w:bottom w:w="57" w:type="dxa"/>
              <w:right w:w="0" w:type="dxa"/>
            </w:tcMar>
            <w:vAlign w:val="center"/>
          </w:tcPr>
          <w:p w14:paraId="184C9F64" w14:textId="77777777" w:rsidR="00D572EA" w:rsidRPr="00A07BE9" w:rsidRDefault="00D572EA" w:rsidP="00D572EA">
            <w:pPr>
              <w:autoSpaceDN w:val="0"/>
              <w:spacing w:after="0" w:line="360" w:lineRule="auto"/>
              <w:jc w:val="right"/>
              <w:rPr>
                <w:rFonts w:ascii="Open Sans" w:eastAsia="Times New Roman" w:hAnsi="Open Sans" w:cs="Open Sans"/>
                <w:b/>
                <w:bCs/>
                <w:sz w:val="16"/>
                <w:szCs w:val="16"/>
                <w:lang w:eastAsia="es-ES"/>
              </w:rPr>
            </w:pPr>
            <w:r w:rsidRPr="00A07BE9">
              <w:rPr>
                <w:rFonts w:ascii="Open Sans" w:eastAsia="Times New Roman" w:hAnsi="Open Sans" w:cs="Open Sans"/>
                <w:b/>
                <w:bCs/>
                <w:sz w:val="16"/>
                <w:szCs w:val="16"/>
                <w:lang w:eastAsia="es-ES"/>
              </w:rPr>
              <w:t>2.194.491,75</w:t>
            </w:r>
          </w:p>
        </w:tc>
        <w:tc>
          <w:tcPr>
            <w:tcW w:w="1844" w:type="dxa"/>
            <w:tcBorders>
              <w:bottom w:val="single" w:sz="6" w:space="0" w:color="993333"/>
            </w:tcBorders>
            <w:shd w:val="clear" w:color="auto" w:fill="FFFFFF"/>
            <w:tcMar>
              <w:top w:w="0" w:type="dxa"/>
              <w:left w:w="0" w:type="dxa"/>
              <w:bottom w:w="57" w:type="dxa"/>
              <w:right w:w="0" w:type="dxa"/>
            </w:tcMar>
            <w:vAlign w:val="center"/>
          </w:tcPr>
          <w:p w14:paraId="4E8B83E3" w14:textId="77777777" w:rsidR="00D572EA" w:rsidRPr="00A07BE9" w:rsidRDefault="00D572EA" w:rsidP="00D572EA">
            <w:pPr>
              <w:autoSpaceDN w:val="0"/>
              <w:spacing w:after="0" w:line="360" w:lineRule="auto"/>
              <w:jc w:val="right"/>
              <w:rPr>
                <w:rFonts w:ascii="Open Sans" w:eastAsia="Times New Roman" w:hAnsi="Open Sans" w:cs="Open Sans"/>
                <w:b/>
                <w:bCs/>
                <w:sz w:val="16"/>
                <w:szCs w:val="16"/>
                <w:lang w:eastAsia="es-ES"/>
              </w:rPr>
            </w:pPr>
            <w:r w:rsidRPr="00A07BE9">
              <w:rPr>
                <w:rFonts w:ascii="Open Sans" w:eastAsia="Times New Roman" w:hAnsi="Open Sans" w:cs="Open Sans"/>
                <w:b/>
                <w:bCs/>
                <w:sz w:val="16"/>
                <w:szCs w:val="16"/>
                <w:lang w:eastAsia="es-ES"/>
              </w:rPr>
              <w:t>1.187.528,36</w:t>
            </w:r>
          </w:p>
        </w:tc>
        <w:tc>
          <w:tcPr>
            <w:tcW w:w="1698" w:type="dxa"/>
            <w:tcBorders>
              <w:bottom w:val="single" w:sz="6" w:space="0" w:color="993333"/>
            </w:tcBorders>
            <w:shd w:val="clear" w:color="auto" w:fill="FFFFFF"/>
            <w:tcMar>
              <w:top w:w="0" w:type="dxa"/>
              <w:left w:w="0" w:type="dxa"/>
              <w:bottom w:w="57" w:type="dxa"/>
              <w:right w:w="0" w:type="dxa"/>
            </w:tcMar>
            <w:vAlign w:val="center"/>
          </w:tcPr>
          <w:p w14:paraId="594F7D05" w14:textId="77777777" w:rsidR="00D572EA" w:rsidRPr="00A07BE9" w:rsidRDefault="00D572EA" w:rsidP="00D572EA">
            <w:pPr>
              <w:autoSpaceDN w:val="0"/>
              <w:spacing w:after="0" w:line="360" w:lineRule="auto"/>
              <w:jc w:val="right"/>
              <w:rPr>
                <w:rFonts w:ascii="Open Sans" w:eastAsia="Times New Roman" w:hAnsi="Open Sans" w:cs="Open Sans"/>
                <w:b/>
                <w:bCs/>
                <w:color w:val="000000"/>
                <w:sz w:val="16"/>
                <w:szCs w:val="16"/>
                <w:lang w:eastAsia="es-ES"/>
              </w:rPr>
            </w:pPr>
            <w:r w:rsidRPr="00A07BE9">
              <w:rPr>
                <w:rFonts w:ascii="Open Sans" w:eastAsia="Times New Roman" w:hAnsi="Open Sans" w:cs="Open Sans"/>
                <w:b/>
                <w:bCs/>
                <w:color w:val="000000"/>
                <w:sz w:val="16"/>
                <w:szCs w:val="16"/>
                <w:lang w:eastAsia="es-ES"/>
              </w:rPr>
              <w:t>555,51</w:t>
            </w:r>
          </w:p>
        </w:tc>
      </w:tr>
    </w:tbl>
    <w:p w14:paraId="0858D7DC" w14:textId="77777777" w:rsidR="00D572EA" w:rsidRPr="00A07BE9" w:rsidRDefault="00D572EA" w:rsidP="008B6E1F">
      <w:pPr>
        <w:autoSpaceDN w:val="0"/>
        <w:spacing w:after="0" w:line="276" w:lineRule="auto"/>
        <w:rPr>
          <w:rFonts w:ascii="Open Sans" w:eastAsia="Times New Roman" w:hAnsi="Open Sans" w:cs="Open Sans"/>
          <w:b/>
          <w:bCs/>
          <w:color w:val="94070A"/>
          <w:sz w:val="20"/>
          <w:szCs w:val="20"/>
          <w:lang w:eastAsia="es-ES"/>
        </w:rPr>
      </w:pPr>
    </w:p>
    <w:p w14:paraId="535DBB02" w14:textId="77777777" w:rsidR="00D572EA" w:rsidRPr="00A07BE9" w:rsidRDefault="00D572EA" w:rsidP="008B6E1F">
      <w:pPr>
        <w:suppressAutoHyphens/>
        <w:autoSpaceDN w:val="0"/>
        <w:spacing w:after="0" w:line="276" w:lineRule="auto"/>
        <w:rPr>
          <w:rFonts w:ascii="Open Sans" w:eastAsia="Times New Roman" w:hAnsi="Open Sans" w:cs="Open Sans"/>
          <w:b/>
          <w:bCs/>
          <w:color w:val="94070A"/>
          <w:sz w:val="20"/>
          <w:szCs w:val="20"/>
          <w:lang w:eastAsia="es-ES"/>
        </w:rPr>
      </w:pPr>
      <w:r w:rsidRPr="00A07BE9">
        <w:rPr>
          <w:rFonts w:ascii="Open Sans" w:eastAsia="Times New Roman" w:hAnsi="Open Sans" w:cs="Open Sans"/>
          <w:b/>
          <w:bCs/>
          <w:color w:val="94070A"/>
          <w:sz w:val="20"/>
          <w:szCs w:val="20"/>
          <w:lang w:eastAsia="es-ES"/>
        </w:rPr>
        <w:t>Presupuesto de gastos:</w:t>
      </w:r>
    </w:p>
    <w:p w14:paraId="4DDC1C62" w14:textId="77777777" w:rsidR="00D572EA" w:rsidRPr="00A07BE9" w:rsidRDefault="00D572EA" w:rsidP="008B6E1F">
      <w:pPr>
        <w:suppressAutoHyphens/>
        <w:autoSpaceDN w:val="0"/>
        <w:spacing w:after="0" w:line="276" w:lineRule="auto"/>
        <w:rPr>
          <w:rFonts w:ascii="Open Sans" w:eastAsia="Times New Roman" w:hAnsi="Open Sans" w:cs="Open Sans"/>
          <w:b/>
          <w:bCs/>
          <w:color w:val="94070A"/>
          <w:sz w:val="20"/>
          <w:szCs w:val="20"/>
          <w:lang w:eastAsia="es-ES"/>
        </w:rPr>
      </w:pPr>
    </w:p>
    <w:p w14:paraId="1039C195" w14:textId="77777777" w:rsidR="00D572EA" w:rsidRPr="00A07BE9" w:rsidRDefault="00D572EA" w:rsidP="008B6E1F">
      <w:pPr>
        <w:suppressAutoHyphens/>
        <w:autoSpaceDN w:val="0"/>
        <w:spacing w:after="0" w:line="276"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A 31 de diciembre de 2019 se han dispuesto créditos por importe de 2.577.974,84 euros.</w:t>
      </w:r>
    </w:p>
    <w:p w14:paraId="12C42CC6" w14:textId="77777777" w:rsidR="00D572EA" w:rsidRPr="00A07BE9" w:rsidRDefault="00D572EA" w:rsidP="008B6E1F">
      <w:pPr>
        <w:suppressAutoHyphens/>
        <w:autoSpaceDN w:val="0"/>
        <w:spacing w:after="0" w:line="276" w:lineRule="auto"/>
        <w:rPr>
          <w:rFonts w:ascii="Open Sans" w:eastAsia="Times New Roman" w:hAnsi="Open Sans" w:cs="Open Sans"/>
          <w:color w:val="000000"/>
          <w:sz w:val="20"/>
          <w:szCs w:val="20"/>
          <w:lang w:eastAsia="es-ES"/>
        </w:rPr>
      </w:pPr>
    </w:p>
    <w:p w14:paraId="0AF671E3" w14:textId="77777777" w:rsidR="00D572EA" w:rsidRPr="00A07BE9" w:rsidRDefault="00D572EA" w:rsidP="008B6E1F">
      <w:pPr>
        <w:suppressAutoHyphens/>
        <w:autoSpaceDN w:val="0"/>
        <w:spacing w:after="0" w:line="276"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Las obligaciones reconocidas han alcanzado la cifra de 2.547.912,00 euros, de las cuales se han pagado un total de 2.452.581,62 euros, quedando una cantidad de pago pendiente de 95.330,38 euros.</w:t>
      </w:r>
    </w:p>
    <w:p w14:paraId="2B7BCFA8" w14:textId="77777777" w:rsidR="00D572EA" w:rsidRPr="00A07BE9" w:rsidRDefault="00D572EA" w:rsidP="008B6E1F">
      <w:pPr>
        <w:suppressAutoHyphens/>
        <w:autoSpaceDN w:val="0"/>
        <w:spacing w:after="0" w:line="276" w:lineRule="auto"/>
        <w:rPr>
          <w:rFonts w:ascii="Open Sans" w:eastAsia="Times New Roman" w:hAnsi="Open Sans" w:cs="Open Sans"/>
          <w:color w:val="000000"/>
          <w:sz w:val="20"/>
          <w:szCs w:val="20"/>
          <w:lang w:eastAsia="es-ES"/>
        </w:rPr>
      </w:pPr>
    </w:p>
    <w:p w14:paraId="47DA30BB" w14:textId="256E1E26" w:rsidR="00D572EA" w:rsidRPr="00A07BE9" w:rsidRDefault="00D572EA" w:rsidP="008B6E1F">
      <w:pPr>
        <w:suppressAutoHyphens/>
        <w:autoSpaceDN w:val="0"/>
        <w:spacing w:after="0" w:line="276" w:lineRule="auto"/>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El detalle por capítulos de la ejecución del presupuesto de gastos de la Agencia a 31 de diciembre de 2019 se muestra en la tabla siguiente</w:t>
      </w:r>
      <w:r w:rsidR="007E59E7" w:rsidRPr="00A07BE9">
        <w:rPr>
          <w:rFonts w:ascii="Open Sans" w:eastAsia="Times New Roman" w:hAnsi="Open Sans" w:cs="Open Sans"/>
          <w:color w:val="000000"/>
          <w:sz w:val="20"/>
          <w:szCs w:val="20"/>
          <w:lang w:eastAsia="es-ES"/>
        </w:rPr>
        <w:t>.</w:t>
      </w:r>
    </w:p>
    <w:p w14:paraId="57B8294D" w14:textId="649C2302" w:rsidR="00D572EA" w:rsidRPr="00A07BE9" w:rsidRDefault="00D572EA" w:rsidP="00D572EA">
      <w:pPr>
        <w:autoSpaceDN w:val="0"/>
        <w:spacing w:before="280" w:after="0" w:line="360" w:lineRule="auto"/>
        <w:rPr>
          <w:rFonts w:ascii="Open Sans" w:eastAsia="Times New Roman" w:hAnsi="Open Sans" w:cs="Open Sans"/>
          <w:b/>
          <w:bCs/>
          <w:color w:val="993333"/>
          <w:sz w:val="20"/>
          <w:szCs w:val="20"/>
          <w:shd w:val="clear" w:color="auto" w:fill="FFF200"/>
          <w:lang w:eastAsia="es-ES"/>
        </w:rPr>
      </w:pPr>
    </w:p>
    <w:p w14:paraId="54F7F0F9" w14:textId="49116526" w:rsidR="00262F77" w:rsidRDefault="00262F77" w:rsidP="00D572EA">
      <w:pPr>
        <w:autoSpaceDN w:val="0"/>
        <w:spacing w:before="280" w:after="0" w:line="360" w:lineRule="auto"/>
        <w:rPr>
          <w:rFonts w:ascii="Open Sans" w:eastAsia="Times New Roman" w:hAnsi="Open Sans" w:cs="Open Sans"/>
          <w:b/>
          <w:bCs/>
          <w:color w:val="993333"/>
          <w:sz w:val="20"/>
          <w:szCs w:val="20"/>
          <w:shd w:val="clear" w:color="auto" w:fill="FFF200"/>
          <w:lang w:eastAsia="es-ES"/>
        </w:rPr>
      </w:pPr>
    </w:p>
    <w:p w14:paraId="3B624111" w14:textId="77777777" w:rsidR="00C12B0A" w:rsidRPr="00A07BE9" w:rsidRDefault="00C12B0A" w:rsidP="00D572EA">
      <w:pPr>
        <w:autoSpaceDN w:val="0"/>
        <w:spacing w:before="280" w:after="0" w:line="360" w:lineRule="auto"/>
        <w:rPr>
          <w:rFonts w:ascii="Open Sans" w:eastAsia="Times New Roman" w:hAnsi="Open Sans" w:cs="Open Sans"/>
          <w:b/>
          <w:bCs/>
          <w:color w:val="993333"/>
          <w:sz w:val="20"/>
          <w:szCs w:val="20"/>
          <w:shd w:val="clear" w:color="auto" w:fill="FFF200"/>
          <w:lang w:eastAsia="es-ES"/>
        </w:rPr>
      </w:pPr>
    </w:p>
    <w:p w14:paraId="520400AE" w14:textId="6BECD012" w:rsidR="00877A02" w:rsidRDefault="00D572EA" w:rsidP="00C12B0A">
      <w:pPr>
        <w:autoSpaceDN w:val="0"/>
        <w:spacing w:after="0" w:line="360" w:lineRule="auto"/>
        <w:rPr>
          <w:rFonts w:ascii="Open Sans" w:eastAsia="Times New Roman" w:hAnsi="Open Sans" w:cs="Open Sans"/>
          <w:b/>
          <w:bCs/>
          <w:color w:val="00000A"/>
          <w:sz w:val="20"/>
          <w:szCs w:val="20"/>
          <w:lang w:eastAsia="es-ES"/>
        </w:rPr>
      </w:pPr>
      <w:r w:rsidRPr="00A07BE9">
        <w:rPr>
          <w:rFonts w:ascii="Open Sans" w:eastAsia="Times New Roman" w:hAnsi="Open Sans" w:cs="Open Sans"/>
          <w:b/>
          <w:bCs/>
          <w:color w:val="9D2235"/>
          <w:sz w:val="20"/>
          <w:szCs w:val="20"/>
          <w:lang w:eastAsia="es-ES"/>
        </w:rPr>
        <w:lastRenderedPageBreak/>
        <w:t xml:space="preserve">Tabla </w:t>
      </w:r>
      <w:r w:rsidR="0095711F" w:rsidRPr="00A07BE9">
        <w:rPr>
          <w:rFonts w:ascii="Open Sans" w:eastAsia="Times New Roman" w:hAnsi="Open Sans" w:cs="Open Sans"/>
          <w:b/>
          <w:bCs/>
          <w:color w:val="9D2235"/>
          <w:sz w:val="20"/>
          <w:szCs w:val="20"/>
          <w:lang w:eastAsia="es-ES"/>
        </w:rPr>
        <w:t>2</w:t>
      </w:r>
      <w:r w:rsidR="00747A7D" w:rsidRPr="00A07BE9">
        <w:rPr>
          <w:rFonts w:ascii="Open Sans" w:eastAsia="Times New Roman" w:hAnsi="Open Sans" w:cs="Open Sans"/>
          <w:b/>
          <w:bCs/>
          <w:color w:val="9D2235"/>
          <w:sz w:val="20"/>
          <w:szCs w:val="20"/>
          <w:lang w:eastAsia="es-ES"/>
        </w:rPr>
        <w:t>8</w:t>
      </w:r>
      <w:r w:rsidRPr="00A07BE9">
        <w:rPr>
          <w:rFonts w:ascii="Open Sans" w:eastAsia="Times New Roman" w:hAnsi="Open Sans" w:cs="Open Sans"/>
          <w:b/>
          <w:bCs/>
          <w:color w:val="9D2235"/>
          <w:sz w:val="20"/>
          <w:szCs w:val="20"/>
          <w:lang w:eastAsia="es-ES"/>
        </w:rPr>
        <w:t>.</w:t>
      </w:r>
      <w:r w:rsidRPr="00A07BE9">
        <w:rPr>
          <w:rFonts w:ascii="Open Sans" w:eastAsia="Times New Roman" w:hAnsi="Open Sans" w:cs="Open Sans"/>
          <w:sz w:val="20"/>
          <w:szCs w:val="20"/>
          <w:lang w:eastAsia="es-ES"/>
        </w:rPr>
        <w:t xml:space="preserve"> </w:t>
      </w:r>
      <w:r w:rsidRPr="00A07BE9">
        <w:rPr>
          <w:rFonts w:ascii="Open Sans" w:eastAsia="Times New Roman" w:hAnsi="Open Sans" w:cs="Open Sans"/>
          <w:b/>
          <w:bCs/>
          <w:color w:val="00000A"/>
          <w:sz w:val="20"/>
          <w:szCs w:val="20"/>
          <w:lang w:eastAsia="es-ES"/>
        </w:rPr>
        <w:t>Ejecución del presupuesto de gastos ejercicio 2019</w:t>
      </w:r>
    </w:p>
    <w:p w14:paraId="76F72118" w14:textId="77777777" w:rsidR="00C12B0A" w:rsidRPr="00C12B0A" w:rsidRDefault="00C12B0A" w:rsidP="00C12B0A">
      <w:pPr>
        <w:autoSpaceDN w:val="0"/>
        <w:spacing w:after="0" w:line="360" w:lineRule="auto"/>
        <w:rPr>
          <w:rFonts w:ascii="Open Sans" w:eastAsia="Times New Roman" w:hAnsi="Open Sans" w:cs="Open Sans"/>
          <w:b/>
          <w:bCs/>
          <w:color w:val="00000A"/>
          <w:sz w:val="20"/>
          <w:szCs w:val="20"/>
          <w:lang w:eastAsia="es-ES"/>
        </w:rPr>
      </w:pPr>
    </w:p>
    <w:tbl>
      <w:tblPr>
        <w:tblW w:w="13845" w:type="dxa"/>
        <w:tblLayout w:type="fixed"/>
        <w:tblCellMar>
          <w:left w:w="10" w:type="dxa"/>
          <w:right w:w="10" w:type="dxa"/>
        </w:tblCellMar>
        <w:tblLook w:val="0000" w:firstRow="0" w:lastRow="0" w:firstColumn="0" w:lastColumn="0" w:noHBand="0" w:noVBand="0"/>
      </w:tblPr>
      <w:tblGrid>
        <w:gridCol w:w="1906"/>
        <w:gridCol w:w="1400"/>
        <w:gridCol w:w="1532"/>
        <w:gridCol w:w="1645"/>
        <w:gridCol w:w="1468"/>
        <w:gridCol w:w="1597"/>
        <w:gridCol w:w="1156"/>
        <w:gridCol w:w="1418"/>
        <w:gridCol w:w="1723"/>
      </w:tblGrid>
      <w:tr w:rsidR="00D572EA" w:rsidRPr="00A07BE9" w14:paraId="6681F200" w14:textId="77777777" w:rsidTr="00741601">
        <w:tc>
          <w:tcPr>
            <w:tcW w:w="1906" w:type="dxa"/>
            <w:shd w:val="clear" w:color="auto" w:fill="9D2235"/>
            <w:tcMar>
              <w:top w:w="0" w:type="dxa"/>
              <w:left w:w="0" w:type="dxa"/>
              <w:bottom w:w="0" w:type="dxa"/>
              <w:right w:w="0" w:type="dxa"/>
            </w:tcMar>
            <w:vAlign w:val="center"/>
          </w:tcPr>
          <w:p w14:paraId="017FA3BE" w14:textId="77777777" w:rsidR="00D572EA" w:rsidRPr="00A07BE9" w:rsidRDefault="00D572EA" w:rsidP="00D572EA">
            <w:pPr>
              <w:autoSpaceDN w:val="0"/>
              <w:spacing w:after="0" w:line="360" w:lineRule="auto"/>
              <w:jc w:val="center"/>
              <w:rPr>
                <w:rFonts w:ascii="Open Sans" w:eastAsia="Times New Roman" w:hAnsi="Open Sans" w:cs="Open Sans"/>
                <w:b/>
                <w:bCs/>
                <w:color w:val="FFFFFF"/>
                <w:sz w:val="18"/>
                <w:szCs w:val="18"/>
                <w:lang w:eastAsia="es-ES"/>
              </w:rPr>
            </w:pPr>
            <w:r w:rsidRPr="00A07BE9">
              <w:rPr>
                <w:rFonts w:ascii="Open Sans" w:eastAsia="Times New Roman" w:hAnsi="Open Sans" w:cs="Open Sans"/>
                <w:b/>
                <w:bCs/>
                <w:color w:val="FFFFFF"/>
                <w:sz w:val="18"/>
                <w:szCs w:val="18"/>
                <w:lang w:eastAsia="es-ES"/>
              </w:rPr>
              <w:t>Capítulos</w:t>
            </w:r>
          </w:p>
        </w:tc>
        <w:tc>
          <w:tcPr>
            <w:tcW w:w="1400" w:type="dxa"/>
            <w:shd w:val="clear" w:color="auto" w:fill="9D2235"/>
            <w:tcMar>
              <w:top w:w="0" w:type="dxa"/>
              <w:left w:w="0" w:type="dxa"/>
              <w:bottom w:w="0" w:type="dxa"/>
              <w:right w:w="0" w:type="dxa"/>
            </w:tcMar>
            <w:vAlign w:val="center"/>
          </w:tcPr>
          <w:p w14:paraId="18B969DF" w14:textId="77777777" w:rsidR="00D572EA" w:rsidRPr="00A07BE9" w:rsidRDefault="00D572EA" w:rsidP="00D572EA">
            <w:pPr>
              <w:autoSpaceDN w:val="0"/>
              <w:spacing w:after="0" w:line="360" w:lineRule="auto"/>
              <w:jc w:val="center"/>
              <w:rPr>
                <w:rFonts w:ascii="Open Sans" w:eastAsia="Times New Roman" w:hAnsi="Open Sans" w:cs="Open Sans"/>
                <w:b/>
                <w:bCs/>
                <w:color w:val="FFFFFF"/>
                <w:sz w:val="18"/>
                <w:szCs w:val="18"/>
                <w:lang w:eastAsia="es-ES"/>
              </w:rPr>
            </w:pPr>
            <w:r w:rsidRPr="00A07BE9">
              <w:rPr>
                <w:rFonts w:ascii="Open Sans" w:eastAsia="Times New Roman" w:hAnsi="Open Sans" w:cs="Open Sans"/>
                <w:b/>
                <w:bCs/>
                <w:color w:val="FFFFFF"/>
                <w:sz w:val="18"/>
                <w:szCs w:val="18"/>
                <w:lang w:eastAsia="es-ES"/>
              </w:rPr>
              <w:t>Créditos totales</w:t>
            </w:r>
          </w:p>
        </w:tc>
        <w:tc>
          <w:tcPr>
            <w:tcW w:w="1532" w:type="dxa"/>
            <w:shd w:val="clear" w:color="auto" w:fill="9D2235"/>
            <w:tcMar>
              <w:top w:w="0" w:type="dxa"/>
              <w:left w:w="0" w:type="dxa"/>
              <w:bottom w:w="0" w:type="dxa"/>
              <w:right w:w="0" w:type="dxa"/>
            </w:tcMar>
            <w:vAlign w:val="center"/>
          </w:tcPr>
          <w:p w14:paraId="1C1F4C2F" w14:textId="77777777" w:rsidR="00D572EA" w:rsidRPr="00A07BE9" w:rsidRDefault="00D572EA" w:rsidP="00D572EA">
            <w:pPr>
              <w:autoSpaceDN w:val="0"/>
              <w:spacing w:after="0" w:line="360" w:lineRule="auto"/>
              <w:jc w:val="center"/>
              <w:rPr>
                <w:rFonts w:ascii="Open Sans" w:eastAsia="Times New Roman" w:hAnsi="Open Sans" w:cs="Open Sans"/>
                <w:b/>
                <w:bCs/>
                <w:color w:val="FFFFFF"/>
                <w:sz w:val="18"/>
                <w:szCs w:val="18"/>
                <w:lang w:eastAsia="es-ES"/>
              </w:rPr>
            </w:pPr>
            <w:r w:rsidRPr="00A07BE9">
              <w:rPr>
                <w:rFonts w:ascii="Open Sans" w:eastAsia="Times New Roman" w:hAnsi="Open Sans" w:cs="Open Sans"/>
                <w:b/>
                <w:bCs/>
                <w:color w:val="FFFFFF"/>
                <w:sz w:val="18"/>
                <w:szCs w:val="18"/>
                <w:lang w:eastAsia="es-ES"/>
              </w:rPr>
              <w:t>Gastos comprometidos</w:t>
            </w:r>
          </w:p>
        </w:tc>
        <w:tc>
          <w:tcPr>
            <w:tcW w:w="1645" w:type="dxa"/>
            <w:shd w:val="clear" w:color="auto" w:fill="9D2235"/>
            <w:tcMar>
              <w:top w:w="0" w:type="dxa"/>
              <w:left w:w="0" w:type="dxa"/>
              <w:bottom w:w="0" w:type="dxa"/>
              <w:right w:w="0" w:type="dxa"/>
            </w:tcMar>
            <w:vAlign w:val="center"/>
          </w:tcPr>
          <w:p w14:paraId="77BA6094" w14:textId="77777777" w:rsidR="00D572EA" w:rsidRPr="00A07BE9" w:rsidRDefault="00D572EA" w:rsidP="00D572EA">
            <w:pPr>
              <w:autoSpaceDN w:val="0"/>
              <w:spacing w:after="0" w:line="360" w:lineRule="auto"/>
              <w:jc w:val="center"/>
              <w:rPr>
                <w:rFonts w:ascii="Open Sans" w:eastAsia="Times New Roman" w:hAnsi="Open Sans" w:cs="Open Sans"/>
                <w:b/>
                <w:bCs/>
                <w:color w:val="FFFFFF"/>
                <w:sz w:val="18"/>
                <w:szCs w:val="18"/>
                <w:lang w:eastAsia="es-ES"/>
              </w:rPr>
            </w:pPr>
            <w:r w:rsidRPr="00A07BE9">
              <w:rPr>
                <w:rFonts w:ascii="Open Sans" w:eastAsia="Times New Roman" w:hAnsi="Open Sans" w:cs="Open Sans"/>
                <w:b/>
                <w:bCs/>
                <w:color w:val="FFFFFF"/>
                <w:sz w:val="18"/>
                <w:szCs w:val="18"/>
                <w:lang w:eastAsia="es-ES"/>
              </w:rPr>
              <w:t>Comprometidos / Totales</w:t>
            </w:r>
          </w:p>
        </w:tc>
        <w:tc>
          <w:tcPr>
            <w:tcW w:w="1468" w:type="dxa"/>
            <w:shd w:val="clear" w:color="auto" w:fill="9D2235"/>
            <w:tcMar>
              <w:top w:w="0" w:type="dxa"/>
              <w:left w:w="0" w:type="dxa"/>
              <w:bottom w:w="0" w:type="dxa"/>
              <w:right w:w="0" w:type="dxa"/>
            </w:tcMar>
            <w:vAlign w:val="center"/>
          </w:tcPr>
          <w:p w14:paraId="44180A7C" w14:textId="77777777" w:rsidR="00D572EA" w:rsidRPr="00A07BE9" w:rsidRDefault="00D572EA" w:rsidP="00D572EA">
            <w:pPr>
              <w:autoSpaceDN w:val="0"/>
              <w:spacing w:after="0" w:line="360" w:lineRule="auto"/>
              <w:jc w:val="center"/>
              <w:rPr>
                <w:rFonts w:ascii="Open Sans" w:eastAsia="Times New Roman" w:hAnsi="Open Sans" w:cs="Open Sans"/>
                <w:b/>
                <w:bCs/>
                <w:color w:val="FFFFFF"/>
                <w:sz w:val="18"/>
                <w:szCs w:val="18"/>
                <w:lang w:eastAsia="es-ES"/>
              </w:rPr>
            </w:pPr>
            <w:r w:rsidRPr="00A07BE9">
              <w:rPr>
                <w:rFonts w:ascii="Open Sans" w:eastAsia="Times New Roman" w:hAnsi="Open Sans" w:cs="Open Sans"/>
                <w:b/>
                <w:bCs/>
                <w:color w:val="FFFFFF"/>
                <w:sz w:val="18"/>
                <w:szCs w:val="18"/>
                <w:lang w:eastAsia="es-ES"/>
              </w:rPr>
              <w:t>Obligaciones reconocidas</w:t>
            </w:r>
          </w:p>
        </w:tc>
        <w:tc>
          <w:tcPr>
            <w:tcW w:w="1597" w:type="dxa"/>
            <w:shd w:val="clear" w:color="auto" w:fill="9D2235"/>
            <w:tcMar>
              <w:top w:w="0" w:type="dxa"/>
              <w:left w:w="0" w:type="dxa"/>
              <w:bottom w:w="0" w:type="dxa"/>
              <w:right w:w="0" w:type="dxa"/>
            </w:tcMar>
            <w:vAlign w:val="center"/>
          </w:tcPr>
          <w:p w14:paraId="69570AE4" w14:textId="77777777" w:rsidR="00D572EA" w:rsidRPr="00A07BE9" w:rsidRDefault="00D572EA" w:rsidP="00D572EA">
            <w:pPr>
              <w:autoSpaceDN w:val="0"/>
              <w:spacing w:after="0" w:line="360" w:lineRule="auto"/>
              <w:jc w:val="center"/>
              <w:rPr>
                <w:rFonts w:ascii="Open Sans" w:eastAsia="Times New Roman" w:hAnsi="Open Sans" w:cs="Open Sans"/>
                <w:b/>
                <w:bCs/>
                <w:color w:val="FFFFFF"/>
                <w:sz w:val="18"/>
                <w:szCs w:val="18"/>
                <w:lang w:eastAsia="es-ES"/>
              </w:rPr>
            </w:pPr>
            <w:r w:rsidRPr="00A07BE9">
              <w:rPr>
                <w:rFonts w:ascii="Open Sans" w:eastAsia="Times New Roman" w:hAnsi="Open Sans" w:cs="Open Sans"/>
                <w:b/>
                <w:bCs/>
                <w:color w:val="FFFFFF"/>
                <w:sz w:val="18"/>
                <w:szCs w:val="18"/>
                <w:lang w:eastAsia="es-ES"/>
              </w:rPr>
              <w:t>% Obligaciones</w:t>
            </w:r>
          </w:p>
          <w:p w14:paraId="4B49B07B" w14:textId="77777777" w:rsidR="00D572EA" w:rsidRPr="00A07BE9" w:rsidRDefault="00D572EA" w:rsidP="00D572EA">
            <w:pPr>
              <w:autoSpaceDN w:val="0"/>
              <w:spacing w:after="0" w:line="360" w:lineRule="auto"/>
              <w:jc w:val="center"/>
              <w:rPr>
                <w:rFonts w:ascii="Open Sans" w:eastAsia="Times New Roman" w:hAnsi="Open Sans" w:cs="Open Sans"/>
                <w:b/>
                <w:bCs/>
                <w:color w:val="FFFFFF"/>
                <w:sz w:val="18"/>
                <w:szCs w:val="18"/>
                <w:lang w:eastAsia="es-ES"/>
              </w:rPr>
            </w:pPr>
            <w:r w:rsidRPr="00A07BE9">
              <w:rPr>
                <w:rFonts w:ascii="Open Sans" w:eastAsia="Times New Roman" w:hAnsi="Open Sans" w:cs="Open Sans"/>
                <w:b/>
                <w:bCs/>
                <w:color w:val="FFFFFF"/>
                <w:sz w:val="18"/>
                <w:szCs w:val="18"/>
                <w:lang w:eastAsia="es-ES"/>
              </w:rPr>
              <w:t>gastos comprometidos</w:t>
            </w:r>
          </w:p>
        </w:tc>
        <w:tc>
          <w:tcPr>
            <w:tcW w:w="1156" w:type="dxa"/>
            <w:shd w:val="clear" w:color="auto" w:fill="9D2235"/>
            <w:tcMar>
              <w:top w:w="0" w:type="dxa"/>
              <w:left w:w="0" w:type="dxa"/>
              <w:bottom w:w="0" w:type="dxa"/>
              <w:right w:w="0" w:type="dxa"/>
            </w:tcMar>
            <w:vAlign w:val="center"/>
          </w:tcPr>
          <w:p w14:paraId="65044ED9" w14:textId="77777777" w:rsidR="00D572EA" w:rsidRPr="00A07BE9" w:rsidRDefault="00D572EA" w:rsidP="00D572EA">
            <w:pPr>
              <w:autoSpaceDN w:val="0"/>
              <w:spacing w:after="0" w:line="360" w:lineRule="auto"/>
              <w:jc w:val="center"/>
              <w:rPr>
                <w:rFonts w:ascii="Open Sans" w:eastAsia="Times New Roman" w:hAnsi="Open Sans" w:cs="Open Sans"/>
                <w:b/>
                <w:bCs/>
                <w:color w:val="FFFFFF"/>
                <w:sz w:val="18"/>
                <w:szCs w:val="18"/>
                <w:lang w:eastAsia="es-ES"/>
              </w:rPr>
            </w:pPr>
            <w:r w:rsidRPr="00A07BE9">
              <w:rPr>
                <w:rFonts w:ascii="Open Sans" w:eastAsia="Times New Roman" w:hAnsi="Open Sans" w:cs="Open Sans"/>
                <w:b/>
                <w:bCs/>
                <w:color w:val="FFFFFF"/>
                <w:sz w:val="18"/>
                <w:szCs w:val="18"/>
                <w:lang w:eastAsia="es-ES"/>
              </w:rPr>
              <w:t>Pagos liquidados</w:t>
            </w:r>
          </w:p>
        </w:tc>
        <w:tc>
          <w:tcPr>
            <w:tcW w:w="1418" w:type="dxa"/>
            <w:shd w:val="clear" w:color="auto" w:fill="9D2235"/>
            <w:tcMar>
              <w:top w:w="0" w:type="dxa"/>
              <w:left w:w="0" w:type="dxa"/>
              <w:bottom w:w="0" w:type="dxa"/>
              <w:right w:w="0" w:type="dxa"/>
            </w:tcMar>
            <w:vAlign w:val="center"/>
          </w:tcPr>
          <w:p w14:paraId="7151D7CF" w14:textId="77777777" w:rsidR="00D572EA" w:rsidRPr="00A07BE9" w:rsidRDefault="00D572EA" w:rsidP="00D572EA">
            <w:pPr>
              <w:autoSpaceDN w:val="0"/>
              <w:spacing w:after="0" w:line="360" w:lineRule="auto"/>
              <w:jc w:val="center"/>
              <w:rPr>
                <w:rFonts w:ascii="Open Sans" w:eastAsia="Times New Roman" w:hAnsi="Open Sans" w:cs="Open Sans"/>
                <w:b/>
                <w:bCs/>
                <w:color w:val="FFFFFF"/>
                <w:sz w:val="18"/>
                <w:szCs w:val="18"/>
                <w:lang w:eastAsia="es-ES"/>
              </w:rPr>
            </w:pPr>
            <w:r w:rsidRPr="00A07BE9">
              <w:rPr>
                <w:rFonts w:ascii="Open Sans" w:eastAsia="Times New Roman" w:hAnsi="Open Sans" w:cs="Open Sans"/>
                <w:b/>
                <w:bCs/>
                <w:color w:val="FFFFFF"/>
                <w:sz w:val="18"/>
                <w:szCs w:val="18"/>
                <w:lang w:eastAsia="es-ES"/>
              </w:rPr>
              <w:t>% Pagos</w:t>
            </w:r>
          </w:p>
          <w:p w14:paraId="6BD11F80" w14:textId="77777777" w:rsidR="00D572EA" w:rsidRPr="00A07BE9" w:rsidRDefault="00D572EA" w:rsidP="00D572EA">
            <w:pPr>
              <w:autoSpaceDN w:val="0"/>
              <w:spacing w:after="0" w:line="360" w:lineRule="auto"/>
              <w:jc w:val="center"/>
              <w:rPr>
                <w:rFonts w:ascii="Open Sans" w:eastAsia="Times New Roman" w:hAnsi="Open Sans" w:cs="Open Sans"/>
                <w:b/>
                <w:bCs/>
                <w:color w:val="FFFFFF"/>
                <w:sz w:val="18"/>
                <w:szCs w:val="18"/>
                <w:lang w:eastAsia="es-ES"/>
              </w:rPr>
            </w:pPr>
            <w:r w:rsidRPr="00A07BE9">
              <w:rPr>
                <w:rFonts w:ascii="Open Sans" w:eastAsia="Times New Roman" w:hAnsi="Open Sans" w:cs="Open Sans"/>
                <w:b/>
                <w:bCs/>
                <w:color w:val="FFFFFF"/>
                <w:sz w:val="18"/>
                <w:szCs w:val="18"/>
                <w:lang w:eastAsia="es-ES"/>
              </w:rPr>
              <w:t>Obligaciones reconocidas</w:t>
            </w:r>
          </w:p>
        </w:tc>
        <w:tc>
          <w:tcPr>
            <w:tcW w:w="1723" w:type="dxa"/>
            <w:shd w:val="clear" w:color="auto" w:fill="9D2235"/>
            <w:tcMar>
              <w:top w:w="0" w:type="dxa"/>
              <w:left w:w="0" w:type="dxa"/>
              <w:bottom w:w="0" w:type="dxa"/>
              <w:right w:w="0" w:type="dxa"/>
            </w:tcMar>
            <w:vAlign w:val="center"/>
          </w:tcPr>
          <w:p w14:paraId="50B262B7" w14:textId="77777777" w:rsidR="00D572EA" w:rsidRPr="00A07BE9" w:rsidRDefault="00D572EA" w:rsidP="00D572EA">
            <w:pPr>
              <w:autoSpaceDN w:val="0"/>
              <w:spacing w:after="0" w:line="360" w:lineRule="auto"/>
              <w:jc w:val="center"/>
              <w:rPr>
                <w:rFonts w:ascii="Open Sans" w:eastAsia="Times New Roman" w:hAnsi="Open Sans" w:cs="Open Sans"/>
                <w:b/>
                <w:bCs/>
                <w:color w:val="FFFFFF"/>
                <w:sz w:val="18"/>
                <w:szCs w:val="18"/>
                <w:lang w:eastAsia="es-ES"/>
              </w:rPr>
            </w:pPr>
            <w:r w:rsidRPr="00A07BE9">
              <w:rPr>
                <w:rFonts w:ascii="Open Sans" w:eastAsia="Times New Roman" w:hAnsi="Open Sans" w:cs="Open Sans"/>
                <w:b/>
                <w:bCs/>
                <w:color w:val="FFFFFF"/>
                <w:sz w:val="18"/>
                <w:szCs w:val="18"/>
                <w:lang w:eastAsia="es-ES"/>
              </w:rPr>
              <w:t>Pendiente de pago</w:t>
            </w:r>
          </w:p>
        </w:tc>
      </w:tr>
      <w:tr w:rsidR="00D572EA" w:rsidRPr="00A07BE9" w14:paraId="21DC2FEC" w14:textId="77777777" w:rsidTr="00741601">
        <w:tc>
          <w:tcPr>
            <w:tcW w:w="1906" w:type="dxa"/>
            <w:tcBorders>
              <w:bottom w:val="single" w:sz="6" w:space="0" w:color="993333"/>
            </w:tcBorders>
            <w:shd w:val="clear" w:color="auto" w:fill="FFFFFF"/>
            <w:tcMar>
              <w:top w:w="0" w:type="dxa"/>
              <w:left w:w="0" w:type="dxa"/>
              <w:bottom w:w="57" w:type="dxa"/>
              <w:right w:w="0" w:type="dxa"/>
            </w:tcMar>
            <w:vAlign w:val="center"/>
          </w:tcPr>
          <w:p w14:paraId="222DDCF1" w14:textId="77777777" w:rsidR="00D572EA" w:rsidRPr="00A07BE9" w:rsidRDefault="00D572EA" w:rsidP="00D572EA">
            <w:pPr>
              <w:autoSpaceDN w:val="0"/>
              <w:spacing w:after="0" w:line="360" w:lineRule="auto"/>
              <w:jc w:val="center"/>
              <w:rPr>
                <w:rFonts w:ascii="Open Sans" w:eastAsia="Times New Roman" w:hAnsi="Open Sans" w:cs="Open Sans"/>
                <w:b/>
                <w:bCs/>
                <w:color w:val="000000"/>
                <w:sz w:val="18"/>
                <w:szCs w:val="18"/>
                <w:lang w:eastAsia="es-ES"/>
              </w:rPr>
            </w:pPr>
            <w:r w:rsidRPr="00A07BE9">
              <w:rPr>
                <w:rFonts w:ascii="Open Sans" w:eastAsia="Times New Roman" w:hAnsi="Open Sans" w:cs="Open Sans"/>
                <w:b/>
                <w:bCs/>
                <w:color w:val="000000"/>
                <w:sz w:val="18"/>
                <w:szCs w:val="18"/>
                <w:lang w:eastAsia="es-ES"/>
              </w:rPr>
              <w:t>I</w:t>
            </w:r>
          </w:p>
        </w:tc>
        <w:tc>
          <w:tcPr>
            <w:tcW w:w="1400" w:type="dxa"/>
            <w:tcBorders>
              <w:bottom w:val="single" w:sz="6" w:space="0" w:color="993333"/>
            </w:tcBorders>
            <w:shd w:val="clear" w:color="auto" w:fill="FFFFFF"/>
            <w:tcMar>
              <w:top w:w="0" w:type="dxa"/>
              <w:left w:w="0" w:type="dxa"/>
              <w:bottom w:w="57" w:type="dxa"/>
              <w:right w:w="0" w:type="dxa"/>
            </w:tcMar>
            <w:vAlign w:val="center"/>
          </w:tcPr>
          <w:p w14:paraId="5481D574" w14:textId="77777777" w:rsidR="00D572EA" w:rsidRPr="00A07BE9" w:rsidRDefault="00D572EA" w:rsidP="00D572EA">
            <w:pPr>
              <w:autoSpaceDN w:val="0"/>
              <w:spacing w:after="0" w:line="360" w:lineRule="auto"/>
              <w:jc w:val="right"/>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2.543.764,60</w:t>
            </w:r>
          </w:p>
        </w:tc>
        <w:tc>
          <w:tcPr>
            <w:tcW w:w="1532" w:type="dxa"/>
            <w:tcBorders>
              <w:bottom w:val="single" w:sz="6" w:space="0" w:color="993333"/>
            </w:tcBorders>
            <w:shd w:val="clear" w:color="auto" w:fill="FFFFFF"/>
            <w:tcMar>
              <w:top w:w="0" w:type="dxa"/>
              <w:left w:w="0" w:type="dxa"/>
              <w:bottom w:w="57" w:type="dxa"/>
              <w:right w:w="0" w:type="dxa"/>
            </w:tcMar>
            <w:vAlign w:val="center"/>
          </w:tcPr>
          <w:p w14:paraId="13E69D0F" w14:textId="77777777" w:rsidR="00D572EA" w:rsidRPr="00A07BE9" w:rsidRDefault="00D572EA" w:rsidP="00D572EA">
            <w:pPr>
              <w:autoSpaceDN w:val="0"/>
              <w:spacing w:after="0" w:line="360" w:lineRule="auto"/>
              <w:jc w:val="right"/>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1.903.199,08</w:t>
            </w:r>
          </w:p>
        </w:tc>
        <w:tc>
          <w:tcPr>
            <w:tcW w:w="1645" w:type="dxa"/>
            <w:tcBorders>
              <w:bottom w:val="single" w:sz="6" w:space="0" w:color="993333"/>
            </w:tcBorders>
            <w:shd w:val="clear" w:color="auto" w:fill="FFFFFF"/>
            <w:tcMar>
              <w:top w:w="0" w:type="dxa"/>
              <w:left w:w="0" w:type="dxa"/>
              <w:bottom w:w="57" w:type="dxa"/>
              <w:right w:w="0" w:type="dxa"/>
            </w:tcMar>
            <w:vAlign w:val="center"/>
          </w:tcPr>
          <w:p w14:paraId="1123FABB" w14:textId="77777777" w:rsidR="00D572EA" w:rsidRPr="00A07BE9" w:rsidRDefault="00D572EA" w:rsidP="00D572EA">
            <w:pPr>
              <w:autoSpaceDN w:val="0"/>
              <w:spacing w:after="0" w:line="36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74,82</w:t>
            </w:r>
          </w:p>
        </w:tc>
        <w:tc>
          <w:tcPr>
            <w:tcW w:w="1468" w:type="dxa"/>
            <w:tcBorders>
              <w:bottom w:val="single" w:sz="6" w:space="0" w:color="993333"/>
            </w:tcBorders>
            <w:shd w:val="clear" w:color="auto" w:fill="FFFFFF"/>
            <w:tcMar>
              <w:top w:w="0" w:type="dxa"/>
              <w:left w:w="0" w:type="dxa"/>
              <w:bottom w:w="57" w:type="dxa"/>
              <w:right w:w="0" w:type="dxa"/>
            </w:tcMar>
            <w:vAlign w:val="center"/>
          </w:tcPr>
          <w:p w14:paraId="2C5686D7" w14:textId="77777777" w:rsidR="00D572EA" w:rsidRPr="00A07BE9" w:rsidRDefault="00D572EA" w:rsidP="00D572EA">
            <w:pPr>
              <w:autoSpaceDN w:val="0"/>
              <w:spacing w:after="0" w:line="360" w:lineRule="auto"/>
              <w:jc w:val="right"/>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1.903.199,05</w:t>
            </w:r>
          </w:p>
        </w:tc>
        <w:tc>
          <w:tcPr>
            <w:tcW w:w="1597" w:type="dxa"/>
            <w:tcBorders>
              <w:bottom w:val="single" w:sz="6" w:space="0" w:color="993333"/>
            </w:tcBorders>
            <w:shd w:val="clear" w:color="auto" w:fill="FFFFFF"/>
            <w:tcMar>
              <w:top w:w="0" w:type="dxa"/>
              <w:left w:w="0" w:type="dxa"/>
              <w:bottom w:w="57" w:type="dxa"/>
              <w:right w:w="0" w:type="dxa"/>
            </w:tcMar>
            <w:vAlign w:val="center"/>
          </w:tcPr>
          <w:p w14:paraId="0E7FB4B5" w14:textId="77777777" w:rsidR="00D572EA" w:rsidRPr="00A07BE9" w:rsidRDefault="00D572EA" w:rsidP="00D572EA">
            <w:pPr>
              <w:autoSpaceDN w:val="0"/>
              <w:spacing w:after="0" w:line="36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74,82</w:t>
            </w:r>
          </w:p>
        </w:tc>
        <w:tc>
          <w:tcPr>
            <w:tcW w:w="1156" w:type="dxa"/>
            <w:tcBorders>
              <w:bottom w:val="single" w:sz="6" w:space="0" w:color="993333"/>
            </w:tcBorders>
            <w:shd w:val="clear" w:color="auto" w:fill="FFFFFF"/>
            <w:tcMar>
              <w:top w:w="0" w:type="dxa"/>
              <w:left w:w="0" w:type="dxa"/>
              <w:bottom w:w="57" w:type="dxa"/>
              <w:right w:w="0" w:type="dxa"/>
            </w:tcMar>
            <w:vAlign w:val="center"/>
          </w:tcPr>
          <w:p w14:paraId="54444BFC" w14:textId="77777777" w:rsidR="00D572EA" w:rsidRPr="00A07BE9" w:rsidRDefault="00D572EA" w:rsidP="00D572EA">
            <w:pPr>
              <w:autoSpaceDN w:val="0"/>
              <w:spacing w:after="0" w:line="360" w:lineRule="auto"/>
              <w:jc w:val="right"/>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1.903.199,05</w:t>
            </w:r>
          </w:p>
        </w:tc>
        <w:tc>
          <w:tcPr>
            <w:tcW w:w="1418" w:type="dxa"/>
            <w:tcBorders>
              <w:bottom w:val="single" w:sz="6" w:space="0" w:color="993333"/>
            </w:tcBorders>
            <w:shd w:val="clear" w:color="auto" w:fill="FFFFFF"/>
            <w:tcMar>
              <w:top w:w="0" w:type="dxa"/>
              <w:left w:w="0" w:type="dxa"/>
              <w:bottom w:w="57" w:type="dxa"/>
              <w:right w:w="0" w:type="dxa"/>
            </w:tcMar>
            <w:vAlign w:val="center"/>
          </w:tcPr>
          <w:p w14:paraId="5B23E048" w14:textId="77777777" w:rsidR="00D572EA" w:rsidRPr="00A07BE9" w:rsidRDefault="00D572EA" w:rsidP="00D572EA">
            <w:pPr>
              <w:autoSpaceDN w:val="0"/>
              <w:spacing w:after="0" w:line="36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100,00</w:t>
            </w:r>
          </w:p>
        </w:tc>
        <w:tc>
          <w:tcPr>
            <w:tcW w:w="1723" w:type="dxa"/>
            <w:tcBorders>
              <w:bottom w:val="single" w:sz="6" w:space="0" w:color="993333"/>
            </w:tcBorders>
            <w:shd w:val="clear" w:color="auto" w:fill="FFFFFF"/>
            <w:tcMar>
              <w:top w:w="0" w:type="dxa"/>
              <w:left w:w="0" w:type="dxa"/>
              <w:bottom w:w="57" w:type="dxa"/>
              <w:right w:w="0" w:type="dxa"/>
            </w:tcMar>
            <w:vAlign w:val="center"/>
          </w:tcPr>
          <w:p w14:paraId="0A600CEA" w14:textId="77777777" w:rsidR="00D572EA" w:rsidRPr="00A07BE9" w:rsidRDefault="00D572EA" w:rsidP="00D572EA">
            <w:pPr>
              <w:autoSpaceDN w:val="0"/>
              <w:spacing w:after="0" w:line="360" w:lineRule="auto"/>
              <w:jc w:val="right"/>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0,00</w:t>
            </w:r>
          </w:p>
        </w:tc>
      </w:tr>
      <w:tr w:rsidR="00D572EA" w:rsidRPr="00A07BE9" w14:paraId="2BB3F0F6" w14:textId="77777777" w:rsidTr="00741601">
        <w:trPr>
          <w:trHeight w:val="270"/>
        </w:trPr>
        <w:tc>
          <w:tcPr>
            <w:tcW w:w="1906" w:type="dxa"/>
            <w:tcBorders>
              <w:bottom w:val="single" w:sz="6" w:space="0" w:color="993333"/>
            </w:tcBorders>
            <w:shd w:val="clear" w:color="auto" w:fill="FFFFFF"/>
            <w:tcMar>
              <w:top w:w="0" w:type="dxa"/>
              <w:left w:w="0" w:type="dxa"/>
              <w:bottom w:w="57" w:type="dxa"/>
              <w:right w:w="0" w:type="dxa"/>
            </w:tcMar>
            <w:vAlign w:val="center"/>
          </w:tcPr>
          <w:p w14:paraId="17272C15" w14:textId="77777777" w:rsidR="00D572EA" w:rsidRPr="00A07BE9" w:rsidRDefault="00D572EA" w:rsidP="00D572EA">
            <w:pPr>
              <w:autoSpaceDN w:val="0"/>
              <w:spacing w:after="0" w:line="360" w:lineRule="auto"/>
              <w:jc w:val="center"/>
              <w:rPr>
                <w:rFonts w:ascii="Open Sans" w:eastAsia="Times New Roman" w:hAnsi="Open Sans" w:cs="Open Sans"/>
                <w:b/>
                <w:bCs/>
                <w:color w:val="000000"/>
                <w:sz w:val="18"/>
                <w:szCs w:val="18"/>
                <w:lang w:eastAsia="es-ES"/>
              </w:rPr>
            </w:pPr>
            <w:r w:rsidRPr="00A07BE9">
              <w:rPr>
                <w:rFonts w:ascii="Open Sans" w:eastAsia="Times New Roman" w:hAnsi="Open Sans" w:cs="Open Sans"/>
                <w:b/>
                <w:bCs/>
                <w:color w:val="000000"/>
                <w:sz w:val="18"/>
                <w:szCs w:val="18"/>
                <w:lang w:eastAsia="es-ES"/>
              </w:rPr>
              <w:t>II</w:t>
            </w:r>
          </w:p>
        </w:tc>
        <w:tc>
          <w:tcPr>
            <w:tcW w:w="1400" w:type="dxa"/>
            <w:tcBorders>
              <w:bottom w:val="single" w:sz="6" w:space="0" w:color="993333"/>
            </w:tcBorders>
            <w:shd w:val="clear" w:color="auto" w:fill="FFFFFF"/>
            <w:tcMar>
              <w:top w:w="0" w:type="dxa"/>
              <w:left w:w="0" w:type="dxa"/>
              <w:bottom w:w="57" w:type="dxa"/>
              <w:right w:w="0" w:type="dxa"/>
            </w:tcMar>
            <w:vAlign w:val="center"/>
          </w:tcPr>
          <w:p w14:paraId="54D2CFB5" w14:textId="77777777" w:rsidR="00D572EA" w:rsidRPr="00A07BE9" w:rsidRDefault="00D572EA" w:rsidP="00D572EA">
            <w:pPr>
              <w:autoSpaceDN w:val="0"/>
              <w:spacing w:after="0" w:line="360" w:lineRule="auto"/>
              <w:jc w:val="right"/>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596.200,00</w:t>
            </w:r>
          </w:p>
        </w:tc>
        <w:tc>
          <w:tcPr>
            <w:tcW w:w="1532" w:type="dxa"/>
            <w:tcBorders>
              <w:bottom w:val="single" w:sz="6" w:space="0" w:color="993333"/>
            </w:tcBorders>
            <w:shd w:val="clear" w:color="auto" w:fill="FFFFFF"/>
            <w:tcMar>
              <w:top w:w="0" w:type="dxa"/>
              <w:left w:w="0" w:type="dxa"/>
              <w:bottom w:w="57" w:type="dxa"/>
              <w:right w:w="0" w:type="dxa"/>
            </w:tcMar>
            <w:vAlign w:val="center"/>
          </w:tcPr>
          <w:p w14:paraId="367747CB" w14:textId="77777777" w:rsidR="00D572EA" w:rsidRPr="00A07BE9" w:rsidRDefault="00D572EA" w:rsidP="00D572EA">
            <w:pPr>
              <w:autoSpaceDN w:val="0"/>
              <w:spacing w:after="0" w:line="360" w:lineRule="auto"/>
              <w:jc w:val="right"/>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456.775,45</w:t>
            </w:r>
          </w:p>
        </w:tc>
        <w:tc>
          <w:tcPr>
            <w:tcW w:w="1645" w:type="dxa"/>
            <w:tcBorders>
              <w:bottom w:val="single" w:sz="6" w:space="0" w:color="993333"/>
            </w:tcBorders>
            <w:shd w:val="clear" w:color="auto" w:fill="FFFFFF"/>
            <w:tcMar>
              <w:top w:w="0" w:type="dxa"/>
              <w:left w:w="0" w:type="dxa"/>
              <w:bottom w:w="57" w:type="dxa"/>
              <w:right w:w="0" w:type="dxa"/>
            </w:tcMar>
            <w:vAlign w:val="center"/>
          </w:tcPr>
          <w:p w14:paraId="190A05F3" w14:textId="77777777" w:rsidR="00D572EA" w:rsidRPr="00A07BE9" w:rsidRDefault="00D572EA" w:rsidP="00D572EA">
            <w:pPr>
              <w:autoSpaceDN w:val="0"/>
              <w:spacing w:after="0" w:line="36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76,61</w:t>
            </w:r>
          </w:p>
        </w:tc>
        <w:tc>
          <w:tcPr>
            <w:tcW w:w="1468" w:type="dxa"/>
            <w:tcBorders>
              <w:bottom w:val="single" w:sz="6" w:space="0" w:color="993333"/>
            </w:tcBorders>
            <w:shd w:val="clear" w:color="auto" w:fill="FFFFFF"/>
            <w:tcMar>
              <w:top w:w="0" w:type="dxa"/>
              <w:left w:w="0" w:type="dxa"/>
              <w:bottom w:w="57" w:type="dxa"/>
              <w:right w:w="0" w:type="dxa"/>
            </w:tcMar>
            <w:vAlign w:val="center"/>
          </w:tcPr>
          <w:p w14:paraId="3092EE88" w14:textId="77777777" w:rsidR="00D572EA" w:rsidRPr="00A07BE9" w:rsidRDefault="00D572EA" w:rsidP="00D572EA">
            <w:pPr>
              <w:autoSpaceDN w:val="0"/>
              <w:spacing w:after="0" w:line="360" w:lineRule="auto"/>
              <w:jc w:val="right"/>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428.260,94</w:t>
            </w:r>
          </w:p>
        </w:tc>
        <w:tc>
          <w:tcPr>
            <w:tcW w:w="1597" w:type="dxa"/>
            <w:tcBorders>
              <w:bottom w:val="single" w:sz="6" w:space="0" w:color="993333"/>
            </w:tcBorders>
            <w:shd w:val="clear" w:color="auto" w:fill="FFFFFF"/>
            <w:tcMar>
              <w:top w:w="0" w:type="dxa"/>
              <w:left w:w="0" w:type="dxa"/>
              <w:bottom w:w="57" w:type="dxa"/>
              <w:right w:w="0" w:type="dxa"/>
            </w:tcMar>
            <w:vAlign w:val="center"/>
          </w:tcPr>
          <w:p w14:paraId="0FD5942D" w14:textId="77777777" w:rsidR="00D572EA" w:rsidRPr="00A07BE9" w:rsidRDefault="00D572EA" w:rsidP="00D572EA">
            <w:pPr>
              <w:autoSpaceDN w:val="0"/>
              <w:spacing w:after="0" w:line="36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71,83</w:t>
            </w:r>
          </w:p>
        </w:tc>
        <w:tc>
          <w:tcPr>
            <w:tcW w:w="1156" w:type="dxa"/>
            <w:tcBorders>
              <w:bottom w:val="single" w:sz="6" w:space="0" w:color="993333"/>
            </w:tcBorders>
            <w:shd w:val="clear" w:color="auto" w:fill="FFFFFF"/>
            <w:tcMar>
              <w:top w:w="0" w:type="dxa"/>
              <w:left w:w="0" w:type="dxa"/>
              <w:bottom w:w="57" w:type="dxa"/>
              <w:right w:w="0" w:type="dxa"/>
            </w:tcMar>
            <w:vAlign w:val="center"/>
          </w:tcPr>
          <w:p w14:paraId="0FA241BE" w14:textId="77777777" w:rsidR="00D572EA" w:rsidRPr="00A07BE9" w:rsidRDefault="00D572EA" w:rsidP="00D572EA">
            <w:pPr>
              <w:autoSpaceDN w:val="0"/>
              <w:spacing w:after="0" w:line="360" w:lineRule="auto"/>
              <w:jc w:val="right"/>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342.719,46</w:t>
            </w:r>
          </w:p>
        </w:tc>
        <w:tc>
          <w:tcPr>
            <w:tcW w:w="1418" w:type="dxa"/>
            <w:tcBorders>
              <w:bottom w:val="single" w:sz="6" w:space="0" w:color="993333"/>
            </w:tcBorders>
            <w:shd w:val="clear" w:color="auto" w:fill="FFFFFF"/>
            <w:tcMar>
              <w:top w:w="0" w:type="dxa"/>
              <w:left w:w="0" w:type="dxa"/>
              <w:bottom w:w="57" w:type="dxa"/>
              <w:right w:w="0" w:type="dxa"/>
            </w:tcMar>
            <w:vAlign w:val="center"/>
          </w:tcPr>
          <w:p w14:paraId="5EC0BCC3" w14:textId="77777777" w:rsidR="00D572EA" w:rsidRPr="00A07BE9" w:rsidRDefault="00D572EA" w:rsidP="00D572EA">
            <w:pPr>
              <w:autoSpaceDN w:val="0"/>
              <w:spacing w:after="0" w:line="360" w:lineRule="auto"/>
              <w:jc w:val="center"/>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80,03</w:t>
            </w:r>
          </w:p>
        </w:tc>
        <w:tc>
          <w:tcPr>
            <w:tcW w:w="1723" w:type="dxa"/>
            <w:tcBorders>
              <w:bottom w:val="single" w:sz="6" w:space="0" w:color="993333"/>
            </w:tcBorders>
            <w:shd w:val="clear" w:color="auto" w:fill="FFFFFF"/>
            <w:tcMar>
              <w:top w:w="0" w:type="dxa"/>
              <w:left w:w="0" w:type="dxa"/>
              <w:bottom w:w="57" w:type="dxa"/>
              <w:right w:w="0" w:type="dxa"/>
            </w:tcMar>
            <w:vAlign w:val="center"/>
          </w:tcPr>
          <w:p w14:paraId="23165B29" w14:textId="77777777" w:rsidR="00D572EA" w:rsidRPr="00A07BE9" w:rsidRDefault="00D572EA" w:rsidP="00D572EA">
            <w:pPr>
              <w:autoSpaceDN w:val="0"/>
              <w:spacing w:after="0" w:line="360" w:lineRule="auto"/>
              <w:jc w:val="right"/>
              <w:rPr>
                <w:rFonts w:ascii="Open Sans" w:eastAsia="Times New Roman" w:hAnsi="Open Sans" w:cs="Open Sans"/>
                <w:color w:val="000000"/>
                <w:sz w:val="18"/>
                <w:szCs w:val="18"/>
                <w:lang w:eastAsia="es-ES"/>
              </w:rPr>
            </w:pPr>
            <w:r w:rsidRPr="00A07BE9">
              <w:rPr>
                <w:rFonts w:ascii="Open Sans" w:eastAsia="Times New Roman" w:hAnsi="Open Sans" w:cs="Open Sans"/>
                <w:color w:val="000000"/>
                <w:sz w:val="18"/>
                <w:szCs w:val="18"/>
                <w:lang w:eastAsia="es-ES"/>
              </w:rPr>
              <w:t>85.541,48</w:t>
            </w:r>
          </w:p>
        </w:tc>
      </w:tr>
      <w:tr w:rsidR="00D572EA" w:rsidRPr="00A07BE9" w14:paraId="7120DE96" w14:textId="77777777" w:rsidTr="00741601">
        <w:trPr>
          <w:trHeight w:val="555"/>
        </w:trPr>
        <w:tc>
          <w:tcPr>
            <w:tcW w:w="1906" w:type="dxa"/>
            <w:tcBorders>
              <w:bottom w:val="single" w:sz="6" w:space="0" w:color="993333"/>
            </w:tcBorders>
            <w:shd w:val="clear" w:color="auto" w:fill="EEEEEE"/>
            <w:tcMar>
              <w:top w:w="0" w:type="dxa"/>
              <w:left w:w="0" w:type="dxa"/>
              <w:bottom w:w="57" w:type="dxa"/>
              <w:right w:w="0" w:type="dxa"/>
            </w:tcMar>
            <w:vAlign w:val="center"/>
          </w:tcPr>
          <w:p w14:paraId="312FE8A2" w14:textId="77777777" w:rsidR="00D572EA" w:rsidRPr="00A07BE9" w:rsidRDefault="00D572EA" w:rsidP="00D572EA">
            <w:pPr>
              <w:autoSpaceDN w:val="0"/>
              <w:spacing w:after="0" w:line="360" w:lineRule="auto"/>
              <w:jc w:val="center"/>
              <w:rPr>
                <w:rFonts w:ascii="Open Sans" w:eastAsia="Times New Roman" w:hAnsi="Open Sans" w:cs="Open Sans"/>
                <w:b/>
                <w:bCs/>
                <w:sz w:val="18"/>
                <w:szCs w:val="18"/>
                <w:lang w:eastAsia="es-ES"/>
              </w:rPr>
            </w:pPr>
            <w:r w:rsidRPr="00A07BE9">
              <w:rPr>
                <w:rFonts w:ascii="Open Sans" w:eastAsia="Times New Roman" w:hAnsi="Open Sans" w:cs="Open Sans"/>
                <w:b/>
                <w:bCs/>
                <w:sz w:val="18"/>
                <w:szCs w:val="18"/>
                <w:lang w:eastAsia="es-ES"/>
              </w:rPr>
              <w:t>TOTAL operaciones corrientes</w:t>
            </w:r>
          </w:p>
        </w:tc>
        <w:tc>
          <w:tcPr>
            <w:tcW w:w="1400" w:type="dxa"/>
            <w:tcBorders>
              <w:bottom w:val="single" w:sz="6" w:space="0" w:color="993333"/>
            </w:tcBorders>
            <w:shd w:val="clear" w:color="auto" w:fill="EEEEEE"/>
            <w:tcMar>
              <w:top w:w="0" w:type="dxa"/>
              <w:left w:w="0" w:type="dxa"/>
              <w:bottom w:w="57" w:type="dxa"/>
              <w:right w:w="0" w:type="dxa"/>
            </w:tcMar>
            <w:vAlign w:val="center"/>
          </w:tcPr>
          <w:p w14:paraId="15FC4B79" w14:textId="77777777" w:rsidR="00D572EA" w:rsidRPr="00A07BE9" w:rsidRDefault="00D572EA" w:rsidP="00D572EA">
            <w:pPr>
              <w:autoSpaceDN w:val="0"/>
              <w:spacing w:after="0" w:line="360" w:lineRule="auto"/>
              <w:jc w:val="right"/>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3.139.964,60</w:t>
            </w:r>
          </w:p>
        </w:tc>
        <w:tc>
          <w:tcPr>
            <w:tcW w:w="1532" w:type="dxa"/>
            <w:tcBorders>
              <w:bottom w:val="single" w:sz="6" w:space="0" w:color="993333"/>
            </w:tcBorders>
            <w:shd w:val="clear" w:color="auto" w:fill="EEEEEE"/>
            <w:tcMar>
              <w:top w:w="0" w:type="dxa"/>
              <w:left w:w="0" w:type="dxa"/>
              <w:bottom w:w="57" w:type="dxa"/>
              <w:right w:w="0" w:type="dxa"/>
            </w:tcMar>
            <w:vAlign w:val="center"/>
          </w:tcPr>
          <w:p w14:paraId="0AE8126A" w14:textId="77777777" w:rsidR="00D572EA" w:rsidRPr="00A07BE9" w:rsidRDefault="00D572EA" w:rsidP="00D572EA">
            <w:pPr>
              <w:autoSpaceDN w:val="0"/>
              <w:spacing w:after="0" w:line="360" w:lineRule="auto"/>
              <w:jc w:val="right"/>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2.359.974,53</w:t>
            </w:r>
          </w:p>
        </w:tc>
        <w:tc>
          <w:tcPr>
            <w:tcW w:w="1645" w:type="dxa"/>
            <w:tcBorders>
              <w:bottom w:val="single" w:sz="6" w:space="0" w:color="993333"/>
            </w:tcBorders>
            <w:shd w:val="clear" w:color="auto" w:fill="EEEEEE"/>
            <w:tcMar>
              <w:top w:w="0" w:type="dxa"/>
              <w:left w:w="0" w:type="dxa"/>
              <w:bottom w:w="57" w:type="dxa"/>
              <w:right w:w="0" w:type="dxa"/>
            </w:tcMar>
            <w:vAlign w:val="center"/>
          </w:tcPr>
          <w:p w14:paraId="04171B7E" w14:textId="77777777" w:rsidR="00D572EA" w:rsidRPr="00A07BE9" w:rsidRDefault="00D572EA" w:rsidP="00D572EA">
            <w:pPr>
              <w:autoSpaceDN w:val="0"/>
              <w:spacing w:after="0" w:line="360" w:lineRule="auto"/>
              <w:jc w:val="center"/>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75,16</w:t>
            </w:r>
          </w:p>
        </w:tc>
        <w:tc>
          <w:tcPr>
            <w:tcW w:w="1468" w:type="dxa"/>
            <w:tcBorders>
              <w:bottom w:val="single" w:sz="6" w:space="0" w:color="993333"/>
            </w:tcBorders>
            <w:shd w:val="clear" w:color="auto" w:fill="EEEEEE"/>
            <w:tcMar>
              <w:top w:w="0" w:type="dxa"/>
              <w:left w:w="0" w:type="dxa"/>
              <w:bottom w:w="57" w:type="dxa"/>
              <w:right w:w="0" w:type="dxa"/>
            </w:tcMar>
            <w:vAlign w:val="center"/>
          </w:tcPr>
          <w:p w14:paraId="05865FFB" w14:textId="77777777" w:rsidR="00D572EA" w:rsidRPr="00A07BE9" w:rsidRDefault="00D572EA" w:rsidP="00D572EA">
            <w:pPr>
              <w:autoSpaceDN w:val="0"/>
              <w:spacing w:after="0" w:line="360" w:lineRule="auto"/>
              <w:jc w:val="right"/>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2.331.459,99</w:t>
            </w:r>
          </w:p>
        </w:tc>
        <w:tc>
          <w:tcPr>
            <w:tcW w:w="1597" w:type="dxa"/>
            <w:tcBorders>
              <w:bottom w:val="single" w:sz="6" w:space="0" w:color="993333"/>
            </w:tcBorders>
            <w:shd w:val="clear" w:color="auto" w:fill="EEEEEE"/>
            <w:tcMar>
              <w:top w:w="0" w:type="dxa"/>
              <w:left w:w="0" w:type="dxa"/>
              <w:bottom w:w="57" w:type="dxa"/>
              <w:right w:w="0" w:type="dxa"/>
            </w:tcMar>
            <w:vAlign w:val="center"/>
          </w:tcPr>
          <w:p w14:paraId="0F1CE44C" w14:textId="77777777" w:rsidR="00D572EA" w:rsidRPr="00A07BE9" w:rsidRDefault="00D572EA" w:rsidP="00D572EA">
            <w:pPr>
              <w:autoSpaceDN w:val="0"/>
              <w:spacing w:after="0" w:line="360" w:lineRule="auto"/>
              <w:jc w:val="center"/>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74,25</w:t>
            </w:r>
          </w:p>
        </w:tc>
        <w:tc>
          <w:tcPr>
            <w:tcW w:w="1156" w:type="dxa"/>
            <w:tcBorders>
              <w:bottom w:val="single" w:sz="6" w:space="0" w:color="993333"/>
            </w:tcBorders>
            <w:shd w:val="clear" w:color="auto" w:fill="EEEEEE"/>
            <w:tcMar>
              <w:top w:w="0" w:type="dxa"/>
              <w:left w:w="0" w:type="dxa"/>
              <w:bottom w:w="57" w:type="dxa"/>
              <w:right w:w="0" w:type="dxa"/>
            </w:tcMar>
            <w:vAlign w:val="center"/>
          </w:tcPr>
          <w:p w14:paraId="626EEF5B" w14:textId="77777777" w:rsidR="00D572EA" w:rsidRPr="00A07BE9" w:rsidRDefault="00D572EA" w:rsidP="00D572EA">
            <w:pPr>
              <w:autoSpaceDN w:val="0"/>
              <w:spacing w:after="0" w:line="360" w:lineRule="auto"/>
              <w:jc w:val="right"/>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2.245.918,51</w:t>
            </w:r>
          </w:p>
        </w:tc>
        <w:tc>
          <w:tcPr>
            <w:tcW w:w="1418" w:type="dxa"/>
            <w:tcBorders>
              <w:bottom w:val="single" w:sz="6" w:space="0" w:color="993333"/>
            </w:tcBorders>
            <w:shd w:val="clear" w:color="auto" w:fill="EEEEEE"/>
            <w:tcMar>
              <w:top w:w="0" w:type="dxa"/>
              <w:left w:w="0" w:type="dxa"/>
              <w:bottom w:w="57" w:type="dxa"/>
              <w:right w:w="0" w:type="dxa"/>
            </w:tcMar>
            <w:vAlign w:val="center"/>
          </w:tcPr>
          <w:p w14:paraId="54E1554B" w14:textId="77777777" w:rsidR="00D572EA" w:rsidRPr="00A07BE9" w:rsidRDefault="00D572EA" w:rsidP="00D572EA">
            <w:pPr>
              <w:autoSpaceDN w:val="0"/>
              <w:spacing w:after="0" w:line="360" w:lineRule="auto"/>
              <w:jc w:val="center"/>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96,33</w:t>
            </w:r>
          </w:p>
        </w:tc>
        <w:tc>
          <w:tcPr>
            <w:tcW w:w="1723" w:type="dxa"/>
            <w:tcBorders>
              <w:bottom w:val="single" w:sz="6" w:space="0" w:color="993333"/>
            </w:tcBorders>
            <w:shd w:val="clear" w:color="auto" w:fill="EEEEEE"/>
            <w:tcMar>
              <w:top w:w="0" w:type="dxa"/>
              <w:left w:w="0" w:type="dxa"/>
              <w:bottom w:w="57" w:type="dxa"/>
              <w:right w:w="0" w:type="dxa"/>
            </w:tcMar>
            <w:vAlign w:val="center"/>
          </w:tcPr>
          <w:p w14:paraId="6391F2EA" w14:textId="77777777" w:rsidR="00D572EA" w:rsidRPr="00A07BE9" w:rsidRDefault="00D572EA" w:rsidP="00D572EA">
            <w:pPr>
              <w:autoSpaceDN w:val="0"/>
              <w:spacing w:after="0" w:line="360" w:lineRule="auto"/>
              <w:jc w:val="right"/>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85.541,48</w:t>
            </w:r>
          </w:p>
        </w:tc>
      </w:tr>
      <w:tr w:rsidR="00D572EA" w:rsidRPr="00A07BE9" w14:paraId="1A40603A" w14:textId="77777777" w:rsidTr="00741601">
        <w:tc>
          <w:tcPr>
            <w:tcW w:w="1906" w:type="dxa"/>
            <w:tcBorders>
              <w:bottom w:val="single" w:sz="6" w:space="0" w:color="993333"/>
            </w:tcBorders>
            <w:shd w:val="clear" w:color="auto" w:fill="FFFFFF"/>
            <w:tcMar>
              <w:top w:w="0" w:type="dxa"/>
              <w:left w:w="0" w:type="dxa"/>
              <w:bottom w:w="57" w:type="dxa"/>
              <w:right w:w="0" w:type="dxa"/>
            </w:tcMar>
            <w:vAlign w:val="center"/>
          </w:tcPr>
          <w:p w14:paraId="150809B2" w14:textId="77777777" w:rsidR="00D572EA" w:rsidRPr="00A07BE9" w:rsidRDefault="00D572EA" w:rsidP="00D572EA">
            <w:pPr>
              <w:autoSpaceDN w:val="0"/>
              <w:spacing w:after="0" w:line="360" w:lineRule="auto"/>
              <w:jc w:val="center"/>
              <w:rPr>
                <w:rFonts w:ascii="Open Sans" w:eastAsia="Times New Roman" w:hAnsi="Open Sans" w:cs="Open Sans"/>
                <w:b/>
                <w:bCs/>
                <w:sz w:val="18"/>
                <w:szCs w:val="18"/>
                <w:lang w:eastAsia="es-ES"/>
              </w:rPr>
            </w:pPr>
            <w:r w:rsidRPr="00A07BE9">
              <w:rPr>
                <w:rFonts w:ascii="Open Sans" w:eastAsia="Times New Roman" w:hAnsi="Open Sans" w:cs="Open Sans"/>
                <w:b/>
                <w:bCs/>
                <w:sz w:val="18"/>
                <w:szCs w:val="18"/>
                <w:lang w:eastAsia="es-ES"/>
              </w:rPr>
              <w:t>VI</w:t>
            </w:r>
          </w:p>
        </w:tc>
        <w:tc>
          <w:tcPr>
            <w:tcW w:w="1400" w:type="dxa"/>
            <w:tcBorders>
              <w:bottom w:val="single" w:sz="6" w:space="0" w:color="993333"/>
            </w:tcBorders>
            <w:shd w:val="clear" w:color="auto" w:fill="FFFFFF"/>
            <w:tcMar>
              <w:top w:w="0" w:type="dxa"/>
              <w:left w:w="0" w:type="dxa"/>
              <w:bottom w:w="57" w:type="dxa"/>
              <w:right w:w="0" w:type="dxa"/>
            </w:tcMar>
            <w:vAlign w:val="center"/>
          </w:tcPr>
          <w:p w14:paraId="7068A609" w14:textId="77777777" w:rsidR="00D572EA" w:rsidRPr="00A07BE9" w:rsidRDefault="00D572EA" w:rsidP="00D572EA">
            <w:pPr>
              <w:autoSpaceDN w:val="0"/>
              <w:spacing w:after="0" w:line="360" w:lineRule="auto"/>
              <w:jc w:val="right"/>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241.500,00</w:t>
            </w:r>
          </w:p>
        </w:tc>
        <w:tc>
          <w:tcPr>
            <w:tcW w:w="1532" w:type="dxa"/>
            <w:tcBorders>
              <w:bottom w:val="single" w:sz="6" w:space="0" w:color="993333"/>
            </w:tcBorders>
            <w:shd w:val="clear" w:color="auto" w:fill="FFFFFF"/>
            <w:tcMar>
              <w:top w:w="0" w:type="dxa"/>
              <w:left w:w="0" w:type="dxa"/>
              <w:bottom w:w="57" w:type="dxa"/>
              <w:right w:w="0" w:type="dxa"/>
            </w:tcMar>
            <w:vAlign w:val="center"/>
          </w:tcPr>
          <w:p w14:paraId="79B6A632" w14:textId="77777777" w:rsidR="00D572EA" w:rsidRPr="00A07BE9" w:rsidRDefault="00D572EA" w:rsidP="00D572EA">
            <w:pPr>
              <w:autoSpaceDN w:val="0"/>
              <w:spacing w:after="0" w:line="360" w:lineRule="auto"/>
              <w:jc w:val="right"/>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218.000,31</w:t>
            </w:r>
          </w:p>
        </w:tc>
        <w:tc>
          <w:tcPr>
            <w:tcW w:w="1645" w:type="dxa"/>
            <w:tcBorders>
              <w:bottom w:val="single" w:sz="6" w:space="0" w:color="993333"/>
            </w:tcBorders>
            <w:shd w:val="clear" w:color="auto" w:fill="FFFFFF"/>
            <w:tcMar>
              <w:top w:w="0" w:type="dxa"/>
              <w:left w:w="0" w:type="dxa"/>
              <w:bottom w:w="57" w:type="dxa"/>
              <w:right w:w="0" w:type="dxa"/>
            </w:tcMar>
            <w:vAlign w:val="center"/>
          </w:tcPr>
          <w:p w14:paraId="6F12C0FA" w14:textId="77777777" w:rsidR="00D572EA" w:rsidRPr="00A07BE9" w:rsidRDefault="00D572EA" w:rsidP="00D572EA">
            <w:pPr>
              <w:autoSpaceDN w:val="0"/>
              <w:spacing w:after="0" w:line="360" w:lineRule="auto"/>
              <w:jc w:val="center"/>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90,27</w:t>
            </w:r>
          </w:p>
        </w:tc>
        <w:tc>
          <w:tcPr>
            <w:tcW w:w="1468" w:type="dxa"/>
            <w:tcBorders>
              <w:bottom w:val="single" w:sz="6" w:space="0" w:color="993333"/>
            </w:tcBorders>
            <w:shd w:val="clear" w:color="auto" w:fill="FFFFFF"/>
            <w:tcMar>
              <w:top w:w="0" w:type="dxa"/>
              <w:left w:w="0" w:type="dxa"/>
              <w:bottom w:w="57" w:type="dxa"/>
              <w:right w:w="0" w:type="dxa"/>
            </w:tcMar>
            <w:vAlign w:val="center"/>
          </w:tcPr>
          <w:p w14:paraId="3D82178E" w14:textId="77777777" w:rsidR="00D572EA" w:rsidRPr="00A07BE9" w:rsidRDefault="00D572EA" w:rsidP="00D572EA">
            <w:pPr>
              <w:autoSpaceDN w:val="0"/>
              <w:spacing w:after="0" w:line="360" w:lineRule="auto"/>
              <w:jc w:val="right"/>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216.452,01</w:t>
            </w:r>
          </w:p>
        </w:tc>
        <w:tc>
          <w:tcPr>
            <w:tcW w:w="1597" w:type="dxa"/>
            <w:tcBorders>
              <w:bottom w:val="single" w:sz="6" w:space="0" w:color="993333"/>
            </w:tcBorders>
            <w:shd w:val="clear" w:color="auto" w:fill="FFFFFF"/>
            <w:tcMar>
              <w:top w:w="0" w:type="dxa"/>
              <w:left w:w="0" w:type="dxa"/>
              <w:bottom w:w="57" w:type="dxa"/>
              <w:right w:w="0" w:type="dxa"/>
            </w:tcMar>
            <w:vAlign w:val="center"/>
          </w:tcPr>
          <w:p w14:paraId="42CE693E" w14:textId="77777777" w:rsidR="00D572EA" w:rsidRPr="00A07BE9" w:rsidRDefault="00D572EA" w:rsidP="00D572EA">
            <w:pPr>
              <w:autoSpaceDN w:val="0"/>
              <w:spacing w:after="0" w:line="360" w:lineRule="auto"/>
              <w:jc w:val="center"/>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89,63</w:t>
            </w:r>
          </w:p>
        </w:tc>
        <w:tc>
          <w:tcPr>
            <w:tcW w:w="1156" w:type="dxa"/>
            <w:tcBorders>
              <w:bottom w:val="single" w:sz="6" w:space="0" w:color="993333"/>
            </w:tcBorders>
            <w:shd w:val="clear" w:color="auto" w:fill="FFFFFF"/>
            <w:tcMar>
              <w:top w:w="0" w:type="dxa"/>
              <w:left w:w="0" w:type="dxa"/>
              <w:bottom w:w="57" w:type="dxa"/>
              <w:right w:w="0" w:type="dxa"/>
            </w:tcMar>
            <w:vAlign w:val="center"/>
          </w:tcPr>
          <w:p w14:paraId="03A85462" w14:textId="77777777" w:rsidR="00D572EA" w:rsidRPr="00A07BE9" w:rsidRDefault="00D572EA" w:rsidP="00D572EA">
            <w:pPr>
              <w:autoSpaceDN w:val="0"/>
              <w:spacing w:after="0" w:line="360" w:lineRule="auto"/>
              <w:jc w:val="right"/>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206.663,11</w:t>
            </w:r>
          </w:p>
        </w:tc>
        <w:tc>
          <w:tcPr>
            <w:tcW w:w="1418" w:type="dxa"/>
            <w:tcBorders>
              <w:bottom w:val="single" w:sz="6" w:space="0" w:color="993333"/>
            </w:tcBorders>
            <w:shd w:val="clear" w:color="auto" w:fill="FFFFFF"/>
            <w:tcMar>
              <w:top w:w="0" w:type="dxa"/>
              <w:left w:w="0" w:type="dxa"/>
              <w:bottom w:w="57" w:type="dxa"/>
              <w:right w:w="0" w:type="dxa"/>
            </w:tcMar>
            <w:vAlign w:val="center"/>
          </w:tcPr>
          <w:p w14:paraId="6BB9D372" w14:textId="77777777" w:rsidR="00D572EA" w:rsidRPr="00A07BE9" w:rsidRDefault="00D572EA" w:rsidP="00D572EA">
            <w:pPr>
              <w:autoSpaceDN w:val="0"/>
              <w:spacing w:after="0" w:line="360" w:lineRule="auto"/>
              <w:jc w:val="center"/>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95,48</w:t>
            </w:r>
          </w:p>
        </w:tc>
        <w:tc>
          <w:tcPr>
            <w:tcW w:w="1723" w:type="dxa"/>
            <w:tcBorders>
              <w:bottom w:val="single" w:sz="6" w:space="0" w:color="993333"/>
            </w:tcBorders>
            <w:shd w:val="clear" w:color="auto" w:fill="FFFFFF"/>
            <w:tcMar>
              <w:top w:w="0" w:type="dxa"/>
              <w:left w:w="0" w:type="dxa"/>
              <w:bottom w:w="57" w:type="dxa"/>
              <w:right w:w="0" w:type="dxa"/>
            </w:tcMar>
            <w:vAlign w:val="center"/>
          </w:tcPr>
          <w:p w14:paraId="52F19DD2" w14:textId="77777777" w:rsidR="00D572EA" w:rsidRPr="00A07BE9" w:rsidRDefault="00D572EA" w:rsidP="00D572EA">
            <w:pPr>
              <w:autoSpaceDN w:val="0"/>
              <w:spacing w:after="0" w:line="360" w:lineRule="auto"/>
              <w:jc w:val="right"/>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9.788,90</w:t>
            </w:r>
          </w:p>
        </w:tc>
      </w:tr>
      <w:tr w:rsidR="00D572EA" w:rsidRPr="00A07BE9" w14:paraId="5710F2FE" w14:textId="77777777" w:rsidTr="00741601">
        <w:tc>
          <w:tcPr>
            <w:tcW w:w="1906" w:type="dxa"/>
            <w:tcBorders>
              <w:bottom w:val="single" w:sz="6" w:space="0" w:color="993333"/>
            </w:tcBorders>
            <w:shd w:val="clear" w:color="auto" w:fill="EEEEEE"/>
            <w:tcMar>
              <w:top w:w="0" w:type="dxa"/>
              <w:left w:w="0" w:type="dxa"/>
              <w:bottom w:w="57" w:type="dxa"/>
              <w:right w:w="0" w:type="dxa"/>
            </w:tcMar>
            <w:vAlign w:val="center"/>
          </w:tcPr>
          <w:p w14:paraId="32B849DE" w14:textId="77777777" w:rsidR="00D572EA" w:rsidRPr="00A07BE9" w:rsidRDefault="00D572EA" w:rsidP="00D572EA">
            <w:pPr>
              <w:autoSpaceDN w:val="0"/>
              <w:spacing w:after="0" w:line="360" w:lineRule="auto"/>
              <w:jc w:val="center"/>
              <w:rPr>
                <w:rFonts w:ascii="Open Sans" w:eastAsia="Times New Roman" w:hAnsi="Open Sans" w:cs="Open Sans"/>
                <w:b/>
                <w:bCs/>
                <w:sz w:val="18"/>
                <w:szCs w:val="18"/>
                <w:lang w:eastAsia="es-ES"/>
              </w:rPr>
            </w:pPr>
            <w:r w:rsidRPr="00A07BE9">
              <w:rPr>
                <w:rFonts w:ascii="Open Sans" w:eastAsia="Times New Roman" w:hAnsi="Open Sans" w:cs="Open Sans"/>
                <w:b/>
                <w:bCs/>
                <w:sz w:val="18"/>
                <w:szCs w:val="18"/>
                <w:lang w:eastAsia="es-ES"/>
              </w:rPr>
              <w:t>TOTAL operaciones capital</w:t>
            </w:r>
          </w:p>
        </w:tc>
        <w:tc>
          <w:tcPr>
            <w:tcW w:w="1400" w:type="dxa"/>
            <w:tcBorders>
              <w:bottom w:val="single" w:sz="6" w:space="0" w:color="993333"/>
            </w:tcBorders>
            <w:shd w:val="clear" w:color="auto" w:fill="EEEEEE"/>
            <w:tcMar>
              <w:top w:w="0" w:type="dxa"/>
              <w:left w:w="0" w:type="dxa"/>
              <w:bottom w:w="57" w:type="dxa"/>
              <w:right w:w="0" w:type="dxa"/>
            </w:tcMar>
            <w:vAlign w:val="center"/>
          </w:tcPr>
          <w:p w14:paraId="62F69759" w14:textId="77777777" w:rsidR="00D572EA" w:rsidRPr="00A07BE9" w:rsidRDefault="00D572EA" w:rsidP="00D572EA">
            <w:pPr>
              <w:autoSpaceDN w:val="0"/>
              <w:spacing w:after="0" w:line="360" w:lineRule="auto"/>
              <w:jc w:val="right"/>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241.500,00</w:t>
            </w:r>
          </w:p>
        </w:tc>
        <w:tc>
          <w:tcPr>
            <w:tcW w:w="1532" w:type="dxa"/>
            <w:tcBorders>
              <w:bottom w:val="single" w:sz="6" w:space="0" w:color="993333"/>
            </w:tcBorders>
            <w:shd w:val="clear" w:color="auto" w:fill="EEEEEE"/>
            <w:tcMar>
              <w:top w:w="0" w:type="dxa"/>
              <w:left w:w="0" w:type="dxa"/>
              <w:bottom w:w="57" w:type="dxa"/>
              <w:right w:w="0" w:type="dxa"/>
            </w:tcMar>
            <w:vAlign w:val="center"/>
          </w:tcPr>
          <w:p w14:paraId="29191909" w14:textId="77777777" w:rsidR="00D572EA" w:rsidRPr="00A07BE9" w:rsidRDefault="00D572EA" w:rsidP="00D572EA">
            <w:pPr>
              <w:autoSpaceDN w:val="0"/>
              <w:spacing w:after="0" w:line="360" w:lineRule="auto"/>
              <w:jc w:val="right"/>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218.000,31</w:t>
            </w:r>
          </w:p>
        </w:tc>
        <w:tc>
          <w:tcPr>
            <w:tcW w:w="1645" w:type="dxa"/>
            <w:tcBorders>
              <w:bottom w:val="single" w:sz="6" w:space="0" w:color="993333"/>
            </w:tcBorders>
            <w:shd w:val="clear" w:color="auto" w:fill="EEEEEE"/>
            <w:tcMar>
              <w:top w:w="0" w:type="dxa"/>
              <w:left w:w="0" w:type="dxa"/>
              <w:bottom w:w="57" w:type="dxa"/>
              <w:right w:w="0" w:type="dxa"/>
            </w:tcMar>
            <w:vAlign w:val="center"/>
          </w:tcPr>
          <w:p w14:paraId="42E230BB" w14:textId="77777777" w:rsidR="00D572EA" w:rsidRPr="00A07BE9" w:rsidRDefault="00D572EA" w:rsidP="00D572EA">
            <w:pPr>
              <w:autoSpaceDN w:val="0"/>
              <w:spacing w:after="0" w:line="360" w:lineRule="auto"/>
              <w:jc w:val="center"/>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90,27</w:t>
            </w:r>
          </w:p>
        </w:tc>
        <w:tc>
          <w:tcPr>
            <w:tcW w:w="1468" w:type="dxa"/>
            <w:tcBorders>
              <w:bottom w:val="single" w:sz="6" w:space="0" w:color="993333"/>
            </w:tcBorders>
            <w:shd w:val="clear" w:color="auto" w:fill="EEEEEE"/>
            <w:tcMar>
              <w:top w:w="0" w:type="dxa"/>
              <w:left w:w="0" w:type="dxa"/>
              <w:bottom w:w="57" w:type="dxa"/>
              <w:right w:w="0" w:type="dxa"/>
            </w:tcMar>
            <w:vAlign w:val="center"/>
          </w:tcPr>
          <w:p w14:paraId="7A745431" w14:textId="77777777" w:rsidR="00D572EA" w:rsidRPr="00A07BE9" w:rsidRDefault="00D572EA" w:rsidP="00D572EA">
            <w:pPr>
              <w:autoSpaceDN w:val="0"/>
              <w:spacing w:after="0" w:line="360" w:lineRule="auto"/>
              <w:jc w:val="right"/>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216.452,01</w:t>
            </w:r>
          </w:p>
        </w:tc>
        <w:tc>
          <w:tcPr>
            <w:tcW w:w="1597" w:type="dxa"/>
            <w:tcBorders>
              <w:bottom w:val="single" w:sz="6" w:space="0" w:color="993333"/>
            </w:tcBorders>
            <w:shd w:val="clear" w:color="auto" w:fill="EEEEEE"/>
            <w:tcMar>
              <w:top w:w="0" w:type="dxa"/>
              <w:left w:w="0" w:type="dxa"/>
              <w:bottom w:w="57" w:type="dxa"/>
              <w:right w:w="0" w:type="dxa"/>
            </w:tcMar>
            <w:vAlign w:val="center"/>
          </w:tcPr>
          <w:p w14:paraId="5BCEC8F8" w14:textId="77777777" w:rsidR="00D572EA" w:rsidRPr="00A07BE9" w:rsidRDefault="00D572EA" w:rsidP="00D572EA">
            <w:pPr>
              <w:autoSpaceDN w:val="0"/>
              <w:spacing w:after="0" w:line="360" w:lineRule="auto"/>
              <w:jc w:val="center"/>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89,63</w:t>
            </w:r>
          </w:p>
        </w:tc>
        <w:tc>
          <w:tcPr>
            <w:tcW w:w="1156" w:type="dxa"/>
            <w:tcBorders>
              <w:bottom w:val="single" w:sz="6" w:space="0" w:color="993333"/>
            </w:tcBorders>
            <w:shd w:val="clear" w:color="auto" w:fill="EEEEEE"/>
            <w:tcMar>
              <w:top w:w="0" w:type="dxa"/>
              <w:left w:w="0" w:type="dxa"/>
              <w:bottom w:w="57" w:type="dxa"/>
              <w:right w:w="0" w:type="dxa"/>
            </w:tcMar>
            <w:vAlign w:val="center"/>
          </w:tcPr>
          <w:p w14:paraId="2700C4F6" w14:textId="77777777" w:rsidR="00D572EA" w:rsidRPr="00A07BE9" w:rsidRDefault="00D572EA" w:rsidP="00D572EA">
            <w:pPr>
              <w:autoSpaceDN w:val="0"/>
              <w:spacing w:after="0" w:line="360" w:lineRule="auto"/>
              <w:jc w:val="right"/>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206.663,11</w:t>
            </w:r>
          </w:p>
        </w:tc>
        <w:tc>
          <w:tcPr>
            <w:tcW w:w="1418" w:type="dxa"/>
            <w:tcBorders>
              <w:bottom w:val="single" w:sz="6" w:space="0" w:color="993333"/>
            </w:tcBorders>
            <w:shd w:val="clear" w:color="auto" w:fill="EEEEEE"/>
            <w:tcMar>
              <w:top w:w="0" w:type="dxa"/>
              <w:left w:w="0" w:type="dxa"/>
              <w:bottom w:w="57" w:type="dxa"/>
              <w:right w:w="0" w:type="dxa"/>
            </w:tcMar>
            <w:vAlign w:val="center"/>
          </w:tcPr>
          <w:p w14:paraId="6390D64D" w14:textId="77777777" w:rsidR="00D572EA" w:rsidRPr="00A07BE9" w:rsidRDefault="00D572EA" w:rsidP="00D572EA">
            <w:pPr>
              <w:autoSpaceDN w:val="0"/>
              <w:spacing w:after="0" w:line="360" w:lineRule="auto"/>
              <w:jc w:val="center"/>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95,48</w:t>
            </w:r>
          </w:p>
        </w:tc>
        <w:tc>
          <w:tcPr>
            <w:tcW w:w="1723" w:type="dxa"/>
            <w:tcBorders>
              <w:bottom w:val="single" w:sz="6" w:space="0" w:color="993333"/>
            </w:tcBorders>
            <w:shd w:val="clear" w:color="auto" w:fill="EEEEEE"/>
            <w:tcMar>
              <w:top w:w="0" w:type="dxa"/>
              <w:left w:w="0" w:type="dxa"/>
              <w:bottom w:w="57" w:type="dxa"/>
              <w:right w:w="0" w:type="dxa"/>
            </w:tcMar>
            <w:vAlign w:val="center"/>
          </w:tcPr>
          <w:p w14:paraId="467A2602" w14:textId="77777777" w:rsidR="00D572EA" w:rsidRPr="00A07BE9" w:rsidRDefault="00D572EA" w:rsidP="00D572EA">
            <w:pPr>
              <w:autoSpaceDN w:val="0"/>
              <w:spacing w:after="0" w:line="360" w:lineRule="auto"/>
              <w:jc w:val="right"/>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9.788,90</w:t>
            </w:r>
          </w:p>
        </w:tc>
      </w:tr>
      <w:tr w:rsidR="00D572EA" w:rsidRPr="00A07BE9" w14:paraId="58F55F12" w14:textId="77777777" w:rsidTr="00741601">
        <w:tc>
          <w:tcPr>
            <w:tcW w:w="1906" w:type="dxa"/>
            <w:tcBorders>
              <w:bottom w:val="single" w:sz="6" w:space="0" w:color="993333"/>
            </w:tcBorders>
            <w:shd w:val="clear" w:color="auto" w:fill="FFFFFF"/>
            <w:tcMar>
              <w:top w:w="0" w:type="dxa"/>
              <w:left w:w="0" w:type="dxa"/>
              <w:bottom w:w="57" w:type="dxa"/>
              <w:right w:w="0" w:type="dxa"/>
            </w:tcMar>
            <w:vAlign w:val="center"/>
          </w:tcPr>
          <w:p w14:paraId="4046D310" w14:textId="77777777" w:rsidR="00D572EA" w:rsidRPr="00A07BE9" w:rsidRDefault="00D572EA" w:rsidP="00D572EA">
            <w:pPr>
              <w:autoSpaceDN w:val="0"/>
              <w:spacing w:after="0" w:line="360" w:lineRule="auto"/>
              <w:jc w:val="center"/>
              <w:rPr>
                <w:rFonts w:ascii="Open Sans" w:eastAsia="Times New Roman" w:hAnsi="Open Sans" w:cs="Open Sans"/>
                <w:b/>
                <w:bCs/>
                <w:sz w:val="18"/>
                <w:szCs w:val="18"/>
                <w:lang w:eastAsia="es-ES"/>
              </w:rPr>
            </w:pPr>
            <w:r w:rsidRPr="00A07BE9">
              <w:rPr>
                <w:rFonts w:ascii="Open Sans" w:eastAsia="Times New Roman" w:hAnsi="Open Sans" w:cs="Open Sans"/>
                <w:b/>
                <w:bCs/>
                <w:sz w:val="18"/>
                <w:szCs w:val="18"/>
                <w:lang w:eastAsia="es-ES"/>
              </w:rPr>
              <w:t>TOTAL</w:t>
            </w:r>
          </w:p>
        </w:tc>
        <w:tc>
          <w:tcPr>
            <w:tcW w:w="1400" w:type="dxa"/>
            <w:tcBorders>
              <w:bottom w:val="single" w:sz="6" w:space="0" w:color="993333"/>
            </w:tcBorders>
            <w:shd w:val="clear" w:color="auto" w:fill="FFFFFF"/>
            <w:tcMar>
              <w:top w:w="0" w:type="dxa"/>
              <w:left w:w="0" w:type="dxa"/>
              <w:bottom w:w="57" w:type="dxa"/>
              <w:right w:w="0" w:type="dxa"/>
            </w:tcMar>
            <w:vAlign w:val="center"/>
          </w:tcPr>
          <w:p w14:paraId="781BF004" w14:textId="77777777" w:rsidR="00D572EA" w:rsidRPr="00A07BE9" w:rsidRDefault="00D572EA" w:rsidP="00D572EA">
            <w:pPr>
              <w:autoSpaceDN w:val="0"/>
              <w:spacing w:after="0" w:line="360" w:lineRule="auto"/>
              <w:jc w:val="right"/>
              <w:rPr>
                <w:rFonts w:ascii="Open Sans" w:eastAsia="Times New Roman" w:hAnsi="Open Sans" w:cs="Open Sans"/>
                <w:b/>
                <w:bCs/>
                <w:sz w:val="18"/>
                <w:szCs w:val="18"/>
                <w:lang w:eastAsia="es-ES"/>
              </w:rPr>
            </w:pPr>
            <w:r w:rsidRPr="00A07BE9">
              <w:rPr>
                <w:rFonts w:ascii="Open Sans" w:eastAsia="Times New Roman" w:hAnsi="Open Sans" w:cs="Open Sans"/>
                <w:b/>
                <w:bCs/>
                <w:sz w:val="18"/>
                <w:szCs w:val="18"/>
                <w:lang w:eastAsia="es-ES"/>
              </w:rPr>
              <w:t>3.381.464,60</w:t>
            </w:r>
          </w:p>
        </w:tc>
        <w:tc>
          <w:tcPr>
            <w:tcW w:w="1532" w:type="dxa"/>
            <w:tcBorders>
              <w:bottom w:val="single" w:sz="6" w:space="0" w:color="993333"/>
            </w:tcBorders>
            <w:shd w:val="clear" w:color="auto" w:fill="FFFFFF"/>
            <w:tcMar>
              <w:top w:w="0" w:type="dxa"/>
              <w:left w:w="0" w:type="dxa"/>
              <w:bottom w:w="57" w:type="dxa"/>
              <w:right w:w="0" w:type="dxa"/>
            </w:tcMar>
            <w:vAlign w:val="center"/>
          </w:tcPr>
          <w:p w14:paraId="62D3B62C" w14:textId="77777777" w:rsidR="00D572EA" w:rsidRPr="00A07BE9" w:rsidRDefault="00D572EA" w:rsidP="00D572EA">
            <w:pPr>
              <w:autoSpaceDN w:val="0"/>
              <w:spacing w:after="0" w:line="360" w:lineRule="auto"/>
              <w:jc w:val="right"/>
              <w:rPr>
                <w:rFonts w:ascii="Open Sans" w:eastAsia="Times New Roman" w:hAnsi="Open Sans" w:cs="Open Sans"/>
                <w:b/>
                <w:bCs/>
                <w:sz w:val="18"/>
                <w:szCs w:val="18"/>
                <w:lang w:eastAsia="es-ES"/>
              </w:rPr>
            </w:pPr>
            <w:r w:rsidRPr="00A07BE9">
              <w:rPr>
                <w:rFonts w:ascii="Open Sans" w:eastAsia="Times New Roman" w:hAnsi="Open Sans" w:cs="Open Sans"/>
                <w:b/>
                <w:bCs/>
                <w:sz w:val="18"/>
                <w:szCs w:val="18"/>
                <w:lang w:eastAsia="es-ES"/>
              </w:rPr>
              <w:t>2.577.974,84</w:t>
            </w:r>
          </w:p>
        </w:tc>
        <w:tc>
          <w:tcPr>
            <w:tcW w:w="1645" w:type="dxa"/>
            <w:tcBorders>
              <w:bottom w:val="single" w:sz="6" w:space="0" w:color="993333"/>
            </w:tcBorders>
            <w:shd w:val="clear" w:color="auto" w:fill="FFFFFF"/>
            <w:tcMar>
              <w:top w:w="0" w:type="dxa"/>
              <w:left w:w="0" w:type="dxa"/>
              <w:bottom w:w="57" w:type="dxa"/>
              <w:right w:w="0" w:type="dxa"/>
            </w:tcMar>
            <w:vAlign w:val="center"/>
          </w:tcPr>
          <w:p w14:paraId="6F00A566" w14:textId="77777777" w:rsidR="00D572EA" w:rsidRPr="00A07BE9" w:rsidRDefault="00D572EA" w:rsidP="00D572EA">
            <w:pPr>
              <w:autoSpaceDN w:val="0"/>
              <w:spacing w:after="0" w:line="360" w:lineRule="auto"/>
              <w:jc w:val="center"/>
              <w:rPr>
                <w:rFonts w:ascii="Open Sans" w:eastAsia="Times New Roman" w:hAnsi="Open Sans" w:cs="Open Sans"/>
                <w:b/>
                <w:bCs/>
                <w:sz w:val="18"/>
                <w:szCs w:val="18"/>
                <w:lang w:eastAsia="es-ES"/>
              </w:rPr>
            </w:pPr>
            <w:r w:rsidRPr="00A07BE9">
              <w:rPr>
                <w:rFonts w:ascii="Open Sans" w:eastAsia="Times New Roman" w:hAnsi="Open Sans" w:cs="Open Sans"/>
                <w:b/>
                <w:bCs/>
                <w:sz w:val="18"/>
                <w:szCs w:val="18"/>
                <w:lang w:eastAsia="es-ES"/>
              </w:rPr>
              <w:t>76,24</w:t>
            </w:r>
          </w:p>
        </w:tc>
        <w:tc>
          <w:tcPr>
            <w:tcW w:w="1468" w:type="dxa"/>
            <w:tcBorders>
              <w:bottom w:val="single" w:sz="6" w:space="0" w:color="993333"/>
            </w:tcBorders>
            <w:shd w:val="clear" w:color="auto" w:fill="FFFFFF"/>
            <w:tcMar>
              <w:top w:w="0" w:type="dxa"/>
              <w:left w:w="0" w:type="dxa"/>
              <w:bottom w:w="57" w:type="dxa"/>
              <w:right w:w="0" w:type="dxa"/>
            </w:tcMar>
            <w:vAlign w:val="center"/>
          </w:tcPr>
          <w:p w14:paraId="06D63E15" w14:textId="77777777" w:rsidR="00D572EA" w:rsidRPr="00A07BE9" w:rsidRDefault="00D572EA" w:rsidP="00D572EA">
            <w:pPr>
              <w:autoSpaceDN w:val="0"/>
              <w:spacing w:after="0" w:line="360" w:lineRule="auto"/>
              <w:jc w:val="right"/>
              <w:rPr>
                <w:rFonts w:ascii="Open Sans" w:eastAsia="Times New Roman" w:hAnsi="Open Sans" w:cs="Open Sans"/>
                <w:b/>
                <w:bCs/>
                <w:sz w:val="18"/>
                <w:szCs w:val="18"/>
                <w:lang w:eastAsia="es-ES"/>
              </w:rPr>
            </w:pPr>
            <w:r w:rsidRPr="00A07BE9">
              <w:rPr>
                <w:rFonts w:ascii="Open Sans" w:eastAsia="Times New Roman" w:hAnsi="Open Sans" w:cs="Open Sans"/>
                <w:b/>
                <w:bCs/>
                <w:sz w:val="18"/>
                <w:szCs w:val="18"/>
                <w:lang w:eastAsia="es-ES"/>
              </w:rPr>
              <w:t>2.547.912,00</w:t>
            </w:r>
          </w:p>
        </w:tc>
        <w:tc>
          <w:tcPr>
            <w:tcW w:w="1597" w:type="dxa"/>
            <w:tcBorders>
              <w:bottom w:val="single" w:sz="6" w:space="0" w:color="993333"/>
            </w:tcBorders>
            <w:shd w:val="clear" w:color="auto" w:fill="FFFFFF"/>
            <w:tcMar>
              <w:top w:w="0" w:type="dxa"/>
              <w:left w:w="0" w:type="dxa"/>
              <w:bottom w:w="57" w:type="dxa"/>
              <w:right w:w="0" w:type="dxa"/>
            </w:tcMar>
            <w:vAlign w:val="center"/>
          </w:tcPr>
          <w:p w14:paraId="64186133" w14:textId="77777777" w:rsidR="00D572EA" w:rsidRPr="00A07BE9" w:rsidRDefault="00D572EA" w:rsidP="00D572EA">
            <w:pPr>
              <w:autoSpaceDN w:val="0"/>
              <w:spacing w:after="0" w:line="360" w:lineRule="auto"/>
              <w:jc w:val="center"/>
              <w:rPr>
                <w:rFonts w:ascii="Open Sans" w:eastAsia="Times New Roman" w:hAnsi="Open Sans" w:cs="Open Sans"/>
                <w:b/>
                <w:bCs/>
                <w:sz w:val="18"/>
                <w:szCs w:val="18"/>
                <w:lang w:eastAsia="es-ES"/>
              </w:rPr>
            </w:pPr>
            <w:r w:rsidRPr="00A07BE9">
              <w:rPr>
                <w:rFonts w:ascii="Open Sans" w:eastAsia="Times New Roman" w:hAnsi="Open Sans" w:cs="Open Sans"/>
                <w:b/>
                <w:bCs/>
                <w:sz w:val="18"/>
                <w:szCs w:val="18"/>
                <w:lang w:eastAsia="es-ES"/>
              </w:rPr>
              <w:t>75,35</w:t>
            </w:r>
          </w:p>
        </w:tc>
        <w:tc>
          <w:tcPr>
            <w:tcW w:w="1156" w:type="dxa"/>
            <w:tcBorders>
              <w:bottom w:val="single" w:sz="6" w:space="0" w:color="993333"/>
            </w:tcBorders>
            <w:shd w:val="clear" w:color="auto" w:fill="FFFFFF"/>
            <w:tcMar>
              <w:top w:w="0" w:type="dxa"/>
              <w:left w:w="0" w:type="dxa"/>
              <w:bottom w:w="57" w:type="dxa"/>
              <w:right w:w="0" w:type="dxa"/>
            </w:tcMar>
            <w:vAlign w:val="center"/>
          </w:tcPr>
          <w:p w14:paraId="1655DCDD" w14:textId="77777777" w:rsidR="00D572EA" w:rsidRPr="00A07BE9" w:rsidRDefault="00D572EA" w:rsidP="00D572EA">
            <w:pPr>
              <w:autoSpaceDN w:val="0"/>
              <w:spacing w:after="0" w:line="360" w:lineRule="auto"/>
              <w:jc w:val="right"/>
              <w:rPr>
                <w:rFonts w:ascii="Open Sans" w:eastAsia="Times New Roman" w:hAnsi="Open Sans" w:cs="Open Sans"/>
                <w:b/>
                <w:bCs/>
                <w:sz w:val="18"/>
                <w:szCs w:val="18"/>
                <w:lang w:eastAsia="es-ES"/>
              </w:rPr>
            </w:pPr>
            <w:r w:rsidRPr="00A07BE9">
              <w:rPr>
                <w:rFonts w:ascii="Open Sans" w:eastAsia="Times New Roman" w:hAnsi="Open Sans" w:cs="Open Sans"/>
                <w:b/>
                <w:bCs/>
                <w:sz w:val="18"/>
                <w:szCs w:val="18"/>
                <w:lang w:eastAsia="es-ES"/>
              </w:rPr>
              <w:t>2.452.581,62</w:t>
            </w:r>
          </w:p>
        </w:tc>
        <w:tc>
          <w:tcPr>
            <w:tcW w:w="1418" w:type="dxa"/>
            <w:tcBorders>
              <w:bottom w:val="single" w:sz="6" w:space="0" w:color="993333"/>
            </w:tcBorders>
            <w:shd w:val="clear" w:color="auto" w:fill="FFFFFF"/>
            <w:tcMar>
              <w:top w:w="0" w:type="dxa"/>
              <w:left w:w="0" w:type="dxa"/>
              <w:bottom w:w="57" w:type="dxa"/>
              <w:right w:w="0" w:type="dxa"/>
            </w:tcMar>
            <w:vAlign w:val="center"/>
          </w:tcPr>
          <w:p w14:paraId="7706BD02" w14:textId="77777777" w:rsidR="00D572EA" w:rsidRPr="00A07BE9" w:rsidRDefault="00D572EA" w:rsidP="00D572EA">
            <w:pPr>
              <w:autoSpaceDN w:val="0"/>
              <w:spacing w:after="0" w:line="360" w:lineRule="auto"/>
              <w:jc w:val="center"/>
              <w:rPr>
                <w:rFonts w:ascii="Open Sans" w:eastAsia="Times New Roman" w:hAnsi="Open Sans" w:cs="Open Sans"/>
                <w:b/>
                <w:bCs/>
                <w:sz w:val="18"/>
                <w:szCs w:val="18"/>
                <w:lang w:eastAsia="es-ES"/>
              </w:rPr>
            </w:pPr>
            <w:r w:rsidRPr="00A07BE9">
              <w:rPr>
                <w:rFonts w:ascii="Open Sans" w:eastAsia="Times New Roman" w:hAnsi="Open Sans" w:cs="Open Sans"/>
                <w:b/>
                <w:bCs/>
                <w:sz w:val="18"/>
                <w:szCs w:val="18"/>
                <w:lang w:eastAsia="es-ES"/>
              </w:rPr>
              <w:t>96,26</w:t>
            </w:r>
          </w:p>
        </w:tc>
        <w:tc>
          <w:tcPr>
            <w:tcW w:w="1723" w:type="dxa"/>
            <w:tcBorders>
              <w:bottom w:val="single" w:sz="6" w:space="0" w:color="993333"/>
            </w:tcBorders>
            <w:shd w:val="clear" w:color="auto" w:fill="FFFFFF"/>
            <w:tcMar>
              <w:top w:w="0" w:type="dxa"/>
              <w:left w:w="0" w:type="dxa"/>
              <w:bottom w:w="57" w:type="dxa"/>
              <w:right w:w="0" w:type="dxa"/>
            </w:tcMar>
            <w:vAlign w:val="center"/>
          </w:tcPr>
          <w:p w14:paraId="588DF4CE" w14:textId="77777777" w:rsidR="00D572EA" w:rsidRPr="00A07BE9" w:rsidRDefault="00D572EA" w:rsidP="00D572EA">
            <w:pPr>
              <w:autoSpaceDN w:val="0"/>
              <w:spacing w:after="0" w:line="360" w:lineRule="auto"/>
              <w:jc w:val="right"/>
              <w:rPr>
                <w:rFonts w:ascii="Open Sans" w:eastAsia="Times New Roman" w:hAnsi="Open Sans" w:cs="Open Sans"/>
                <w:b/>
                <w:bCs/>
                <w:sz w:val="18"/>
                <w:szCs w:val="18"/>
                <w:lang w:eastAsia="es-ES"/>
              </w:rPr>
            </w:pPr>
            <w:r w:rsidRPr="00A07BE9">
              <w:rPr>
                <w:rFonts w:ascii="Open Sans" w:eastAsia="Times New Roman" w:hAnsi="Open Sans" w:cs="Open Sans"/>
                <w:b/>
                <w:bCs/>
                <w:sz w:val="18"/>
                <w:szCs w:val="18"/>
                <w:lang w:eastAsia="es-ES"/>
              </w:rPr>
              <w:t>95.330,38</w:t>
            </w:r>
          </w:p>
        </w:tc>
      </w:tr>
    </w:tbl>
    <w:p w14:paraId="584D2661" w14:textId="77777777" w:rsidR="00D572EA" w:rsidRPr="00A07BE9" w:rsidRDefault="00D572EA" w:rsidP="008B6E1F">
      <w:pPr>
        <w:autoSpaceDN w:val="0"/>
        <w:spacing w:after="0" w:line="276" w:lineRule="auto"/>
        <w:jc w:val="both"/>
        <w:rPr>
          <w:rFonts w:ascii="Open Sans" w:eastAsia="Times New Roman" w:hAnsi="Open Sans" w:cs="Open Sans"/>
          <w:color w:val="000000"/>
          <w:sz w:val="21"/>
          <w:szCs w:val="21"/>
          <w:lang w:eastAsia="es-ES"/>
        </w:rPr>
      </w:pPr>
    </w:p>
    <w:p w14:paraId="22C64636" w14:textId="77777777" w:rsidR="00D572EA" w:rsidRPr="00A07BE9" w:rsidRDefault="00D572EA" w:rsidP="008B6E1F">
      <w:pPr>
        <w:suppressAutoHyphens/>
        <w:autoSpaceDN w:val="0"/>
        <w:spacing w:after="0" w:line="276" w:lineRule="auto"/>
        <w:jc w:val="both"/>
        <w:rPr>
          <w:rFonts w:ascii="Liberation Serif" w:eastAsia="Droid Sans Fallback" w:hAnsi="Liberation Serif" w:cs="FreeSans"/>
          <w:kern w:val="3"/>
          <w:sz w:val="20"/>
          <w:szCs w:val="20"/>
          <w:lang w:eastAsia="zh-CN" w:bidi="hi-IN"/>
        </w:rPr>
      </w:pPr>
      <w:r w:rsidRPr="00A07BE9">
        <w:rPr>
          <w:rFonts w:ascii="Open Sans" w:eastAsia="Times New Roman" w:hAnsi="Open Sans" w:cs="Open Sans"/>
          <w:color w:val="000000"/>
          <w:sz w:val="20"/>
          <w:szCs w:val="20"/>
          <w:lang w:eastAsia="es-ES"/>
        </w:rPr>
        <w:t>Se ha ejecutado más del 75% del presupuesto de gastos definitivo del ejercicio 2019, lo que en términos absolutos representa un 20% más que el ejercicio anterior (en el ejercicio 2018 el grado de ejecución estaba en 56,08%), además hay que tener en cuenta que el presupuesto de 2019 era inicialmente un 18,95% superior al de 2019.</w:t>
      </w:r>
    </w:p>
    <w:p w14:paraId="2B803978" w14:textId="77777777" w:rsidR="00D572EA" w:rsidRPr="00A07BE9" w:rsidRDefault="00D572EA" w:rsidP="008B6E1F">
      <w:pPr>
        <w:suppressAutoHyphens/>
        <w:autoSpaceDN w:val="0"/>
        <w:spacing w:after="0" w:line="276" w:lineRule="auto"/>
        <w:jc w:val="both"/>
        <w:rPr>
          <w:rFonts w:ascii="Open Sans" w:eastAsia="Times New Roman" w:hAnsi="Open Sans" w:cs="Open Sans"/>
          <w:color w:val="000000"/>
          <w:sz w:val="20"/>
          <w:szCs w:val="20"/>
          <w:shd w:val="clear" w:color="auto" w:fill="FFFFFF"/>
          <w:lang w:eastAsia="es-ES"/>
        </w:rPr>
      </w:pPr>
    </w:p>
    <w:p w14:paraId="65A353BA" w14:textId="5756B574" w:rsidR="00D572EA" w:rsidRPr="00A07BE9" w:rsidRDefault="00D572EA" w:rsidP="008B6E1F">
      <w:pPr>
        <w:suppressAutoHyphens/>
        <w:autoSpaceDN w:val="0"/>
        <w:spacing w:after="0" w:line="276" w:lineRule="auto"/>
        <w:jc w:val="both"/>
        <w:rPr>
          <w:rFonts w:ascii="Open Sans" w:eastAsia="Times New Roman" w:hAnsi="Open Sans" w:cs="Open Sans"/>
          <w:color w:val="000000"/>
          <w:sz w:val="20"/>
          <w:szCs w:val="20"/>
          <w:shd w:val="clear" w:color="auto" w:fill="FFFFFF"/>
          <w:lang w:eastAsia="es-ES"/>
        </w:rPr>
      </w:pPr>
      <w:r w:rsidRPr="00A07BE9">
        <w:rPr>
          <w:rFonts w:ascii="Open Sans" w:eastAsia="Times New Roman" w:hAnsi="Open Sans" w:cs="Open Sans"/>
          <w:color w:val="000000"/>
          <w:sz w:val="20"/>
          <w:szCs w:val="20"/>
          <w:shd w:val="clear" w:color="auto" w:fill="FFFFFF"/>
          <w:lang w:eastAsia="es-ES"/>
        </w:rPr>
        <w:t>Con mayor detalle puede verse una comparativa de la ejecución presupuestaria del ejercicio 2019 respecto del 2018 en las siguientes tablas:</w:t>
      </w:r>
    </w:p>
    <w:p w14:paraId="347BFB7B" w14:textId="136B7D72" w:rsidR="008B6E1F" w:rsidRPr="00A07BE9" w:rsidRDefault="008B6E1F" w:rsidP="008B6E1F">
      <w:pPr>
        <w:suppressAutoHyphens/>
        <w:autoSpaceDN w:val="0"/>
        <w:spacing w:after="0" w:line="276" w:lineRule="auto"/>
        <w:jc w:val="both"/>
        <w:rPr>
          <w:rFonts w:ascii="Open Sans" w:eastAsia="Times New Roman" w:hAnsi="Open Sans" w:cs="Open Sans"/>
          <w:color w:val="000000"/>
          <w:sz w:val="20"/>
          <w:szCs w:val="20"/>
          <w:shd w:val="clear" w:color="auto" w:fill="FFFFFF"/>
          <w:lang w:eastAsia="es-ES"/>
        </w:rPr>
      </w:pPr>
    </w:p>
    <w:p w14:paraId="0F27F01B" w14:textId="77777777" w:rsidR="00264EC2" w:rsidRPr="00A07BE9" w:rsidRDefault="00264EC2" w:rsidP="008B6E1F">
      <w:pPr>
        <w:suppressAutoHyphens/>
        <w:autoSpaceDN w:val="0"/>
        <w:spacing w:after="0" w:line="276" w:lineRule="auto"/>
        <w:jc w:val="both"/>
        <w:rPr>
          <w:rFonts w:ascii="Open Sans" w:eastAsia="Times New Roman" w:hAnsi="Open Sans" w:cs="Open Sans"/>
          <w:color w:val="000000"/>
          <w:sz w:val="20"/>
          <w:szCs w:val="20"/>
          <w:shd w:val="clear" w:color="auto" w:fill="FFFFFF"/>
          <w:lang w:eastAsia="es-ES"/>
        </w:rPr>
      </w:pPr>
    </w:p>
    <w:p w14:paraId="551CF414" w14:textId="72B8478A" w:rsidR="00D572EA" w:rsidRPr="00A07BE9" w:rsidRDefault="00D572EA" w:rsidP="00264EC2">
      <w:pPr>
        <w:autoSpaceDN w:val="0"/>
        <w:spacing w:after="0" w:line="276" w:lineRule="auto"/>
        <w:jc w:val="both"/>
        <w:rPr>
          <w:rFonts w:ascii="Open Sans" w:eastAsia="Times New Roman" w:hAnsi="Open Sans" w:cs="Open Sans"/>
          <w:b/>
          <w:bCs/>
          <w:color w:val="000000"/>
          <w:sz w:val="20"/>
          <w:szCs w:val="20"/>
          <w:shd w:val="clear" w:color="auto" w:fill="FFFFFF"/>
          <w:lang w:eastAsia="es-ES"/>
        </w:rPr>
      </w:pPr>
      <w:r w:rsidRPr="00A07BE9">
        <w:rPr>
          <w:rFonts w:ascii="Open Sans" w:eastAsia="Times New Roman" w:hAnsi="Open Sans" w:cs="Open Sans"/>
          <w:b/>
          <w:bCs/>
          <w:color w:val="9D2235"/>
          <w:sz w:val="20"/>
          <w:szCs w:val="20"/>
          <w:shd w:val="clear" w:color="auto" w:fill="FFFFFF"/>
          <w:lang w:eastAsia="es-ES"/>
        </w:rPr>
        <w:lastRenderedPageBreak/>
        <w:t xml:space="preserve">Tabla </w:t>
      </w:r>
      <w:r w:rsidR="006148F6" w:rsidRPr="00A07BE9">
        <w:rPr>
          <w:rFonts w:ascii="Open Sans" w:eastAsia="Times New Roman" w:hAnsi="Open Sans" w:cs="Open Sans"/>
          <w:b/>
          <w:bCs/>
          <w:color w:val="9D2235"/>
          <w:sz w:val="20"/>
          <w:szCs w:val="20"/>
          <w:shd w:val="clear" w:color="auto" w:fill="FFFFFF"/>
          <w:lang w:eastAsia="es-ES"/>
        </w:rPr>
        <w:t>2</w:t>
      </w:r>
      <w:r w:rsidR="00747A7D" w:rsidRPr="00A07BE9">
        <w:rPr>
          <w:rFonts w:ascii="Open Sans" w:eastAsia="Times New Roman" w:hAnsi="Open Sans" w:cs="Open Sans"/>
          <w:b/>
          <w:bCs/>
          <w:color w:val="9D2235"/>
          <w:sz w:val="20"/>
          <w:szCs w:val="20"/>
          <w:shd w:val="clear" w:color="auto" w:fill="FFFFFF"/>
          <w:lang w:eastAsia="es-ES"/>
        </w:rPr>
        <w:t>9</w:t>
      </w:r>
      <w:r w:rsidR="00AC7D1A">
        <w:rPr>
          <w:rFonts w:ascii="Open Sans" w:eastAsia="Times New Roman" w:hAnsi="Open Sans" w:cs="Open Sans"/>
          <w:b/>
          <w:bCs/>
          <w:color w:val="9D2235"/>
          <w:sz w:val="20"/>
          <w:szCs w:val="20"/>
          <w:shd w:val="clear" w:color="auto" w:fill="FFFFFF"/>
          <w:lang w:eastAsia="es-ES"/>
        </w:rPr>
        <w:t>.</w:t>
      </w:r>
      <w:r w:rsidRPr="00A07BE9">
        <w:rPr>
          <w:rFonts w:ascii="Open Sans" w:eastAsia="Times New Roman" w:hAnsi="Open Sans" w:cs="Open Sans"/>
          <w:b/>
          <w:bCs/>
          <w:color w:val="000000"/>
          <w:sz w:val="20"/>
          <w:szCs w:val="20"/>
          <w:shd w:val="clear" w:color="auto" w:fill="FFFFFF"/>
          <w:lang w:eastAsia="es-ES"/>
        </w:rPr>
        <w:t xml:space="preserve"> Comparativa estado ejecución a 31/12 del estado de ingresos correspondientes a los ejercicios 2019 y 2018.</w:t>
      </w:r>
      <w:r w:rsidRPr="00A07BE9">
        <w:rPr>
          <w:rFonts w:ascii="Liberation Serif" w:eastAsia="Droid Sans Fallback" w:hAnsi="Liberation Serif" w:cs="FreeSans"/>
          <w:noProof/>
          <w:kern w:val="3"/>
          <w:sz w:val="24"/>
          <w:szCs w:val="24"/>
          <w:lang w:eastAsia="zh-CN" w:bidi="hi-IN"/>
        </w:rPr>
        <w:drawing>
          <wp:anchor distT="0" distB="0" distL="0" distR="0" simplePos="0" relativeHeight="251893760" behindDoc="0" locked="0" layoutInCell="1" allowOverlap="1" wp14:anchorId="2445FCF7" wp14:editId="0F22A66C">
            <wp:simplePos x="0" y="0"/>
            <wp:positionH relativeFrom="margin">
              <wp:align>left</wp:align>
            </wp:positionH>
            <wp:positionV relativeFrom="paragraph">
              <wp:posOffset>273685</wp:posOffset>
            </wp:positionV>
            <wp:extent cx="8855710" cy="1849755"/>
            <wp:effectExtent l="0" t="0" r="2540" b="0"/>
            <wp:wrapSquare wrapText="largest"/>
            <wp:docPr id="111" name="Imagen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422" cstate="screen">
                      <a:extLst>
                        <a:ext uri="{28A0092B-C50C-407E-A947-70E740481C1C}">
                          <a14:useLocalDpi xmlns:a14="http://schemas.microsoft.com/office/drawing/2010/main"/>
                        </a:ext>
                      </a:extLst>
                    </a:blip>
                    <a:srcRect/>
                    <a:stretch>
                      <a:fillRect/>
                    </a:stretch>
                  </pic:blipFill>
                  <pic:spPr bwMode="auto">
                    <a:xfrm>
                      <a:off x="0" y="0"/>
                      <a:ext cx="8855710" cy="18497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52CC948E" w14:textId="77777777" w:rsidR="00D572EA" w:rsidRPr="00A07BE9" w:rsidRDefault="00D572EA" w:rsidP="004878B0">
      <w:pPr>
        <w:autoSpaceDN w:val="0"/>
        <w:spacing w:after="0" w:line="264" w:lineRule="auto"/>
        <w:jc w:val="both"/>
        <w:rPr>
          <w:rFonts w:ascii="Open Sans" w:eastAsia="Times New Roman" w:hAnsi="Open Sans" w:cs="Open Sans"/>
          <w:b/>
          <w:bCs/>
          <w:color w:val="000000"/>
          <w:sz w:val="16"/>
          <w:szCs w:val="16"/>
          <w:shd w:val="clear" w:color="auto" w:fill="FFFFFF"/>
          <w:lang w:eastAsia="es-ES"/>
        </w:rPr>
      </w:pPr>
    </w:p>
    <w:p w14:paraId="10079A5E" w14:textId="77777777" w:rsidR="00264EC2" w:rsidRPr="00A07BE9" w:rsidRDefault="00264EC2" w:rsidP="004878B0">
      <w:pPr>
        <w:autoSpaceDN w:val="0"/>
        <w:spacing w:after="0" w:line="264" w:lineRule="auto"/>
        <w:jc w:val="both"/>
        <w:rPr>
          <w:rFonts w:ascii="Open Sans" w:eastAsia="Times New Roman" w:hAnsi="Open Sans" w:cs="Open Sans"/>
          <w:b/>
          <w:bCs/>
          <w:color w:val="9D2235"/>
          <w:sz w:val="20"/>
          <w:szCs w:val="20"/>
          <w:shd w:val="clear" w:color="auto" w:fill="FFFFFF"/>
          <w:lang w:eastAsia="es-ES"/>
        </w:rPr>
      </w:pPr>
    </w:p>
    <w:p w14:paraId="1F77D498" w14:textId="0A3418CF" w:rsidR="00D572EA" w:rsidRPr="00A07BE9" w:rsidRDefault="006148F6" w:rsidP="004878B0">
      <w:pPr>
        <w:autoSpaceDN w:val="0"/>
        <w:spacing w:after="0" w:line="264" w:lineRule="auto"/>
        <w:jc w:val="both"/>
        <w:rPr>
          <w:rFonts w:ascii="Open Sans" w:eastAsia="Times New Roman" w:hAnsi="Open Sans" w:cs="Open Sans"/>
          <w:b/>
          <w:bCs/>
          <w:color w:val="000000"/>
          <w:sz w:val="20"/>
          <w:szCs w:val="20"/>
          <w:shd w:val="clear" w:color="auto" w:fill="FFFFFF"/>
          <w:lang w:eastAsia="es-ES"/>
        </w:rPr>
      </w:pPr>
      <w:r w:rsidRPr="00A07BE9">
        <w:rPr>
          <w:rFonts w:ascii="Open Sans" w:eastAsia="Times New Roman" w:hAnsi="Open Sans" w:cs="Open Sans"/>
          <w:noProof/>
          <w:color w:val="000000"/>
          <w:sz w:val="20"/>
          <w:szCs w:val="20"/>
          <w:lang w:eastAsia="es-ES"/>
        </w:rPr>
        <w:drawing>
          <wp:anchor distT="0" distB="0" distL="0" distR="0" simplePos="0" relativeHeight="251894784" behindDoc="1" locked="0" layoutInCell="1" allowOverlap="1" wp14:anchorId="0C0A3A5B" wp14:editId="13C96B6D">
            <wp:simplePos x="0" y="0"/>
            <wp:positionH relativeFrom="margin">
              <wp:align>left</wp:align>
            </wp:positionH>
            <wp:positionV relativeFrom="paragraph">
              <wp:posOffset>251976</wp:posOffset>
            </wp:positionV>
            <wp:extent cx="8832850" cy="1891665"/>
            <wp:effectExtent l="0" t="0" r="6350" b="0"/>
            <wp:wrapTight wrapText="largest">
              <wp:wrapPolygon edited="0">
                <wp:start x="0" y="0"/>
                <wp:lineTo x="0" y="21317"/>
                <wp:lineTo x="21569" y="21317"/>
                <wp:lineTo x="21569" y="0"/>
                <wp:lineTo x="0" y="0"/>
              </wp:wrapPolygon>
            </wp:wrapTight>
            <wp:docPr id="112" name="Imagen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423" cstate="screen">
                      <a:extLst>
                        <a:ext uri="{28A0092B-C50C-407E-A947-70E740481C1C}">
                          <a14:useLocalDpi xmlns:a14="http://schemas.microsoft.com/office/drawing/2010/main"/>
                        </a:ext>
                      </a:extLst>
                    </a:blip>
                    <a:srcRect/>
                    <a:stretch>
                      <a:fillRect/>
                    </a:stretch>
                  </pic:blipFill>
                  <pic:spPr bwMode="auto">
                    <a:xfrm>
                      <a:off x="0" y="0"/>
                      <a:ext cx="8832850" cy="18916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D572EA" w:rsidRPr="00A07BE9">
        <w:rPr>
          <w:rFonts w:ascii="Open Sans" w:eastAsia="Times New Roman" w:hAnsi="Open Sans" w:cs="Open Sans"/>
          <w:b/>
          <w:bCs/>
          <w:color w:val="9D2235"/>
          <w:sz w:val="20"/>
          <w:szCs w:val="20"/>
          <w:shd w:val="clear" w:color="auto" w:fill="FFFFFF"/>
          <w:lang w:eastAsia="es-ES"/>
        </w:rPr>
        <w:t xml:space="preserve">Tabla </w:t>
      </w:r>
      <w:r w:rsidR="00747A7D" w:rsidRPr="00A07BE9">
        <w:rPr>
          <w:rFonts w:ascii="Open Sans" w:eastAsia="Times New Roman" w:hAnsi="Open Sans" w:cs="Open Sans"/>
          <w:b/>
          <w:bCs/>
          <w:color w:val="9D2235"/>
          <w:sz w:val="20"/>
          <w:szCs w:val="20"/>
          <w:shd w:val="clear" w:color="auto" w:fill="FFFFFF"/>
          <w:lang w:eastAsia="es-ES"/>
        </w:rPr>
        <w:t>30</w:t>
      </w:r>
      <w:r w:rsidR="00AC7D1A">
        <w:rPr>
          <w:rFonts w:ascii="Open Sans" w:eastAsia="Times New Roman" w:hAnsi="Open Sans" w:cs="Open Sans"/>
          <w:b/>
          <w:bCs/>
          <w:color w:val="9D2235"/>
          <w:sz w:val="20"/>
          <w:szCs w:val="20"/>
          <w:shd w:val="clear" w:color="auto" w:fill="FFFFFF"/>
          <w:lang w:eastAsia="es-ES"/>
        </w:rPr>
        <w:t>.</w:t>
      </w:r>
      <w:r w:rsidR="00D572EA" w:rsidRPr="00A07BE9">
        <w:rPr>
          <w:rFonts w:ascii="Open Sans" w:eastAsia="Times New Roman" w:hAnsi="Open Sans" w:cs="Open Sans"/>
          <w:b/>
          <w:bCs/>
          <w:color w:val="000000"/>
          <w:sz w:val="20"/>
          <w:szCs w:val="20"/>
          <w:shd w:val="clear" w:color="auto" w:fill="FFFFFF"/>
          <w:lang w:eastAsia="es-ES"/>
        </w:rPr>
        <w:t xml:space="preserve"> Comparativa estado ejecución a 31/12 del estado de gastos correspondiente a los ejercicios 2019 y 2018.</w:t>
      </w:r>
    </w:p>
    <w:p w14:paraId="2BE5E24C" w14:textId="77777777" w:rsidR="005C7C25" w:rsidRDefault="00D572EA" w:rsidP="00D572EA">
      <w:pPr>
        <w:autoSpaceDN w:val="0"/>
        <w:spacing w:after="0" w:line="360" w:lineRule="auto"/>
        <w:jc w:val="both"/>
        <w:rPr>
          <w:rStyle w:val="Hipervnculo"/>
        </w:rPr>
        <w:sectPr w:rsidR="005C7C25" w:rsidSect="00D256F0">
          <w:headerReference w:type="default" r:id="rId424"/>
          <w:footerReference w:type="default" r:id="rId425"/>
          <w:pgSz w:w="16838" w:h="11906" w:orient="landscape"/>
          <w:pgMar w:top="1134" w:right="1701" w:bottom="1134" w:left="1701" w:header="709" w:footer="227" w:gutter="0"/>
          <w:cols w:space="720"/>
          <w:docGrid w:linePitch="299"/>
        </w:sectPr>
      </w:pPr>
      <w:r w:rsidRPr="00A07BE9">
        <w:rPr>
          <w:rFonts w:ascii="Open Sans" w:eastAsia="Times New Roman" w:hAnsi="Open Sans" w:cs="Open Sans"/>
          <w:color w:val="000000"/>
          <w:sz w:val="20"/>
          <w:szCs w:val="20"/>
          <w:shd w:val="clear" w:color="auto" w:fill="FFFFFF"/>
          <w:lang w:eastAsia="es-ES"/>
        </w:rPr>
        <w:t xml:space="preserve">Esta información está disponible en </w:t>
      </w:r>
      <w:hyperlink r:id="rId426" w:history="1">
        <w:r w:rsidR="008E6E2C" w:rsidRPr="00A07BE9">
          <w:rPr>
            <w:rStyle w:val="Hipervnculo"/>
          </w:rPr>
          <w:t>https://www.antifraucv.es/es/portal-transparencia/gestio-economica/</w:t>
        </w:r>
      </w:hyperlink>
    </w:p>
    <w:p w14:paraId="1C11EA45" w14:textId="77777777" w:rsidR="007C1729" w:rsidRPr="00A07BE9" w:rsidRDefault="007C1729" w:rsidP="007C1729">
      <w:pPr>
        <w:suppressAutoHyphens/>
        <w:autoSpaceDN w:val="0"/>
        <w:spacing w:after="0" w:line="276" w:lineRule="auto"/>
        <w:jc w:val="both"/>
        <w:rPr>
          <w:rFonts w:ascii="Open Sans" w:eastAsia="Times New Roman" w:hAnsi="Open Sans" w:cs="Open Sans"/>
          <w:color w:val="000000"/>
          <w:sz w:val="20"/>
          <w:szCs w:val="20"/>
          <w:shd w:val="clear" w:color="auto" w:fill="FFFFFF"/>
          <w:lang w:eastAsia="es-ES"/>
        </w:rPr>
      </w:pPr>
      <w:r w:rsidRPr="00A07BE9">
        <w:rPr>
          <w:rFonts w:ascii="Open Sans" w:eastAsia="Times New Roman" w:hAnsi="Open Sans" w:cs="Open Sans"/>
          <w:color w:val="000000"/>
          <w:sz w:val="20"/>
          <w:szCs w:val="20"/>
          <w:shd w:val="clear" w:color="auto" w:fill="FFFFFF"/>
          <w:lang w:eastAsia="es-ES"/>
        </w:rPr>
        <w:lastRenderedPageBreak/>
        <w:t>Como sucinta explicación del grado de ejecución presupuestaria, pueden exponerse los siguientes motivos:</w:t>
      </w:r>
    </w:p>
    <w:p w14:paraId="7655112F" w14:textId="77777777" w:rsidR="007C1729" w:rsidRPr="00A07BE9" w:rsidRDefault="007C1729" w:rsidP="007C1729">
      <w:pPr>
        <w:suppressAutoHyphens/>
        <w:autoSpaceDN w:val="0"/>
        <w:spacing w:after="0" w:line="276" w:lineRule="auto"/>
        <w:jc w:val="both"/>
        <w:rPr>
          <w:rFonts w:ascii="Open Sans" w:eastAsia="Times New Roman" w:hAnsi="Open Sans" w:cs="Open Sans"/>
          <w:color w:val="000000"/>
          <w:sz w:val="20"/>
          <w:szCs w:val="20"/>
          <w:shd w:val="clear" w:color="auto" w:fill="FFFFFF"/>
          <w:lang w:eastAsia="es-ES"/>
        </w:rPr>
      </w:pPr>
    </w:p>
    <w:p w14:paraId="38813A27" w14:textId="77777777" w:rsidR="007C1729" w:rsidRPr="00A07BE9" w:rsidRDefault="007C1729" w:rsidP="007C1729">
      <w:pPr>
        <w:shd w:val="clear" w:color="auto" w:fill="FFFFFF"/>
        <w:suppressAutoHyphens/>
        <w:autoSpaceDN w:val="0"/>
        <w:spacing w:after="0" w:line="276" w:lineRule="auto"/>
        <w:ind w:left="708"/>
        <w:jc w:val="both"/>
        <w:rPr>
          <w:rFonts w:ascii="Open Sans" w:eastAsia="Times New Roman" w:hAnsi="Open Sans" w:cs="Open Sans"/>
          <w:color w:val="000000"/>
          <w:sz w:val="20"/>
          <w:szCs w:val="20"/>
          <w:lang w:eastAsia="es-ES"/>
        </w:rPr>
      </w:pPr>
      <w:r w:rsidRPr="00A07BE9">
        <w:rPr>
          <w:rFonts w:ascii="Open Sans" w:eastAsia="Times New Roman" w:hAnsi="Open Sans" w:cs="Open Sans"/>
          <w:b/>
          <w:bCs/>
          <w:color w:val="000000"/>
          <w:sz w:val="20"/>
          <w:szCs w:val="20"/>
          <w:lang w:eastAsia="es-ES"/>
        </w:rPr>
        <w:t>I.</w:t>
      </w:r>
      <w:r w:rsidRPr="00A07BE9">
        <w:rPr>
          <w:rFonts w:ascii="Open Sans" w:eastAsia="Times New Roman" w:hAnsi="Open Sans" w:cs="Open Sans"/>
          <w:color w:val="000000"/>
          <w:sz w:val="20"/>
          <w:szCs w:val="20"/>
          <w:lang w:eastAsia="es-ES"/>
        </w:rPr>
        <w:t xml:space="preserve"> </w:t>
      </w:r>
      <w:r w:rsidRPr="00A07BE9">
        <w:rPr>
          <w:rFonts w:ascii="Open Sans" w:eastAsia="Times New Roman" w:hAnsi="Open Sans" w:cs="Open Sans"/>
          <w:b/>
          <w:bCs/>
          <w:color w:val="000000"/>
          <w:sz w:val="20"/>
          <w:szCs w:val="20"/>
          <w:lang w:eastAsia="es-ES"/>
        </w:rPr>
        <w:t xml:space="preserve">En relación con el capítulo I, </w:t>
      </w:r>
      <w:r w:rsidRPr="00A07BE9">
        <w:rPr>
          <w:rFonts w:ascii="Open Sans" w:eastAsia="Times New Roman" w:hAnsi="Open Sans" w:cs="Open Sans"/>
          <w:color w:val="000000"/>
          <w:sz w:val="20"/>
          <w:szCs w:val="20"/>
          <w:lang w:eastAsia="es-ES"/>
        </w:rPr>
        <w:t>el grado de ejecución va paralelo al grado de ocupación de los puestos de trabajo de la Agencia. Puesto que a 31 de diciembre no están ocupados el 100 por % de los puestos, tampoco el capítulo I se ejecuta en su totalidad.</w:t>
      </w:r>
    </w:p>
    <w:p w14:paraId="50A0AA3B" w14:textId="77777777" w:rsidR="007C1729" w:rsidRPr="00A07BE9" w:rsidRDefault="007C1729" w:rsidP="007C1729">
      <w:pPr>
        <w:shd w:val="clear" w:color="auto" w:fill="FFFFFF"/>
        <w:suppressAutoHyphens/>
        <w:autoSpaceDN w:val="0"/>
        <w:spacing w:after="0" w:line="276" w:lineRule="auto"/>
        <w:ind w:left="708"/>
        <w:jc w:val="both"/>
        <w:rPr>
          <w:rFonts w:ascii="Open Sans" w:eastAsia="Droid Sans Fallback" w:hAnsi="Open Sans" w:cs="Open Sans"/>
          <w:kern w:val="3"/>
          <w:sz w:val="20"/>
          <w:szCs w:val="20"/>
          <w:lang w:eastAsia="zh-CN" w:bidi="hi-IN"/>
        </w:rPr>
      </w:pPr>
    </w:p>
    <w:p w14:paraId="3EAF7EE3" w14:textId="77777777" w:rsidR="007C1729" w:rsidRPr="00A07BE9" w:rsidRDefault="007C1729" w:rsidP="007C1729">
      <w:pPr>
        <w:shd w:val="clear" w:color="auto" w:fill="FFFFFF"/>
        <w:suppressAutoHyphens/>
        <w:autoSpaceDN w:val="0"/>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Es de destacar que durante el ejercicio 2019, la aprobación del </w:t>
      </w:r>
      <w:hyperlink r:id="rId427" w:history="1">
        <w:r w:rsidRPr="00A07BE9">
          <w:rPr>
            <w:rStyle w:val="Hipervnculo"/>
            <w:rFonts w:ascii="Open Sans" w:eastAsia="Droid Sans Fallback" w:hAnsi="Open Sans" w:cs="Open Sans"/>
            <w:kern w:val="3"/>
            <w:sz w:val="20"/>
            <w:szCs w:val="20"/>
            <w:lang w:eastAsia="zh-CN" w:bidi="hi-IN"/>
          </w:rPr>
          <w:t>Reglamento de funcionamiento y régimen interior de la Agencia</w:t>
        </w:r>
      </w:hyperlink>
      <w:r w:rsidRPr="00A07BE9">
        <w:rPr>
          <w:rFonts w:ascii="Open Sans" w:eastAsia="Droid Sans Fallback" w:hAnsi="Open Sans" w:cs="Open Sans"/>
          <w:kern w:val="3"/>
          <w:sz w:val="20"/>
          <w:szCs w:val="20"/>
          <w:lang w:eastAsia="zh-CN" w:bidi="hi-IN"/>
        </w:rPr>
        <w:t>,</w:t>
      </w:r>
      <w:r w:rsidRPr="00A07BE9">
        <w:rPr>
          <w:rFonts w:ascii="Open Sans" w:eastAsia="Times New Roman" w:hAnsi="Open Sans" w:cs="Open Sans"/>
          <w:color w:val="000000"/>
          <w:sz w:val="20"/>
          <w:szCs w:val="20"/>
          <w:lang w:eastAsia="es-ES"/>
        </w:rPr>
        <w:t xml:space="preserve"> ha permitido el reconocimiento de la carrera profesional a todo el personal funcionario de la Agencia, con independencia de su forma de provisión y desde la fecha de su incorporación. Esto ha supuesto el reconocimiento de la carrera profesional a quienes se habían incorporado a través del sistema de comisión de servicios.</w:t>
      </w:r>
    </w:p>
    <w:p w14:paraId="6DA3A20E" w14:textId="77777777" w:rsidR="007C1729" w:rsidRPr="00A07BE9" w:rsidRDefault="007C1729" w:rsidP="007C1729">
      <w:pPr>
        <w:shd w:val="clear" w:color="auto" w:fill="FFFFFF"/>
        <w:suppressAutoHyphens/>
        <w:autoSpaceDN w:val="0"/>
        <w:spacing w:after="0" w:line="276" w:lineRule="auto"/>
        <w:jc w:val="both"/>
        <w:rPr>
          <w:rFonts w:ascii="Open Sans" w:eastAsia="Times New Roman" w:hAnsi="Open Sans" w:cs="Open Sans"/>
          <w:color w:val="000000"/>
          <w:sz w:val="20"/>
          <w:szCs w:val="20"/>
          <w:lang w:eastAsia="es-ES"/>
        </w:rPr>
      </w:pPr>
    </w:p>
    <w:p w14:paraId="398CD9E3" w14:textId="77777777" w:rsidR="007C1729" w:rsidRPr="00A07BE9" w:rsidRDefault="007C1729" w:rsidP="007C1729">
      <w:pPr>
        <w:suppressAutoHyphens/>
        <w:autoSpaceDN w:val="0"/>
        <w:spacing w:after="0" w:line="276" w:lineRule="auto"/>
        <w:ind w:left="708"/>
        <w:jc w:val="both"/>
        <w:rPr>
          <w:rFonts w:ascii="Open Sans" w:eastAsia="Times New Roman" w:hAnsi="Open Sans" w:cs="Open Sans"/>
          <w:color w:val="000000"/>
          <w:sz w:val="20"/>
          <w:szCs w:val="20"/>
          <w:shd w:val="clear" w:color="auto" w:fill="FFFFFF"/>
          <w:lang w:eastAsia="es-ES"/>
        </w:rPr>
      </w:pPr>
      <w:r w:rsidRPr="00A07BE9">
        <w:rPr>
          <w:rFonts w:ascii="Open Sans" w:eastAsia="Times New Roman" w:hAnsi="Open Sans" w:cs="Open Sans"/>
          <w:b/>
          <w:bCs/>
          <w:color w:val="000000"/>
          <w:sz w:val="20"/>
          <w:szCs w:val="20"/>
          <w:shd w:val="clear" w:color="auto" w:fill="FFFFFF"/>
          <w:lang w:eastAsia="es-ES"/>
        </w:rPr>
        <w:t>II.</w:t>
      </w:r>
      <w:r w:rsidRPr="00A07BE9">
        <w:rPr>
          <w:rFonts w:ascii="Open Sans" w:eastAsia="Times New Roman" w:hAnsi="Open Sans" w:cs="Open Sans"/>
          <w:color w:val="000000"/>
          <w:sz w:val="20"/>
          <w:szCs w:val="20"/>
          <w:shd w:val="clear" w:color="auto" w:fill="FFFFFF"/>
          <w:lang w:eastAsia="es-ES"/>
        </w:rPr>
        <w:t xml:space="preserve"> </w:t>
      </w:r>
      <w:r w:rsidRPr="00A07BE9">
        <w:rPr>
          <w:rFonts w:ascii="Open Sans" w:eastAsia="Times New Roman" w:hAnsi="Open Sans" w:cs="Open Sans"/>
          <w:b/>
          <w:bCs/>
          <w:color w:val="000000"/>
          <w:sz w:val="20"/>
          <w:szCs w:val="20"/>
          <w:shd w:val="clear" w:color="auto" w:fill="FFFFFF"/>
          <w:lang w:eastAsia="es-ES"/>
        </w:rPr>
        <w:t>Por lo que respecta a los Capítulos II y VI,</w:t>
      </w:r>
      <w:r w:rsidRPr="00A07BE9">
        <w:rPr>
          <w:rFonts w:ascii="Open Sans" w:eastAsia="Times New Roman" w:hAnsi="Open Sans" w:cs="Open Sans"/>
          <w:color w:val="000000"/>
          <w:sz w:val="20"/>
          <w:szCs w:val="20"/>
          <w:shd w:val="clear" w:color="auto" w:fill="FFFFFF"/>
          <w:lang w:eastAsia="es-ES"/>
        </w:rPr>
        <w:t xml:space="preserve"> cuya ejecución está vinculada con la actividad de contratación, la incompleta ejecución de los créditos destinados a este capítulo tiene su causa principal en distintos motivos:</w:t>
      </w:r>
    </w:p>
    <w:p w14:paraId="6B8FBB65" w14:textId="77777777" w:rsidR="007C1729" w:rsidRPr="00A07BE9" w:rsidRDefault="007C1729" w:rsidP="007C1729">
      <w:pPr>
        <w:suppressAutoHyphens/>
        <w:autoSpaceDN w:val="0"/>
        <w:spacing w:after="0" w:line="276" w:lineRule="auto"/>
        <w:jc w:val="both"/>
        <w:rPr>
          <w:rFonts w:ascii="Open Sans" w:eastAsia="Times New Roman" w:hAnsi="Open Sans" w:cs="Open Sans"/>
          <w:color w:val="000000"/>
          <w:sz w:val="20"/>
          <w:szCs w:val="20"/>
          <w:shd w:val="clear" w:color="auto" w:fill="FFFFFF"/>
          <w:lang w:eastAsia="es-ES"/>
        </w:rPr>
      </w:pPr>
    </w:p>
    <w:p w14:paraId="0414FB0B" w14:textId="77777777" w:rsidR="007C1729" w:rsidRPr="00A07BE9" w:rsidRDefault="007C1729" w:rsidP="007C1729">
      <w:pPr>
        <w:pStyle w:val="Prrafodelista"/>
        <w:numPr>
          <w:ilvl w:val="0"/>
          <w:numId w:val="49"/>
        </w:numPr>
        <w:suppressAutoHyphens/>
        <w:autoSpaceDN w:val="0"/>
        <w:spacing w:after="0" w:line="276" w:lineRule="auto"/>
        <w:jc w:val="both"/>
        <w:rPr>
          <w:rFonts w:ascii="Open Sans" w:eastAsia="Times New Roman" w:hAnsi="Open Sans" w:cs="Open Sans"/>
          <w:color w:val="000000"/>
          <w:sz w:val="20"/>
          <w:szCs w:val="20"/>
          <w:shd w:val="clear" w:color="auto" w:fill="FFFFFF"/>
          <w:lang w:eastAsia="es-ES"/>
        </w:rPr>
      </w:pPr>
      <w:r w:rsidRPr="00A07BE9">
        <w:rPr>
          <w:rFonts w:ascii="Open Sans" w:eastAsia="Times New Roman" w:hAnsi="Open Sans" w:cs="Open Sans"/>
          <w:color w:val="000000"/>
          <w:sz w:val="20"/>
          <w:szCs w:val="20"/>
          <w:shd w:val="clear" w:color="auto" w:fill="FFFFFF"/>
          <w:lang w:eastAsia="es-ES"/>
        </w:rPr>
        <w:t>La imposibilidad inicial de adhesión de la Agencia a la Central de Compras de la Generalitat. Será necesaria una modificación normativa para posibilitar su adhesión en mayo de 2018. Por otra parte, la Agencia está adherida a la Central de Compras del Estado desde enero de 2018.</w:t>
      </w:r>
    </w:p>
    <w:p w14:paraId="33EF9775" w14:textId="77777777" w:rsidR="007C1729" w:rsidRPr="00A07BE9" w:rsidRDefault="007C1729" w:rsidP="007C1729">
      <w:pPr>
        <w:pStyle w:val="Prrafodelista"/>
        <w:suppressAutoHyphens/>
        <w:autoSpaceDN w:val="0"/>
        <w:spacing w:after="0" w:line="276" w:lineRule="auto"/>
        <w:jc w:val="both"/>
        <w:rPr>
          <w:rFonts w:ascii="Open Sans" w:eastAsia="Times New Roman" w:hAnsi="Open Sans" w:cs="Open Sans"/>
          <w:color w:val="000000"/>
          <w:sz w:val="20"/>
          <w:szCs w:val="20"/>
          <w:shd w:val="clear" w:color="auto" w:fill="FFFFFF"/>
          <w:lang w:eastAsia="es-ES"/>
        </w:rPr>
      </w:pPr>
    </w:p>
    <w:p w14:paraId="099241C4" w14:textId="77777777" w:rsidR="007C1729" w:rsidRPr="00A07BE9" w:rsidRDefault="007C1729" w:rsidP="007C1729">
      <w:pPr>
        <w:pStyle w:val="Prrafodelista"/>
        <w:suppressAutoHyphens/>
        <w:autoSpaceDN w:val="0"/>
        <w:spacing w:after="0" w:line="276" w:lineRule="auto"/>
        <w:jc w:val="both"/>
        <w:rPr>
          <w:rFonts w:ascii="Open Sans" w:eastAsia="Times New Roman" w:hAnsi="Open Sans" w:cs="Open Sans"/>
          <w:color w:val="000000"/>
          <w:sz w:val="20"/>
          <w:szCs w:val="20"/>
          <w:shd w:val="clear" w:color="auto" w:fill="FFFFFF"/>
          <w:lang w:eastAsia="es-ES"/>
        </w:rPr>
      </w:pPr>
      <w:r w:rsidRPr="00A07BE9">
        <w:rPr>
          <w:rFonts w:ascii="Open Sans" w:eastAsia="Times New Roman" w:hAnsi="Open Sans" w:cs="Open Sans"/>
          <w:color w:val="000000"/>
          <w:sz w:val="20"/>
          <w:szCs w:val="20"/>
          <w:shd w:val="clear" w:color="auto" w:fill="FFFFFF"/>
          <w:lang w:eastAsia="es-ES"/>
        </w:rPr>
        <w:t>No obstante estar la Agencia adherida a ambas Centrales de Compra desde 2018, muchos de los acuerdos marco formalizados por ambas Centrales y vigentes durante el ejercicio 2019, son previos a las fechas de adhesión de la Agencia y, en buena parte de los casos, la relación de las entidades que se encuentran en el ámbito subjetivo de los acuerdos marco se halla contenida de manera taxativa en la relación que acompaña a los correspondientes pliegos de cláusulas. Esto ha imposibilitado que la Agencia pudiera contratar muchos servicios y suministros básicos a través de la compra centralizada y no podrá hacerlo mientras subsista la vigencia de dichos acuerdos marco. La renovación de estos acuerdos permitirá a la Agencia acordar su adhesión. A título de ejemplo, esto ha ocurrido con la adquisición de ordenadores, con el servicio de limpieza, agencia de viajes, servicios postales, y otros suministros y servicios.</w:t>
      </w:r>
    </w:p>
    <w:p w14:paraId="4AF1C303" w14:textId="77777777" w:rsidR="007C1729" w:rsidRPr="00A07BE9" w:rsidRDefault="007C1729" w:rsidP="007C1729">
      <w:pPr>
        <w:suppressAutoHyphens/>
        <w:autoSpaceDN w:val="0"/>
        <w:spacing w:after="0" w:line="276" w:lineRule="auto"/>
        <w:ind w:left="1416"/>
        <w:jc w:val="both"/>
        <w:rPr>
          <w:rFonts w:ascii="Open Sans" w:eastAsia="Times New Roman" w:hAnsi="Open Sans" w:cs="Open Sans"/>
          <w:color w:val="000000"/>
          <w:sz w:val="20"/>
          <w:szCs w:val="20"/>
          <w:shd w:val="clear" w:color="auto" w:fill="FFFFFF"/>
          <w:lang w:eastAsia="es-ES"/>
        </w:rPr>
      </w:pPr>
    </w:p>
    <w:p w14:paraId="30E9BA30" w14:textId="77777777" w:rsidR="00AE766A" w:rsidRPr="00AE766A" w:rsidRDefault="007C1729" w:rsidP="00AE766A">
      <w:pPr>
        <w:pStyle w:val="Prrafodelista"/>
        <w:numPr>
          <w:ilvl w:val="0"/>
          <w:numId w:val="49"/>
        </w:numPr>
        <w:suppressAutoHyphens/>
        <w:autoSpaceDN w:val="0"/>
        <w:spacing w:after="0" w:line="276" w:lineRule="auto"/>
        <w:jc w:val="both"/>
        <w:rPr>
          <w:rFonts w:ascii="Open Sans" w:eastAsia="Times New Roman" w:hAnsi="Open Sans" w:cs="Open Sans"/>
          <w:color w:val="000000"/>
          <w:sz w:val="20"/>
          <w:szCs w:val="20"/>
          <w:shd w:val="clear" w:color="auto" w:fill="FFFFFF"/>
          <w:lang w:eastAsia="es-ES"/>
        </w:rPr>
      </w:pPr>
      <w:r w:rsidRPr="00A07BE9">
        <w:rPr>
          <w:rFonts w:ascii="Open Sans" w:eastAsia="Times New Roman" w:hAnsi="Open Sans" w:cs="Open Sans"/>
          <w:color w:val="000000"/>
          <w:sz w:val="20"/>
          <w:szCs w:val="20"/>
          <w:shd w:val="clear" w:color="auto" w:fill="FFFFFF"/>
          <w:lang w:eastAsia="es-ES"/>
        </w:rPr>
        <w:t xml:space="preserve">La imposibilidad de asumir el personal asignado a la Unidad de Gestión Económica la puesta en marcha de todos los procedimientos de contratación necesarios para una entidad de reciente creación, en la </w:t>
      </w:r>
      <w:r w:rsidRPr="00A07BE9">
        <w:rPr>
          <w:rFonts w:ascii="Open Sans" w:eastAsia="Times New Roman" w:hAnsi="Open Sans" w:cs="Open Sans"/>
          <w:color w:val="000000"/>
          <w:sz w:val="20"/>
          <w:szCs w:val="20"/>
          <w:lang w:eastAsia="es-ES"/>
        </w:rPr>
        <w:t>que además debe considerarse:</w:t>
      </w:r>
    </w:p>
    <w:p w14:paraId="254F900E" w14:textId="36442D8A" w:rsidR="00AE766A" w:rsidRDefault="00AE766A" w:rsidP="00AE766A">
      <w:pPr>
        <w:pStyle w:val="Prrafodelista"/>
        <w:suppressAutoHyphens/>
        <w:autoSpaceDN w:val="0"/>
        <w:spacing w:after="0" w:line="276" w:lineRule="auto"/>
        <w:jc w:val="both"/>
        <w:rPr>
          <w:rFonts w:ascii="Open Sans" w:eastAsia="Times New Roman" w:hAnsi="Open Sans" w:cs="Open Sans"/>
          <w:color w:val="000000"/>
          <w:sz w:val="20"/>
          <w:szCs w:val="20"/>
          <w:shd w:val="clear" w:color="auto" w:fill="FFFFFF"/>
          <w:lang w:eastAsia="es-ES"/>
        </w:rPr>
      </w:pPr>
    </w:p>
    <w:p w14:paraId="1F23BC74" w14:textId="77777777" w:rsidR="00AC7D1A" w:rsidRPr="00AC7D1A" w:rsidRDefault="007C1729" w:rsidP="00AC7D1A">
      <w:pPr>
        <w:pStyle w:val="Prrafodelista"/>
        <w:numPr>
          <w:ilvl w:val="0"/>
          <w:numId w:val="50"/>
        </w:numPr>
        <w:suppressAutoHyphens/>
        <w:autoSpaceDN w:val="0"/>
        <w:spacing w:after="0" w:line="276" w:lineRule="auto"/>
        <w:jc w:val="both"/>
        <w:rPr>
          <w:rFonts w:ascii="Open Sans" w:eastAsia="Times New Roman" w:hAnsi="Open Sans" w:cs="Open Sans"/>
          <w:color w:val="000000"/>
          <w:sz w:val="20"/>
          <w:szCs w:val="20"/>
          <w:shd w:val="clear" w:color="auto" w:fill="FFFFFF"/>
          <w:lang w:eastAsia="es-ES"/>
        </w:rPr>
      </w:pPr>
      <w:r w:rsidRPr="00AE766A">
        <w:rPr>
          <w:rFonts w:ascii="Open Sans" w:eastAsia="Times New Roman" w:hAnsi="Open Sans" w:cs="Open Sans"/>
          <w:color w:val="000000"/>
          <w:sz w:val="20"/>
          <w:szCs w:val="20"/>
          <w:lang w:eastAsia="es-ES"/>
        </w:rPr>
        <w:t xml:space="preserve">La actividad funcional de sus unidades administrativas genera una importante carga de trabajo adicional para esta área de Administración. La visibilidad de esta situación motivó la reclasificación del puesto de trabajo </w:t>
      </w:r>
      <w:r w:rsidRPr="00AE766A">
        <w:rPr>
          <w:rFonts w:ascii="Open Sans" w:eastAsia="Times New Roman" w:hAnsi="Open Sans" w:cs="Open Sans"/>
          <w:color w:val="000000"/>
          <w:sz w:val="20"/>
          <w:szCs w:val="20"/>
          <w:lang w:eastAsia="es-ES"/>
        </w:rPr>
        <w:lastRenderedPageBreak/>
        <w:t xml:space="preserve">número 23 de la Agencia, para su adscripción tanto a la unidad de Gestión Económica como a la de Gestión Administrativa. No obstante, </w:t>
      </w:r>
      <w:r w:rsidR="00D572EA" w:rsidRPr="00AE766A">
        <w:rPr>
          <w:rFonts w:ascii="Open Sans" w:eastAsia="Times New Roman" w:hAnsi="Open Sans" w:cs="Open Sans"/>
          <w:color w:val="000000"/>
          <w:sz w:val="20"/>
          <w:szCs w:val="20"/>
          <w:lang w:eastAsia="es-ES"/>
        </w:rPr>
        <w:t>la incorporación de una nueva funcionaria a este puesto no se produce hasta noviembre de 2019, siendo necesario su adscripción a la unidad de Gestión Administrativa, también con elevada carga de gestión y con la necesidad de atender a los procedimientos de provisión de puestos en marcha, por lo que su incidencia en el ámbito de la contratación de la Agencia no tendrá relevancia alguna.</w:t>
      </w:r>
    </w:p>
    <w:p w14:paraId="0743E278" w14:textId="77777777" w:rsidR="00AC7D1A" w:rsidRPr="00AC7D1A" w:rsidRDefault="00AC7D1A" w:rsidP="00AC7D1A">
      <w:pPr>
        <w:pStyle w:val="Prrafodelista"/>
        <w:suppressAutoHyphens/>
        <w:autoSpaceDN w:val="0"/>
        <w:spacing w:after="0" w:line="276" w:lineRule="auto"/>
        <w:ind w:left="1440"/>
        <w:jc w:val="both"/>
        <w:rPr>
          <w:rFonts w:ascii="Open Sans" w:eastAsia="Times New Roman" w:hAnsi="Open Sans" w:cs="Open Sans"/>
          <w:color w:val="000000"/>
          <w:sz w:val="20"/>
          <w:szCs w:val="20"/>
          <w:shd w:val="clear" w:color="auto" w:fill="FFFFFF"/>
          <w:lang w:eastAsia="es-ES"/>
        </w:rPr>
      </w:pPr>
    </w:p>
    <w:p w14:paraId="51B1F85F" w14:textId="39017074" w:rsidR="00D572EA" w:rsidRPr="00AC7D1A" w:rsidRDefault="00D572EA" w:rsidP="00AC7D1A">
      <w:pPr>
        <w:pStyle w:val="Prrafodelista"/>
        <w:numPr>
          <w:ilvl w:val="0"/>
          <w:numId w:val="50"/>
        </w:numPr>
        <w:suppressAutoHyphens/>
        <w:autoSpaceDN w:val="0"/>
        <w:spacing w:after="0" w:line="276" w:lineRule="auto"/>
        <w:jc w:val="both"/>
        <w:rPr>
          <w:rFonts w:ascii="Open Sans" w:eastAsia="Times New Roman" w:hAnsi="Open Sans" w:cs="Open Sans"/>
          <w:color w:val="000000"/>
          <w:sz w:val="20"/>
          <w:szCs w:val="20"/>
          <w:shd w:val="clear" w:color="auto" w:fill="FFFFFF"/>
          <w:lang w:eastAsia="es-ES"/>
        </w:rPr>
      </w:pPr>
      <w:r w:rsidRPr="00AC7D1A">
        <w:rPr>
          <w:rFonts w:ascii="Open Sans" w:eastAsia="Times New Roman" w:hAnsi="Open Sans" w:cs="Open Sans"/>
          <w:color w:val="000000"/>
          <w:sz w:val="20"/>
          <w:szCs w:val="20"/>
          <w:lang w:eastAsia="es-ES"/>
        </w:rPr>
        <w:t>El cese voluntario del titular de esta área de Administración, Recursos Humanos y Gestión Económica en fecha 15 de noviembre de 2018, produciéndose su relevo a partir de la mitad de diciembre del mismo año.</w:t>
      </w:r>
    </w:p>
    <w:p w14:paraId="339225E3" w14:textId="77777777" w:rsidR="00D572EA" w:rsidRPr="00A07BE9" w:rsidRDefault="00D572EA" w:rsidP="00D572EA">
      <w:pPr>
        <w:suppressAutoHyphens/>
        <w:autoSpaceDN w:val="0"/>
        <w:spacing w:after="0" w:line="276" w:lineRule="auto"/>
        <w:jc w:val="both"/>
        <w:rPr>
          <w:rFonts w:ascii="Open Sans" w:eastAsia="Times New Roman" w:hAnsi="Open Sans" w:cs="Open Sans"/>
          <w:color w:val="000000"/>
          <w:sz w:val="20"/>
          <w:szCs w:val="20"/>
          <w:lang w:eastAsia="es-ES"/>
        </w:rPr>
      </w:pPr>
    </w:p>
    <w:p w14:paraId="08C432FC" w14:textId="77777777" w:rsidR="00D572EA" w:rsidRPr="00A07BE9" w:rsidRDefault="00D572EA" w:rsidP="00D572EA">
      <w:pPr>
        <w:suppressAutoHyphens/>
        <w:autoSpaceDN w:val="0"/>
        <w:spacing w:after="0" w:line="276" w:lineRule="auto"/>
        <w:jc w:val="both"/>
        <w:rPr>
          <w:rFonts w:ascii="Liberation Serif" w:eastAsia="Droid Sans Fallback" w:hAnsi="Liberation Serif" w:cs="FreeSans"/>
          <w:kern w:val="3"/>
          <w:sz w:val="20"/>
          <w:szCs w:val="20"/>
          <w:lang w:eastAsia="zh-CN" w:bidi="hi-IN"/>
        </w:rPr>
      </w:pPr>
      <w:r w:rsidRPr="00A07BE9">
        <w:rPr>
          <w:rFonts w:ascii="Open Sans" w:eastAsia="Times New Roman" w:hAnsi="Open Sans" w:cs="Open Sans"/>
          <w:color w:val="000000"/>
          <w:sz w:val="20"/>
          <w:szCs w:val="20"/>
          <w:lang w:eastAsia="es-ES"/>
        </w:rPr>
        <w:t xml:space="preserve">El </w:t>
      </w:r>
      <w:r w:rsidRPr="00A07BE9">
        <w:rPr>
          <w:rFonts w:ascii="Open Sans" w:eastAsia="Times New Roman" w:hAnsi="Open Sans" w:cs="Open Sans"/>
          <w:b/>
          <w:bCs/>
          <w:color w:val="000000"/>
          <w:sz w:val="20"/>
          <w:szCs w:val="20"/>
          <w:lang w:eastAsia="es-ES"/>
        </w:rPr>
        <w:t>RESULTADO PRESUPUESTARIO</w:t>
      </w:r>
      <w:r w:rsidRPr="00A07BE9">
        <w:rPr>
          <w:rFonts w:ascii="Open Sans" w:eastAsia="Times New Roman" w:hAnsi="Open Sans" w:cs="Open Sans"/>
          <w:color w:val="000000"/>
          <w:sz w:val="20"/>
          <w:szCs w:val="20"/>
          <w:lang w:eastAsia="es-ES"/>
        </w:rPr>
        <w:t xml:space="preserve"> del ejercicio asciende a 834.108,11 euros, de acuerdo con el detalle que se ofrece a continuación:</w:t>
      </w:r>
    </w:p>
    <w:p w14:paraId="69E4A5E4" w14:textId="77777777" w:rsidR="00D572EA" w:rsidRPr="00A07BE9" w:rsidRDefault="00D572EA" w:rsidP="00D572EA">
      <w:pPr>
        <w:autoSpaceDN w:val="0"/>
        <w:spacing w:after="0" w:line="360" w:lineRule="auto"/>
        <w:rPr>
          <w:rFonts w:ascii="Open Sans" w:eastAsia="Times New Roman" w:hAnsi="Open Sans" w:cs="Open Sans"/>
          <w:b/>
          <w:bCs/>
          <w:color w:val="9D2235"/>
          <w:sz w:val="20"/>
          <w:szCs w:val="20"/>
          <w:lang w:eastAsia="es-ES"/>
        </w:rPr>
      </w:pPr>
    </w:p>
    <w:p w14:paraId="03BD0C73" w14:textId="22B44440" w:rsidR="00D572EA" w:rsidRPr="00A07BE9" w:rsidRDefault="00D572EA" w:rsidP="00D572EA">
      <w:pPr>
        <w:autoSpaceDN w:val="0"/>
        <w:spacing w:after="0" w:line="360" w:lineRule="auto"/>
        <w:rPr>
          <w:rFonts w:ascii="Liberation Serif" w:eastAsia="Droid Sans Fallback" w:hAnsi="Liberation Serif" w:cs="FreeSans"/>
          <w:kern w:val="3"/>
          <w:sz w:val="20"/>
          <w:szCs w:val="20"/>
          <w:lang w:eastAsia="zh-CN" w:bidi="hi-IN"/>
        </w:rPr>
      </w:pPr>
      <w:r w:rsidRPr="00A07BE9">
        <w:rPr>
          <w:rFonts w:ascii="Open Sans" w:eastAsia="Times New Roman" w:hAnsi="Open Sans" w:cs="Open Sans"/>
          <w:b/>
          <w:bCs/>
          <w:color w:val="9D2235"/>
          <w:sz w:val="20"/>
          <w:szCs w:val="20"/>
          <w:lang w:eastAsia="es-ES"/>
        </w:rPr>
        <w:t xml:space="preserve">Tabla </w:t>
      </w:r>
      <w:r w:rsidR="00F930E4" w:rsidRPr="00A07BE9">
        <w:rPr>
          <w:rFonts w:ascii="Open Sans" w:eastAsia="Times New Roman" w:hAnsi="Open Sans" w:cs="Open Sans"/>
          <w:b/>
          <w:bCs/>
          <w:color w:val="9D2235"/>
          <w:sz w:val="20"/>
          <w:szCs w:val="20"/>
          <w:lang w:eastAsia="es-ES"/>
        </w:rPr>
        <w:t>3</w:t>
      </w:r>
      <w:r w:rsidR="00747A7D" w:rsidRPr="00A07BE9">
        <w:rPr>
          <w:rFonts w:ascii="Open Sans" w:eastAsia="Times New Roman" w:hAnsi="Open Sans" w:cs="Open Sans"/>
          <w:b/>
          <w:bCs/>
          <w:color w:val="9D2235"/>
          <w:sz w:val="20"/>
          <w:szCs w:val="20"/>
          <w:lang w:eastAsia="es-ES"/>
        </w:rPr>
        <w:t>1</w:t>
      </w:r>
      <w:r w:rsidRPr="00A07BE9">
        <w:rPr>
          <w:rFonts w:ascii="Open Sans" w:eastAsia="Times New Roman" w:hAnsi="Open Sans" w:cs="Open Sans"/>
          <w:b/>
          <w:bCs/>
          <w:color w:val="7B2935"/>
          <w:sz w:val="20"/>
          <w:szCs w:val="20"/>
          <w:lang w:eastAsia="es-ES"/>
        </w:rPr>
        <w:t>.</w:t>
      </w:r>
      <w:r w:rsidRPr="00A07BE9">
        <w:rPr>
          <w:rFonts w:ascii="Open Sans" w:eastAsia="Times New Roman" w:hAnsi="Open Sans" w:cs="Open Sans"/>
          <w:color w:val="000000"/>
          <w:sz w:val="20"/>
          <w:szCs w:val="20"/>
          <w:lang w:eastAsia="es-ES"/>
        </w:rPr>
        <w:t xml:space="preserve"> </w:t>
      </w:r>
      <w:r w:rsidRPr="00A07BE9">
        <w:rPr>
          <w:rFonts w:ascii="Open Sans" w:eastAsia="Times New Roman" w:hAnsi="Open Sans" w:cs="Open Sans"/>
          <w:b/>
          <w:bCs/>
          <w:color w:val="000000"/>
          <w:sz w:val="20"/>
          <w:szCs w:val="20"/>
          <w:lang w:eastAsia="es-ES"/>
        </w:rPr>
        <w:t>Resultado presupuestario ejercicio 2019</w:t>
      </w:r>
    </w:p>
    <w:tbl>
      <w:tblPr>
        <w:tblW w:w="8222" w:type="dxa"/>
        <w:tblInd w:w="-5" w:type="dxa"/>
        <w:tblLayout w:type="fixed"/>
        <w:tblCellMar>
          <w:left w:w="10" w:type="dxa"/>
          <w:right w:w="10" w:type="dxa"/>
        </w:tblCellMar>
        <w:tblLook w:val="0000" w:firstRow="0" w:lastRow="0" w:firstColumn="0" w:lastColumn="0" w:noHBand="0" w:noVBand="0"/>
      </w:tblPr>
      <w:tblGrid>
        <w:gridCol w:w="5842"/>
        <w:gridCol w:w="2380"/>
      </w:tblGrid>
      <w:tr w:rsidR="00D572EA" w:rsidRPr="00AE766A" w14:paraId="735BDD94" w14:textId="77777777" w:rsidTr="00AC7D1A">
        <w:tc>
          <w:tcPr>
            <w:tcW w:w="5842" w:type="dxa"/>
            <w:tcBorders>
              <w:top w:val="single" w:sz="4" w:space="0" w:color="000000"/>
              <w:left w:val="single" w:sz="4" w:space="0" w:color="000000"/>
              <w:bottom w:val="single" w:sz="4" w:space="0" w:color="000000"/>
              <w:right w:val="single" w:sz="4" w:space="0" w:color="000000"/>
            </w:tcBorders>
            <w:shd w:val="clear" w:color="auto" w:fill="9D2235"/>
            <w:tcMar>
              <w:top w:w="0" w:type="dxa"/>
              <w:left w:w="5" w:type="dxa"/>
              <w:bottom w:w="28" w:type="dxa"/>
              <w:right w:w="5" w:type="dxa"/>
            </w:tcMar>
            <w:vAlign w:val="center"/>
          </w:tcPr>
          <w:p w14:paraId="06934B7B" w14:textId="77777777" w:rsidR="00D572EA" w:rsidRPr="00AE766A" w:rsidRDefault="00D572EA" w:rsidP="00D572EA">
            <w:pPr>
              <w:autoSpaceDN w:val="0"/>
              <w:spacing w:after="0" w:line="360" w:lineRule="auto"/>
              <w:rPr>
                <w:rFonts w:ascii="Open Sans" w:eastAsia="Times New Roman" w:hAnsi="Open Sans" w:cs="Open Sans"/>
                <w:b/>
                <w:bCs/>
                <w:color w:val="FFFFFF"/>
                <w:sz w:val="20"/>
                <w:szCs w:val="20"/>
                <w:lang w:eastAsia="es-ES"/>
              </w:rPr>
            </w:pPr>
            <w:r w:rsidRPr="00AE766A">
              <w:rPr>
                <w:rFonts w:ascii="Open Sans" w:eastAsia="Times New Roman" w:hAnsi="Open Sans" w:cs="Open Sans"/>
                <w:b/>
                <w:bCs/>
                <w:color w:val="FFFFFF"/>
                <w:sz w:val="20"/>
                <w:szCs w:val="20"/>
                <w:lang w:eastAsia="es-ES"/>
              </w:rPr>
              <w:t>Operaciones corrientes</w:t>
            </w:r>
          </w:p>
        </w:tc>
        <w:tc>
          <w:tcPr>
            <w:tcW w:w="2380" w:type="dxa"/>
            <w:tcBorders>
              <w:top w:val="single" w:sz="4" w:space="0" w:color="000000"/>
              <w:left w:val="single" w:sz="4" w:space="0" w:color="000000"/>
              <w:bottom w:val="single" w:sz="4" w:space="0" w:color="000000"/>
              <w:right w:val="single" w:sz="4" w:space="0" w:color="000000"/>
            </w:tcBorders>
            <w:shd w:val="clear" w:color="auto" w:fill="9D2235"/>
            <w:tcMar>
              <w:top w:w="0" w:type="dxa"/>
              <w:left w:w="5" w:type="dxa"/>
              <w:bottom w:w="28" w:type="dxa"/>
              <w:right w:w="5" w:type="dxa"/>
            </w:tcMar>
            <w:vAlign w:val="center"/>
          </w:tcPr>
          <w:p w14:paraId="5BC36DE5" w14:textId="77777777" w:rsidR="00D572EA" w:rsidRPr="00AE766A" w:rsidRDefault="00D572EA" w:rsidP="00D572EA">
            <w:pPr>
              <w:autoSpaceDN w:val="0"/>
              <w:spacing w:after="0" w:line="360" w:lineRule="auto"/>
              <w:rPr>
                <w:rFonts w:ascii="Times New Roman" w:eastAsia="Times New Roman" w:hAnsi="Times New Roman" w:cs="Times New Roman"/>
                <w:sz w:val="20"/>
                <w:szCs w:val="20"/>
                <w:lang w:eastAsia="es-ES"/>
              </w:rPr>
            </w:pPr>
          </w:p>
        </w:tc>
      </w:tr>
      <w:tr w:rsidR="00D572EA" w:rsidRPr="00AE766A" w14:paraId="1F6004C6" w14:textId="77777777" w:rsidTr="00AC7D1A">
        <w:tc>
          <w:tcPr>
            <w:tcW w:w="5842"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28" w:type="dxa"/>
              <w:right w:w="5" w:type="dxa"/>
            </w:tcMar>
            <w:vAlign w:val="center"/>
          </w:tcPr>
          <w:p w14:paraId="26506C7B" w14:textId="0BEC05B4" w:rsidR="00D572EA" w:rsidRPr="00AE766A" w:rsidRDefault="002B0793" w:rsidP="00D572EA">
            <w:pPr>
              <w:autoSpaceDN w:val="0"/>
              <w:spacing w:after="0" w:line="360" w:lineRule="auto"/>
              <w:rPr>
                <w:rFonts w:ascii="Open Sans" w:eastAsia="Times New Roman" w:hAnsi="Open Sans" w:cs="Open Sans"/>
                <w:color w:val="000000"/>
                <w:sz w:val="20"/>
                <w:szCs w:val="20"/>
                <w:lang w:eastAsia="es-ES"/>
              </w:rPr>
            </w:pPr>
            <w:r w:rsidRPr="00AE766A">
              <w:rPr>
                <w:rFonts w:ascii="Open Sans" w:eastAsia="Times New Roman" w:hAnsi="Open Sans" w:cs="Open Sans"/>
                <w:color w:val="000000"/>
                <w:sz w:val="20"/>
                <w:szCs w:val="20"/>
                <w:lang w:eastAsia="es-ES"/>
              </w:rPr>
              <w:t>Derechos liquidados</w:t>
            </w:r>
          </w:p>
        </w:tc>
        <w:tc>
          <w:tcPr>
            <w:tcW w:w="2380"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28" w:type="dxa"/>
              <w:right w:w="5" w:type="dxa"/>
            </w:tcMar>
            <w:vAlign w:val="center"/>
          </w:tcPr>
          <w:p w14:paraId="765E6BF1" w14:textId="77777777" w:rsidR="00D572EA" w:rsidRPr="00AE766A" w:rsidRDefault="00D572EA" w:rsidP="00D572EA">
            <w:pPr>
              <w:autoSpaceDN w:val="0"/>
              <w:spacing w:after="0" w:line="360" w:lineRule="auto"/>
              <w:jc w:val="right"/>
              <w:rPr>
                <w:rFonts w:ascii="Open Sans" w:eastAsia="Times New Roman" w:hAnsi="Open Sans" w:cs="Open Sans"/>
                <w:color w:val="000000"/>
                <w:sz w:val="20"/>
                <w:szCs w:val="20"/>
                <w:lang w:eastAsia="es-ES"/>
              </w:rPr>
            </w:pPr>
            <w:r w:rsidRPr="00AE766A">
              <w:rPr>
                <w:rFonts w:ascii="Open Sans" w:eastAsia="Times New Roman" w:hAnsi="Open Sans" w:cs="Open Sans"/>
                <w:color w:val="000000"/>
                <w:sz w:val="20"/>
                <w:szCs w:val="20"/>
                <w:lang w:eastAsia="es-ES"/>
              </w:rPr>
              <w:t>3.140.520,11 €</w:t>
            </w:r>
          </w:p>
        </w:tc>
      </w:tr>
      <w:tr w:rsidR="00D572EA" w:rsidRPr="00AE766A" w14:paraId="0D094CDA" w14:textId="77777777" w:rsidTr="00AC7D1A">
        <w:tc>
          <w:tcPr>
            <w:tcW w:w="5842"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28" w:type="dxa"/>
              <w:right w:w="5" w:type="dxa"/>
            </w:tcMar>
            <w:vAlign w:val="center"/>
          </w:tcPr>
          <w:p w14:paraId="41A3DC19" w14:textId="77777777" w:rsidR="00D572EA" w:rsidRPr="00AE766A" w:rsidRDefault="00D572EA" w:rsidP="00D572EA">
            <w:pPr>
              <w:autoSpaceDN w:val="0"/>
              <w:spacing w:after="0" w:line="360" w:lineRule="auto"/>
              <w:rPr>
                <w:rFonts w:ascii="Open Sans" w:eastAsia="Times New Roman" w:hAnsi="Open Sans" w:cs="Open Sans"/>
                <w:sz w:val="20"/>
                <w:szCs w:val="20"/>
                <w:lang w:eastAsia="es-ES"/>
              </w:rPr>
            </w:pPr>
            <w:r w:rsidRPr="00AE766A">
              <w:rPr>
                <w:rFonts w:ascii="Open Sans" w:eastAsia="Times New Roman" w:hAnsi="Open Sans" w:cs="Open Sans"/>
                <w:sz w:val="20"/>
                <w:szCs w:val="20"/>
                <w:lang w:eastAsia="es-ES"/>
              </w:rPr>
              <w:t>Obligaciones reconocidas</w:t>
            </w:r>
          </w:p>
        </w:tc>
        <w:tc>
          <w:tcPr>
            <w:tcW w:w="2380"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28" w:type="dxa"/>
              <w:right w:w="5" w:type="dxa"/>
            </w:tcMar>
            <w:vAlign w:val="center"/>
          </w:tcPr>
          <w:p w14:paraId="463F7F74" w14:textId="77777777" w:rsidR="00D572EA" w:rsidRPr="00AE766A" w:rsidRDefault="00D572EA" w:rsidP="00D572EA">
            <w:pPr>
              <w:autoSpaceDN w:val="0"/>
              <w:spacing w:after="0" w:line="360" w:lineRule="auto"/>
              <w:jc w:val="right"/>
              <w:rPr>
                <w:rFonts w:ascii="Open Sans" w:eastAsia="Times New Roman" w:hAnsi="Open Sans" w:cs="Open Sans"/>
                <w:sz w:val="20"/>
                <w:szCs w:val="20"/>
                <w:lang w:eastAsia="es-ES"/>
              </w:rPr>
            </w:pPr>
            <w:r w:rsidRPr="00AE766A">
              <w:rPr>
                <w:rFonts w:ascii="Open Sans" w:eastAsia="Times New Roman" w:hAnsi="Open Sans" w:cs="Open Sans"/>
                <w:sz w:val="20"/>
                <w:szCs w:val="20"/>
                <w:lang w:eastAsia="es-ES"/>
              </w:rPr>
              <w:t>2.331.459,99 €</w:t>
            </w:r>
          </w:p>
        </w:tc>
      </w:tr>
      <w:tr w:rsidR="00D572EA" w:rsidRPr="00AE766A" w14:paraId="584D5D6F" w14:textId="77777777" w:rsidTr="00AC7D1A">
        <w:trPr>
          <w:trHeight w:hRule="exact" w:val="105"/>
        </w:trPr>
        <w:tc>
          <w:tcPr>
            <w:tcW w:w="5842"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28" w:type="dxa"/>
              <w:right w:w="5" w:type="dxa"/>
            </w:tcMar>
            <w:vAlign w:val="center"/>
          </w:tcPr>
          <w:p w14:paraId="38D5F427" w14:textId="77777777" w:rsidR="00D572EA" w:rsidRPr="00AE766A" w:rsidRDefault="00D572EA" w:rsidP="00D572EA">
            <w:pPr>
              <w:autoSpaceDN w:val="0"/>
              <w:spacing w:after="0" w:line="360" w:lineRule="auto"/>
              <w:rPr>
                <w:rFonts w:ascii="Times New Roman" w:eastAsia="Times New Roman" w:hAnsi="Times New Roman" w:cs="Times New Roman"/>
                <w:sz w:val="20"/>
                <w:szCs w:val="20"/>
                <w:lang w:eastAsia="es-ES"/>
              </w:rPr>
            </w:pPr>
          </w:p>
        </w:tc>
        <w:tc>
          <w:tcPr>
            <w:tcW w:w="2380"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28" w:type="dxa"/>
              <w:right w:w="5" w:type="dxa"/>
            </w:tcMar>
            <w:vAlign w:val="center"/>
          </w:tcPr>
          <w:p w14:paraId="03045569" w14:textId="77777777" w:rsidR="00D572EA" w:rsidRPr="00AE766A" w:rsidRDefault="00D572EA" w:rsidP="00D572EA">
            <w:pPr>
              <w:autoSpaceDN w:val="0"/>
              <w:spacing w:after="0" w:line="360" w:lineRule="auto"/>
              <w:jc w:val="right"/>
              <w:rPr>
                <w:rFonts w:ascii="Times New Roman" w:eastAsia="Times New Roman" w:hAnsi="Times New Roman" w:cs="Times New Roman"/>
                <w:sz w:val="20"/>
                <w:szCs w:val="20"/>
                <w:lang w:eastAsia="es-ES"/>
              </w:rPr>
            </w:pPr>
          </w:p>
        </w:tc>
      </w:tr>
      <w:tr w:rsidR="00D572EA" w:rsidRPr="00AE766A" w14:paraId="152511AE" w14:textId="77777777" w:rsidTr="00AC7D1A">
        <w:tc>
          <w:tcPr>
            <w:tcW w:w="5842" w:type="dxa"/>
            <w:tcBorders>
              <w:top w:val="single" w:sz="4" w:space="0" w:color="000000"/>
              <w:left w:val="single" w:sz="4" w:space="0" w:color="000000"/>
              <w:bottom w:val="single" w:sz="4" w:space="0" w:color="000000"/>
              <w:right w:val="single" w:sz="4" w:space="0" w:color="000000"/>
            </w:tcBorders>
            <w:shd w:val="clear" w:color="auto" w:fill="9D2235"/>
            <w:tcMar>
              <w:top w:w="0" w:type="dxa"/>
              <w:left w:w="5" w:type="dxa"/>
              <w:bottom w:w="28" w:type="dxa"/>
              <w:right w:w="5" w:type="dxa"/>
            </w:tcMar>
            <w:vAlign w:val="center"/>
          </w:tcPr>
          <w:p w14:paraId="2B063F53" w14:textId="77777777" w:rsidR="00D572EA" w:rsidRPr="00AE766A" w:rsidRDefault="00D572EA" w:rsidP="00D572EA">
            <w:pPr>
              <w:autoSpaceDN w:val="0"/>
              <w:spacing w:after="0" w:line="360" w:lineRule="auto"/>
              <w:rPr>
                <w:rFonts w:ascii="Open Sans" w:eastAsia="Times New Roman" w:hAnsi="Open Sans" w:cs="Open Sans"/>
                <w:b/>
                <w:bCs/>
                <w:color w:val="FFFFFF"/>
                <w:sz w:val="20"/>
                <w:szCs w:val="20"/>
                <w:lang w:eastAsia="es-ES"/>
              </w:rPr>
            </w:pPr>
            <w:r w:rsidRPr="00AE766A">
              <w:rPr>
                <w:rFonts w:ascii="Open Sans" w:eastAsia="Times New Roman" w:hAnsi="Open Sans" w:cs="Open Sans"/>
                <w:b/>
                <w:bCs/>
                <w:color w:val="FFFFFF"/>
                <w:sz w:val="20"/>
                <w:szCs w:val="20"/>
                <w:lang w:eastAsia="es-ES"/>
              </w:rPr>
              <w:t>Operaciones de capital</w:t>
            </w:r>
          </w:p>
        </w:tc>
        <w:tc>
          <w:tcPr>
            <w:tcW w:w="2380" w:type="dxa"/>
            <w:tcBorders>
              <w:top w:val="single" w:sz="4" w:space="0" w:color="000000"/>
              <w:left w:val="single" w:sz="4" w:space="0" w:color="000000"/>
              <w:bottom w:val="single" w:sz="4" w:space="0" w:color="000000"/>
              <w:right w:val="single" w:sz="4" w:space="0" w:color="000000"/>
            </w:tcBorders>
            <w:shd w:val="clear" w:color="auto" w:fill="9D2235"/>
            <w:tcMar>
              <w:top w:w="0" w:type="dxa"/>
              <w:left w:w="5" w:type="dxa"/>
              <w:bottom w:w="28" w:type="dxa"/>
              <w:right w:w="5" w:type="dxa"/>
            </w:tcMar>
            <w:vAlign w:val="center"/>
          </w:tcPr>
          <w:p w14:paraId="29B80F06" w14:textId="77777777" w:rsidR="00D572EA" w:rsidRPr="00AE766A" w:rsidRDefault="00D572EA" w:rsidP="00D572EA">
            <w:pPr>
              <w:autoSpaceDN w:val="0"/>
              <w:spacing w:after="0" w:line="360" w:lineRule="auto"/>
              <w:jc w:val="right"/>
              <w:rPr>
                <w:rFonts w:ascii="Times New Roman" w:eastAsia="Times New Roman" w:hAnsi="Times New Roman" w:cs="Times New Roman"/>
                <w:sz w:val="20"/>
                <w:szCs w:val="20"/>
                <w:lang w:eastAsia="es-ES"/>
              </w:rPr>
            </w:pPr>
          </w:p>
        </w:tc>
      </w:tr>
      <w:tr w:rsidR="00D572EA" w:rsidRPr="00AE766A" w14:paraId="5D3AB877" w14:textId="77777777" w:rsidTr="00AC7D1A">
        <w:tc>
          <w:tcPr>
            <w:tcW w:w="5842"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28" w:type="dxa"/>
              <w:right w:w="5" w:type="dxa"/>
            </w:tcMar>
            <w:vAlign w:val="center"/>
          </w:tcPr>
          <w:p w14:paraId="4A23F20A" w14:textId="77777777" w:rsidR="00D572EA" w:rsidRPr="00AE766A" w:rsidRDefault="00D572EA" w:rsidP="00D572EA">
            <w:pPr>
              <w:autoSpaceDN w:val="0"/>
              <w:spacing w:after="0" w:line="360" w:lineRule="auto"/>
              <w:rPr>
                <w:rFonts w:ascii="Open Sans" w:eastAsia="Times New Roman" w:hAnsi="Open Sans" w:cs="Open Sans"/>
                <w:color w:val="000000"/>
                <w:sz w:val="20"/>
                <w:szCs w:val="20"/>
                <w:lang w:eastAsia="es-ES"/>
              </w:rPr>
            </w:pPr>
            <w:r w:rsidRPr="00AE766A">
              <w:rPr>
                <w:rFonts w:ascii="Open Sans" w:eastAsia="Times New Roman" w:hAnsi="Open Sans" w:cs="Open Sans"/>
                <w:color w:val="000000"/>
                <w:sz w:val="20"/>
                <w:szCs w:val="20"/>
                <w:lang w:eastAsia="es-ES"/>
              </w:rPr>
              <w:t>Derechos liquidados</w:t>
            </w:r>
          </w:p>
        </w:tc>
        <w:tc>
          <w:tcPr>
            <w:tcW w:w="2380"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28" w:type="dxa"/>
              <w:right w:w="5" w:type="dxa"/>
            </w:tcMar>
            <w:vAlign w:val="center"/>
          </w:tcPr>
          <w:p w14:paraId="60093B74" w14:textId="77777777" w:rsidR="00D572EA" w:rsidRPr="00AE766A" w:rsidRDefault="00D572EA" w:rsidP="00D572EA">
            <w:pPr>
              <w:autoSpaceDN w:val="0"/>
              <w:spacing w:after="0" w:line="360" w:lineRule="auto"/>
              <w:jc w:val="right"/>
              <w:rPr>
                <w:rFonts w:ascii="Open Sans" w:eastAsia="Times New Roman" w:hAnsi="Open Sans" w:cs="Open Sans"/>
                <w:color w:val="000000"/>
                <w:sz w:val="20"/>
                <w:szCs w:val="20"/>
                <w:lang w:eastAsia="es-ES"/>
              </w:rPr>
            </w:pPr>
            <w:r w:rsidRPr="00AE766A">
              <w:rPr>
                <w:rFonts w:ascii="Open Sans" w:eastAsia="Times New Roman" w:hAnsi="Open Sans" w:cs="Open Sans"/>
                <w:color w:val="000000"/>
                <w:sz w:val="20"/>
                <w:szCs w:val="20"/>
                <w:lang w:eastAsia="es-ES"/>
              </w:rPr>
              <w:t>241.500,00 €</w:t>
            </w:r>
          </w:p>
        </w:tc>
      </w:tr>
      <w:tr w:rsidR="00D572EA" w:rsidRPr="00AE766A" w14:paraId="00700F01" w14:textId="77777777" w:rsidTr="00AC7D1A">
        <w:tc>
          <w:tcPr>
            <w:tcW w:w="5842"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28" w:type="dxa"/>
              <w:right w:w="5" w:type="dxa"/>
            </w:tcMar>
            <w:vAlign w:val="center"/>
          </w:tcPr>
          <w:p w14:paraId="30C39994" w14:textId="77777777" w:rsidR="00D572EA" w:rsidRPr="00AE766A" w:rsidRDefault="00D572EA" w:rsidP="00D572EA">
            <w:pPr>
              <w:autoSpaceDN w:val="0"/>
              <w:spacing w:after="0" w:line="360" w:lineRule="auto"/>
              <w:rPr>
                <w:rFonts w:ascii="Open Sans" w:eastAsia="Times New Roman" w:hAnsi="Open Sans" w:cs="Open Sans"/>
                <w:color w:val="000000"/>
                <w:sz w:val="20"/>
                <w:szCs w:val="20"/>
                <w:lang w:eastAsia="es-ES"/>
              </w:rPr>
            </w:pPr>
            <w:r w:rsidRPr="00AE766A">
              <w:rPr>
                <w:rFonts w:ascii="Open Sans" w:eastAsia="Times New Roman" w:hAnsi="Open Sans" w:cs="Open Sans"/>
                <w:color w:val="000000"/>
                <w:sz w:val="20"/>
                <w:szCs w:val="20"/>
                <w:lang w:eastAsia="es-ES"/>
              </w:rPr>
              <w:t>Obligaciones reconocidas</w:t>
            </w:r>
          </w:p>
        </w:tc>
        <w:tc>
          <w:tcPr>
            <w:tcW w:w="2380"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28" w:type="dxa"/>
              <w:right w:w="5" w:type="dxa"/>
            </w:tcMar>
            <w:vAlign w:val="center"/>
          </w:tcPr>
          <w:p w14:paraId="5AE78F44" w14:textId="77777777" w:rsidR="00D572EA" w:rsidRPr="00AE766A" w:rsidRDefault="00D572EA" w:rsidP="00D572EA">
            <w:pPr>
              <w:autoSpaceDN w:val="0"/>
              <w:spacing w:after="0" w:line="360" w:lineRule="auto"/>
              <w:jc w:val="right"/>
              <w:rPr>
                <w:rFonts w:ascii="Open Sans" w:eastAsia="Times New Roman" w:hAnsi="Open Sans" w:cs="Open Sans"/>
                <w:color w:val="000000"/>
                <w:sz w:val="20"/>
                <w:szCs w:val="20"/>
                <w:lang w:eastAsia="es-ES"/>
              </w:rPr>
            </w:pPr>
            <w:r w:rsidRPr="00AE766A">
              <w:rPr>
                <w:rFonts w:ascii="Open Sans" w:eastAsia="Times New Roman" w:hAnsi="Open Sans" w:cs="Open Sans"/>
                <w:color w:val="000000"/>
                <w:sz w:val="20"/>
                <w:szCs w:val="20"/>
                <w:lang w:eastAsia="es-ES"/>
              </w:rPr>
              <w:t>216.452,01 €</w:t>
            </w:r>
          </w:p>
        </w:tc>
      </w:tr>
      <w:tr w:rsidR="00D572EA" w:rsidRPr="00AE766A" w14:paraId="5477D206" w14:textId="77777777" w:rsidTr="00AC7D1A">
        <w:tc>
          <w:tcPr>
            <w:tcW w:w="5842"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28" w:type="dxa"/>
              <w:right w:w="5" w:type="dxa"/>
            </w:tcMar>
            <w:vAlign w:val="center"/>
          </w:tcPr>
          <w:p w14:paraId="65FC5108" w14:textId="77777777" w:rsidR="00D572EA" w:rsidRPr="00AE766A" w:rsidRDefault="00D572EA" w:rsidP="00D572EA">
            <w:pPr>
              <w:autoSpaceDN w:val="0"/>
              <w:spacing w:after="0" w:line="360" w:lineRule="auto"/>
              <w:rPr>
                <w:rFonts w:ascii="Times New Roman" w:eastAsia="Times New Roman" w:hAnsi="Times New Roman" w:cs="Times New Roman"/>
                <w:sz w:val="20"/>
                <w:szCs w:val="20"/>
                <w:lang w:eastAsia="es-ES"/>
              </w:rPr>
            </w:pPr>
          </w:p>
        </w:tc>
        <w:tc>
          <w:tcPr>
            <w:tcW w:w="2380"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28" w:type="dxa"/>
              <w:right w:w="5" w:type="dxa"/>
            </w:tcMar>
            <w:vAlign w:val="center"/>
          </w:tcPr>
          <w:p w14:paraId="1BBD9E8A" w14:textId="77777777" w:rsidR="00D572EA" w:rsidRPr="00AE766A" w:rsidRDefault="00D572EA" w:rsidP="00D572EA">
            <w:pPr>
              <w:autoSpaceDN w:val="0"/>
              <w:spacing w:after="0" w:line="360" w:lineRule="auto"/>
              <w:jc w:val="right"/>
              <w:rPr>
                <w:rFonts w:ascii="Times New Roman" w:eastAsia="Times New Roman" w:hAnsi="Times New Roman" w:cs="Times New Roman"/>
                <w:sz w:val="20"/>
                <w:szCs w:val="20"/>
                <w:lang w:eastAsia="es-ES"/>
              </w:rPr>
            </w:pPr>
          </w:p>
        </w:tc>
      </w:tr>
      <w:tr w:rsidR="00D572EA" w:rsidRPr="00AE766A" w14:paraId="30798DD5" w14:textId="77777777" w:rsidTr="00AC7D1A">
        <w:tc>
          <w:tcPr>
            <w:tcW w:w="5842"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28" w:type="dxa"/>
              <w:right w:w="5" w:type="dxa"/>
            </w:tcMar>
            <w:vAlign w:val="center"/>
          </w:tcPr>
          <w:p w14:paraId="13C10B5F" w14:textId="77777777" w:rsidR="00D572EA" w:rsidRPr="00AE766A" w:rsidRDefault="00D572EA" w:rsidP="00D572EA">
            <w:pPr>
              <w:autoSpaceDN w:val="0"/>
              <w:spacing w:after="0" w:line="360" w:lineRule="auto"/>
              <w:jc w:val="right"/>
              <w:rPr>
                <w:rFonts w:ascii="Open Sans" w:eastAsia="Times New Roman" w:hAnsi="Open Sans" w:cs="Open Sans"/>
                <w:b/>
                <w:color w:val="7B2935"/>
                <w:sz w:val="20"/>
                <w:szCs w:val="20"/>
                <w:lang w:eastAsia="es-ES"/>
              </w:rPr>
            </w:pPr>
            <w:r w:rsidRPr="00AE766A">
              <w:rPr>
                <w:rFonts w:ascii="Open Sans" w:eastAsia="Times New Roman" w:hAnsi="Open Sans" w:cs="Open Sans"/>
                <w:b/>
                <w:color w:val="7B2935"/>
                <w:sz w:val="20"/>
                <w:szCs w:val="20"/>
                <w:lang w:eastAsia="es-ES"/>
              </w:rPr>
              <w:t>Total derechos liquidados</w:t>
            </w:r>
          </w:p>
        </w:tc>
        <w:tc>
          <w:tcPr>
            <w:tcW w:w="2380"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28" w:type="dxa"/>
              <w:right w:w="5" w:type="dxa"/>
            </w:tcMar>
            <w:vAlign w:val="center"/>
          </w:tcPr>
          <w:p w14:paraId="6FDDF128" w14:textId="77777777" w:rsidR="00D572EA" w:rsidRPr="00AE766A" w:rsidRDefault="00D572EA" w:rsidP="00D572EA">
            <w:pPr>
              <w:autoSpaceDN w:val="0"/>
              <w:spacing w:after="0" w:line="360" w:lineRule="auto"/>
              <w:jc w:val="right"/>
              <w:rPr>
                <w:rFonts w:ascii="Open Sans" w:eastAsia="Times New Roman" w:hAnsi="Open Sans" w:cs="Open Sans"/>
                <w:color w:val="000000"/>
                <w:sz w:val="20"/>
                <w:szCs w:val="20"/>
                <w:lang w:eastAsia="es-ES"/>
              </w:rPr>
            </w:pPr>
            <w:r w:rsidRPr="00AE766A">
              <w:rPr>
                <w:rFonts w:ascii="Open Sans" w:eastAsia="Times New Roman" w:hAnsi="Open Sans" w:cs="Open Sans"/>
                <w:color w:val="000000"/>
                <w:sz w:val="20"/>
                <w:szCs w:val="20"/>
                <w:lang w:eastAsia="es-ES"/>
              </w:rPr>
              <w:t>3.382.020,11 €</w:t>
            </w:r>
          </w:p>
        </w:tc>
      </w:tr>
      <w:tr w:rsidR="00D572EA" w:rsidRPr="00AE766A" w14:paraId="044B05D8" w14:textId="77777777" w:rsidTr="00AC7D1A">
        <w:tc>
          <w:tcPr>
            <w:tcW w:w="5842"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28" w:type="dxa"/>
              <w:right w:w="5" w:type="dxa"/>
            </w:tcMar>
            <w:vAlign w:val="center"/>
          </w:tcPr>
          <w:p w14:paraId="4242F96C" w14:textId="77777777" w:rsidR="00D572EA" w:rsidRPr="00AE766A" w:rsidRDefault="00D572EA" w:rsidP="00D572EA">
            <w:pPr>
              <w:autoSpaceDN w:val="0"/>
              <w:spacing w:after="0" w:line="360" w:lineRule="auto"/>
              <w:jc w:val="right"/>
              <w:rPr>
                <w:rFonts w:ascii="Open Sans" w:eastAsia="Times New Roman" w:hAnsi="Open Sans" w:cs="Open Sans"/>
                <w:b/>
                <w:color w:val="7B2935"/>
                <w:sz w:val="20"/>
                <w:szCs w:val="20"/>
                <w:lang w:eastAsia="es-ES"/>
              </w:rPr>
            </w:pPr>
            <w:r w:rsidRPr="00AE766A">
              <w:rPr>
                <w:rFonts w:ascii="Open Sans" w:eastAsia="Times New Roman" w:hAnsi="Open Sans" w:cs="Open Sans"/>
                <w:b/>
                <w:color w:val="7B2935"/>
                <w:sz w:val="20"/>
                <w:szCs w:val="20"/>
                <w:lang w:eastAsia="es-ES"/>
              </w:rPr>
              <w:t>Total obligaciones reconocidas</w:t>
            </w:r>
          </w:p>
        </w:tc>
        <w:tc>
          <w:tcPr>
            <w:tcW w:w="2380"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28" w:type="dxa"/>
              <w:right w:w="5" w:type="dxa"/>
            </w:tcMar>
            <w:vAlign w:val="center"/>
          </w:tcPr>
          <w:p w14:paraId="1E67844B" w14:textId="77777777" w:rsidR="00D572EA" w:rsidRPr="00AE766A" w:rsidRDefault="00D572EA" w:rsidP="00D572EA">
            <w:pPr>
              <w:autoSpaceDN w:val="0"/>
              <w:spacing w:after="0" w:line="360" w:lineRule="auto"/>
              <w:jc w:val="right"/>
              <w:rPr>
                <w:rFonts w:ascii="Open Sans" w:eastAsia="Times New Roman" w:hAnsi="Open Sans" w:cs="Open Sans"/>
                <w:color w:val="000000"/>
                <w:sz w:val="20"/>
                <w:szCs w:val="20"/>
                <w:lang w:eastAsia="es-ES"/>
              </w:rPr>
            </w:pPr>
            <w:r w:rsidRPr="00AE766A">
              <w:rPr>
                <w:rFonts w:ascii="Open Sans" w:eastAsia="Times New Roman" w:hAnsi="Open Sans" w:cs="Open Sans"/>
                <w:color w:val="000000"/>
                <w:sz w:val="20"/>
                <w:szCs w:val="20"/>
                <w:lang w:eastAsia="es-ES"/>
              </w:rPr>
              <w:t>2.547.912,00 €</w:t>
            </w:r>
          </w:p>
        </w:tc>
      </w:tr>
      <w:tr w:rsidR="00D572EA" w:rsidRPr="00AE766A" w14:paraId="5091B4D6" w14:textId="77777777" w:rsidTr="00AC7D1A">
        <w:tc>
          <w:tcPr>
            <w:tcW w:w="5842" w:type="dxa"/>
            <w:tcBorders>
              <w:top w:val="single" w:sz="4" w:space="0" w:color="000000"/>
              <w:left w:val="single" w:sz="4" w:space="0" w:color="000000"/>
              <w:bottom w:val="single" w:sz="4" w:space="0" w:color="000000"/>
              <w:right w:val="single" w:sz="4" w:space="0" w:color="000000"/>
            </w:tcBorders>
            <w:shd w:val="clear" w:color="auto" w:fill="9D2235"/>
            <w:tcMar>
              <w:top w:w="0" w:type="dxa"/>
              <w:left w:w="5" w:type="dxa"/>
              <w:bottom w:w="0" w:type="dxa"/>
              <w:right w:w="5" w:type="dxa"/>
            </w:tcMar>
            <w:vAlign w:val="center"/>
          </w:tcPr>
          <w:p w14:paraId="4D2BE5B7" w14:textId="77777777" w:rsidR="00D572EA" w:rsidRPr="00AE766A" w:rsidRDefault="00D572EA" w:rsidP="00D572EA">
            <w:pPr>
              <w:autoSpaceDN w:val="0"/>
              <w:spacing w:after="0" w:line="360" w:lineRule="auto"/>
              <w:rPr>
                <w:rFonts w:ascii="Open Sans" w:eastAsia="Times New Roman" w:hAnsi="Open Sans" w:cs="Open Sans"/>
                <w:b/>
                <w:bCs/>
                <w:color w:val="FFFFFF"/>
                <w:sz w:val="20"/>
                <w:szCs w:val="20"/>
                <w:lang w:eastAsia="es-ES"/>
              </w:rPr>
            </w:pPr>
            <w:r w:rsidRPr="00AE766A">
              <w:rPr>
                <w:rFonts w:ascii="Open Sans" w:eastAsia="Times New Roman" w:hAnsi="Open Sans" w:cs="Open Sans"/>
                <w:b/>
                <w:bCs/>
                <w:color w:val="FFFFFF"/>
                <w:sz w:val="20"/>
                <w:szCs w:val="20"/>
                <w:lang w:eastAsia="es-ES"/>
              </w:rPr>
              <w:t>Resultado presupuestario</w:t>
            </w:r>
          </w:p>
        </w:tc>
        <w:tc>
          <w:tcPr>
            <w:tcW w:w="2380" w:type="dxa"/>
            <w:tcBorders>
              <w:top w:val="single" w:sz="4" w:space="0" w:color="000000"/>
              <w:left w:val="single" w:sz="4" w:space="0" w:color="000000"/>
              <w:bottom w:val="single" w:sz="4" w:space="0" w:color="000000"/>
              <w:right w:val="single" w:sz="4" w:space="0" w:color="000000"/>
            </w:tcBorders>
            <w:shd w:val="clear" w:color="auto" w:fill="9D2235"/>
            <w:tcMar>
              <w:top w:w="0" w:type="dxa"/>
              <w:left w:w="5" w:type="dxa"/>
              <w:bottom w:w="0" w:type="dxa"/>
              <w:right w:w="5" w:type="dxa"/>
            </w:tcMar>
            <w:vAlign w:val="center"/>
          </w:tcPr>
          <w:p w14:paraId="28188ACD" w14:textId="77777777" w:rsidR="00D572EA" w:rsidRPr="00AE766A" w:rsidRDefault="00D572EA" w:rsidP="00D572EA">
            <w:pPr>
              <w:autoSpaceDN w:val="0"/>
              <w:spacing w:after="0" w:line="360" w:lineRule="auto"/>
              <w:jc w:val="right"/>
              <w:rPr>
                <w:rFonts w:ascii="Open Sans" w:eastAsia="Times New Roman" w:hAnsi="Open Sans" w:cs="Open Sans"/>
                <w:b/>
                <w:bCs/>
                <w:color w:val="FFFFFF"/>
                <w:sz w:val="20"/>
                <w:szCs w:val="20"/>
                <w:lang w:eastAsia="es-ES"/>
              </w:rPr>
            </w:pPr>
            <w:r w:rsidRPr="00AE766A">
              <w:rPr>
                <w:rFonts w:ascii="Open Sans" w:eastAsia="Times New Roman" w:hAnsi="Open Sans" w:cs="Open Sans"/>
                <w:b/>
                <w:bCs/>
                <w:color w:val="FFFFFF"/>
                <w:sz w:val="20"/>
                <w:szCs w:val="20"/>
                <w:lang w:eastAsia="es-ES"/>
              </w:rPr>
              <w:t>834.108,11 €</w:t>
            </w:r>
          </w:p>
        </w:tc>
      </w:tr>
    </w:tbl>
    <w:p w14:paraId="00D351D5" w14:textId="77777777" w:rsidR="00D572EA" w:rsidRPr="00A07BE9" w:rsidRDefault="00D572EA" w:rsidP="00D572EA">
      <w:pPr>
        <w:autoSpaceDN w:val="0"/>
        <w:spacing w:after="0" w:line="360" w:lineRule="auto"/>
        <w:jc w:val="both"/>
        <w:rPr>
          <w:rFonts w:ascii="Open Sans" w:eastAsia="Times New Roman" w:hAnsi="Open Sans" w:cs="Open Sans"/>
          <w:b/>
          <w:color w:val="000000"/>
          <w:sz w:val="19"/>
          <w:szCs w:val="19"/>
          <w:lang w:eastAsia="es-ES"/>
        </w:rPr>
      </w:pPr>
    </w:p>
    <w:p w14:paraId="45F714EC" w14:textId="7856337D" w:rsidR="00D572EA" w:rsidRDefault="00D572EA" w:rsidP="00D572EA">
      <w:pPr>
        <w:suppressAutoHyphens/>
        <w:autoSpaceDN w:val="0"/>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Los </w:t>
      </w:r>
      <w:r w:rsidRPr="00A07BE9">
        <w:rPr>
          <w:rFonts w:ascii="Open Sans" w:eastAsia="Times New Roman" w:hAnsi="Open Sans" w:cs="Open Sans"/>
          <w:b/>
          <w:bCs/>
          <w:color w:val="000000"/>
          <w:sz w:val="20"/>
          <w:szCs w:val="20"/>
          <w:lang w:eastAsia="es-ES"/>
        </w:rPr>
        <w:t xml:space="preserve">FONDOS DE LA AGENCIA </w:t>
      </w:r>
      <w:r w:rsidRPr="00A07BE9">
        <w:rPr>
          <w:rFonts w:ascii="Open Sans" w:eastAsia="Times New Roman" w:hAnsi="Open Sans" w:cs="Open Sans"/>
          <w:color w:val="000000"/>
          <w:sz w:val="20"/>
          <w:szCs w:val="20"/>
          <w:lang w:eastAsia="es-ES"/>
        </w:rPr>
        <w:t>se encuentran depositados en una única entidad bancaria: Caixabank, SA (CIF: A08663619) y su disposición se rige por el sistema de firma mancomunada del director y de las personas que ocupan los puestos de trabajo de jefe/a del área de Administración, Recursos Humanos y Gestión Económica y de jefe/a de la Unidad de Gestión Económica.</w:t>
      </w:r>
    </w:p>
    <w:p w14:paraId="1E022A6A" w14:textId="77777777" w:rsidR="00AE766A" w:rsidRPr="00A07BE9" w:rsidRDefault="00AE766A" w:rsidP="00D572EA">
      <w:pPr>
        <w:suppressAutoHyphens/>
        <w:autoSpaceDN w:val="0"/>
        <w:spacing w:after="0" w:line="276" w:lineRule="auto"/>
        <w:jc w:val="both"/>
        <w:rPr>
          <w:rFonts w:ascii="Liberation Serif" w:eastAsia="Droid Sans Fallback" w:hAnsi="Liberation Serif" w:cs="FreeSans"/>
          <w:kern w:val="3"/>
          <w:sz w:val="20"/>
          <w:szCs w:val="20"/>
          <w:lang w:eastAsia="zh-CN" w:bidi="hi-IN"/>
        </w:rPr>
      </w:pPr>
    </w:p>
    <w:p w14:paraId="32EA7296" w14:textId="77777777" w:rsidR="00D572EA" w:rsidRPr="00A07BE9" w:rsidRDefault="00D572EA" w:rsidP="00D572EA">
      <w:pPr>
        <w:suppressAutoHyphens/>
        <w:autoSpaceDN w:val="0"/>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Las órdenes de disposición de fondos requieren la concurrencia de dos de las tres firmas mancomunadas y siempre y, en todo caso, la del director de la Agencia.</w:t>
      </w:r>
    </w:p>
    <w:p w14:paraId="65598F84" w14:textId="5421DC7A" w:rsidR="00CF7179" w:rsidRDefault="00CF7179" w:rsidP="00D572EA">
      <w:pPr>
        <w:autoSpaceDN w:val="0"/>
        <w:spacing w:after="0" w:line="360" w:lineRule="auto"/>
        <w:rPr>
          <w:rFonts w:ascii="Open Sans" w:eastAsia="Times New Roman" w:hAnsi="Open Sans" w:cs="Open Sans"/>
          <w:b/>
          <w:bCs/>
          <w:color w:val="9D2235"/>
          <w:sz w:val="20"/>
          <w:szCs w:val="20"/>
          <w:shd w:val="clear" w:color="auto" w:fill="FFFFFF"/>
          <w:lang w:eastAsia="es-ES"/>
        </w:rPr>
      </w:pPr>
    </w:p>
    <w:p w14:paraId="062A1FB1" w14:textId="77777777" w:rsidR="00AE766A" w:rsidRDefault="00AE766A" w:rsidP="00D572EA">
      <w:pPr>
        <w:autoSpaceDN w:val="0"/>
        <w:spacing w:after="0" w:line="360" w:lineRule="auto"/>
        <w:rPr>
          <w:rFonts w:ascii="Open Sans" w:eastAsia="Times New Roman" w:hAnsi="Open Sans" w:cs="Open Sans"/>
          <w:b/>
          <w:bCs/>
          <w:color w:val="9D2235"/>
          <w:sz w:val="20"/>
          <w:szCs w:val="20"/>
          <w:shd w:val="clear" w:color="auto" w:fill="FFFFFF"/>
          <w:lang w:eastAsia="es-ES"/>
        </w:rPr>
      </w:pPr>
    </w:p>
    <w:p w14:paraId="4F8E43A0" w14:textId="30130953" w:rsidR="00D572EA" w:rsidRPr="00A07BE9" w:rsidRDefault="00D572EA" w:rsidP="00D572EA">
      <w:pPr>
        <w:autoSpaceDN w:val="0"/>
        <w:spacing w:after="0" w:line="360" w:lineRule="auto"/>
        <w:rPr>
          <w:rFonts w:ascii="Liberation Serif" w:eastAsia="Droid Sans Fallback" w:hAnsi="Liberation Serif" w:cs="FreeSans"/>
          <w:kern w:val="3"/>
          <w:sz w:val="20"/>
          <w:szCs w:val="20"/>
          <w:lang w:eastAsia="zh-CN" w:bidi="hi-IN"/>
        </w:rPr>
      </w:pPr>
      <w:r w:rsidRPr="00A07BE9">
        <w:rPr>
          <w:rFonts w:ascii="Open Sans" w:eastAsia="Times New Roman" w:hAnsi="Open Sans" w:cs="Open Sans"/>
          <w:b/>
          <w:bCs/>
          <w:color w:val="9D2235"/>
          <w:sz w:val="20"/>
          <w:szCs w:val="20"/>
          <w:shd w:val="clear" w:color="auto" w:fill="FFFFFF"/>
          <w:lang w:eastAsia="es-ES"/>
        </w:rPr>
        <w:lastRenderedPageBreak/>
        <w:t xml:space="preserve">Tabla </w:t>
      </w:r>
      <w:r w:rsidR="002B0793" w:rsidRPr="00A07BE9">
        <w:rPr>
          <w:rFonts w:ascii="Open Sans" w:eastAsia="Times New Roman" w:hAnsi="Open Sans" w:cs="Open Sans"/>
          <w:b/>
          <w:bCs/>
          <w:color w:val="9D2235"/>
          <w:sz w:val="20"/>
          <w:szCs w:val="20"/>
          <w:shd w:val="clear" w:color="auto" w:fill="FFFFFF"/>
          <w:lang w:eastAsia="es-ES"/>
        </w:rPr>
        <w:t>3</w:t>
      </w:r>
      <w:r w:rsidR="00747A7D" w:rsidRPr="00A07BE9">
        <w:rPr>
          <w:rFonts w:ascii="Open Sans" w:eastAsia="Times New Roman" w:hAnsi="Open Sans" w:cs="Open Sans"/>
          <w:b/>
          <w:bCs/>
          <w:color w:val="9D2235"/>
          <w:sz w:val="20"/>
          <w:szCs w:val="20"/>
          <w:shd w:val="clear" w:color="auto" w:fill="FFFFFF"/>
          <w:lang w:eastAsia="es-ES"/>
        </w:rPr>
        <w:t>2</w:t>
      </w:r>
      <w:r w:rsidRPr="00A07BE9">
        <w:rPr>
          <w:rFonts w:ascii="Open Sans" w:eastAsia="Times New Roman" w:hAnsi="Open Sans" w:cs="Open Sans"/>
          <w:b/>
          <w:bCs/>
          <w:color w:val="9D2235"/>
          <w:sz w:val="20"/>
          <w:szCs w:val="20"/>
          <w:shd w:val="clear" w:color="auto" w:fill="FFFFFF"/>
          <w:lang w:eastAsia="es-ES"/>
        </w:rPr>
        <w:t>.</w:t>
      </w:r>
      <w:r w:rsidRPr="00A07BE9">
        <w:rPr>
          <w:rFonts w:ascii="Open Sans" w:eastAsia="Times New Roman" w:hAnsi="Open Sans" w:cs="Open Sans"/>
          <w:color w:val="993333"/>
          <w:sz w:val="20"/>
          <w:szCs w:val="20"/>
          <w:shd w:val="clear" w:color="auto" w:fill="FFFFFF"/>
          <w:lang w:eastAsia="es-ES"/>
        </w:rPr>
        <w:t xml:space="preserve"> </w:t>
      </w:r>
      <w:r w:rsidRPr="00A07BE9">
        <w:rPr>
          <w:rFonts w:ascii="Open Sans" w:eastAsia="Times New Roman" w:hAnsi="Open Sans" w:cs="Open Sans"/>
          <w:b/>
          <w:bCs/>
          <w:color w:val="00000A"/>
          <w:sz w:val="20"/>
          <w:szCs w:val="20"/>
          <w:shd w:val="clear" w:color="auto" w:fill="FFFFFF"/>
          <w:lang w:eastAsia="es-ES"/>
        </w:rPr>
        <w:t>Situación y evolución de los fondos de la cuenta corriente</w:t>
      </w:r>
    </w:p>
    <w:tbl>
      <w:tblPr>
        <w:tblW w:w="8487" w:type="dxa"/>
        <w:jc w:val="center"/>
        <w:tblLayout w:type="fixed"/>
        <w:tblCellMar>
          <w:left w:w="10" w:type="dxa"/>
          <w:right w:w="10" w:type="dxa"/>
        </w:tblCellMar>
        <w:tblLook w:val="0000" w:firstRow="0" w:lastRow="0" w:firstColumn="0" w:lastColumn="0" w:noHBand="0" w:noVBand="0"/>
      </w:tblPr>
      <w:tblGrid>
        <w:gridCol w:w="2268"/>
        <w:gridCol w:w="1906"/>
        <w:gridCol w:w="1780"/>
        <w:gridCol w:w="2533"/>
      </w:tblGrid>
      <w:tr w:rsidR="00D572EA" w:rsidRPr="00A07BE9" w14:paraId="3D0A7179" w14:textId="77777777" w:rsidTr="008E6E2C">
        <w:trPr>
          <w:tblHeader/>
          <w:jc w:val="center"/>
        </w:trPr>
        <w:tc>
          <w:tcPr>
            <w:tcW w:w="2268" w:type="dxa"/>
            <w:tcBorders>
              <w:top w:val="single" w:sz="4" w:space="0" w:color="000000"/>
              <w:left w:val="single" w:sz="4" w:space="0" w:color="000000"/>
              <w:bottom w:val="single" w:sz="4" w:space="0" w:color="000000"/>
              <w:right w:val="single" w:sz="4" w:space="0" w:color="000000"/>
            </w:tcBorders>
            <w:shd w:val="clear" w:color="auto" w:fill="9D2235"/>
            <w:tcMar>
              <w:top w:w="57" w:type="dxa"/>
              <w:left w:w="57" w:type="dxa"/>
              <w:bottom w:w="57" w:type="dxa"/>
              <w:right w:w="5" w:type="dxa"/>
            </w:tcMar>
            <w:vAlign w:val="center"/>
          </w:tcPr>
          <w:p w14:paraId="6A925173" w14:textId="13C4637F" w:rsidR="00D572EA" w:rsidRPr="00A07BE9" w:rsidRDefault="00D572EA" w:rsidP="002B0793">
            <w:pPr>
              <w:autoSpaceDN w:val="0"/>
              <w:spacing w:after="0" w:line="360" w:lineRule="auto"/>
              <w:jc w:val="center"/>
              <w:rPr>
                <w:rFonts w:ascii="Open Sans" w:eastAsia="Times New Roman" w:hAnsi="Open Sans" w:cs="Open Sans"/>
                <w:b/>
                <w:bCs/>
                <w:color w:val="FFFFFF"/>
                <w:sz w:val="18"/>
                <w:szCs w:val="18"/>
                <w:lang w:eastAsia="es-ES"/>
              </w:rPr>
            </w:pPr>
            <w:r w:rsidRPr="00A07BE9">
              <w:rPr>
                <w:rFonts w:ascii="Open Sans" w:eastAsia="Times New Roman" w:hAnsi="Open Sans" w:cs="Open Sans"/>
                <w:b/>
                <w:bCs/>
                <w:color w:val="FFFFFF"/>
                <w:sz w:val="18"/>
                <w:szCs w:val="18"/>
                <w:lang w:eastAsia="es-ES"/>
              </w:rPr>
              <w:t>Saldo inicial</w:t>
            </w:r>
            <w:r w:rsidR="002B0793" w:rsidRPr="00A07BE9">
              <w:rPr>
                <w:rFonts w:ascii="Open Sans" w:eastAsia="Times New Roman" w:hAnsi="Open Sans" w:cs="Open Sans"/>
                <w:b/>
                <w:bCs/>
                <w:color w:val="FFFFFF"/>
                <w:sz w:val="18"/>
                <w:szCs w:val="18"/>
                <w:lang w:eastAsia="es-ES"/>
              </w:rPr>
              <w:t xml:space="preserve"> </w:t>
            </w:r>
            <w:r w:rsidRPr="00A07BE9">
              <w:rPr>
                <w:rFonts w:ascii="Open Sans" w:eastAsia="Times New Roman" w:hAnsi="Open Sans" w:cs="Open Sans"/>
                <w:b/>
                <w:bCs/>
                <w:color w:val="FFFFFF"/>
                <w:sz w:val="18"/>
                <w:szCs w:val="18"/>
                <w:lang w:eastAsia="es-ES"/>
              </w:rPr>
              <w:t>01/01/2019</w:t>
            </w:r>
          </w:p>
        </w:tc>
        <w:tc>
          <w:tcPr>
            <w:tcW w:w="1906" w:type="dxa"/>
            <w:tcBorders>
              <w:top w:val="single" w:sz="4" w:space="0" w:color="000000"/>
              <w:left w:val="single" w:sz="4" w:space="0" w:color="000000"/>
              <w:bottom w:val="single" w:sz="4" w:space="0" w:color="000000"/>
              <w:right w:val="single" w:sz="4" w:space="0" w:color="000000"/>
            </w:tcBorders>
            <w:shd w:val="clear" w:color="auto" w:fill="9D2235"/>
            <w:tcMar>
              <w:top w:w="57" w:type="dxa"/>
              <w:left w:w="57" w:type="dxa"/>
              <w:bottom w:w="57" w:type="dxa"/>
              <w:right w:w="5" w:type="dxa"/>
            </w:tcMar>
            <w:vAlign w:val="center"/>
          </w:tcPr>
          <w:p w14:paraId="0A4BAAC8" w14:textId="77777777" w:rsidR="00D572EA" w:rsidRPr="00A07BE9" w:rsidRDefault="00D572EA" w:rsidP="00D572EA">
            <w:pPr>
              <w:autoSpaceDN w:val="0"/>
              <w:spacing w:after="0" w:line="360" w:lineRule="auto"/>
              <w:jc w:val="center"/>
              <w:rPr>
                <w:rFonts w:ascii="Open Sans" w:eastAsia="Times New Roman" w:hAnsi="Open Sans" w:cs="Open Sans"/>
                <w:b/>
                <w:bCs/>
                <w:color w:val="FFFFFF"/>
                <w:sz w:val="18"/>
                <w:szCs w:val="18"/>
                <w:lang w:eastAsia="es-ES"/>
              </w:rPr>
            </w:pPr>
            <w:r w:rsidRPr="00A07BE9">
              <w:rPr>
                <w:rFonts w:ascii="Open Sans" w:eastAsia="Times New Roman" w:hAnsi="Open Sans" w:cs="Open Sans"/>
                <w:b/>
                <w:bCs/>
                <w:color w:val="FFFFFF"/>
                <w:sz w:val="18"/>
                <w:szCs w:val="18"/>
                <w:lang w:eastAsia="es-ES"/>
              </w:rPr>
              <w:t>Ingresos</w:t>
            </w:r>
          </w:p>
        </w:tc>
        <w:tc>
          <w:tcPr>
            <w:tcW w:w="1780" w:type="dxa"/>
            <w:tcBorders>
              <w:top w:val="single" w:sz="4" w:space="0" w:color="000000"/>
              <w:left w:val="single" w:sz="4" w:space="0" w:color="000000"/>
              <w:bottom w:val="single" w:sz="4" w:space="0" w:color="000000"/>
              <w:right w:val="single" w:sz="4" w:space="0" w:color="000000"/>
            </w:tcBorders>
            <w:shd w:val="clear" w:color="auto" w:fill="9D2235"/>
            <w:tcMar>
              <w:top w:w="57" w:type="dxa"/>
              <w:left w:w="57" w:type="dxa"/>
              <w:bottom w:w="57" w:type="dxa"/>
              <w:right w:w="5" w:type="dxa"/>
            </w:tcMar>
            <w:vAlign w:val="center"/>
          </w:tcPr>
          <w:p w14:paraId="13E373C1" w14:textId="77777777" w:rsidR="00D572EA" w:rsidRPr="00A07BE9" w:rsidRDefault="00D572EA" w:rsidP="00D572EA">
            <w:pPr>
              <w:autoSpaceDN w:val="0"/>
              <w:spacing w:after="0" w:line="360" w:lineRule="auto"/>
              <w:jc w:val="center"/>
              <w:rPr>
                <w:rFonts w:ascii="Open Sans" w:eastAsia="Times New Roman" w:hAnsi="Open Sans" w:cs="Open Sans"/>
                <w:b/>
                <w:bCs/>
                <w:color w:val="FFFFFF"/>
                <w:sz w:val="18"/>
                <w:szCs w:val="18"/>
                <w:lang w:eastAsia="es-ES"/>
              </w:rPr>
            </w:pPr>
            <w:r w:rsidRPr="00A07BE9">
              <w:rPr>
                <w:rFonts w:ascii="Open Sans" w:eastAsia="Times New Roman" w:hAnsi="Open Sans" w:cs="Open Sans"/>
                <w:b/>
                <w:bCs/>
                <w:color w:val="FFFFFF"/>
                <w:sz w:val="18"/>
                <w:szCs w:val="18"/>
                <w:lang w:eastAsia="es-ES"/>
              </w:rPr>
              <w:t>Pagos</w:t>
            </w:r>
          </w:p>
        </w:tc>
        <w:tc>
          <w:tcPr>
            <w:tcW w:w="2533" w:type="dxa"/>
            <w:tcBorders>
              <w:top w:val="single" w:sz="4" w:space="0" w:color="000000"/>
              <w:left w:val="single" w:sz="4" w:space="0" w:color="000000"/>
              <w:bottom w:val="single" w:sz="4" w:space="0" w:color="000000"/>
              <w:right w:val="single" w:sz="4" w:space="0" w:color="000000"/>
            </w:tcBorders>
            <w:shd w:val="clear" w:color="auto" w:fill="9D2235"/>
            <w:tcMar>
              <w:top w:w="57" w:type="dxa"/>
              <w:left w:w="57" w:type="dxa"/>
              <w:bottom w:w="57" w:type="dxa"/>
              <w:right w:w="57" w:type="dxa"/>
            </w:tcMar>
            <w:vAlign w:val="center"/>
          </w:tcPr>
          <w:p w14:paraId="7FB4255E" w14:textId="05918D6F" w:rsidR="00D572EA" w:rsidRPr="00A07BE9" w:rsidRDefault="00D572EA" w:rsidP="002B0793">
            <w:pPr>
              <w:autoSpaceDN w:val="0"/>
              <w:spacing w:after="0" w:line="360" w:lineRule="auto"/>
              <w:jc w:val="center"/>
              <w:rPr>
                <w:rFonts w:ascii="Open Sans" w:eastAsia="Times New Roman" w:hAnsi="Open Sans" w:cs="Open Sans"/>
                <w:b/>
                <w:bCs/>
                <w:color w:val="FFFFFF"/>
                <w:sz w:val="18"/>
                <w:szCs w:val="18"/>
                <w:lang w:eastAsia="es-ES"/>
              </w:rPr>
            </w:pPr>
            <w:r w:rsidRPr="00A07BE9">
              <w:rPr>
                <w:rFonts w:ascii="Open Sans" w:eastAsia="Times New Roman" w:hAnsi="Open Sans" w:cs="Open Sans"/>
                <w:b/>
                <w:bCs/>
                <w:color w:val="FFFFFF"/>
                <w:sz w:val="18"/>
                <w:szCs w:val="18"/>
                <w:lang w:eastAsia="es-ES"/>
              </w:rPr>
              <w:t>Saldo final</w:t>
            </w:r>
            <w:r w:rsidR="002B0793" w:rsidRPr="00A07BE9">
              <w:rPr>
                <w:rFonts w:ascii="Open Sans" w:eastAsia="Times New Roman" w:hAnsi="Open Sans" w:cs="Open Sans"/>
                <w:b/>
                <w:bCs/>
                <w:color w:val="FFFFFF"/>
                <w:sz w:val="18"/>
                <w:szCs w:val="18"/>
                <w:lang w:eastAsia="es-ES"/>
              </w:rPr>
              <w:t xml:space="preserve"> </w:t>
            </w:r>
            <w:r w:rsidRPr="00A07BE9">
              <w:rPr>
                <w:rFonts w:ascii="Open Sans" w:eastAsia="Times New Roman" w:hAnsi="Open Sans" w:cs="Open Sans"/>
                <w:b/>
                <w:bCs/>
                <w:color w:val="FFFFFF"/>
                <w:sz w:val="18"/>
                <w:szCs w:val="18"/>
                <w:lang w:eastAsia="es-ES"/>
              </w:rPr>
              <w:t>31/12/2019</w:t>
            </w:r>
          </w:p>
        </w:tc>
      </w:tr>
      <w:tr w:rsidR="00D572EA" w:rsidRPr="00A07BE9" w14:paraId="66ACC1E2" w14:textId="77777777" w:rsidTr="008E6E2C">
        <w:trPr>
          <w:trHeight w:val="420"/>
          <w:jc w:val="center"/>
        </w:trPr>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57" w:type="dxa"/>
              <w:right w:w="5" w:type="dxa"/>
            </w:tcMar>
            <w:vAlign w:val="center"/>
          </w:tcPr>
          <w:p w14:paraId="54AFFF34" w14:textId="7CA8EAF6" w:rsidR="00D572EA" w:rsidRPr="00A07BE9" w:rsidRDefault="002B0793" w:rsidP="00D572EA">
            <w:pPr>
              <w:autoSpaceDN w:val="0"/>
              <w:spacing w:after="0" w:line="360" w:lineRule="auto"/>
              <w:jc w:val="right"/>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 xml:space="preserve">1.084.171,36 € </w:t>
            </w:r>
          </w:p>
        </w:tc>
        <w:tc>
          <w:tcPr>
            <w:tcW w:w="19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57" w:type="dxa"/>
              <w:right w:w="5" w:type="dxa"/>
            </w:tcMar>
            <w:vAlign w:val="center"/>
          </w:tcPr>
          <w:p w14:paraId="7EDE5C55" w14:textId="01534C4E" w:rsidR="00D572EA" w:rsidRPr="00A07BE9" w:rsidRDefault="00D572EA" w:rsidP="002B0793">
            <w:pPr>
              <w:autoSpaceDN w:val="0"/>
              <w:spacing w:after="0" w:line="36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2.502.316,36</w:t>
            </w:r>
            <w:r w:rsidR="002B0793" w:rsidRPr="00A07BE9">
              <w:rPr>
                <w:rFonts w:ascii="Open Sans" w:eastAsia="Times New Roman" w:hAnsi="Open Sans" w:cs="Open Sans"/>
                <w:b/>
                <w:bCs/>
                <w:color w:val="000000"/>
                <w:sz w:val="20"/>
                <w:szCs w:val="20"/>
                <w:lang w:eastAsia="es-ES"/>
              </w:rPr>
              <w:t xml:space="preserve"> €</w:t>
            </w:r>
          </w:p>
        </w:tc>
        <w:tc>
          <w:tcPr>
            <w:tcW w:w="17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57" w:type="dxa"/>
              <w:right w:w="5" w:type="dxa"/>
            </w:tcMar>
            <w:vAlign w:val="center"/>
          </w:tcPr>
          <w:p w14:paraId="33891F0B" w14:textId="50001771" w:rsidR="00D572EA" w:rsidRPr="00A07BE9" w:rsidRDefault="00D572EA" w:rsidP="002B0793">
            <w:pPr>
              <w:autoSpaceDN w:val="0"/>
              <w:spacing w:after="0" w:line="36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2.445.159,30</w:t>
            </w:r>
            <w:r w:rsidR="002B0793" w:rsidRPr="00A07BE9">
              <w:rPr>
                <w:rFonts w:ascii="Open Sans" w:eastAsia="Times New Roman" w:hAnsi="Open Sans" w:cs="Open Sans"/>
                <w:b/>
                <w:bCs/>
                <w:color w:val="000000"/>
                <w:sz w:val="20"/>
                <w:szCs w:val="20"/>
                <w:lang w:eastAsia="es-ES"/>
              </w:rPr>
              <w:t xml:space="preserve"> €</w:t>
            </w:r>
          </w:p>
        </w:tc>
        <w:tc>
          <w:tcPr>
            <w:tcW w:w="2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57" w:type="dxa"/>
              <w:right w:w="5" w:type="dxa"/>
            </w:tcMar>
            <w:vAlign w:val="center"/>
          </w:tcPr>
          <w:p w14:paraId="2E78ADB5" w14:textId="6AA6B488" w:rsidR="00D572EA" w:rsidRPr="00A07BE9" w:rsidRDefault="00D572EA" w:rsidP="002B0793">
            <w:pPr>
              <w:autoSpaceDN w:val="0"/>
              <w:spacing w:after="0" w:line="360" w:lineRule="auto"/>
              <w:jc w:val="center"/>
              <w:rPr>
                <w:rFonts w:ascii="Open Sans" w:eastAsia="Times New Roman" w:hAnsi="Open Sans" w:cs="Open Sans"/>
                <w:b/>
                <w:bCs/>
                <w:color w:val="000000"/>
                <w:sz w:val="20"/>
                <w:szCs w:val="20"/>
                <w:lang w:eastAsia="es-ES"/>
              </w:rPr>
            </w:pPr>
            <w:r w:rsidRPr="00A07BE9">
              <w:rPr>
                <w:rFonts w:ascii="Open Sans" w:eastAsia="Times New Roman" w:hAnsi="Open Sans" w:cs="Open Sans"/>
                <w:b/>
                <w:bCs/>
                <w:color w:val="000000"/>
                <w:sz w:val="20"/>
                <w:szCs w:val="20"/>
                <w:lang w:eastAsia="es-ES"/>
              </w:rPr>
              <w:t>1.141.328,42</w:t>
            </w:r>
            <w:r w:rsidR="002B0793" w:rsidRPr="00A07BE9">
              <w:rPr>
                <w:rFonts w:ascii="Open Sans" w:eastAsia="Times New Roman" w:hAnsi="Open Sans" w:cs="Open Sans"/>
                <w:b/>
                <w:bCs/>
                <w:color w:val="000000"/>
                <w:sz w:val="20"/>
                <w:szCs w:val="20"/>
                <w:lang w:eastAsia="es-ES"/>
              </w:rPr>
              <w:t xml:space="preserve"> €</w:t>
            </w:r>
          </w:p>
        </w:tc>
      </w:tr>
    </w:tbl>
    <w:p w14:paraId="7030F4CB" w14:textId="77777777" w:rsidR="00311B42" w:rsidRDefault="00311B42" w:rsidP="002B0793">
      <w:pPr>
        <w:autoSpaceDN w:val="0"/>
        <w:spacing w:after="0" w:line="276" w:lineRule="auto"/>
        <w:jc w:val="both"/>
        <w:rPr>
          <w:rFonts w:ascii="Open Sans" w:eastAsia="Times New Roman" w:hAnsi="Open Sans" w:cs="Open Sans"/>
          <w:color w:val="000000"/>
          <w:sz w:val="20"/>
          <w:szCs w:val="20"/>
          <w:lang w:eastAsia="es-ES"/>
        </w:rPr>
      </w:pPr>
    </w:p>
    <w:p w14:paraId="1311E09A" w14:textId="72BA4D36" w:rsidR="00D572EA" w:rsidRPr="00A07BE9" w:rsidRDefault="00D572EA" w:rsidP="002B0793">
      <w:pPr>
        <w:autoSpaceDN w:val="0"/>
        <w:spacing w:after="0" w:line="276" w:lineRule="auto"/>
        <w:jc w:val="both"/>
        <w:rPr>
          <w:rFonts w:ascii="Liberation Serif" w:eastAsia="Droid Sans Fallback" w:hAnsi="Liberation Serif" w:cs="FreeSans"/>
          <w:kern w:val="3"/>
          <w:sz w:val="24"/>
          <w:szCs w:val="24"/>
          <w:lang w:eastAsia="zh-CN" w:bidi="hi-IN"/>
        </w:rPr>
      </w:pPr>
      <w:r w:rsidRPr="00A07BE9">
        <w:rPr>
          <w:rFonts w:ascii="Open Sans" w:eastAsia="Times New Roman" w:hAnsi="Open Sans" w:cs="Open Sans"/>
          <w:color w:val="000000"/>
          <w:sz w:val="20"/>
          <w:szCs w:val="20"/>
          <w:lang w:eastAsia="es-ES"/>
        </w:rPr>
        <w:t xml:space="preserve">El </w:t>
      </w:r>
      <w:r w:rsidRPr="00A07BE9">
        <w:rPr>
          <w:rFonts w:ascii="Open Sans" w:eastAsia="Times New Roman" w:hAnsi="Open Sans" w:cs="Open Sans"/>
          <w:b/>
          <w:bCs/>
          <w:color w:val="000000"/>
          <w:sz w:val="20"/>
          <w:szCs w:val="20"/>
          <w:lang w:eastAsia="es-ES"/>
        </w:rPr>
        <w:t>REMANENTE DE TESORERÍA</w:t>
      </w:r>
      <w:r w:rsidRPr="00A07BE9">
        <w:rPr>
          <w:rFonts w:ascii="Open Sans" w:eastAsia="Times New Roman" w:hAnsi="Open Sans" w:cs="Open Sans"/>
          <w:color w:val="000000"/>
          <w:sz w:val="20"/>
          <w:szCs w:val="20"/>
          <w:lang w:eastAsia="es-ES"/>
        </w:rPr>
        <w:t xml:space="preserve"> de la Agencia presenta la situación que se muestra a continuación:</w:t>
      </w:r>
    </w:p>
    <w:p w14:paraId="2FE23B5A" w14:textId="77777777" w:rsidR="00D572EA" w:rsidRPr="00A07BE9" w:rsidRDefault="00D572EA" w:rsidP="00D572EA">
      <w:pPr>
        <w:autoSpaceDN w:val="0"/>
        <w:spacing w:after="0" w:line="360" w:lineRule="auto"/>
        <w:rPr>
          <w:rFonts w:ascii="Open Sans" w:eastAsia="Times New Roman" w:hAnsi="Open Sans" w:cs="Open Sans"/>
          <w:color w:val="000000"/>
          <w:sz w:val="16"/>
          <w:szCs w:val="16"/>
          <w:lang w:eastAsia="es-ES"/>
        </w:rPr>
      </w:pPr>
    </w:p>
    <w:tbl>
      <w:tblPr>
        <w:tblW w:w="8624" w:type="dxa"/>
        <w:tblLayout w:type="fixed"/>
        <w:tblCellMar>
          <w:left w:w="10" w:type="dxa"/>
          <w:right w:w="10" w:type="dxa"/>
        </w:tblCellMar>
        <w:tblLook w:val="0000" w:firstRow="0" w:lastRow="0" w:firstColumn="0" w:lastColumn="0" w:noHBand="0" w:noVBand="0"/>
      </w:tblPr>
      <w:tblGrid>
        <w:gridCol w:w="3898"/>
        <w:gridCol w:w="1251"/>
        <w:gridCol w:w="1078"/>
        <w:gridCol w:w="1124"/>
        <w:gridCol w:w="1273"/>
      </w:tblGrid>
      <w:tr w:rsidR="00D572EA" w:rsidRPr="00A07BE9" w14:paraId="09C711EC" w14:textId="77777777" w:rsidTr="002B0793">
        <w:trPr>
          <w:trHeight w:val="390"/>
        </w:trPr>
        <w:tc>
          <w:tcPr>
            <w:tcW w:w="3845" w:type="dxa"/>
            <w:tcBorders>
              <w:top w:val="single" w:sz="4" w:space="0" w:color="000000"/>
              <w:left w:val="single" w:sz="4" w:space="0" w:color="000000"/>
              <w:bottom w:val="single" w:sz="4" w:space="0" w:color="000000"/>
              <w:right w:val="single" w:sz="4" w:space="0" w:color="000000"/>
            </w:tcBorders>
            <w:shd w:val="clear" w:color="auto" w:fill="9D2235"/>
            <w:tcMar>
              <w:top w:w="0" w:type="dxa"/>
              <w:left w:w="5" w:type="dxa"/>
              <w:bottom w:w="57" w:type="dxa"/>
              <w:right w:w="5" w:type="dxa"/>
            </w:tcMar>
            <w:vAlign w:val="center"/>
          </w:tcPr>
          <w:p w14:paraId="150BC982" w14:textId="77777777" w:rsidR="00D572EA" w:rsidRPr="00A07BE9" w:rsidRDefault="00D572EA" w:rsidP="00D572EA">
            <w:pPr>
              <w:autoSpaceDN w:val="0"/>
              <w:spacing w:after="0" w:line="360" w:lineRule="auto"/>
              <w:jc w:val="center"/>
              <w:rPr>
                <w:rFonts w:ascii="Open Sans" w:eastAsia="Times New Roman" w:hAnsi="Open Sans" w:cs="Open Sans"/>
                <w:b/>
                <w:bCs/>
                <w:color w:val="FFFFFF"/>
                <w:sz w:val="17"/>
                <w:szCs w:val="17"/>
                <w:lang w:eastAsia="es-ES"/>
              </w:rPr>
            </w:pPr>
            <w:r w:rsidRPr="00A07BE9">
              <w:rPr>
                <w:rFonts w:ascii="Open Sans" w:eastAsia="Times New Roman" w:hAnsi="Open Sans" w:cs="Open Sans"/>
                <w:b/>
                <w:bCs/>
                <w:color w:val="FFFFFF"/>
                <w:sz w:val="17"/>
                <w:szCs w:val="17"/>
                <w:lang w:eastAsia="es-ES"/>
              </w:rPr>
              <w:t>CONCEPTOS</w:t>
            </w:r>
          </w:p>
        </w:tc>
        <w:tc>
          <w:tcPr>
            <w:tcW w:w="2297" w:type="dxa"/>
            <w:gridSpan w:val="2"/>
            <w:tcBorders>
              <w:top w:val="single" w:sz="4" w:space="0" w:color="000000"/>
              <w:left w:val="single" w:sz="4" w:space="0" w:color="000000"/>
              <w:bottom w:val="single" w:sz="4" w:space="0" w:color="000000"/>
              <w:right w:val="single" w:sz="4" w:space="0" w:color="000000"/>
            </w:tcBorders>
            <w:shd w:val="clear" w:color="auto" w:fill="9D2235"/>
            <w:tcMar>
              <w:top w:w="0" w:type="dxa"/>
              <w:left w:w="5" w:type="dxa"/>
              <w:bottom w:w="57" w:type="dxa"/>
              <w:right w:w="5" w:type="dxa"/>
            </w:tcMar>
            <w:vAlign w:val="center"/>
          </w:tcPr>
          <w:p w14:paraId="003E4397" w14:textId="77777777" w:rsidR="00D572EA" w:rsidRPr="00A07BE9" w:rsidRDefault="00D572EA" w:rsidP="00D572EA">
            <w:pPr>
              <w:autoSpaceDN w:val="0"/>
              <w:spacing w:after="0" w:line="360" w:lineRule="auto"/>
              <w:jc w:val="center"/>
              <w:rPr>
                <w:rFonts w:ascii="Open Sans" w:eastAsia="Times New Roman" w:hAnsi="Open Sans" w:cs="Open Sans"/>
                <w:b/>
                <w:bCs/>
                <w:color w:val="FFFFFF"/>
                <w:sz w:val="17"/>
                <w:szCs w:val="17"/>
                <w:lang w:eastAsia="es-ES"/>
              </w:rPr>
            </w:pPr>
            <w:r w:rsidRPr="00A07BE9">
              <w:rPr>
                <w:rFonts w:ascii="Open Sans" w:eastAsia="Times New Roman" w:hAnsi="Open Sans" w:cs="Open Sans"/>
                <w:b/>
                <w:bCs/>
                <w:color w:val="FFFFFF"/>
                <w:sz w:val="17"/>
                <w:szCs w:val="17"/>
                <w:lang w:eastAsia="es-ES"/>
              </w:rPr>
              <w:t>IMPORTES</w:t>
            </w:r>
          </w:p>
          <w:p w14:paraId="6FB3B6A5" w14:textId="77777777" w:rsidR="00D572EA" w:rsidRPr="00A07BE9" w:rsidRDefault="00D572EA" w:rsidP="00D572EA">
            <w:pPr>
              <w:autoSpaceDN w:val="0"/>
              <w:spacing w:after="0" w:line="360" w:lineRule="auto"/>
              <w:jc w:val="center"/>
              <w:rPr>
                <w:rFonts w:ascii="Open Sans" w:eastAsia="Times New Roman" w:hAnsi="Open Sans" w:cs="Open Sans"/>
                <w:b/>
                <w:bCs/>
                <w:color w:val="FFFFFF"/>
                <w:sz w:val="17"/>
                <w:szCs w:val="17"/>
                <w:lang w:eastAsia="es-ES"/>
              </w:rPr>
            </w:pPr>
            <w:r w:rsidRPr="00A07BE9">
              <w:rPr>
                <w:rFonts w:ascii="Open Sans" w:eastAsia="Times New Roman" w:hAnsi="Open Sans" w:cs="Open Sans"/>
                <w:b/>
                <w:bCs/>
                <w:color w:val="FFFFFF"/>
                <w:sz w:val="17"/>
                <w:szCs w:val="17"/>
                <w:lang w:eastAsia="es-ES"/>
              </w:rPr>
              <w:t>2019</w:t>
            </w:r>
          </w:p>
        </w:tc>
        <w:tc>
          <w:tcPr>
            <w:tcW w:w="2363" w:type="dxa"/>
            <w:gridSpan w:val="2"/>
            <w:tcBorders>
              <w:top w:val="single" w:sz="4" w:space="0" w:color="000000"/>
              <w:left w:val="single" w:sz="4" w:space="0" w:color="000000"/>
              <w:bottom w:val="single" w:sz="4" w:space="0" w:color="000000"/>
              <w:right w:val="single" w:sz="4" w:space="0" w:color="000000"/>
            </w:tcBorders>
            <w:shd w:val="clear" w:color="auto" w:fill="9D2235"/>
            <w:tcMar>
              <w:top w:w="0" w:type="dxa"/>
              <w:left w:w="5" w:type="dxa"/>
              <w:bottom w:w="57" w:type="dxa"/>
              <w:right w:w="5" w:type="dxa"/>
            </w:tcMar>
            <w:vAlign w:val="center"/>
          </w:tcPr>
          <w:p w14:paraId="5C72BA06" w14:textId="77777777" w:rsidR="00D572EA" w:rsidRPr="00A07BE9" w:rsidRDefault="00D572EA" w:rsidP="00D572EA">
            <w:pPr>
              <w:autoSpaceDN w:val="0"/>
              <w:spacing w:after="0" w:line="360" w:lineRule="auto"/>
              <w:jc w:val="center"/>
              <w:rPr>
                <w:rFonts w:ascii="Open Sans" w:eastAsia="Times New Roman" w:hAnsi="Open Sans" w:cs="Open Sans"/>
                <w:b/>
                <w:bCs/>
                <w:color w:val="FFFFFF"/>
                <w:sz w:val="17"/>
                <w:szCs w:val="17"/>
                <w:lang w:eastAsia="es-ES"/>
              </w:rPr>
            </w:pPr>
            <w:r w:rsidRPr="00A07BE9">
              <w:rPr>
                <w:rFonts w:ascii="Open Sans" w:eastAsia="Times New Roman" w:hAnsi="Open Sans" w:cs="Open Sans"/>
                <w:b/>
                <w:bCs/>
                <w:color w:val="FFFFFF"/>
                <w:sz w:val="17"/>
                <w:szCs w:val="17"/>
                <w:lang w:eastAsia="es-ES"/>
              </w:rPr>
              <w:t>IMPORTES</w:t>
            </w:r>
          </w:p>
          <w:p w14:paraId="38575790" w14:textId="77777777" w:rsidR="00D572EA" w:rsidRPr="00A07BE9" w:rsidRDefault="00D572EA" w:rsidP="00D572EA">
            <w:pPr>
              <w:autoSpaceDN w:val="0"/>
              <w:spacing w:after="0" w:line="360" w:lineRule="auto"/>
              <w:jc w:val="center"/>
              <w:rPr>
                <w:rFonts w:ascii="Open Sans" w:eastAsia="Times New Roman" w:hAnsi="Open Sans" w:cs="Open Sans"/>
                <w:b/>
                <w:bCs/>
                <w:color w:val="FFFFFF"/>
                <w:sz w:val="17"/>
                <w:szCs w:val="17"/>
                <w:lang w:eastAsia="es-ES"/>
              </w:rPr>
            </w:pPr>
            <w:r w:rsidRPr="00A07BE9">
              <w:rPr>
                <w:rFonts w:ascii="Open Sans" w:eastAsia="Times New Roman" w:hAnsi="Open Sans" w:cs="Open Sans"/>
                <w:b/>
                <w:bCs/>
                <w:color w:val="FFFFFF"/>
                <w:sz w:val="17"/>
                <w:szCs w:val="17"/>
                <w:lang w:eastAsia="es-ES"/>
              </w:rPr>
              <w:t>AÑO ANTERIOR (2018)</w:t>
            </w:r>
          </w:p>
        </w:tc>
      </w:tr>
      <w:tr w:rsidR="00D572EA" w:rsidRPr="00A07BE9" w14:paraId="5BB7D904" w14:textId="77777777" w:rsidTr="002B0793">
        <w:trPr>
          <w:trHeight w:val="210"/>
        </w:trPr>
        <w:tc>
          <w:tcPr>
            <w:tcW w:w="3845"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35073FB6" w14:textId="77777777" w:rsidR="00D572EA" w:rsidRPr="00A07BE9" w:rsidRDefault="00D572EA" w:rsidP="00D572EA">
            <w:pPr>
              <w:autoSpaceDN w:val="0"/>
              <w:spacing w:after="0" w:line="360" w:lineRule="auto"/>
              <w:rPr>
                <w:rFonts w:ascii="Liberation Serif" w:eastAsia="Droid Sans Fallback" w:hAnsi="Liberation Serif" w:cs="FreeSans"/>
                <w:kern w:val="3"/>
                <w:sz w:val="17"/>
                <w:szCs w:val="17"/>
                <w:lang w:eastAsia="zh-CN" w:bidi="hi-IN"/>
              </w:rPr>
            </w:pPr>
            <w:r w:rsidRPr="00A07BE9">
              <w:rPr>
                <w:rFonts w:ascii="Open Sans" w:eastAsia="Times New Roman" w:hAnsi="Open Sans" w:cs="Open Sans"/>
                <w:b/>
                <w:bCs/>
                <w:sz w:val="17"/>
                <w:szCs w:val="17"/>
                <w:lang w:eastAsia="es-ES"/>
              </w:rPr>
              <w:t>1.- (+) FONDOS LÍQUIDOS A LA TESORERÍA</w:t>
            </w:r>
          </w:p>
        </w:tc>
        <w:tc>
          <w:tcPr>
            <w:tcW w:w="1234"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7223ECB3"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c>
          <w:tcPr>
            <w:tcW w:w="1063"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673C8915" w14:textId="77777777" w:rsidR="00D572EA" w:rsidRPr="00A07BE9" w:rsidRDefault="00D572EA" w:rsidP="00D572EA">
            <w:pPr>
              <w:autoSpaceDN w:val="0"/>
              <w:spacing w:after="0" w:line="360" w:lineRule="auto"/>
              <w:jc w:val="right"/>
              <w:rPr>
                <w:rFonts w:ascii="Open Sans" w:eastAsia="Times New Roman" w:hAnsi="Open Sans" w:cs="Open Sans"/>
                <w:b/>
                <w:bCs/>
                <w:sz w:val="17"/>
                <w:szCs w:val="17"/>
                <w:lang w:eastAsia="es-ES"/>
              </w:rPr>
            </w:pPr>
            <w:r w:rsidRPr="00A07BE9">
              <w:rPr>
                <w:rFonts w:ascii="Open Sans" w:eastAsia="Times New Roman" w:hAnsi="Open Sans" w:cs="Open Sans"/>
                <w:b/>
                <w:bCs/>
                <w:sz w:val="17"/>
                <w:szCs w:val="17"/>
                <w:lang w:eastAsia="es-ES"/>
              </w:rPr>
              <w:t>1.141.328,42</w:t>
            </w:r>
          </w:p>
        </w:tc>
        <w:tc>
          <w:tcPr>
            <w:tcW w:w="1108"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1863E6CA"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c>
          <w:tcPr>
            <w:tcW w:w="1255"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4B998609" w14:textId="77777777" w:rsidR="00D572EA" w:rsidRPr="00A07BE9" w:rsidRDefault="00D572EA" w:rsidP="00D572EA">
            <w:pPr>
              <w:autoSpaceDN w:val="0"/>
              <w:spacing w:after="0" w:line="360" w:lineRule="auto"/>
              <w:jc w:val="right"/>
              <w:rPr>
                <w:rFonts w:ascii="Open Sans" w:eastAsia="Times New Roman" w:hAnsi="Open Sans" w:cs="Open Sans"/>
                <w:b/>
                <w:bCs/>
                <w:sz w:val="17"/>
                <w:szCs w:val="17"/>
                <w:lang w:eastAsia="es-ES"/>
              </w:rPr>
            </w:pPr>
            <w:r w:rsidRPr="00A07BE9">
              <w:rPr>
                <w:rFonts w:ascii="Open Sans" w:eastAsia="Times New Roman" w:hAnsi="Open Sans" w:cs="Open Sans"/>
                <w:b/>
                <w:bCs/>
                <w:sz w:val="17"/>
                <w:szCs w:val="17"/>
                <w:lang w:eastAsia="es-ES"/>
              </w:rPr>
              <w:t>1.084.171,36</w:t>
            </w:r>
          </w:p>
        </w:tc>
      </w:tr>
      <w:tr w:rsidR="00D572EA" w:rsidRPr="00A07BE9" w14:paraId="5E79B34D" w14:textId="77777777" w:rsidTr="002B0793">
        <w:tc>
          <w:tcPr>
            <w:tcW w:w="3845"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370D4ED0" w14:textId="77777777" w:rsidR="00D572EA" w:rsidRPr="00A07BE9" w:rsidRDefault="00D572EA" w:rsidP="00D572EA">
            <w:pPr>
              <w:autoSpaceDN w:val="0"/>
              <w:spacing w:after="0" w:line="360" w:lineRule="auto"/>
              <w:rPr>
                <w:rFonts w:ascii="Open Sans" w:eastAsia="Times New Roman" w:hAnsi="Open Sans" w:cs="Open Sans"/>
                <w:b/>
                <w:bCs/>
                <w:sz w:val="17"/>
                <w:szCs w:val="17"/>
                <w:lang w:eastAsia="es-ES"/>
              </w:rPr>
            </w:pPr>
            <w:r w:rsidRPr="00A07BE9">
              <w:rPr>
                <w:rFonts w:ascii="Open Sans" w:eastAsia="Times New Roman" w:hAnsi="Open Sans" w:cs="Open Sans"/>
                <w:b/>
                <w:bCs/>
                <w:sz w:val="17"/>
                <w:szCs w:val="17"/>
                <w:lang w:eastAsia="es-ES"/>
              </w:rPr>
              <w:t>2.- (+) DEUDORES PENDIENTES DE COBRO</w:t>
            </w:r>
          </w:p>
        </w:tc>
        <w:tc>
          <w:tcPr>
            <w:tcW w:w="1234"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14954BAB"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c>
          <w:tcPr>
            <w:tcW w:w="1063"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3E84AB40" w14:textId="77777777" w:rsidR="00D572EA" w:rsidRPr="00A07BE9" w:rsidRDefault="00D572EA" w:rsidP="00D572EA">
            <w:pPr>
              <w:autoSpaceDN w:val="0"/>
              <w:spacing w:after="0" w:line="360" w:lineRule="auto"/>
              <w:jc w:val="right"/>
              <w:rPr>
                <w:rFonts w:ascii="Open Sans" w:eastAsia="Times New Roman" w:hAnsi="Open Sans" w:cs="Open Sans"/>
                <w:b/>
                <w:bCs/>
                <w:sz w:val="17"/>
                <w:szCs w:val="17"/>
                <w:lang w:eastAsia="es-ES"/>
              </w:rPr>
            </w:pPr>
            <w:r w:rsidRPr="00A07BE9">
              <w:rPr>
                <w:rFonts w:ascii="Open Sans" w:eastAsia="Times New Roman" w:hAnsi="Open Sans" w:cs="Open Sans"/>
                <w:b/>
                <w:bCs/>
                <w:sz w:val="17"/>
                <w:szCs w:val="17"/>
                <w:lang w:eastAsia="es-ES"/>
              </w:rPr>
              <w:t>1.187.528,36</w:t>
            </w:r>
          </w:p>
        </w:tc>
        <w:tc>
          <w:tcPr>
            <w:tcW w:w="1108"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02AA7EB6"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c>
          <w:tcPr>
            <w:tcW w:w="1255"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61CBB207" w14:textId="77777777" w:rsidR="00D572EA" w:rsidRPr="00A07BE9" w:rsidRDefault="00D572EA" w:rsidP="00D572EA">
            <w:pPr>
              <w:autoSpaceDN w:val="0"/>
              <w:spacing w:after="0" w:line="360" w:lineRule="auto"/>
              <w:jc w:val="right"/>
              <w:rPr>
                <w:rFonts w:ascii="Open Sans" w:eastAsia="Times New Roman" w:hAnsi="Open Sans" w:cs="Open Sans"/>
                <w:b/>
                <w:bCs/>
                <w:sz w:val="17"/>
                <w:szCs w:val="17"/>
                <w:lang w:eastAsia="es-ES"/>
              </w:rPr>
            </w:pPr>
            <w:r w:rsidRPr="00A07BE9">
              <w:rPr>
                <w:rFonts w:ascii="Open Sans" w:eastAsia="Times New Roman" w:hAnsi="Open Sans" w:cs="Open Sans"/>
                <w:b/>
                <w:bCs/>
                <w:sz w:val="17"/>
                <w:szCs w:val="17"/>
                <w:lang w:eastAsia="es-ES"/>
              </w:rPr>
              <w:t>305.863,21</w:t>
            </w:r>
          </w:p>
        </w:tc>
      </w:tr>
      <w:tr w:rsidR="00D572EA" w:rsidRPr="00A07BE9" w14:paraId="2AF22638" w14:textId="77777777" w:rsidTr="002B0793">
        <w:tc>
          <w:tcPr>
            <w:tcW w:w="3845"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7DE06C02" w14:textId="77777777" w:rsidR="00D572EA" w:rsidRPr="00A07BE9" w:rsidRDefault="00D572EA" w:rsidP="00D572EA">
            <w:pPr>
              <w:autoSpaceDN w:val="0"/>
              <w:spacing w:after="0" w:line="360" w:lineRule="auto"/>
              <w:rPr>
                <w:rFonts w:ascii="Open Sans" w:eastAsia="Times New Roman" w:hAnsi="Open Sans" w:cs="Open Sans"/>
                <w:sz w:val="17"/>
                <w:szCs w:val="17"/>
                <w:lang w:eastAsia="es-ES"/>
              </w:rPr>
            </w:pPr>
            <w:r w:rsidRPr="00A07BE9">
              <w:rPr>
                <w:rFonts w:ascii="Open Sans" w:eastAsia="Times New Roman" w:hAnsi="Open Sans" w:cs="Open Sans"/>
                <w:sz w:val="17"/>
                <w:szCs w:val="17"/>
                <w:lang w:eastAsia="es-ES"/>
              </w:rPr>
              <w:t>(+) De Presupuesto de ingresos. Corrientes</w:t>
            </w:r>
          </w:p>
        </w:tc>
        <w:tc>
          <w:tcPr>
            <w:tcW w:w="1234"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259C7D2B" w14:textId="77777777" w:rsidR="00D572EA" w:rsidRPr="00A07BE9" w:rsidRDefault="00D572EA" w:rsidP="00D572EA">
            <w:pPr>
              <w:autoSpaceDN w:val="0"/>
              <w:spacing w:after="0" w:line="360" w:lineRule="auto"/>
              <w:jc w:val="right"/>
              <w:rPr>
                <w:rFonts w:ascii="Open Sans" w:eastAsia="Times New Roman" w:hAnsi="Open Sans" w:cs="Open Sans"/>
                <w:sz w:val="17"/>
                <w:szCs w:val="17"/>
                <w:lang w:eastAsia="es-ES"/>
              </w:rPr>
            </w:pPr>
            <w:r w:rsidRPr="00A07BE9">
              <w:rPr>
                <w:rFonts w:ascii="Open Sans" w:eastAsia="Times New Roman" w:hAnsi="Open Sans" w:cs="Open Sans"/>
                <w:sz w:val="17"/>
                <w:szCs w:val="17"/>
                <w:lang w:eastAsia="es-ES"/>
              </w:rPr>
              <w:t>1.187.528,36</w:t>
            </w:r>
          </w:p>
        </w:tc>
        <w:tc>
          <w:tcPr>
            <w:tcW w:w="1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7F7A9895"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c>
          <w:tcPr>
            <w:tcW w:w="1108"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1D3C94A7" w14:textId="77777777" w:rsidR="00D572EA" w:rsidRPr="00A07BE9" w:rsidRDefault="00D572EA" w:rsidP="00D572EA">
            <w:pPr>
              <w:autoSpaceDN w:val="0"/>
              <w:spacing w:after="0" w:line="360" w:lineRule="auto"/>
              <w:jc w:val="right"/>
              <w:rPr>
                <w:rFonts w:ascii="Open Sans" w:eastAsia="Times New Roman" w:hAnsi="Open Sans" w:cs="Open Sans"/>
                <w:sz w:val="17"/>
                <w:szCs w:val="17"/>
                <w:lang w:eastAsia="es-ES"/>
              </w:rPr>
            </w:pPr>
            <w:r w:rsidRPr="00A07BE9">
              <w:rPr>
                <w:rFonts w:ascii="Open Sans" w:eastAsia="Times New Roman" w:hAnsi="Open Sans" w:cs="Open Sans"/>
                <w:sz w:val="17"/>
                <w:szCs w:val="17"/>
                <w:lang w:eastAsia="es-ES"/>
              </w:rPr>
              <w:t>305.863,21</w:t>
            </w:r>
          </w:p>
        </w:tc>
        <w:tc>
          <w:tcPr>
            <w:tcW w:w="1255"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381F7C59"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r>
      <w:tr w:rsidR="00D572EA" w:rsidRPr="00A07BE9" w14:paraId="10C1252E" w14:textId="77777777" w:rsidTr="002B0793">
        <w:tc>
          <w:tcPr>
            <w:tcW w:w="3845" w:type="dxa"/>
            <w:tcBorders>
              <w:top w:val="single" w:sz="4" w:space="0" w:color="000000"/>
              <w:left w:val="single" w:sz="4" w:space="0" w:color="000000"/>
              <w:bottom w:val="single" w:sz="4" w:space="0" w:color="000000"/>
              <w:right w:val="single" w:sz="4" w:space="0" w:color="000000"/>
            </w:tcBorders>
            <w:shd w:val="clear" w:color="auto" w:fill="EEEEEE"/>
            <w:tcMar>
              <w:top w:w="0" w:type="dxa"/>
              <w:left w:w="5" w:type="dxa"/>
              <w:bottom w:w="57" w:type="dxa"/>
              <w:right w:w="5" w:type="dxa"/>
            </w:tcMar>
            <w:vAlign w:val="center"/>
          </w:tcPr>
          <w:p w14:paraId="26B0FB8D" w14:textId="77777777" w:rsidR="00D572EA" w:rsidRPr="00A07BE9" w:rsidRDefault="00D572EA" w:rsidP="00D572EA">
            <w:pPr>
              <w:autoSpaceDN w:val="0"/>
              <w:spacing w:after="0" w:line="360" w:lineRule="auto"/>
              <w:rPr>
                <w:rFonts w:ascii="Open Sans" w:eastAsia="Times New Roman" w:hAnsi="Open Sans" w:cs="Open Sans"/>
                <w:sz w:val="17"/>
                <w:szCs w:val="17"/>
                <w:lang w:eastAsia="es-ES"/>
              </w:rPr>
            </w:pPr>
            <w:r w:rsidRPr="00A07BE9">
              <w:rPr>
                <w:rFonts w:ascii="Open Sans" w:eastAsia="Times New Roman" w:hAnsi="Open Sans" w:cs="Open Sans"/>
                <w:sz w:val="17"/>
                <w:szCs w:val="17"/>
                <w:lang w:eastAsia="es-ES"/>
              </w:rPr>
              <w:t>(+) De Presupuesto de ingresos. Cerrados</w:t>
            </w:r>
          </w:p>
        </w:tc>
        <w:tc>
          <w:tcPr>
            <w:tcW w:w="1234" w:type="dxa"/>
            <w:tcBorders>
              <w:top w:val="single" w:sz="4" w:space="0" w:color="000000"/>
              <w:left w:val="single" w:sz="4" w:space="0" w:color="000000"/>
              <w:bottom w:val="single" w:sz="4" w:space="0" w:color="000000"/>
              <w:right w:val="single" w:sz="4" w:space="0" w:color="000000"/>
            </w:tcBorders>
            <w:shd w:val="clear" w:color="auto" w:fill="EEEEEE"/>
            <w:tcMar>
              <w:top w:w="0" w:type="dxa"/>
              <w:left w:w="5" w:type="dxa"/>
              <w:bottom w:w="57" w:type="dxa"/>
              <w:right w:w="5" w:type="dxa"/>
            </w:tcMar>
            <w:vAlign w:val="center"/>
          </w:tcPr>
          <w:p w14:paraId="6EAF1574"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c>
          <w:tcPr>
            <w:tcW w:w="1063" w:type="dxa"/>
            <w:tcBorders>
              <w:top w:val="single" w:sz="4" w:space="0" w:color="000000"/>
              <w:left w:val="single" w:sz="4" w:space="0" w:color="000000"/>
              <w:bottom w:val="single" w:sz="4" w:space="0" w:color="000000"/>
              <w:right w:val="single" w:sz="4" w:space="0" w:color="000000"/>
            </w:tcBorders>
            <w:shd w:val="clear" w:color="auto" w:fill="EEEEEE"/>
            <w:tcMar>
              <w:top w:w="0" w:type="dxa"/>
              <w:left w:w="5" w:type="dxa"/>
              <w:bottom w:w="57" w:type="dxa"/>
              <w:right w:w="5" w:type="dxa"/>
            </w:tcMar>
            <w:vAlign w:val="center"/>
          </w:tcPr>
          <w:p w14:paraId="4DD6FD0C"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c>
          <w:tcPr>
            <w:tcW w:w="1108" w:type="dxa"/>
            <w:tcBorders>
              <w:top w:val="single" w:sz="4" w:space="0" w:color="000000"/>
              <w:left w:val="single" w:sz="4" w:space="0" w:color="000000"/>
              <w:bottom w:val="single" w:sz="4" w:space="0" w:color="000000"/>
              <w:right w:val="single" w:sz="4" w:space="0" w:color="000000"/>
            </w:tcBorders>
            <w:shd w:val="clear" w:color="auto" w:fill="EEEEEE"/>
            <w:tcMar>
              <w:top w:w="0" w:type="dxa"/>
              <w:left w:w="5" w:type="dxa"/>
              <w:bottom w:w="57" w:type="dxa"/>
              <w:right w:w="5" w:type="dxa"/>
            </w:tcMar>
            <w:vAlign w:val="center"/>
          </w:tcPr>
          <w:p w14:paraId="4BB6A394" w14:textId="77777777" w:rsidR="00D572EA" w:rsidRPr="00A07BE9" w:rsidRDefault="00D572EA" w:rsidP="00D572EA">
            <w:pPr>
              <w:autoSpaceDN w:val="0"/>
              <w:spacing w:after="0" w:line="360" w:lineRule="auto"/>
              <w:jc w:val="right"/>
              <w:rPr>
                <w:rFonts w:ascii="Open Sans" w:eastAsia="Times New Roman" w:hAnsi="Open Sans" w:cs="Open Sans"/>
                <w:sz w:val="17"/>
                <w:szCs w:val="17"/>
                <w:lang w:eastAsia="es-ES"/>
              </w:rPr>
            </w:pPr>
            <w:r w:rsidRPr="00A07BE9">
              <w:rPr>
                <w:rFonts w:ascii="Open Sans" w:eastAsia="Times New Roman" w:hAnsi="Open Sans" w:cs="Open Sans"/>
                <w:sz w:val="17"/>
                <w:szCs w:val="17"/>
                <w:lang w:eastAsia="es-ES"/>
              </w:rPr>
              <w:t>0,00</w:t>
            </w:r>
          </w:p>
        </w:tc>
        <w:tc>
          <w:tcPr>
            <w:tcW w:w="1255" w:type="dxa"/>
            <w:tcBorders>
              <w:top w:val="single" w:sz="4" w:space="0" w:color="000000"/>
              <w:left w:val="single" w:sz="4" w:space="0" w:color="000000"/>
              <w:bottom w:val="single" w:sz="4" w:space="0" w:color="000000"/>
              <w:right w:val="single" w:sz="4" w:space="0" w:color="000000"/>
            </w:tcBorders>
            <w:shd w:val="clear" w:color="auto" w:fill="EEEEEE"/>
            <w:tcMar>
              <w:top w:w="0" w:type="dxa"/>
              <w:left w:w="5" w:type="dxa"/>
              <w:bottom w:w="57" w:type="dxa"/>
              <w:right w:w="5" w:type="dxa"/>
            </w:tcMar>
            <w:vAlign w:val="center"/>
          </w:tcPr>
          <w:p w14:paraId="38AE4606"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r>
      <w:tr w:rsidR="00D572EA" w:rsidRPr="00A07BE9" w14:paraId="6D1D0481" w14:textId="77777777" w:rsidTr="002B0793">
        <w:tc>
          <w:tcPr>
            <w:tcW w:w="3845"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5CBC16BF" w14:textId="77777777" w:rsidR="00D572EA" w:rsidRPr="00A07BE9" w:rsidRDefault="00D572EA" w:rsidP="00D572EA">
            <w:pPr>
              <w:autoSpaceDN w:val="0"/>
              <w:spacing w:after="0" w:line="360" w:lineRule="auto"/>
              <w:rPr>
                <w:rFonts w:ascii="Open Sans" w:eastAsia="Times New Roman" w:hAnsi="Open Sans" w:cs="Open Sans"/>
                <w:sz w:val="17"/>
                <w:szCs w:val="17"/>
                <w:lang w:eastAsia="es-ES"/>
              </w:rPr>
            </w:pPr>
            <w:r w:rsidRPr="00A07BE9">
              <w:rPr>
                <w:rFonts w:ascii="Open Sans" w:eastAsia="Times New Roman" w:hAnsi="Open Sans" w:cs="Open Sans"/>
                <w:sz w:val="17"/>
                <w:szCs w:val="17"/>
                <w:lang w:eastAsia="es-ES"/>
              </w:rPr>
              <w:t>(+) De Operaciones no presupuestarias</w:t>
            </w:r>
          </w:p>
        </w:tc>
        <w:tc>
          <w:tcPr>
            <w:tcW w:w="1234"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36C190B4"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c>
          <w:tcPr>
            <w:tcW w:w="1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3AD911C6"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c>
          <w:tcPr>
            <w:tcW w:w="1108"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348B9E3D" w14:textId="77777777" w:rsidR="00D572EA" w:rsidRPr="00A07BE9" w:rsidRDefault="00D572EA" w:rsidP="00D572EA">
            <w:pPr>
              <w:autoSpaceDN w:val="0"/>
              <w:spacing w:after="0" w:line="360" w:lineRule="auto"/>
              <w:jc w:val="right"/>
              <w:rPr>
                <w:rFonts w:ascii="Open Sans" w:eastAsia="Times New Roman" w:hAnsi="Open Sans" w:cs="Open Sans"/>
                <w:sz w:val="17"/>
                <w:szCs w:val="17"/>
                <w:lang w:eastAsia="es-ES"/>
              </w:rPr>
            </w:pPr>
            <w:r w:rsidRPr="00A07BE9">
              <w:rPr>
                <w:rFonts w:ascii="Open Sans" w:eastAsia="Times New Roman" w:hAnsi="Open Sans" w:cs="Open Sans"/>
                <w:sz w:val="17"/>
                <w:szCs w:val="17"/>
                <w:lang w:eastAsia="es-ES"/>
              </w:rPr>
              <w:t>0,00</w:t>
            </w:r>
          </w:p>
        </w:tc>
        <w:tc>
          <w:tcPr>
            <w:tcW w:w="1255"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6B4264AC"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r>
      <w:tr w:rsidR="00D572EA" w:rsidRPr="00A07BE9" w14:paraId="15D28FFE" w14:textId="77777777" w:rsidTr="002B0793">
        <w:tc>
          <w:tcPr>
            <w:tcW w:w="3845"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0D42C9F8" w14:textId="77777777" w:rsidR="00D572EA" w:rsidRPr="00A07BE9" w:rsidRDefault="00D572EA" w:rsidP="00D572EA">
            <w:pPr>
              <w:autoSpaceDN w:val="0"/>
              <w:spacing w:after="0" w:line="360" w:lineRule="auto"/>
              <w:rPr>
                <w:rFonts w:ascii="Open Sans" w:eastAsia="Times New Roman" w:hAnsi="Open Sans" w:cs="Open Sans"/>
                <w:b/>
                <w:bCs/>
                <w:sz w:val="17"/>
                <w:szCs w:val="17"/>
                <w:lang w:eastAsia="es-ES"/>
              </w:rPr>
            </w:pPr>
            <w:r w:rsidRPr="00A07BE9">
              <w:rPr>
                <w:rFonts w:ascii="Open Sans" w:eastAsia="Times New Roman" w:hAnsi="Open Sans" w:cs="Open Sans"/>
                <w:b/>
                <w:bCs/>
                <w:sz w:val="17"/>
                <w:szCs w:val="17"/>
                <w:lang w:eastAsia="es-ES"/>
              </w:rPr>
              <w:t>3.- (-) OBLIGACIONES PENDIENTES DE PAGO</w:t>
            </w:r>
          </w:p>
        </w:tc>
        <w:tc>
          <w:tcPr>
            <w:tcW w:w="1234"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564AE15F"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c>
          <w:tcPr>
            <w:tcW w:w="1063"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11B4CEC9" w14:textId="77777777" w:rsidR="00D572EA" w:rsidRPr="00A07BE9" w:rsidRDefault="00D572EA" w:rsidP="00D572EA">
            <w:pPr>
              <w:autoSpaceDN w:val="0"/>
              <w:spacing w:after="0" w:line="360" w:lineRule="auto"/>
              <w:jc w:val="right"/>
              <w:rPr>
                <w:rFonts w:ascii="Open Sans" w:eastAsia="Times New Roman" w:hAnsi="Open Sans" w:cs="Open Sans"/>
                <w:b/>
                <w:bCs/>
                <w:sz w:val="17"/>
                <w:szCs w:val="17"/>
                <w:lang w:eastAsia="es-ES"/>
              </w:rPr>
            </w:pPr>
            <w:r w:rsidRPr="00A07BE9">
              <w:rPr>
                <w:rFonts w:ascii="Open Sans" w:eastAsia="Times New Roman" w:hAnsi="Open Sans" w:cs="Open Sans"/>
                <w:b/>
                <w:bCs/>
                <w:sz w:val="17"/>
                <w:szCs w:val="17"/>
                <w:lang w:eastAsia="es-ES"/>
              </w:rPr>
              <w:t>274.361,57</w:t>
            </w:r>
          </w:p>
        </w:tc>
        <w:tc>
          <w:tcPr>
            <w:tcW w:w="1108"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606D9D41"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c>
          <w:tcPr>
            <w:tcW w:w="1255"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6836B535" w14:textId="77777777" w:rsidR="00D572EA" w:rsidRPr="00A07BE9" w:rsidRDefault="00D572EA" w:rsidP="00D572EA">
            <w:pPr>
              <w:autoSpaceDN w:val="0"/>
              <w:spacing w:after="0" w:line="360" w:lineRule="auto"/>
              <w:jc w:val="right"/>
              <w:rPr>
                <w:rFonts w:ascii="Open Sans" w:eastAsia="Times New Roman" w:hAnsi="Open Sans" w:cs="Open Sans"/>
                <w:b/>
                <w:bCs/>
                <w:sz w:val="17"/>
                <w:szCs w:val="17"/>
                <w:lang w:eastAsia="es-ES"/>
              </w:rPr>
            </w:pPr>
            <w:r w:rsidRPr="00A07BE9">
              <w:rPr>
                <w:rFonts w:ascii="Open Sans" w:eastAsia="Times New Roman" w:hAnsi="Open Sans" w:cs="Open Sans"/>
                <w:b/>
                <w:bCs/>
                <w:sz w:val="17"/>
                <w:szCs w:val="17"/>
                <w:lang w:eastAsia="es-ES"/>
              </w:rPr>
              <w:t>169.647,47</w:t>
            </w:r>
          </w:p>
        </w:tc>
      </w:tr>
      <w:tr w:rsidR="00D572EA" w:rsidRPr="00A07BE9" w14:paraId="47E53E9F" w14:textId="77777777" w:rsidTr="002B0793">
        <w:tc>
          <w:tcPr>
            <w:tcW w:w="3845"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49EABFAA" w14:textId="77777777" w:rsidR="00D572EA" w:rsidRPr="00A07BE9" w:rsidRDefault="00D572EA" w:rsidP="00D572EA">
            <w:pPr>
              <w:autoSpaceDN w:val="0"/>
              <w:spacing w:after="0" w:line="360" w:lineRule="auto"/>
              <w:rPr>
                <w:rFonts w:ascii="Open Sans" w:eastAsia="Times New Roman" w:hAnsi="Open Sans" w:cs="Open Sans"/>
                <w:sz w:val="17"/>
                <w:szCs w:val="17"/>
                <w:lang w:eastAsia="es-ES"/>
              </w:rPr>
            </w:pPr>
            <w:r w:rsidRPr="00A07BE9">
              <w:rPr>
                <w:rFonts w:ascii="Open Sans" w:eastAsia="Times New Roman" w:hAnsi="Open Sans" w:cs="Open Sans"/>
                <w:sz w:val="17"/>
                <w:szCs w:val="17"/>
                <w:lang w:eastAsia="es-ES"/>
              </w:rPr>
              <w:t>De Presupuestos de gastos. Corrientes</w:t>
            </w:r>
          </w:p>
        </w:tc>
        <w:tc>
          <w:tcPr>
            <w:tcW w:w="1234"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4DC7C608" w14:textId="77777777" w:rsidR="00D572EA" w:rsidRPr="00A07BE9" w:rsidRDefault="00D572EA" w:rsidP="00D572EA">
            <w:pPr>
              <w:autoSpaceDN w:val="0"/>
              <w:spacing w:after="0" w:line="360" w:lineRule="auto"/>
              <w:jc w:val="right"/>
              <w:rPr>
                <w:rFonts w:ascii="Open Sans" w:eastAsia="Times New Roman" w:hAnsi="Open Sans" w:cs="Open Sans"/>
                <w:sz w:val="17"/>
                <w:szCs w:val="17"/>
                <w:lang w:eastAsia="es-ES"/>
              </w:rPr>
            </w:pPr>
            <w:r w:rsidRPr="00A07BE9">
              <w:rPr>
                <w:rFonts w:ascii="Open Sans" w:eastAsia="Times New Roman" w:hAnsi="Open Sans" w:cs="Open Sans"/>
                <w:sz w:val="17"/>
                <w:szCs w:val="17"/>
                <w:lang w:eastAsia="es-ES"/>
              </w:rPr>
              <w:t>95.330,38</w:t>
            </w:r>
          </w:p>
        </w:tc>
        <w:tc>
          <w:tcPr>
            <w:tcW w:w="1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0405029E"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c>
          <w:tcPr>
            <w:tcW w:w="1108"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4F42157B" w14:textId="77777777" w:rsidR="00D572EA" w:rsidRPr="00A07BE9" w:rsidRDefault="00D572EA" w:rsidP="00D572EA">
            <w:pPr>
              <w:autoSpaceDN w:val="0"/>
              <w:spacing w:after="0" w:line="360" w:lineRule="auto"/>
              <w:jc w:val="right"/>
              <w:rPr>
                <w:rFonts w:ascii="Open Sans" w:eastAsia="Times New Roman" w:hAnsi="Open Sans" w:cs="Open Sans"/>
                <w:sz w:val="17"/>
                <w:szCs w:val="17"/>
                <w:lang w:eastAsia="es-ES"/>
              </w:rPr>
            </w:pPr>
            <w:r w:rsidRPr="00A07BE9">
              <w:rPr>
                <w:rFonts w:ascii="Open Sans" w:eastAsia="Times New Roman" w:hAnsi="Open Sans" w:cs="Open Sans"/>
                <w:sz w:val="17"/>
                <w:szCs w:val="17"/>
                <w:lang w:eastAsia="es-ES"/>
              </w:rPr>
              <w:t>52.915,23</w:t>
            </w:r>
          </w:p>
        </w:tc>
        <w:tc>
          <w:tcPr>
            <w:tcW w:w="1255"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353EDE5C"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r>
      <w:tr w:rsidR="00D572EA" w:rsidRPr="00A07BE9" w14:paraId="2B0A09DB" w14:textId="77777777" w:rsidTr="002B0793">
        <w:tc>
          <w:tcPr>
            <w:tcW w:w="3845" w:type="dxa"/>
            <w:tcBorders>
              <w:top w:val="single" w:sz="4" w:space="0" w:color="000000"/>
              <w:left w:val="single" w:sz="4" w:space="0" w:color="000000"/>
              <w:bottom w:val="single" w:sz="4" w:space="0" w:color="000000"/>
              <w:right w:val="single" w:sz="4" w:space="0" w:color="000000"/>
            </w:tcBorders>
            <w:shd w:val="clear" w:color="auto" w:fill="EEEEEE"/>
            <w:tcMar>
              <w:top w:w="0" w:type="dxa"/>
              <w:left w:w="5" w:type="dxa"/>
              <w:bottom w:w="57" w:type="dxa"/>
              <w:right w:w="5" w:type="dxa"/>
            </w:tcMar>
            <w:vAlign w:val="center"/>
          </w:tcPr>
          <w:p w14:paraId="40A03360" w14:textId="77777777" w:rsidR="00D572EA" w:rsidRPr="00A07BE9" w:rsidRDefault="00D572EA" w:rsidP="00D572EA">
            <w:pPr>
              <w:autoSpaceDN w:val="0"/>
              <w:spacing w:after="0" w:line="360" w:lineRule="auto"/>
              <w:rPr>
                <w:rFonts w:ascii="Open Sans" w:eastAsia="Times New Roman" w:hAnsi="Open Sans" w:cs="Open Sans"/>
                <w:sz w:val="17"/>
                <w:szCs w:val="17"/>
                <w:lang w:eastAsia="es-ES"/>
              </w:rPr>
            </w:pPr>
            <w:r w:rsidRPr="00A07BE9">
              <w:rPr>
                <w:rFonts w:ascii="Open Sans" w:eastAsia="Times New Roman" w:hAnsi="Open Sans" w:cs="Open Sans"/>
                <w:sz w:val="17"/>
                <w:szCs w:val="17"/>
                <w:lang w:eastAsia="es-ES"/>
              </w:rPr>
              <w:t>De Presupuestos de gastos. Cerrados</w:t>
            </w:r>
          </w:p>
        </w:tc>
        <w:tc>
          <w:tcPr>
            <w:tcW w:w="1234" w:type="dxa"/>
            <w:tcBorders>
              <w:top w:val="single" w:sz="4" w:space="0" w:color="000000"/>
              <w:left w:val="single" w:sz="4" w:space="0" w:color="000000"/>
              <w:bottom w:val="single" w:sz="4" w:space="0" w:color="000000"/>
              <w:right w:val="single" w:sz="4" w:space="0" w:color="000000"/>
            </w:tcBorders>
            <w:shd w:val="clear" w:color="auto" w:fill="EEEEEE"/>
            <w:tcMar>
              <w:top w:w="0" w:type="dxa"/>
              <w:left w:w="5" w:type="dxa"/>
              <w:bottom w:w="57" w:type="dxa"/>
              <w:right w:w="5" w:type="dxa"/>
            </w:tcMar>
            <w:vAlign w:val="center"/>
          </w:tcPr>
          <w:p w14:paraId="5CDFCD01"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c>
          <w:tcPr>
            <w:tcW w:w="1063" w:type="dxa"/>
            <w:tcBorders>
              <w:top w:val="single" w:sz="4" w:space="0" w:color="000000"/>
              <w:left w:val="single" w:sz="4" w:space="0" w:color="000000"/>
              <w:bottom w:val="single" w:sz="4" w:space="0" w:color="000000"/>
              <w:right w:val="single" w:sz="4" w:space="0" w:color="000000"/>
            </w:tcBorders>
            <w:shd w:val="clear" w:color="auto" w:fill="EEEEEE"/>
            <w:tcMar>
              <w:top w:w="0" w:type="dxa"/>
              <w:left w:w="5" w:type="dxa"/>
              <w:bottom w:w="57" w:type="dxa"/>
              <w:right w:w="5" w:type="dxa"/>
            </w:tcMar>
            <w:vAlign w:val="center"/>
          </w:tcPr>
          <w:p w14:paraId="10C8851E"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c>
          <w:tcPr>
            <w:tcW w:w="1108" w:type="dxa"/>
            <w:tcBorders>
              <w:top w:val="single" w:sz="4" w:space="0" w:color="000000"/>
              <w:left w:val="single" w:sz="4" w:space="0" w:color="000000"/>
              <w:bottom w:val="single" w:sz="4" w:space="0" w:color="000000"/>
              <w:right w:val="single" w:sz="4" w:space="0" w:color="000000"/>
            </w:tcBorders>
            <w:shd w:val="clear" w:color="auto" w:fill="EEEEEE"/>
            <w:tcMar>
              <w:top w:w="0" w:type="dxa"/>
              <w:left w:w="5" w:type="dxa"/>
              <w:bottom w:w="57" w:type="dxa"/>
              <w:right w:w="5" w:type="dxa"/>
            </w:tcMar>
            <w:vAlign w:val="center"/>
          </w:tcPr>
          <w:p w14:paraId="77A79CFF" w14:textId="77777777" w:rsidR="00D572EA" w:rsidRPr="00A07BE9" w:rsidRDefault="00D572EA" w:rsidP="00D572EA">
            <w:pPr>
              <w:autoSpaceDN w:val="0"/>
              <w:spacing w:after="0" w:line="360" w:lineRule="auto"/>
              <w:jc w:val="right"/>
              <w:rPr>
                <w:rFonts w:ascii="Open Sans" w:eastAsia="Times New Roman" w:hAnsi="Open Sans" w:cs="Open Sans"/>
                <w:sz w:val="17"/>
                <w:szCs w:val="17"/>
                <w:lang w:eastAsia="es-ES"/>
              </w:rPr>
            </w:pPr>
            <w:r w:rsidRPr="00A07BE9">
              <w:rPr>
                <w:rFonts w:ascii="Open Sans" w:eastAsia="Times New Roman" w:hAnsi="Open Sans" w:cs="Open Sans"/>
                <w:sz w:val="17"/>
                <w:szCs w:val="17"/>
                <w:lang w:eastAsia="es-ES"/>
              </w:rPr>
              <w:t>0,00</w:t>
            </w:r>
          </w:p>
        </w:tc>
        <w:tc>
          <w:tcPr>
            <w:tcW w:w="1255" w:type="dxa"/>
            <w:tcBorders>
              <w:top w:val="single" w:sz="4" w:space="0" w:color="000000"/>
              <w:left w:val="single" w:sz="4" w:space="0" w:color="000000"/>
              <w:bottom w:val="single" w:sz="4" w:space="0" w:color="000000"/>
              <w:right w:val="single" w:sz="4" w:space="0" w:color="000000"/>
            </w:tcBorders>
            <w:shd w:val="clear" w:color="auto" w:fill="EEEEEE"/>
            <w:tcMar>
              <w:top w:w="0" w:type="dxa"/>
              <w:left w:w="5" w:type="dxa"/>
              <w:bottom w:w="57" w:type="dxa"/>
              <w:right w:w="5" w:type="dxa"/>
            </w:tcMar>
            <w:vAlign w:val="center"/>
          </w:tcPr>
          <w:p w14:paraId="743EDF51"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r>
      <w:tr w:rsidR="00D572EA" w:rsidRPr="00A07BE9" w14:paraId="261EA591" w14:textId="77777777" w:rsidTr="002B0793">
        <w:tc>
          <w:tcPr>
            <w:tcW w:w="3845"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3B28F1E6" w14:textId="77777777" w:rsidR="00D572EA" w:rsidRPr="00A07BE9" w:rsidRDefault="00D572EA" w:rsidP="00D572EA">
            <w:pPr>
              <w:autoSpaceDN w:val="0"/>
              <w:spacing w:after="0" w:line="360" w:lineRule="auto"/>
              <w:rPr>
                <w:rFonts w:ascii="Open Sans" w:eastAsia="Times New Roman" w:hAnsi="Open Sans" w:cs="Open Sans"/>
                <w:sz w:val="17"/>
                <w:szCs w:val="17"/>
                <w:lang w:eastAsia="es-ES"/>
              </w:rPr>
            </w:pPr>
            <w:r w:rsidRPr="00A07BE9">
              <w:rPr>
                <w:rFonts w:ascii="Open Sans" w:eastAsia="Times New Roman" w:hAnsi="Open Sans" w:cs="Open Sans"/>
                <w:sz w:val="17"/>
                <w:szCs w:val="17"/>
                <w:lang w:eastAsia="es-ES"/>
              </w:rPr>
              <w:t>De Operaciones no presupuestarias</w:t>
            </w:r>
          </w:p>
        </w:tc>
        <w:tc>
          <w:tcPr>
            <w:tcW w:w="1234"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2CD4C824" w14:textId="77777777" w:rsidR="00D572EA" w:rsidRPr="00A07BE9" w:rsidRDefault="00D572EA" w:rsidP="00D572EA">
            <w:pPr>
              <w:autoSpaceDN w:val="0"/>
              <w:spacing w:after="0" w:line="360" w:lineRule="auto"/>
              <w:jc w:val="right"/>
              <w:rPr>
                <w:rFonts w:ascii="Open Sans" w:eastAsia="Times New Roman" w:hAnsi="Open Sans" w:cs="Open Sans"/>
                <w:sz w:val="17"/>
                <w:szCs w:val="17"/>
                <w:lang w:eastAsia="es-ES"/>
              </w:rPr>
            </w:pPr>
            <w:r w:rsidRPr="00A07BE9">
              <w:rPr>
                <w:rFonts w:ascii="Open Sans" w:eastAsia="Times New Roman" w:hAnsi="Open Sans" w:cs="Open Sans"/>
                <w:sz w:val="17"/>
                <w:szCs w:val="17"/>
                <w:lang w:eastAsia="es-ES"/>
              </w:rPr>
              <w:t>179.031,19</w:t>
            </w:r>
          </w:p>
        </w:tc>
        <w:tc>
          <w:tcPr>
            <w:tcW w:w="1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7A0EE0C5"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c>
          <w:tcPr>
            <w:tcW w:w="1108"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27D1E1A6" w14:textId="77777777" w:rsidR="00D572EA" w:rsidRPr="00A07BE9" w:rsidRDefault="00D572EA" w:rsidP="00D572EA">
            <w:pPr>
              <w:autoSpaceDN w:val="0"/>
              <w:spacing w:after="0" w:line="360" w:lineRule="auto"/>
              <w:jc w:val="right"/>
              <w:rPr>
                <w:rFonts w:ascii="Open Sans" w:eastAsia="Times New Roman" w:hAnsi="Open Sans" w:cs="Open Sans"/>
                <w:sz w:val="17"/>
                <w:szCs w:val="17"/>
                <w:lang w:eastAsia="es-ES"/>
              </w:rPr>
            </w:pPr>
            <w:r w:rsidRPr="00A07BE9">
              <w:rPr>
                <w:rFonts w:ascii="Open Sans" w:eastAsia="Times New Roman" w:hAnsi="Open Sans" w:cs="Open Sans"/>
                <w:sz w:val="17"/>
                <w:szCs w:val="17"/>
                <w:lang w:eastAsia="es-ES"/>
              </w:rPr>
              <w:t>116.732,24</w:t>
            </w:r>
          </w:p>
        </w:tc>
        <w:tc>
          <w:tcPr>
            <w:tcW w:w="1255"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39CA6F5A"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r>
      <w:tr w:rsidR="00D572EA" w:rsidRPr="00A07BE9" w14:paraId="7B877EB3" w14:textId="77777777" w:rsidTr="002B0793">
        <w:tc>
          <w:tcPr>
            <w:tcW w:w="3845"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00C2654D" w14:textId="77777777" w:rsidR="00D572EA" w:rsidRPr="00A07BE9" w:rsidRDefault="00D572EA" w:rsidP="00D572EA">
            <w:pPr>
              <w:autoSpaceDN w:val="0"/>
              <w:spacing w:after="0" w:line="360" w:lineRule="auto"/>
              <w:rPr>
                <w:rFonts w:ascii="Open Sans" w:eastAsia="Times New Roman" w:hAnsi="Open Sans" w:cs="Open Sans"/>
                <w:b/>
                <w:bCs/>
                <w:sz w:val="17"/>
                <w:szCs w:val="17"/>
                <w:lang w:eastAsia="es-ES"/>
              </w:rPr>
            </w:pPr>
            <w:r w:rsidRPr="00A07BE9">
              <w:rPr>
                <w:rFonts w:ascii="Open Sans" w:eastAsia="Times New Roman" w:hAnsi="Open Sans" w:cs="Open Sans"/>
                <w:b/>
                <w:bCs/>
                <w:sz w:val="17"/>
                <w:szCs w:val="17"/>
                <w:lang w:eastAsia="es-ES"/>
              </w:rPr>
              <w:t>4.- PARTIDAS PENDIENTES DE APLICACIÓN</w:t>
            </w:r>
          </w:p>
        </w:tc>
        <w:tc>
          <w:tcPr>
            <w:tcW w:w="1234"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3CB4E23C"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c>
          <w:tcPr>
            <w:tcW w:w="1063"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0257F889"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c>
          <w:tcPr>
            <w:tcW w:w="1108"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03E64B75"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c>
          <w:tcPr>
            <w:tcW w:w="1255"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34E97703" w14:textId="77777777" w:rsidR="00D572EA" w:rsidRPr="00A07BE9" w:rsidRDefault="00D572EA" w:rsidP="00D572EA">
            <w:pPr>
              <w:autoSpaceDN w:val="0"/>
              <w:spacing w:after="0" w:line="360" w:lineRule="auto"/>
              <w:jc w:val="right"/>
              <w:rPr>
                <w:rFonts w:ascii="Open Sans" w:eastAsia="Times New Roman" w:hAnsi="Open Sans" w:cs="Open Sans"/>
                <w:b/>
                <w:bCs/>
                <w:sz w:val="17"/>
                <w:szCs w:val="17"/>
                <w:lang w:eastAsia="es-ES"/>
              </w:rPr>
            </w:pPr>
            <w:r w:rsidRPr="00A07BE9">
              <w:rPr>
                <w:rFonts w:ascii="Open Sans" w:eastAsia="Times New Roman" w:hAnsi="Open Sans" w:cs="Open Sans"/>
                <w:b/>
                <w:bCs/>
                <w:sz w:val="17"/>
                <w:szCs w:val="17"/>
                <w:lang w:eastAsia="es-ES"/>
              </w:rPr>
              <w:t>0,00</w:t>
            </w:r>
          </w:p>
        </w:tc>
      </w:tr>
      <w:tr w:rsidR="00D572EA" w:rsidRPr="00A07BE9" w14:paraId="5B2BD763" w14:textId="77777777" w:rsidTr="002B0793">
        <w:tc>
          <w:tcPr>
            <w:tcW w:w="3845"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18149B11" w14:textId="77777777" w:rsidR="00D572EA" w:rsidRPr="00A07BE9" w:rsidRDefault="00D572EA" w:rsidP="00D572EA">
            <w:pPr>
              <w:autoSpaceDN w:val="0"/>
              <w:spacing w:after="0" w:line="360" w:lineRule="auto"/>
              <w:rPr>
                <w:rFonts w:ascii="Open Sans" w:eastAsia="Times New Roman" w:hAnsi="Open Sans" w:cs="Open Sans"/>
                <w:sz w:val="17"/>
                <w:szCs w:val="17"/>
                <w:lang w:eastAsia="es-ES"/>
              </w:rPr>
            </w:pPr>
            <w:r w:rsidRPr="00A07BE9">
              <w:rPr>
                <w:rFonts w:ascii="Open Sans" w:eastAsia="Times New Roman" w:hAnsi="Open Sans" w:cs="Open Sans"/>
                <w:sz w:val="17"/>
                <w:szCs w:val="17"/>
                <w:lang w:eastAsia="es-ES"/>
              </w:rPr>
              <w:t>(-) Cobros realizados pendientes de aplicación definitiva</w:t>
            </w:r>
          </w:p>
        </w:tc>
        <w:tc>
          <w:tcPr>
            <w:tcW w:w="1234"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698DAAF9"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c>
          <w:tcPr>
            <w:tcW w:w="1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7AE4FD74"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c>
          <w:tcPr>
            <w:tcW w:w="1108"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3DDC33AB" w14:textId="77777777" w:rsidR="00D572EA" w:rsidRPr="00A07BE9" w:rsidRDefault="00D572EA" w:rsidP="00D572EA">
            <w:pPr>
              <w:autoSpaceDN w:val="0"/>
              <w:spacing w:after="0" w:line="360" w:lineRule="auto"/>
              <w:jc w:val="right"/>
              <w:rPr>
                <w:rFonts w:ascii="Open Sans" w:eastAsia="Times New Roman" w:hAnsi="Open Sans" w:cs="Open Sans"/>
                <w:sz w:val="17"/>
                <w:szCs w:val="17"/>
                <w:lang w:eastAsia="es-ES"/>
              </w:rPr>
            </w:pPr>
            <w:r w:rsidRPr="00A07BE9">
              <w:rPr>
                <w:rFonts w:ascii="Open Sans" w:eastAsia="Times New Roman" w:hAnsi="Open Sans" w:cs="Open Sans"/>
                <w:sz w:val="17"/>
                <w:szCs w:val="17"/>
                <w:lang w:eastAsia="es-ES"/>
              </w:rPr>
              <w:t>0,00</w:t>
            </w:r>
          </w:p>
        </w:tc>
        <w:tc>
          <w:tcPr>
            <w:tcW w:w="1255"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43B6E995"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r>
      <w:tr w:rsidR="00D572EA" w:rsidRPr="00A07BE9" w14:paraId="356AD578" w14:textId="77777777" w:rsidTr="002B0793">
        <w:tc>
          <w:tcPr>
            <w:tcW w:w="3845" w:type="dxa"/>
            <w:tcBorders>
              <w:top w:val="single" w:sz="4" w:space="0" w:color="000000"/>
              <w:left w:val="single" w:sz="4" w:space="0" w:color="000000"/>
              <w:bottom w:val="single" w:sz="4" w:space="0" w:color="000000"/>
              <w:right w:val="single" w:sz="4" w:space="0" w:color="000000"/>
            </w:tcBorders>
            <w:shd w:val="clear" w:color="auto" w:fill="EEEEEE"/>
            <w:tcMar>
              <w:top w:w="0" w:type="dxa"/>
              <w:left w:w="5" w:type="dxa"/>
              <w:bottom w:w="57" w:type="dxa"/>
              <w:right w:w="5" w:type="dxa"/>
            </w:tcMar>
            <w:vAlign w:val="center"/>
          </w:tcPr>
          <w:p w14:paraId="3BF2DE23" w14:textId="77777777" w:rsidR="00D572EA" w:rsidRPr="00A07BE9" w:rsidRDefault="00D572EA" w:rsidP="00D572EA">
            <w:pPr>
              <w:autoSpaceDN w:val="0"/>
              <w:spacing w:after="0" w:line="360" w:lineRule="auto"/>
              <w:rPr>
                <w:rFonts w:ascii="Open Sans" w:eastAsia="Times New Roman" w:hAnsi="Open Sans" w:cs="Open Sans"/>
                <w:sz w:val="17"/>
                <w:szCs w:val="17"/>
                <w:lang w:eastAsia="es-ES"/>
              </w:rPr>
            </w:pPr>
            <w:r w:rsidRPr="00A07BE9">
              <w:rPr>
                <w:rFonts w:ascii="Open Sans" w:eastAsia="Times New Roman" w:hAnsi="Open Sans" w:cs="Open Sans"/>
                <w:sz w:val="17"/>
                <w:szCs w:val="17"/>
                <w:lang w:eastAsia="es-ES"/>
              </w:rPr>
              <w:t>(+) Pagos realizados pendientes de aplicación definitiva</w:t>
            </w:r>
          </w:p>
        </w:tc>
        <w:tc>
          <w:tcPr>
            <w:tcW w:w="1234" w:type="dxa"/>
            <w:tcBorders>
              <w:top w:val="single" w:sz="4" w:space="0" w:color="000000"/>
              <w:left w:val="single" w:sz="4" w:space="0" w:color="000000"/>
              <w:bottom w:val="single" w:sz="4" w:space="0" w:color="000000"/>
              <w:right w:val="single" w:sz="4" w:space="0" w:color="000000"/>
            </w:tcBorders>
            <w:shd w:val="clear" w:color="auto" w:fill="EEEEEE"/>
            <w:tcMar>
              <w:top w:w="0" w:type="dxa"/>
              <w:left w:w="5" w:type="dxa"/>
              <w:bottom w:w="57" w:type="dxa"/>
              <w:right w:w="5" w:type="dxa"/>
            </w:tcMar>
            <w:vAlign w:val="center"/>
          </w:tcPr>
          <w:p w14:paraId="6F40B124"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c>
          <w:tcPr>
            <w:tcW w:w="1063" w:type="dxa"/>
            <w:tcBorders>
              <w:top w:val="single" w:sz="4" w:space="0" w:color="000000"/>
              <w:left w:val="single" w:sz="4" w:space="0" w:color="000000"/>
              <w:bottom w:val="single" w:sz="4" w:space="0" w:color="000000"/>
              <w:right w:val="single" w:sz="4" w:space="0" w:color="000000"/>
            </w:tcBorders>
            <w:shd w:val="clear" w:color="auto" w:fill="EEEEEE"/>
            <w:tcMar>
              <w:top w:w="0" w:type="dxa"/>
              <w:left w:w="5" w:type="dxa"/>
              <w:bottom w:w="57" w:type="dxa"/>
              <w:right w:w="5" w:type="dxa"/>
            </w:tcMar>
            <w:vAlign w:val="center"/>
          </w:tcPr>
          <w:p w14:paraId="1FD89669"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c>
          <w:tcPr>
            <w:tcW w:w="1108" w:type="dxa"/>
            <w:tcBorders>
              <w:top w:val="single" w:sz="4" w:space="0" w:color="000000"/>
              <w:left w:val="single" w:sz="4" w:space="0" w:color="000000"/>
              <w:bottom w:val="single" w:sz="4" w:space="0" w:color="000000"/>
              <w:right w:val="single" w:sz="4" w:space="0" w:color="000000"/>
            </w:tcBorders>
            <w:shd w:val="clear" w:color="auto" w:fill="EEEEEE"/>
            <w:tcMar>
              <w:top w:w="0" w:type="dxa"/>
              <w:left w:w="5" w:type="dxa"/>
              <w:bottom w:w="57" w:type="dxa"/>
              <w:right w:w="5" w:type="dxa"/>
            </w:tcMar>
            <w:vAlign w:val="center"/>
          </w:tcPr>
          <w:p w14:paraId="530EF603" w14:textId="77777777" w:rsidR="00D572EA" w:rsidRPr="00A07BE9" w:rsidRDefault="00D572EA" w:rsidP="00D572EA">
            <w:pPr>
              <w:autoSpaceDN w:val="0"/>
              <w:spacing w:after="0" w:line="360" w:lineRule="auto"/>
              <w:jc w:val="right"/>
              <w:rPr>
                <w:rFonts w:ascii="Open Sans" w:eastAsia="Times New Roman" w:hAnsi="Open Sans" w:cs="Open Sans"/>
                <w:sz w:val="17"/>
                <w:szCs w:val="17"/>
                <w:lang w:eastAsia="es-ES"/>
              </w:rPr>
            </w:pPr>
            <w:r w:rsidRPr="00A07BE9">
              <w:rPr>
                <w:rFonts w:ascii="Open Sans" w:eastAsia="Times New Roman" w:hAnsi="Open Sans" w:cs="Open Sans"/>
                <w:sz w:val="17"/>
                <w:szCs w:val="17"/>
                <w:lang w:eastAsia="es-ES"/>
              </w:rPr>
              <w:t>0,00</w:t>
            </w:r>
          </w:p>
        </w:tc>
        <w:tc>
          <w:tcPr>
            <w:tcW w:w="1255" w:type="dxa"/>
            <w:tcBorders>
              <w:top w:val="single" w:sz="4" w:space="0" w:color="000000"/>
              <w:left w:val="single" w:sz="4" w:space="0" w:color="000000"/>
              <w:bottom w:val="single" w:sz="4" w:space="0" w:color="000000"/>
              <w:right w:val="single" w:sz="4" w:space="0" w:color="000000"/>
            </w:tcBorders>
            <w:shd w:val="clear" w:color="auto" w:fill="EEEEEE"/>
            <w:tcMar>
              <w:top w:w="0" w:type="dxa"/>
              <w:left w:w="5" w:type="dxa"/>
              <w:bottom w:w="57" w:type="dxa"/>
              <w:right w:w="5" w:type="dxa"/>
            </w:tcMar>
            <w:vAlign w:val="center"/>
          </w:tcPr>
          <w:p w14:paraId="0000AFF4"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r>
      <w:tr w:rsidR="00D572EA" w:rsidRPr="00A07BE9" w14:paraId="41B30925" w14:textId="77777777" w:rsidTr="002B0793">
        <w:trPr>
          <w:trHeight w:val="300"/>
        </w:trPr>
        <w:tc>
          <w:tcPr>
            <w:tcW w:w="5079"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5E8C2E6A" w14:textId="77777777" w:rsidR="00D572EA" w:rsidRPr="00A07BE9" w:rsidRDefault="00D572EA" w:rsidP="00D572EA">
            <w:pPr>
              <w:autoSpaceDN w:val="0"/>
              <w:spacing w:after="0" w:line="360" w:lineRule="auto"/>
              <w:rPr>
                <w:rFonts w:ascii="Open Sans" w:eastAsia="Times New Roman" w:hAnsi="Open Sans" w:cs="Open Sans"/>
                <w:b/>
                <w:bCs/>
                <w:sz w:val="17"/>
                <w:szCs w:val="17"/>
                <w:lang w:eastAsia="es-ES"/>
              </w:rPr>
            </w:pPr>
            <w:r w:rsidRPr="00A07BE9">
              <w:rPr>
                <w:rFonts w:ascii="Open Sans" w:eastAsia="Times New Roman" w:hAnsi="Open Sans" w:cs="Open Sans"/>
                <w:b/>
                <w:bCs/>
                <w:sz w:val="17"/>
                <w:szCs w:val="17"/>
                <w:lang w:eastAsia="es-ES"/>
              </w:rPr>
              <w:t>I. REMANENTE DE TESORERÍA TOTAL (1+2+3+4)</w:t>
            </w:r>
          </w:p>
        </w:tc>
        <w:tc>
          <w:tcPr>
            <w:tcW w:w="1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42DD8D9F" w14:textId="77777777" w:rsidR="00D572EA" w:rsidRPr="00A07BE9" w:rsidRDefault="00D572EA" w:rsidP="00D572EA">
            <w:pPr>
              <w:autoSpaceDN w:val="0"/>
              <w:spacing w:after="0" w:line="360" w:lineRule="auto"/>
              <w:jc w:val="right"/>
              <w:rPr>
                <w:rFonts w:ascii="Open Sans" w:eastAsia="Times New Roman" w:hAnsi="Open Sans" w:cs="Open Sans"/>
                <w:b/>
                <w:bCs/>
                <w:sz w:val="17"/>
                <w:szCs w:val="17"/>
                <w:lang w:eastAsia="es-ES"/>
              </w:rPr>
            </w:pPr>
            <w:r w:rsidRPr="00A07BE9">
              <w:rPr>
                <w:rFonts w:ascii="Open Sans" w:eastAsia="Times New Roman" w:hAnsi="Open Sans" w:cs="Open Sans"/>
                <w:b/>
                <w:bCs/>
                <w:sz w:val="17"/>
                <w:szCs w:val="17"/>
                <w:lang w:eastAsia="es-ES"/>
              </w:rPr>
              <w:t>2.054.495,21</w:t>
            </w:r>
          </w:p>
        </w:tc>
        <w:tc>
          <w:tcPr>
            <w:tcW w:w="1108"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488EE2EE"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c>
          <w:tcPr>
            <w:tcW w:w="1255"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2CA499F5" w14:textId="77777777" w:rsidR="00D572EA" w:rsidRPr="00A07BE9" w:rsidRDefault="00D572EA" w:rsidP="00D572EA">
            <w:pPr>
              <w:autoSpaceDN w:val="0"/>
              <w:spacing w:after="0" w:line="360" w:lineRule="auto"/>
              <w:jc w:val="right"/>
              <w:rPr>
                <w:rFonts w:ascii="Open Sans" w:eastAsia="Times New Roman" w:hAnsi="Open Sans" w:cs="Open Sans"/>
                <w:b/>
                <w:bCs/>
                <w:sz w:val="17"/>
                <w:szCs w:val="17"/>
                <w:lang w:eastAsia="es-ES"/>
              </w:rPr>
            </w:pPr>
            <w:r w:rsidRPr="00A07BE9">
              <w:rPr>
                <w:rFonts w:ascii="Open Sans" w:eastAsia="Times New Roman" w:hAnsi="Open Sans" w:cs="Open Sans"/>
                <w:b/>
                <w:bCs/>
                <w:sz w:val="17"/>
                <w:szCs w:val="17"/>
                <w:lang w:eastAsia="es-ES"/>
              </w:rPr>
              <w:t>1.220.387,10</w:t>
            </w:r>
          </w:p>
        </w:tc>
      </w:tr>
      <w:tr w:rsidR="00D572EA" w:rsidRPr="00A07BE9" w14:paraId="7FD284CE" w14:textId="77777777" w:rsidTr="002B0793">
        <w:tc>
          <w:tcPr>
            <w:tcW w:w="5079" w:type="dxa"/>
            <w:gridSpan w:val="2"/>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0C72B2AD" w14:textId="77777777" w:rsidR="00D572EA" w:rsidRPr="00A07BE9" w:rsidRDefault="00D572EA" w:rsidP="00D572EA">
            <w:pPr>
              <w:autoSpaceDN w:val="0"/>
              <w:spacing w:after="0" w:line="360" w:lineRule="auto"/>
              <w:rPr>
                <w:rFonts w:ascii="Open Sans" w:eastAsia="Times New Roman" w:hAnsi="Open Sans" w:cs="Open Sans"/>
                <w:b/>
                <w:bCs/>
                <w:sz w:val="17"/>
                <w:szCs w:val="17"/>
                <w:lang w:eastAsia="es-ES"/>
              </w:rPr>
            </w:pPr>
            <w:r w:rsidRPr="00A07BE9">
              <w:rPr>
                <w:rFonts w:ascii="Open Sans" w:eastAsia="Times New Roman" w:hAnsi="Open Sans" w:cs="Open Sans"/>
                <w:b/>
                <w:bCs/>
                <w:sz w:val="17"/>
                <w:szCs w:val="17"/>
                <w:lang w:eastAsia="es-ES"/>
              </w:rPr>
              <w:t>II. SALDOS DE DUDOSO COBRO</w:t>
            </w:r>
          </w:p>
        </w:tc>
        <w:tc>
          <w:tcPr>
            <w:tcW w:w="1063"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273D4F58"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c>
          <w:tcPr>
            <w:tcW w:w="1108"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7619BB28"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c>
          <w:tcPr>
            <w:tcW w:w="1255"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57" w:type="dxa"/>
              <w:right w:w="5" w:type="dxa"/>
            </w:tcMar>
            <w:vAlign w:val="center"/>
          </w:tcPr>
          <w:p w14:paraId="542DE5B7" w14:textId="77777777" w:rsidR="00D572EA" w:rsidRPr="00A07BE9" w:rsidRDefault="00D572EA" w:rsidP="00D572EA">
            <w:pPr>
              <w:autoSpaceDN w:val="0"/>
              <w:spacing w:after="0" w:line="360" w:lineRule="auto"/>
              <w:jc w:val="right"/>
              <w:rPr>
                <w:rFonts w:ascii="Open Sans" w:eastAsia="Times New Roman" w:hAnsi="Open Sans" w:cs="Open Sans"/>
                <w:sz w:val="17"/>
                <w:szCs w:val="17"/>
                <w:lang w:eastAsia="es-ES"/>
              </w:rPr>
            </w:pPr>
            <w:r w:rsidRPr="00A07BE9">
              <w:rPr>
                <w:rFonts w:ascii="Open Sans" w:eastAsia="Times New Roman" w:hAnsi="Open Sans" w:cs="Open Sans"/>
                <w:sz w:val="17"/>
                <w:szCs w:val="17"/>
                <w:lang w:eastAsia="es-ES"/>
              </w:rPr>
              <w:t>0,00</w:t>
            </w:r>
          </w:p>
        </w:tc>
      </w:tr>
      <w:tr w:rsidR="00D572EA" w:rsidRPr="00A07BE9" w14:paraId="1D104F7C" w14:textId="77777777" w:rsidTr="002B0793">
        <w:tc>
          <w:tcPr>
            <w:tcW w:w="5079"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4A3DBF2F" w14:textId="77777777" w:rsidR="00D572EA" w:rsidRPr="00A07BE9" w:rsidRDefault="00D572EA" w:rsidP="00D572EA">
            <w:pPr>
              <w:autoSpaceDN w:val="0"/>
              <w:spacing w:after="0" w:line="360" w:lineRule="auto"/>
              <w:rPr>
                <w:rFonts w:ascii="Open Sans" w:eastAsia="Times New Roman" w:hAnsi="Open Sans" w:cs="Open Sans"/>
                <w:b/>
                <w:bCs/>
                <w:sz w:val="17"/>
                <w:szCs w:val="17"/>
                <w:lang w:eastAsia="es-ES"/>
              </w:rPr>
            </w:pPr>
            <w:r w:rsidRPr="00A07BE9">
              <w:rPr>
                <w:rFonts w:ascii="Open Sans" w:eastAsia="Times New Roman" w:hAnsi="Open Sans" w:cs="Open Sans"/>
                <w:b/>
                <w:bCs/>
                <w:sz w:val="17"/>
                <w:szCs w:val="17"/>
                <w:lang w:eastAsia="es-ES"/>
              </w:rPr>
              <w:t>III. EXCESO DE FINANCIACIÓN AFECTADA</w:t>
            </w:r>
          </w:p>
        </w:tc>
        <w:tc>
          <w:tcPr>
            <w:tcW w:w="1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3DDC3ABA"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c>
          <w:tcPr>
            <w:tcW w:w="1108"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44C5C471"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c>
          <w:tcPr>
            <w:tcW w:w="1255"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720DF8D7" w14:textId="77777777" w:rsidR="00D572EA" w:rsidRPr="00A07BE9" w:rsidRDefault="00D572EA" w:rsidP="00D572EA">
            <w:pPr>
              <w:autoSpaceDN w:val="0"/>
              <w:spacing w:after="0" w:line="360" w:lineRule="auto"/>
              <w:jc w:val="right"/>
              <w:rPr>
                <w:rFonts w:ascii="Open Sans" w:eastAsia="Times New Roman" w:hAnsi="Open Sans" w:cs="Open Sans"/>
                <w:sz w:val="17"/>
                <w:szCs w:val="17"/>
                <w:lang w:eastAsia="es-ES"/>
              </w:rPr>
            </w:pPr>
            <w:r w:rsidRPr="00A07BE9">
              <w:rPr>
                <w:rFonts w:ascii="Open Sans" w:eastAsia="Times New Roman" w:hAnsi="Open Sans" w:cs="Open Sans"/>
                <w:sz w:val="17"/>
                <w:szCs w:val="17"/>
                <w:lang w:eastAsia="es-ES"/>
              </w:rPr>
              <w:t>0,00</w:t>
            </w:r>
          </w:p>
        </w:tc>
      </w:tr>
      <w:tr w:rsidR="00D572EA" w:rsidRPr="00A07BE9" w14:paraId="15183828" w14:textId="77777777" w:rsidTr="002B0793">
        <w:tc>
          <w:tcPr>
            <w:tcW w:w="5079" w:type="dxa"/>
            <w:gridSpan w:val="2"/>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0" w:type="dxa"/>
              <w:right w:w="5" w:type="dxa"/>
            </w:tcMar>
            <w:vAlign w:val="center"/>
          </w:tcPr>
          <w:p w14:paraId="15C619CC" w14:textId="77777777" w:rsidR="00D572EA" w:rsidRPr="00A07BE9" w:rsidRDefault="00D572EA" w:rsidP="00D572EA">
            <w:pPr>
              <w:autoSpaceDN w:val="0"/>
              <w:spacing w:after="0" w:line="360" w:lineRule="auto"/>
              <w:rPr>
                <w:rFonts w:ascii="Liberation Serif" w:eastAsia="Droid Sans Fallback" w:hAnsi="Liberation Serif" w:cs="FreeSans"/>
                <w:kern w:val="3"/>
                <w:sz w:val="17"/>
                <w:szCs w:val="17"/>
                <w:lang w:eastAsia="zh-CN" w:bidi="hi-IN"/>
              </w:rPr>
            </w:pPr>
            <w:r w:rsidRPr="00A07BE9">
              <w:rPr>
                <w:rFonts w:ascii="Open Sans" w:eastAsia="Times New Roman" w:hAnsi="Open Sans" w:cs="Open Sans"/>
                <w:b/>
                <w:bCs/>
                <w:sz w:val="17"/>
                <w:szCs w:val="17"/>
                <w:lang w:eastAsia="es-ES"/>
              </w:rPr>
              <w:t xml:space="preserve">IV. </w:t>
            </w:r>
            <w:r w:rsidRPr="00A07BE9">
              <w:rPr>
                <w:rFonts w:ascii="Open Sans" w:eastAsia="Times New Roman" w:hAnsi="Open Sans" w:cs="Open Sans"/>
                <w:b/>
                <w:bCs/>
                <w:spacing w:val="-4"/>
                <w:sz w:val="17"/>
                <w:szCs w:val="17"/>
                <w:lang w:eastAsia="es-ES"/>
              </w:rPr>
              <w:t>REMANENTE DE TESORERÍA PARA GASTOS GENERALES</w:t>
            </w:r>
          </w:p>
          <w:p w14:paraId="6BD8611A" w14:textId="77777777" w:rsidR="00D572EA" w:rsidRPr="00A07BE9" w:rsidRDefault="00D572EA" w:rsidP="00D572EA">
            <w:pPr>
              <w:autoSpaceDN w:val="0"/>
              <w:spacing w:after="0" w:line="360" w:lineRule="auto"/>
              <w:rPr>
                <w:rFonts w:ascii="Open Sans" w:eastAsia="Times New Roman" w:hAnsi="Open Sans" w:cs="Open Sans"/>
                <w:b/>
                <w:bCs/>
                <w:spacing w:val="-4"/>
                <w:sz w:val="17"/>
                <w:szCs w:val="17"/>
                <w:lang w:eastAsia="es-ES"/>
              </w:rPr>
            </w:pPr>
            <w:r w:rsidRPr="00A07BE9">
              <w:rPr>
                <w:rFonts w:ascii="Open Sans" w:eastAsia="Times New Roman" w:hAnsi="Open Sans" w:cs="Open Sans"/>
                <w:b/>
                <w:bCs/>
                <w:spacing w:val="-4"/>
                <w:sz w:val="17"/>
                <w:szCs w:val="17"/>
                <w:lang w:eastAsia="es-ES"/>
              </w:rPr>
              <w:t>(I- II -III)</w:t>
            </w:r>
          </w:p>
        </w:tc>
        <w:tc>
          <w:tcPr>
            <w:tcW w:w="1063"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0" w:type="dxa"/>
              <w:right w:w="5" w:type="dxa"/>
            </w:tcMar>
            <w:vAlign w:val="center"/>
          </w:tcPr>
          <w:p w14:paraId="671212E9" w14:textId="77777777" w:rsidR="00D572EA" w:rsidRPr="00A07BE9" w:rsidRDefault="00D572EA" w:rsidP="00D572EA">
            <w:pPr>
              <w:autoSpaceDN w:val="0"/>
              <w:spacing w:after="0" w:line="360" w:lineRule="auto"/>
              <w:jc w:val="right"/>
              <w:rPr>
                <w:rFonts w:ascii="Open Sans" w:eastAsia="Times New Roman" w:hAnsi="Open Sans" w:cs="Open Sans"/>
                <w:b/>
                <w:bCs/>
                <w:sz w:val="17"/>
                <w:szCs w:val="17"/>
                <w:lang w:eastAsia="es-ES"/>
              </w:rPr>
            </w:pPr>
            <w:r w:rsidRPr="00A07BE9">
              <w:rPr>
                <w:rFonts w:ascii="Open Sans" w:eastAsia="Times New Roman" w:hAnsi="Open Sans" w:cs="Open Sans"/>
                <w:b/>
                <w:bCs/>
                <w:sz w:val="17"/>
                <w:szCs w:val="17"/>
                <w:lang w:eastAsia="es-ES"/>
              </w:rPr>
              <w:t>2.054.495,21</w:t>
            </w:r>
          </w:p>
        </w:tc>
        <w:tc>
          <w:tcPr>
            <w:tcW w:w="1108"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0" w:type="dxa"/>
              <w:right w:w="5" w:type="dxa"/>
            </w:tcMar>
            <w:vAlign w:val="center"/>
          </w:tcPr>
          <w:p w14:paraId="3B6C6736" w14:textId="77777777" w:rsidR="00D572EA" w:rsidRPr="00A07BE9" w:rsidRDefault="00D572EA" w:rsidP="00D572EA">
            <w:pPr>
              <w:autoSpaceDN w:val="0"/>
              <w:spacing w:after="0" w:line="360" w:lineRule="auto"/>
              <w:jc w:val="right"/>
              <w:rPr>
                <w:rFonts w:ascii="Times New Roman" w:eastAsia="Times New Roman" w:hAnsi="Times New Roman" w:cs="Times New Roman"/>
                <w:sz w:val="17"/>
                <w:szCs w:val="17"/>
                <w:lang w:eastAsia="es-ES"/>
              </w:rPr>
            </w:pPr>
          </w:p>
        </w:tc>
        <w:tc>
          <w:tcPr>
            <w:tcW w:w="1255" w:type="dxa"/>
            <w:tcBorders>
              <w:top w:val="single" w:sz="4" w:space="0" w:color="000000"/>
              <w:left w:val="single" w:sz="4" w:space="0" w:color="000000"/>
              <w:bottom w:val="single" w:sz="4" w:space="0" w:color="000000"/>
              <w:right w:val="single" w:sz="4" w:space="0" w:color="000000"/>
            </w:tcBorders>
            <w:shd w:val="clear" w:color="auto" w:fill="DDDDDD"/>
            <w:tcMar>
              <w:top w:w="0" w:type="dxa"/>
              <w:left w:w="5" w:type="dxa"/>
              <w:bottom w:w="0" w:type="dxa"/>
              <w:right w:w="5" w:type="dxa"/>
            </w:tcMar>
            <w:vAlign w:val="center"/>
          </w:tcPr>
          <w:p w14:paraId="48C0520A" w14:textId="77777777" w:rsidR="00D572EA" w:rsidRPr="00A07BE9" w:rsidRDefault="00D572EA" w:rsidP="00D572EA">
            <w:pPr>
              <w:autoSpaceDN w:val="0"/>
              <w:spacing w:after="0" w:line="360" w:lineRule="auto"/>
              <w:jc w:val="right"/>
              <w:rPr>
                <w:rFonts w:ascii="Open Sans" w:eastAsia="Times New Roman" w:hAnsi="Open Sans" w:cs="Open Sans"/>
                <w:b/>
                <w:bCs/>
                <w:sz w:val="17"/>
                <w:szCs w:val="17"/>
                <w:lang w:eastAsia="es-ES"/>
              </w:rPr>
            </w:pPr>
            <w:r w:rsidRPr="00A07BE9">
              <w:rPr>
                <w:rFonts w:ascii="Open Sans" w:eastAsia="Times New Roman" w:hAnsi="Open Sans" w:cs="Open Sans"/>
                <w:b/>
                <w:bCs/>
                <w:sz w:val="17"/>
                <w:szCs w:val="17"/>
                <w:lang w:eastAsia="es-ES"/>
              </w:rPr>
              <w:t>1.220.387,10</w:t>
            </w:r>
          </w:p>
        </w:tc>
      </w:tr>
    </w:tbl>
    <w:p w14:paraId="5D2F06EF" w14:textId="77777777" w:rsidR="00D572EA" w:rsidRPr="00A07BE9" w:rsidRDefault="00D572EA" w:rsidP="00D572EA">
      <w:pPr>
        <w:autoSpaceDN w:val="0"/>
        <w:spacing w:after="0" w:line="360" w:lineRule="auto"/>
        <w:jc w:val="both"/>
        <w:rPr>
          <w:rFonts w:ascii="Open Sans" w:eastAsia="Times New Roman" w:hAnsi="Open Sans" w:cs="Open Sans"/>
          <w:color w:val="000000"/>
          <w:sz w:val="21"/>
          <w:szCs w:val="21"/>
          <w:lang w:eastAsia="es-ES"/>
        </w:rPr>
      </w:pPr>
    </w:p>
    <w:p w14:paraId="125DECEE" w14:textId="4166E91F" w:rsidR="00D572EA" w:rsidRDefault="00D572EA" w:rsidP="00D572EA">
      <w:pPr>
        <w:suppressAutoHyphens/>
        <w:autoSpaceDN w:val="0"/>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Los fondos líquidos a 31 de diciembre de 2019 son coincidentes con los saldos certificados por la entidad bancaria en esta fecha y ascienden a 1.141.328,42 euros.</w:t>
      </w:r>
    </w:p>
    <w:p w14:paraId="240A3077" w14:textId="77777777" w:rsidR="00AE766A" w:rsidRPr="00A07BE9" w:rsidRDefault="00AE766A" w:rsidP="00D572EA">
      <w:pPr>
        <w:suppressAutoHyphens/>
        <w:autoSpaceDN w:val="0"/>
        <w:spacing w:after="0" w:line="276" w:lineRule="auto"/>
        <w:jc w:val="both"/>
        <w:rPr>
          <w:rFonts w:ascii="Open Sans" w:eastAsia="Times New Roman" w:hAnsi="Open Sans" w:cs="Open Sans"/>
          <w:color w:val="000000"/>
          <w:sz w:val="20"/>
          <w:szCs w:val="20"/>
          <w:lang w:eastAsia="es-ES"/>
        </w:rPr>
      </w:pPr>
    </w:p>
    <w:p w14:paraId="38572554" w14:textId="77777777" w:rsidR="00D572EA" w:rsidRPr="00A07BE9" w:rsidRDefault="00D572EA" w:rsidP="00D572EA">
      <w:pPr>
        <w:suppressAutoHyphens/>
        <w:autoSpaceDN w:val="0"/>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El importe de los derechos pendientes de cobro se corresponde con el saldo de las transferencias corrientes y de capital, de la Generalitat Valenciana reconocidas y no ingresadas a lo largo del ejercicio.</w:t>
      </w:r>
    </w:p>
    <w:p w14:paraId="023FCA35" w14:textId="190E8193" w:rsidR="00D572EA" w:rsidRDefault="00D572EA" w:rsidP="00D572EA">
      <w:pPr>
        <w:suppressAutoHyphens/>
        <w:autoSpaceDN w:val="0"/>
        <w:spacing w:after="0" w:line="276" w:lineRule="auto"/>
        <w:jc w:val="both"/>
        <w:rPr>
          <w:rFonts w:ascii="Open Sans" w:eastAsia="Times New Roman" w:hAnsi="Open Sans" w:cs="Open Sans"/>
          <w:color w:val="000000"/>
          <w:sz w:val="20"/>
          <w:szCs w:val="20"/>
          <w:lang w:eastAsia="es-ES"/>
        </w:rPr>
      </w:pPr>
    </w:p>
    <w:p w14:paraId="5C8DA7B0" w14:textId="77777777" w:rsidR="00AE766A" w:rsidRPr="00A07BE9" w:rsidRDefault="00AE766A" w:rsidP="00D572EA">
      <w:pPr>
        <w:suppressAutoHyphens/>
        <w:autoSpaceDN w:val="0"/>
        <w:spacing w:after="0" w:line="276" w:lineRule="auto"/>
        <w:jc w:val="both"/>
        <w:rPr>
          <w:rFonts w:ascii="Open Sans" w:eastAsia="Times New Roman" w:hAnsi="Open Sans" w:cs="Open Sans"/>
          <w:color w:val="000000"/>
          <w:sz w:val="20"/>
          <w:szCs w:val="20"/>
          <w:lang w:eastAsia="es-ES"/>
        </w:rPr>
      </w:pPr>
    </w:p>
    <w:p w14:paraId="1243DC1D" w14:textId="77E7C094" w:rsidR="00D572EA" w:rsidRDefault="00D572EA" w:rsidP="00D572EA">
      <w:pPr>
        <w:suppressAutoHyphens/>
        <w:autoSpaceDN w:val="0"/>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lastRenderedPageBreak/>
        <w:t>Las obligaciones pendientes de pago a 31 de diciembre de 2019 ascienden a un total de 274.361,57 euros, con el siguiente desglose:</w:t>
      </w:r>
      <w:bookmarkStart w:id="41" w:name="_Hlk36051369"/>
    </w:p>
    <w:p w14:paraId="10D3E3EE" w14:textId="77777777" w:rsidR="00C12B0A" w:rsidRPr="00A07BE9" w:rsidRDefault="00C12B0A" w:rsidP="00D572EA">
      <w:pPr>
        <w:suppressAutoHyphens/>
        <w:autoSpaceDN w:val="0"/>
        <w:spacing w:after="0" w:line="276" w:lineRule="auto"/>
        <w:jc w:val="both"/>
        <w:rPr>
          <w:rFonts w:ascii="Open Sans" w:eastAsia="Times New Roman" w:hAnsi="Open Sans" w:cs="Open Sans"/>
          <w:color w:val="000000"/>
          <w:sz w:val="20"/>
          <w:szCs w:val="20"/>
          <w:lang w:eastAsia="es-ES"/>
        </w:rPr>
      </w:pPr>
    </w:p>
    <w:p w14:paraId="4071B267" w14:textId="35F215C8" w:rsidR="00262F77" w:rsidRDefault="00D572EA" w:rsidP="00CF7179">
      <w:pPr>
        <w:widowControl w:val="0"/>
        <w:numPr>
          <w:ilvl w:val="0"/>
          <w:numId w:val="46"/>
        </w:numPr>
        <w:suppressAutoHyphens/>
        <w:autoSpaceDN w:val="0"/>
        <w:spacing w:after="0" w:line="276" w:lineRule="auto"/>
        <w:jc w:val="both"/>
        <w:textAlignment w:val="baseline"/>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u w:val="single"/>
          <w:lang w:eastAsia="es-ES"/>
        </w:rPr>
        <w:t>Obligaciones pendientes de pago del presupuesto corriente</w:t>
      </w:r>
      <w:r w:rsidRPr="00A07BE9">
        <w:rPr>
          <w:rFonts w:ascii="Open Sans" w:eastAsia="Times New Roman" w:hAnsi="Open Sans" w:cs="Open Sans"/>
          <w:color w:val="000000"/>
          <w:sz w:val="20"/>
          <w:szCs w:val="20"/>
          <w:lang w:eastAsia="es-ES"/>
        </w:rPr>
        <w:t xml:space="preserve">: 95.330,38 euros, de las cuales 85.541,48 euros corresponden a operaciones corrientes y 9.788,90 euros a operaciones </w:t>
      </w:r>
      <w:bookmarkEnd w:id="41"/>
      <w:r w:rsidRPr="00A07BE9">
        <w:rPr>
          <w:rFonts w:ascii="Open Sans" w:eastAsia="Times New Roman" w:hAnsi="Open Sans" w:cs="Open Sans"/>
          <w:color w:val="000000"/>
          <w:sz w:val="20"/>
          <w:szCs w:val="20"/>
          <w:lang w:eastAsia="es-ES"/>
        </w:rPr>
        <w:t>de capital.</w:t>
      </w:r>
    </w:p>
    <w:p w14:paraId="233A5740" w14:textId="77777777" w:rsidR="00AE766A" w:rsidRPr="00CF7179" w:rsidRDefault="00AE766A" w:rsidP="00AE766A">
      <w:pPr>
        <w:widowControl w:val="0"/>
        <w:suppressAutoHyphens/>
        <w:autoSpaceDN w:val="0"/>
        <w:spacing w:after="0" w:line="276" w:lineRule="auto"/>
        <w:ind w:left="720"/>
        <w:jc w:val="both"/>
        <w:textAlignment w:val="baseline"/>
        <w:rPr>
          <w:rFonts w:ascii="Open Sans" w:eastAsia="Times New Roman" w:hAnsi="Open Sans" w:cs="Open Sans"/>
          <w:color w:val="000000"/>
          <w:sz w:val="20"/>
          <w:szCs w:val="20"/>
          <w:lang w:eastAsia="es-ES"/>
        </w:rPr>
      </w:pPr>
    </w:p>
    <w:p w14:paraId="7DDAA497" w14:textId="64D5FBF2" w:rsidR="00D572EA" w:rsidRPr="00A07BE9" w:rsidRDefault="00D572EA" w:rsidP="00D572EA">
      <w:pPr>
        <w:widowControl w:val="0"/>
        <w:numPr>
          <w:ilvl w:val="0"/>
          <w:numId w:val="46"/>
        </w:numPr>
        <w:suppressAutoHyphens/>
        <w:autoSpaceDN w:val="0"/>
        <w:spacing w:after="0" w:line="276" w:lineRule="auto"/>
        <w:jc w:val="both"/>
        <w:textAlignment w:val="baseline"/>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u w:val="single"/>
          <w:lang w:eastAsia="es-ES"/>
        </w:rPr>
        <w:t>Obligaciones pendientes de pago de operaciones no presupuestarias</w:t>
      </w:r>
      <w:r w:rsidRPr="00A07BE9">
        <w:rPr>
          <w:rFonts w:ascii="Open Sans" w:eastAsia="Times New Roman" w:hAnsi="Open Sans" w:cs="Open Sans"/>
          <w:color w:val="000000"/>
          <w:sz w:val="20"/>
          <w:szCs w:val="20"/>
          <w:lang w:eastAsia="es-ES"/>
        </w:rPr>
        <w:t>: 179.031,19 euros. Este importe se compone, de los siguientes conceptos:</w:t>
      </w:r>
    </w:p>
    <w:p w14:paraId="002F6DA7" w14:textId="77777777" w:rsidR="00262F77" w:rsidRPr="00A07BE9" w:rsidRDefault="00262F77" w:rsidP="00262F77">
      <w:pPr>
        <w:widowControl w:val="0"/>
        <w:suppressAutoHyphens/>
        <w:autoSpaceDN w:val="0"/>
        <w:spacing w:after="0" w:line="276" w:lineRule="auto"/>
        <w:ind w:left="720"/>
        <w:jc w:val="both"/>
        <w:textAlignment w:val="baseline"/>
        <w:rPr>
          <w:rFonts w:ascii="Open Sans" w:eastAsia="Times New Roman" w:hAnsi="Open Sans" w:cs="Open Sans"/>
          <w:color w:val="000000"/>
          <w:sz w:val="20"/>
          <w:szCs w:val="20"/>
          <w:lang w:eastAsia="es-ES"/>
        </w:rPr>
      </w:pPr>
    </w:p>
    <w:p w14:paraId="47E938A7" w14:textId="77777777" w:rsidR="00D572EA" w:rsidRPr="00A07BE9" w:rsidRDefault="00D572EA" w:rsidP="00D572EA">
      <w:pPr>
        <w:widowControl w:val="0"/>
        <w:numPr>
          <w:ilvl w:val="1"/>
          <w:numId w:val="45"/>
        </w:numPr>
        <w:suppressAutoHyphens/>
        <w:autoSpaceDN w:val="0"/>
        <w:spacing w:after="0" w:line="276" w:lineRule="auto"/>
        <w:jc w:val="both"/>
        <w:textAlignment w:val="baseline"/>
        <w:rPr>
          <w:rFonts w:ascii="Liberation Serif" w:eastAsia="Droid Sans Fallback" w:hAnsi="Liberation Serif" w:cs="FreeSans"/>
          <w:kern w:val="3"/>
          <w:sz w:val="20"/>
          <w:szCs w:val="20"/>
          <w:lang w:eastAsia="zh-CN" w:bidi="hi-IN"/>
        </w:rPr>
      </w:pPr>
      <w:r w:rsidRPr="00A07BE9">
        <w:rPr>
          <w:rFonts w:ascii="Open Sans" w:eastAsia="Times New Roman" w:hAnsi="Open Sans" w:cs="Open Sans"/>
          <w:sz w:val="20"/>
          <w:szCs w:val="20"/>
          <w:lang w:eastAsia="es-ES"/>
        </w:rPr>
        <w:t>R</w:t>
      </w:r>
      <w:r w:rsidRPr="00A07BE9">
        <w:rPr>
          <w:rFonts w:ascii="Open Sans" w:eastAsia="Times New Roman" w:hAnsi="Open Sans" w:cs="Open Sans"/>
          <w:color w:val="000000"/>
          <w:sz w:val="20"/>
          <w:szCs w:val="20"/>
          <w:lang w:eastAsia="es-ES"/>
        </w:rPr>
        <w:t>etenciones de IRPF practicadas en el cuarto trimestre del 2019, el pago de las cuales se realiza en enero de 2020, por un total de 135.815,36 euros (retenciones de trabajo) y 376,54 euros (retenciones de profesionales).</w:t>
      </w:r>
    </w:p>
    <w:p w14:paraId="592F4BFD" w14:textId="77777777" w:rsidR="00D572EA" w:rsidRPr="00A07BE9" w:rsidRDefault="00D572EA" w:rsidP="00D572EA">
      <w:pPr>
        <w:widowControl w:val="0"/>
        <w:numPr>
          <w:ilvl w:val="1"/>
          <w:numId w:val="45"/>
        </w:numPr>
        <w:suppressAutoHyphens/>
        <w:autoSpaceDN w:val="0"/>
        <w:spacing w:after="0" w:line="276" w:lineRule="auto"/>
        <w:jc w:val="both"/>
        <w:textAlignment w:val="baseline"/>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Retenciones practicadas en el cuarto trimestre del 2019 por arrendamientos de inmuebles urbanos, el pago de las cuales se realiza en enero de 2019 por un total de 5.757,00 euros.</w:t>
      </w:r>
    </w:p>
    <w:p w14:paraId="06830347" w14:textId="77777777" w:rsidR="00D572EA" w:rsidRPr="00A07BE9" w:rsidRDefault="00D572EA" w:rsidP="00D572EA">
      <w:pPr>
        <w:widowControl w:val="0"/>
        <w:numPr>
          <w:ilvl w:val="1"/>
          <w:numId w:val="45"/>
        </w:numPr>
        <w:suppressAutoHyphens/>
        <w:autoSpaceDN w:val="0"/>
        <w:spacing w:after="0" w:line="276" w:lineRule="auto"/>
        <w:jc w:val="both"/>
        <w:textAlignment w:val="baseline"/>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Cotizaciones a la Seguridad Social del mes de diciembre de 2019 del personal de la Agencia, el pago de las cuales se realiza en enero de 2019, por un total de 34.244,59 euros.</w:t>
      </w:r>
    </w:p>
    <w:p w14:paraId="6B217084" w14:textId="77777777" w:rsidR="00D572EA" w:rsidRPr="00A07BE9" w:rsidRDefault="00D572EA" w:rsidP="00D572EA">
      <w:pPr>
        <w:suppressAutoHyphens/>
        <w:autoSpaceDN w:val="0"/>
        <w:spacing w:after="0" w:line="276" w:lineRule="auto"/>
        <w:ind w:left="1080"/>
        <w:jc w:val="both"/>
        <w:rPr>
          <w:rFonts w:ascii="Open Sans" w:eastAsia="Times New Roman" w:hAnsi="Open Sans" w:cs="Open Sans"/>
          <w:color w:val="000000"/>
          <w:sz w:val="20"/>
          <w:szCs w:val="20"/>
          <w:lang w:eastAsia="es-ES"/>
        </w:rPr>
      </w:pPr>
    </w:p>
    <w:p w14:paraId="7CE65ADB" w14:textId="77777777" w:rsidR="00D572EA" w:rsidRPr="00A07BE9" w:rsidRDefault="00D572EA" w:rsidP="00D572EA">
      <w:pPr>
        <w:widowControl w:val="0"/>
        <w:numPr>
          <w:ilvl w:val="0"/>
          <w:numId w:val="46"/>
        </w:numPr>
        <w:suppressAutoHyphens/>
        <w:autoSpaceDN w:val="0"/>
        <w:spacing w:after="0" w:line="276" w:lineRule="auto"/>
        <w:jc w:val="both"/>
        <w:textAlignment w:val="baseline"/>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Fianzas en metálico depositadas en cuenta corriente de la Agencia, en concepto de garantía por adjudicación definitiva de contratos, por un total de 2.837,20 euros.</w:t>
      </w:r>
    </w:p>
    <w:p w14:paraId="2C387AC5" w14:textId="77777777" w:rsidR="00D572EA" w:rsidRPr="00A07BE9" w:rsidRDefault="00D572EA" w:rsidP="00D572EA">
      <w:pPr>
        <w:suppressAutoHyphens/>
        <w:autoSpaceDN w:val="0"/>
        <w:spacing w:after="0" w:line="276" w:lineRule="auto"/>
        <w:jc w:val="both"/>
        <w:rPr>
          <w:rFonts w:ascii="Open Sans" w:eastAsia="Times New Roman" w:hAnsi="Open Sans" w:cs="Open Sans"/>
          <w:color w:val="000000"/>
          <w:sz w:val="20"/>
          <w:szCs w:val="20"/>
          <w:lang w:eastAsia="es-ES"/>
        </w:rPr>
      </w:pPr>
    </w:p>
    <w:p w14:paraId="0DCAB11C" w14:textId="1E1ACE30" w:rsidR="00D572EA" w:rsidRPr="00A07BE9" w:rsidRDefault="00D572EA" w:rsidP="00D572EA">
      <w:pPr>
        <w:suppressAutoHyphens/>
        <w:autoSpaceDN w:val="0"/>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El remanente de tesorería, por importe de 2.054.495,21 euros, está íntegramente afectado al reintegro que se derive de las liquidaciones que realice la Intervención de la Generalitat en aplicación del </w:t>
      </w:r>
      <w:hyperlink r:id="rId428" w:history="1">
        <w:r w:rsidR="004B4FD1" w:rsidRPr="00A07BE9">
          <w:rPr>
            <w:rStyle w:val="Hipervnculo"/>
            <w:rFonts w:ascii="Open Sans" w:eastAsia="Times New Roman" w:hAnsi="Open Sans" w:cs="Open Sans"/>
            <w:sz w:val="20"/>
            <w:szCs w:val="20"/>
            <w:lang w:eastAsia="es-ES"/>
          </w:rPr>
          <w:t>Decreto 204/1990, de 26 de diciembre, del Consell de la Generalitat Valenciana</w:t>
        </w:r>
      </w:hyperlink>
      <w:r w:rsidRPr="00A07BE9">
        <w:rPr>
          <w:rFonts w:ascii="Open Sans" w:eastAsia="Times New Roman" w:hAnsi="Open Sans" w:cs="Open Sans"/>
          <w:color w:val="000000"/>
          <w:sz w:val="20"/>
          <w:szCs w:val="20"/>
          <w:lang w:eastAsia="es-ES"/>
        </w:rPr>
        <w:t>, sobre reintegro de transferencias corrientes y de capital de los ejercicios 2018 (1.220.387,10 euros) y 2019 (834.108,11 euros).</w:t>
      </w:r>
    </w:p>
    <w:p w14:paraId="33F934F9" w14:textId="77777777" w:rsidR="00D572EA" w:rsidRPr="00A07BE9" w:rsidRDefault="00D572EA" w:rsidP="00D572EA">
      <w:pPr>
        <w:suppressAutoHyphens/>
        <w:autoSpaceDN w:val="0"/>
        <w:spacing w:after="0" w:line="276" w:lineRule="auto"/>
        <w:jc w:val="both"/>
        <w:rPr>
          <w:rFonts w:ascii="Open Sans" w:eastAsia="Times New Roman" w:hAnsi="Open Sans" w:cs="Open Sans"/>
          <w:color w:val="000000"/>
          <w:sz w:val="20"/>
          <w:szCs w:val="20"/>
          <w:lang w:eastAsia="es-ES"/>
        </w:rPr>
      </w:pPr>
    </w:p>
    <w:p w14:paraId="7A71F7F7" w14:textId="77777777" w:rsidR="00D572EA" w:rsidRPr="00A07BE9" w:rsidRDefault="00D572EA" w:rsidP="00D572EA">
      <w:pPr>
        <w:suppressAutoHyphens/>
        <w:autoSpaceDN w:val="0"/>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De acuerdo con lo que regula el citado Decreto 204/1990, las subvenciones que al cierre del ejercicio no estén vinculadas al cumplimiento de obligaciones ya reconocidas, serán reintegradas en el Presupuesto de la Generalitat.</w:t>
      </w:r>
    </w:p>
    <w:p w14:paraId="0142B1D3" w14:textId="77777777" w:rsidR="00D572EA" w:rsidRPr="00A07BE9" w:rsidRDefault="00D572EA" w:rsidP="00D572EA">
      <w:pPr>
        <w:suppressAutoHyphens/>
        <w:autoSpaceDN w:val="0"/>
        <w:spacing w:after="0" w:line="276" w:lineRule="auto"/>
        <w:jc w:val="both"/>
        <w:rPr>
          <w:rFonts w:ascii="Open Sans" w:eastAsia="Times New Roman" w:hAnsi="Open Sans" w:cs="Open Sans"/>
          <w:color w:val="000000"/>
          <w:sz w:val="20"/>
          <w:szCs w:val="20"/>
          <w:lang w:eastAsia="es-ES"/>
        </w:rPr>
      </w:pPr>
    </w:p>
    <w:p w14:paraId="76AC9F20" w14:textId="79C82C52" w:rsidR="00D572EA" w:rsidRPr="00A07BE9" w:rsidRDefault="00D572EA" w:rsidP="00D572EA">
      <w:pPr>
        <w:suppressAutoHyphens/>
        <w:autoSpaceDN w:val="0"/>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De acuerdo con el resultado de la liquidación del presupuesto de la Agencia del ejercicio 2019, el importe a reintegrar a la Generalitat Valenciana, equivalente al del remanente de tesorería total, se recogerá en el pasivo del balance, sin perjuicio del resultado de la fiscalización contable que se realice por los órganos de control externo.</w:t>
      </w:r>
    </w:p>
    <w:p w14:paraId="671DE485" w14:textId="77777777" w:rsidR="00877A02" w:rsidRPr="00A07BE9" w:rsidRDefault="00877A02" w:rsidP="00D572EA">
      <w:pPr>
        <w:suppressAutoHyphens/>
        <w:autoSpaceDN w:val="0"/>
        <w:spacing w:after="0" w:line="276" w:lineRule="auto"/>
        <w:jc w:val="both"/>
        <w:rPr>
          <w:rFonts w:ascii="Open Sans" w:eastAsia="Times New Roman" w:hAnsi="Open Sans" w:cs="Open Sans"/>
          <w:color w:val="000000"/>
          <w:sz w:val="20"/>
          <w:szCs w:val="20"/>
          <w:lang w:eastAsia="es-ES"/>
        </w:rPr>
      </w:pPr>
    </w:p>
    <w:p w14:paraId="576186A9" w14:textId="4D2051F5" w:rsidR="00D572EA" w:rsidRDefault="00D572EA" w:rsidP="00D572EA">
      <w:pPr>
        <w:suppressAutoHyphens/>
        <w:autoSpaceDN w:val="0"/>
        <w:spacing w:after="0" w:line="276" w:lineRule="auto"/>
        <w:jc w:val="both"/>
        <w:rPr>
          <w:rFonts w:ascii="Open Sans" w:eastAsia="Times New Roman" w:hAnsi="Open Sans" w:cs="Open Sans"/>
          <w:b/>
          <w:bCs/>
          <w:color w:val="993333"/>
          <w:sz w:val="20"/>
          <w:szCs w:val="20"/>
          <w:lang w:eastAsia="es-ES"/>
        </w:rPr>
      </w:pPr>
      <w:r w:rsidRPr="00A07BE9">
        <w:rPr>
          <w:rFonts w:ascii="Open Sans" w:eastAsia="Times New Roman" w:hAnsi="Open Sans" w:cs="Open Sans"/>
          <w:b/>
          <w:bCs/>
          <w:color w:val="993333"/>
          <w:sz w:val="20"/>
          <w:szCs w:val="20"/>
          <w:lang w:eastAsia="es-ES"/>
        </w:rPr>
        <w:t>Periodo medio de pago</w:t>
      </w:r>
    </w:p>
    <w:p w14:paraId="6BF4FCDE" w14:textId="77777777" w:rsidR="00CF7179" w:rsidRPr="00A07BE9" w:rsidRDefault="00CF7179" w:rsidP="00D572EA">
      <w:pPr>
        <w:suppressAutoHyphens/>
        <w:autoSpaceDN w:val="0"/>
        <w:spacing w:after="0" w:line="276" w:lineRule="auto"/>
        <w:jc w:val="both"/>
        <w:rPr>
          <w:rFonts w:ascii="Open Sans" w:eastAsia="Times New Roman" w:hAnsi="Open Sans" w:cs="Open Sans"/>
          <w:b/>
          <w:bCs/>
          <w:color w:val="993333"/>
          <w:sz w:val="20"/>
          <w:szCs w:val="20"/>
          <w:lang w:eastAsia="es-ES"/>
        </w:rPr>
      </w:pPr>
    </w:p>
    <w:p w14:paraId="376C3454" w14:textId="1031F191" w:rsidR="00CF7179" w:rsidRPr="00AE766A" w:rsidRDefault="00D572EA" w:rsidP="00AE766A">
      <w:pPr>
        <w:suppressAutoHyphens/>
        <w:autoSpaceDN w:val="0"/>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 xml:space="preserve">La Agencia ha cumplido con los periodos legales de pago a acreedores con ratios que cumplen ampliamente con el establecido legalmente (periodo medio de pago presentado con sujeción a la metodología establecida por el </w:t>
      </w:r>
      <w:hyperlink r:id="rId429" w:history="1">
        <w:r w:rsidRPr="00A07BE9">
          <w:rPr>
            <w:rStyle w:val="Hipervnculo"/>
            <w:rFonts w:ascii="Open Sans" w:eastAsia="Times New Roman" w:hAnsi="Open Sans" w:cs="Open Sans"/>
            <w:sz w:val="20"/>
            <w:szCs w:val="20"/>
            <w:lang w:eastAsia="es-ES"/>
          </w:rPr>
          <w:t>R</w:t>
        </w:r>
        <w:r w:rsidR="00362069" w:rsidRPr="00A07BE9">
          <w:rPr>
            <w:rStyle w:val="Hipervnculo"/>
            <w:rFonts w:ascii="Open Sans" w:eastAsia="Times New Roman" w:hAnsi="Open Sans" w:cs="Open Sans"/>
            <w:sz w:val="20"/>
            <w:szCs w:val="20"/>
            <w:lang w:eastAsia="es-ES"/>
          </w:rPr>
          <w:t xml:space="preserve">eal </w:t>
        </w:r>
        <w:r w:rsidRPr="00A07BE9">
          <w:rPr>
            <w:rStyle w:val="Hipervnculo"/>
            <w:rFonts w:ascii="Open Sans" w:eastAsia="Times New Roman" w:hAnsi="Open Sans" w:cs="Open Sans"/>
            <w:sz w:val="20"/>
            <w:szCs w:val="20"/>
            <w:lang w:eastAsia="es-ES"/>
          </w:rPr>
          <w:t>D</w:t>
        </w:r>
        <w:r w:rsidR="00362069" w:rsidRPr="00A07BE9">
          <w:rPr>
            <w:rStyle w:val="Hipervnculo"/>
            <w:rFonts w:ascii="Open Sans" w:eastAsia="Times New Roman" w:hAnsi="Open Sans" w:cs="Open Sans"/>
            <w:sz w:val="20"/>
            <w:szCs w:val="20"/>
            <w:lang w:eastAsia="es-ES"/>
          </w:rPr>
          <w:t xml:space="preserve">ecreto </w:t>
        </w:r>
        <w:r w:rsidRPr="00A07BE9">
          <w:rPr>
            <w:rStyle w:val="Hipervnculo"/>
            <w:rFonts w:ascii="Open Sans" w:eastAsia="Times New Roman" w:hAnsi="Open Sans" w:cs="Open Sans"/>
            <w:sz w:val="20"/>
            <w:szCs w:val="20"/>
            <w:lang w:eastAsia="es-ES"/>
          </w:rPr>
          <w:t xml:space="preserve">1040/2017, de 22 de diciembre, </w:t>
        </w:r>
        <w:r w:rsidR="00362069" w:rsidRPr="00A07BE9">
          <w:rPr>
            <w:rStyle w:val="Hipervnculo"/>
            <w:rFonts w:ascii="Open Sans" w:eastAsia="Times New Roman" w:hAnsi="Open Sans" w:cs="Open Sans"/>
            <w:color w:val="auto"/>
            <w:sz w:val="20"/>
            <w:szCs w:val="20"/>
            <w:u w:val="none"/>
            <w:lang w:eastAsia="es-ES"/>
          </w:rPr>
          <w:t>(</w:t>
        </w:r>
        <w:r w:rsidRPr="00A07BE9">
          <w:rPr>
            <w:rStyle w:val="Hipervnculo"/>
            <w:rFonts w:ascii="Open Sans" w:eastAsia="Times New Roman" w:hAnsi="Open Sans" w:cs="Open Sans"/>
            <w:color w:val="auto"/>
            <w:sz w:val="20"/>
            <w:szCs w:val="20"/>
            <w:u w:val="none"/>
            <w:lang w:eastAsia="es-ES"/>
          </w:rPr>
          <w:t>BOE n</w:t>
        </w:r>
        <w:r w:rsidR="00362069" w:rsidRPr="00A07BE9">
          <w:rPr>
            <w:rStyle w:val="Hipervnculo"/>
            <w:rFonts w:ascii="Open Sans" w:eastAsia="Times New Roman" w:hAnsi="Open Sans" w:cs="Open Sans"/>
            <w:color w:val="auto"/>
            <w:sz w:val="20"/>
            <w:szCs w:val="20"/>
            <w:u w:val="none"/>
            <w:lang w:eastAsia="es-ES"/>
          </w:rPr>
          <w:t>úm.</w:t>
        </w:r>
        <w:r w:rsidRPr="00A07BE9">
          <w:rPr>
            <w:rStyle w:val="Hipervnculo"/>
            <w:rFonts w:ascii="Open Sans" w:eastAsia="Times New Roman" w:hAnsi="Open Sans" w:cs="Open Sans"/>
            <w:color w:val="auto"/>
            <w:sz w:val="20"/>
            <w:szCs w:val="20"/>
            <w:u w:val="none"/>
            <w:lang w:eastAsia="es-ES"/>
          </w:rPr>
          <w:t xml:space="preserve"> 311, de 23</w:t>
        </w:r>
        <w:r w:rsidR="00C573DE" w:rsidRPr="00A07BE9">
          <w:rPr>
            <w:rStyle w:val="Hipervnculo"/>
            <w:rFonts w:ascii="Open Sans" w:eastAsia="Times New Roman" w:hAnsi="Open Sans" w:cs="Open Sans"/>
            <w:color w:val="auto"/>
            <w:sz w:val="20"/>
            <w:szCs w:val="20"/>
            <w:u w:val="none"/>
            <w:lang w:eastAsia="es-ES"/>
          </w:rPr>
          <w:t xml:space="preserve"> de </w:t>
        </w:r>
        <w:r w:rsidR="008A21DB" w:rsidRPr="00A07BE9">
          <w:rPr>
            <w:rStyle w:val="Hipervnculo"/>
            <w:rFonts w:ascii="Open Sans" w:eastAsia="Times New Roman" w:hAnsi="Open Sans" w:cs="Open Sans"/>
            <w:color w:val="auto"/>
            <w:sz w:val="20"/>
            <w:szCs w:val="20"/>
            <w:u w:val="none"/>
            <w:lang w:eastAsia="es-ES"/>
          </w:rPr>
          <w:t>dic</w:t>
        </w:r>
        <w:r w:rsidR="00C573DE" w:rsidRPr="00A07BE9">
          <w:rPr>
            <w:rStyle w:val="Hipervnculo"/>
            <w:rFonts w:ascii="Open Sans" w:eastAsia="Times New Roman" w:hAnsi="Open Sans" w:cs="Open Sans"/>
            <w:color w:val="auto"/>
            <w:sz w:val="20"/>
            <w:szCs w:val="20"/>
            <w:u w:val="none"/>
            <w:lang w:eastAsia="es-ES"/>
          </w:rPr>
          <w:t xml:space="preserve">iembre de </w:t>
        </w:r>
        <w:r w:rsidR="00362069" w:rsidRPr="00A07BE9">
          <w:rPr>
            <w:rStyle w:val="Hipervnculo"/>
            <w:rFonts w:ascii="Open Sans" w:eastAsia="Times New Roman" w:hAnsi="Open Sans" w:cs="Open Sans"/>
            <w:color w:val="auto"/>
            <w:sz w:val="20"/>
            <w:szCs w:val="20"/>
            <w:u w:val="none"/>
            <w:lang w:eastAsia="es-ES"/>
          </w:rPr>
          <w:t>2017</w:t>
        </w:r>
        <w:r w:rsidRPr="00A07BE9">
          <w:rPr>
            <w:rStyle w:val="Hipervnculo"/>
            <w:rFonts w:ascii="Open Sans" w:eastAsia="Times New Roman" w:hAnsi="Open Sans" w:cs="Open Sans"/>
            <w:color w:val="auto"/>
            <w:sz w:val="20"/>
            <w:szCs w:val="20"/>
            <w:u w:val="none"/>
            <w:lang w:eastAsia="es-ES"/>
          </w:rPr>
          <w:t>).</w:t>
        </w:r>
      </w:hyperlink>
    </w:p>
    <w:p w14:paraId="5A4432CD" w14:textId="77B00993" w:rsidR="00D572EA" w:rsidRPr="00A07BE9" w:rsidRDefault="00D572EA" w:rsidP="00D572EA">
      <w:pPr>
        <w:autoSpaceDN w:val="0"/>
        <w:spacing w:after="0" w:line="360" w:lineRule="auto"/>
        <w:rPr>
          <w:rFonts w:ascii="Liberation Serif" w:eastAsia="Droid Sans Fallback" w:hAnsi="Liberation Serif" w:cs="FreeSans"/>
          <w:kern w:val="3"/>
          <w:sz w:val="20"/>
          <w:szCs w:val="20"/>
          <w:lang w:eastAsia="zh-CN" w:bidi="hi-IN"/>
        </w:rPr>
      </w:pPr>
      <w:r w:rsidRPr="00A07BE9">
        <w:rPr>
          <w:rFonts w:ascii="Open Sans" w:eastAsia="Times New Roman" w:hAnsi="Open Sans" w:cs="Open Sans"/>
          <w:b/>
          <w:bCs/>
          <w:color w:val="993333"/>
          <w:sz w:val="20"/>
          <w:szCs w:val="20"/>
          <w:lang w:eastAsia="es-ES"/>
        </w:rPr>
        <w:lastRenderedPageBreak/>
        <w:t xml:space="preserve">Tabla </w:t>
      </w:r>
      <w:r w:rsidR="002B0793" w:rsidRPr="00A07BE9">
        <w:rPr>
          <w:rFonts w:ascii="Open Sans" w:eastAsia="Times New Roman" w:hAnsi="Open Sans" w:cs="Open Sans"/>
          <w:b/>
          <w:bCs/>
          <w:color w:val="993333"/>
          <w:sz w:val="20"/>
          <w:szCs w:val="20"/>
          <w:lang w:eastAsia="es-ES"/>
        </w:rPr>
        <w:t>3</w:t>
      </w:r>
      <w:r w:rsidR="00747A7D" w:rsidRPr="00A07BE9">
        <w:rPr>
          <w:rFonts w:ascii="Open Sans" w:eastAsia="Times New Roman" w:hAnsi="Open Sans" w:cs="Open Sans"/>
          <w:b/>
          <w:bCs/>
          <w:color w:val="993333"/>
          <w:sz w:val="20"/>
          <w:szCs w:val="20"/>
          <w:lang w:eastAsia="es-ES"/>
        </w:rPr>
        <w:t>3</w:t>
      </w:r>
      <w:r w:rsidRPr="00A07BE9">
        <w:rPr>
          <w:rFonts w:ascii="Open Sans" w:eastAsia="Times New Roman" w:hAnsi="Open Sans" w:cs="Open Sans"/>
          <w:b/>
          <w:bCs/>
          <w:color w:val="993333"/>
          <w:sz w:val="20"/>
          <w:szCs w:val="20"/>
          <w:lang w:eastAsia="es-ES"/>
        </w:rPr>
        <w:t>.</w:t>
      </w:r>
      <w:r w:rsidRPr="00A07BE9">
        <w:rPr>
          <w:rFonts w:ascii="Open Sans" w:eastAsia="Times New Roman" w:hAnsi="Open Sans" w:cs="Open Sans"/>
          <w:color w:val="000000"/>
          <w:sz w:val="20"/>
          <w:szCs w:val="20"/>
          <w:lang w:eastAsia="es-ES"/>
        </w:rPr>
        <w:t xml:space="preserve"> </w:t>
      </w:r>
      <w:r w:rsidRPr="00A07BE9">
        <w:rPr>
          <w:rFonts w:ascii="Open Sans" w:eastAsia="Times New Roman" w:hAnsi="Open Sans" w:cs="Open Sans"/>
          <w:b/>
          <w:bCs/>
          <w:color w:val="000000"/>
          <w:sz w:val="20"/>
          <w:szCs w:val="20"/>
          <w:lang w:eastAsia="es-ES"/>
        </w:rPr>
        <w:t>Datos del periodo medio de pago a proveedores</w:t>
      </w:r>
    </w:p>
    <w:tbl>
      <w:tblPr>
        <w:tblW w:w="8363" w:type="dxa"/>
        <w:jc w:val="right"/>
        <w:tblLayout w:type="fixed"/>
        <w:tblCellMar>
          <w:left w:w="10" w:type="dxa"/>
          <w:right w:w="10" w:type="dxa"/>
        </w:tblCellMar>
        <w:tblLook w:val="0000" w:firstRow="0" w:lastRow="0" w:firstColumn="0" w:lastColumn="0" w:noHBand="0" w:noVBand="0"/>
      </w:tblPr>
      <w:tblGrid>
        <w:gridCol w:w="567"/>
        <w:gridCol w:w="992"/>
        <w:gridCol w:w="1271"/>
        <w:gridCol w:w="1276"/>
        <w:gridCol w:w="1280"/>
        <w:gridCol w:w="1560"/>
        <w:gridCol w:w="1417"/>
      </w:tblGrid>
      <w:tr w:rsidR="00D572EA" w:rsidRPr="00AB1C62" w14:paraId="78DFF14A" w14:textId="77777777" w:rsidTr="00264EC2">
        <w:trPr>
          <w:tblHeader/>
          <w:jc w:val="right"/>
        </w:trPr>
        <w:tc>
          <w:tcPr>
            <w:tcW w:w="8363" w:type="dxa"/>
            <w:gridSpan w:val="7"/>
            <w:tcBorders>
              <w:top w:val="single" w:sz="4" w:space="0" w:color="auto"/>
              <w:left w:val="single" w:sz="4" w:space="0" w:color="auto"/>
              <w:bottom w:val="single" w:sz="6" w:space="0" w:color="FFFFFF"/>
              <w:right w:val="single" w:sz="4" w:space="0" w:color="auto"/>
            </w:tcBorders>
            <w:shd w:val="clear" w:color="auto" w:fill="9D2235"/>
            <w:tcMar>
              <w:top w:w="57" w:type="dxa"/>
              <w:left w:w="57" w:type="dxa"/>
              <w:bottom w:w="57" w:type="dxa"/>
              <w:right w:w="57" w:type="dxa"/>
            </w:tcMar>
          </w:tcPr>
          <w:p w14:paraId="055DC1C9" w14:textId="77777777" w:rsidR="00D572EA" w:rsidRPr="00AB1C62" w:rsidRDefault="00D572EA" w:rsidP="00D572EA">
            <w:pPr>
              <w:autoSpaceDN w:val="0"/>
              <w:spacing w:after="0" w:line="360" w:lineRule="auto"/>
              <w:jc w:val="center"/>
              <w:rPr>
                <w:rFonts w:ascii="Open Sans" w:eastAsia="Times New Roman" w:hAnsi="Open Sans" w:cs="Open Sans"/>
                <w:b/>
                <w:bCs/>
                <w:color w:val="FFFFFF"/>
                <w:sz w:val="18"/>
                <w:szCs w:val="18"/>
                <w:lang w:eastAsia="es-ES"/>
              </w:rPr>
            </w:pPr>
            <w:r w:rsidRPr="00AB1C62">
              <w:rPr>
                <w:rFonts w:ascii="Open Sans" w:eastAsia="Times New Roman" w:hAnsi="Open Sans" w:cs="Open Sans"/>
                <w:b/>
                <w:bCs/>
                <w:color w:val="FFFFFF"/>
                <w:sz w:val="18"/>
                <w:szCs w:val="18"/>
                <w:lang w:eastAsia="es-ES"/>
              </w:rPr>
              <w:t>PERIODO MEDIO DE PAGO A PROVEEDORES</w:t>
            </w:r>
          </w:p>
        </w:tc>
      </w:tr>
      <w:tr w:rsidR="00D572EA" w:rsidRPr="00AB1C62" w14:paraId="47F996C1" w14:textId="77777777" w:rsidTr="00611512">
        <w:trPr>
          <w:jc w:val="right"/>
        </w:trPr>
        <w:tc>
          <w:tcPr>
            <w:tcW w:w="567" w:type="dxa"/>
            <w:tcBorders>
              <w:left w:val="single" w:sz="4" w:space="0" w:color="auto"/>
              <w:bottom w:val="single" w:sz="6" w:space="0" w:color="993333"/>
            </w:tcBorders>
            <w:shd w:val="clear" w:color="auto" w:fill="9D2235"/>
            <w:tcMar>
              <w:top w:w="0" w:type="dxa"/>
              <w:left w:w="57" w:type="dxa"/>
              <w:bottom w:w="57" w:type="dxa"/>
              <w:right w:w="0" w:type="dxa"/>
            </w:tcMar>
            <w:vAlign w:val="center"/>
          </w:tcPr>
          <w:p w14:paraId="4238A9B4" w14:textId="42051F27" w:rsidR="00D572EA" w:rsidRPr="00AB1C62" w:rsidRDefault="00611512" w:rsidP="00611512">
            <w:pPr>
              <w:autoSpaceDN w:val="0"/>
              <w:spacing w:after="0" w:line="360" w:lineRule="auto"/>
              <w:rPr>
                <w:rFonts w:ascii="Open Sans" w:eastAsia="Times New Roman" w:hAnsi="Open Sans" w:cs="Open Sans"/>
                <w:b/>
                <w:bCs/>
                <w:color w:val="FFFFFF"/>
                <w:sz w:val="18"/>
                <w:szCs w:val="18"/>
                <w:lang w:eastAsia="es-ES"/>
              </w:rPr>
            </w:pPr>
            <w:r w:rsidRPr="00AB1C62">
              <w:rPr>
                <w:rFonts w:ascii="Open Sans" w:eastAsia="Times New Roman" w:hAnsi="Open Sans" w:cs="Open Sans"/>
                <w:b/>
                <w:bCs/>
                <w:color w:val="FFFFFF"/>
                <w:sz w:val="18"/>
                <w:szCs w:val="18"/>
                <w:lang w:eastAsia="es-ES"/>
              </w:rPr>
              <w:t>Año</w:t>
            </w:r>
          </w:p>
        </w:tc>
        <w:tc>
          <w:tcPr>
            <w:tcW w:w="992" w:type="dxa"/>
            <w:tcBorders>
              <w:left w:val="single" w:sz="6" w:space="0" w:color="000000"/>
              <w:bottom w:val="single" w:sz="6" w:space="0" w:color="993333"/>
            </w:tcBorders>
            <w:shd w:val="clear" w:color="auto" w:fill="9D2235"/>
            <w:tcMar>
              <w:top w:w="0" w:type="dxa"/>
              <w:left w:w="57" w:type="dxa"/>
              <w:bottom w:w="57" w:type="dxa"/>
              <w:right w:w="0" w:type="dxa"/>
            </w:tcMar>
            <w:vAlign w:val="center"/>
          </w:tcPr>
          <w:p w14:paraId="12D3481E" w14:textId="59D80E6C" w:rsidR="00D572EA" w:rsidRPr="00AB1C62" w:rsidRDefault="00D572EA" w:rsidP="00611512">
            <w:pPr>
              <w:autoSpaceDN w:val="0"/>
              <w:spacing w:after="0" w:line="360" w:lineRule="auto"/>
              <w:jc w:val="center"/>
              <w:rPr>
                <w:rFonts w:ascii="Open Sans" w:eastAsia="Times New Roman" w:hAnsi="Open Sans" w:cs="Open Sans"/>
                <w:b/>
                <w:bCs/>
                <w:color w:val="FFFFFF"/>
                <w:sz w:val="18"/>
                <w:szCs w:val="18"/>
                <w:lang w:eastAsia="es-ES"/>
              </w:rPr>
            </w:pPr>
            <w:r w:rsidRPr="00AB1C62">
              <w:rPr>
                <w:rFonts w:ascii="Open Sans" w:eastAsia="Times New Roman" w:hAnsi="Open Sans" w:cs="Open Sans"/>
                <w:b/>
                <w:bCs/>
                <w:color w:val="FFFFFF"/>
                <w:sz w:val="18"/>
                <w:szCs w:val="18"/>
                <w:lang w:eastAsia="es-ES"/>
              </w:rPr>
              <w:t>Trimest</w:t>
            </w:r>
            <w:r w:rsidR="001F17F7" w:rsidRPr="00AB1C62">
              <w:rPr>
                <w:rFonts w:ascii="Open Sans" w:eastAsia="Times New Roman" w:hAnsi="Open Sans" w:cs="Open Sans"/>
                <w:b/>
                <w:bCs/>
                <w:color w:val="FFFFFF"/>
                <w:sz w:val="18"/>
                <w:szCs w:val="18"/>
                <w:lang w:eastAsia="es-ES"/>
              </w:rPr>
              <w:t>r</w:t>
            </w:r>
            <w:r w:rsidRPr="00AB1C62">
              <w:rPr>
                <w:rFonts w:ascii="Open Sans" w:eastAsia="Times New Roman" w:hAnsi="Open Sans" w:cs="Open Sans"/>
                <w:b/>
                <w:bCs/>
                <w:color w:val="FFFFFF"/>
                <w:sz w:val="18"/>
                <w:szCs w:val="18"/>
                <w:lang w:eastAsia="es-ES"/>
              </w:rPr>
              <w:t>e</w:t>
            </w:r>
          </w:p>
        </w:tc>
        <w:tc>
          <w:tcPr>
            <w:tcW w:w="1271" w:type="dxa"/>
            <w:tcBorders>
              <w:left w:val="single" w:sz="6" w:space="0" w:color="000000"/>
              <w:bottom w:val="single" w:sz="6" w:space="0" w:color="993333"/>
            </w:tcBorders>
            <w:shd w:val="clear" w:color="auto" w:fill="9D2235"/>
            <w:tcMar>
              <w:top w:w="0" w:type="dxa"/>
              <w:left w:w="57" w:type="dxa"/>
              <w:bottom w:w="57" w:type="dxa"/>
              <w:right w:w="0" w:type="dxa"/>
            </w:tcMar>
            <w:vAlign w:val="center"/>
          </w:tcPr>
          <w:p w14:paraId="4E8265B0" w14:textId="77777777" w:rsidR="00D572EA" w:rsidRPr="00AB1C62" w:rsidRDefault="00D572EA" w:rsidP="00611512">
            <w:pPr>
              <w:autoSpaceDN w:val="0"/>
              <w:spacing w:after="0" w:line="360" w:lineRule="auto"/>
              <w:jc w:val="center"/>
              <w:rPr>
                <w:rFonts w:ascii="Open Sans" w:eastAsia="Times New Roman" w:hAnsi="Open Sans" w:cs="Open Sans"/>
                <w:b/>
                <w:bCs/>
                <w:color w:val="FFFFFF"/>
                <w:sz w:val="18"/>
                <w:szCs w:val="18"/>
                <w:lang w:eastAsia="es-ES"/>
              </w:rPr>
            </w:pPr>
            <w:r w:rsidRPr="00AB1C62">
              <w:rPr>
                <w:rFonts w:ascii="Open Sans" w:eastAsia="Times New Roman" w:hAnsi="Open Sans" w:cs="Open Sans"/>
                <w:b/>
                <w:bCs/>
                <w:color w:val="FFFFFF"/>
                <w:sz w:val="18"/>
                <w:szCs w:val="18"/>
                <w:lang w:eastAsia="es-ES"/>
              </w:rPr>
              <w:t>Ratio de operaciones pagadas</w:t>
            </w:r>
          </w:p>
        </w:tc>
        <w:tc>
          <w:tcPr>
            <w:tcW w:w="1276" w:type="dxa"/>
            <w:tcBorders>
              <w:left w:val="single" w:sz="6" w:space="0" w:color="000000"/>
              <w:bottom w:val="single" w:sz="6" w:space="0" w:color="993333"/>
            </w:tcBorders>
            <w:shd w:val="clear" w:color="auto" w:fill="9D2235"/>
            <w:tcMar>
              <w:top w:w="0" w:type="dxa"/>
              <w:left w:w="57" w:type="dxa"/>
              <w:bottom w:w="57" w:type="dxa"/>
              <w:right w:w="0" w:type="dxa"/>
            </w:tcMar>
            <w:vAlign w:val="center"/>
          </w:tcPr>
          <w:p w14:paraId="7B83F304" w14:textId="77777777" w:rsidR="00D572EA" w:rsidRPr="00AB1C62" w:rsidRDefault="00D572EA" w:rsidP="00611512">
            <w:pPr>
              <w:autoSpaceDN w:val="0"/>
              <w:spacing w:after="0" w:line="360" w:lineRule="auto"/>
              <w:jc w:val="center"/>
              <w:rPr>
                <w:rFonts w:ascii="Open Sans" w:eastAsia="Times New Roman" w:hAnsi="Open Sans" w:cs="Open Sans"/>
                <w:b/>
                <w:bCs/>
                <w:color w:val="FFFFFF"/>
                <w:sz w:val="18"/>
                <w:szCs w:val="18"/>
                <w:lang w:eastAsia="es-ES"/>
              </w:rPr>
            </w:pPr>
            <w:r w:rsidRPr="00AB1C62">
              <w:rPr>
                <w:rFonts w:ascii="Open Sans" w:eastAsia="Times New Roman" w:hAnsi="Open Sans" w:cs="Open Sans"/>
                <w:b/>
                <w:bCs/>
                <w:color w:val="FFFFFF"/>
                <w:sz w:val="18"/>
                <w:szCs w:val="18"/>
                <w:lang w:eastAsia="es-ES"/>
              </w:rPr>
              <w:t>Ratio de operaciones pendientes de pago</w:t>
            </w:r>
          </w:p>
        </w:tc>
        <w:tc>
          <w:tcPr>
            <w:tcW w:w="1280" w:type="dxa"/>
            <w:tcBorders>
              <w:left w:val="single" w:sz="6" w:space="0" w:color="000000"/>
              <w:bottom w:val="single" w:sz="6" w:space="0" w:color="993333"/>
            </w:tcBorders>
            <w:shd w:val="clear" w:color="auto" w:fill="9D2235"/>
            <w:tcMar>
              <w:top w:w="0" w:type="dxa"/>
              <w:left w:w="57" w:type="dxa"/>
              <w:bottom w:w="57" w:type="dxa"/>
              <w:right w:w="0" w:type="dxa"/>
            </w:tcMar>
            <w:vAlign w:val="center"/>
          </w:tcPr>
          <w:p w14:paraId="100ED7BE" w14:textId="77777777" w:rsidR="00D572EA" w:rsidRPr="00AB1C62" w:rsidRDefault="00D572EA" w:rsidP="00611512">
            <w:pPr>
              <w:autoSpaceDN w:val="0"/>
              <w:spacing w:after="0" w:line="360" w:lineRule="auto"/>
              <w:jc w:val="center"/>
              <w:rPr>
                <w:rFonts w:ascii="Open Sans" w:eastAsia="Times New Roman" w:hAnsi="Open Sans" w:cs="Open Sans"/>
                <w:b/>
                <w:bCs/>
                <w:color w:val="FFFFFF"/>
                <w:sz w:val="18"/>
                <w:szCs w:val="18"/>
                <w:lang w:eastAsia="es-ES"/>
              </w:rPr>
            </w:pPr>
            <w:r w:rsidRPr="00AB1C62">
              <w:rPr>
                <w:rFonts w:ascii="Open Sans" w:eastAsia="Times New Roman" w:hAnsi="Open Sans" w:cs="Open Sans"/>
                <w:b/>
                <w:bCs/>
                <w:color w:val="FFFFFF"/>
                <w:sz w:val="18"/>
                <w:szCs w:val="18"/>
                <w:lang w:eastAsia="es-ES"/>
              </w:rPr>
              <w:t>Importe de operaciones pagadas</w:t>
            </w:r>
          </w:p>
        </w:tc>
        <w:tc>
          <w:tcPr>
            <w:tcW w:w="1560" w:type="dxa"/>
            <w:tcBorders>
              <w:left w:val="single" w:sz="6" w:space="0" w:color="000000"/>
              <w:bottom w:val="single" w:sz="6" w:space="0" w:color="993333"/>
            </w:tcBorders>
            <w:shd w:val="clear" w:color="auto" w:fill="9D2235"/>
            <w:tcMar>
              <w:top w:w="0" w:type="dxa"/>
              <w:left w:w="57" w:type="dxa"/>
              <w:bottom w:w="57" w:type="dxa"/>
              <w:right w:w="0" w:type="dxa"/>
            </w:tcMar>
            <w:vAlign w:val="center"/>
          </w:tcPr>
          <w:p w14:paraId="24774E18" w14:textId="77777777" w:rsidR="00D572EA" w:rsidRPr="00AB1C62" w:rsidRDefault="00D572EA" w:rsidP="00611512">
            <w:pPr>
              <w:autoSpaceDN w:val="0"/>
              <w:spacing w:after="0" w:line="360" w:lineRule="auto"/>
              <w:jc w:val="center"/>
              <w:rPr>
                <w:rFonts w:ascii="Open Sans" w:eastAsia="Times New Roman" w:hAnsi="Open Sans" w:cs="Open Sans"/>
                <w:b/>
                <w:bCs/>
                <w:color w:val="FFFFFF"/>
                <w:sz w:val="18"/>
                <w:szCs w:val="18"/>
                <w:lang w:eastAsia="es-ES"/>
              </w:rPr>
            </w:pPr>
            <w:r w:rsidRPr="00AB1C62">
              <w:rPr>
                <w:rFonts w:ascii="Open Sans" w:eastAsia="Times New Roman" w:hAnsi="Open Sans" w:cs="Open Sans"/>
                <w:b/>
                <w:bCs/>
                <w:color w:val="FFFFFF"/>
                <w:sz w:val="18"/>
                <w:szCs w:val="18"/>
                <w:lang w:eastAsia="es-ES"/>
              </w:rPr>
              <w:t>Importe de operaciones pendientes de pago</w:t>
            </w:r>
          </w:p>
        </w:tc>
        <w:tc>
          <w:tcPr>
            <w:tcW w:w="1417" w:type="dxa"/>
            <w:tcBorders>
              <w:left w:val="single" w:sz="6" w:space="0" w:color="000000"/>
              <w:bottom w:val="single" w:sz="6" w:space="0" w:color="993333"/>
              <w:right w:val="single" w:sz="4" w:space="0" w:color="auto"/>
            </w:tcBorders>
            <w:shd w:val="clear" w:color="auto" w:fill="9D2235"/>
            <w:tcMar>
              <w:top w:w="0" w:type="dxa"/>
              <w:left w:w="57" w:type="dxa"/>
              <w:bottom w:w="57" w:type="dxa"/>
              <w:right w:w="57" w:type="dxa"/>
            </w:tcMar>
            <w:vAlign w:val="center"/>
          </w:tcPr>
          <w:p w14:paraId="0FFBBFCB" w14:textId="77777777" w:rsidR="00D572EA" w:rsidRPr="00AB1C62" w:rsidRDefault="00D572EA" w:rsidP="00611512">
            <w:pPr>
              <w:autoSpaceDN w:val="0"/>
              <w:spacing w:after="0" w:line="360" w:lineRule="auto"/>
              <w:jc w:val="center"/>
              <w:rPr>
                <w:rFonts w:ascii="Open Sans" w:eastAsia="Times New Roman" w:hAnsi="Open Sans" w:cs="Open Sans"/>
                <w:b/>
                <w:bCs/>
                <w:color w:val="FFFFFF"/>
                <w:sz w:val="18"/>
                <w:szCs w:val="18"/>
                <w:lang w:eastAsia="es-ES"/>
              </w:rPr>
            </w:pPr>
            <w:r w:rsidRPr="00AB1C62">
              <w:rPr>
                <w:rFonts w:ascii="Open Sans" w:eastAsia="Times New Roman" w:hAnsi="Open Sans" w:cs="Open Sans"/>
                <w:b/>
                <w:bCs/>
                <w:color w:val="FFFFFF"/>
                <w:sz w:val="18"/>
                <w:szCs w:val="18"/>
                <w:lang w:eastAsia="es-ES"/>
              </w:rPr>
              <w:t>Periodo medio de pago trimestral</w:t>
            </w:r>
          </w:p>
        </w:tc>
      </w:tr>
      <w:tr w:rsidR="00D572EA" w:rsidRPr="00AB1C62" w14:paraId="7814B6E0" w14:textId="77777777" w:rsidTr="00611512">
        <w:trPr>
          <w:jc w:val="right"/>
        </w:trPr>
        <w:tc>
          <w:tcPr>
            <w:tcW w:w="567" w:type="dxa"/>
            <w:tcBorders>
              <w:left w:val="single" w:sz="4" w:space="0" w:color="auto"/>
              <w:bottom w:val="single" w:sz="6" w:space="0" w:color="993333"/>
            </w:tcBorders>
            <w:shd w:val="clear" w:color="auto" w:fill="FFFFFF"/>
            <w:tcMar>
              <w:top w:w="0" w:type="dxa"/>
              <w:left w:w="0" w:type="dxa"/>
              <w:bottom w:w="57" w:type="dxa"/>
              <w:right w:w="0" w:type="dxa"/>
            </w:tcMar>
          </w:tcPr>
          <w:p w14:paraId="4D1932F1" w14:textId="77777777" w:rsidR="00D572EA" w:rsidRPr="00AB1C62" w:rsidRDefault="00D572EA" w:rsidP="001F17F7">
            <w:pPr>
              <w:autoSpaceDN w:val="0"/>
              <w:spacing w:after="0" w:line="360" w:lineRule="auto"/>
              <w:jc w:val="center"/>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2019</w:t>
            </w:r>
          </w:p>
        </w:tc>
        <w:tc>
          <w:tcPr>
            <w:tcW w:w="992" w:type="dxa"/>
            <w:tcBorders>
              <w:bottom w:val="single" w:sz="6" w:space="0" w:color="993333"/>
            </w:tcBorders>
            <w:shd w:val="clear" w:color="auto" w:fill="FFFFFF"/>
            <w:tcMar>
              <w:top w:w="0" w:type="dxa"/>
              <w:left w:w="0" w:type="dxa"/>
              <w:bottom w:w="57" w:type="dxa"/>
              <w:right w:w="0" w:type="dxa"/>
            </w:tcMar>
          </w:tcPr>
          <w:p w14:paraId="5AC436AB" w14:textId="77777777" w:rsidR="00D572EA" w:rsidRPr="00AB1C62" w:rsidRDefault="00D572EA" w:rsidP="001F17F7">
            <w:pPr>
              <w:autoSpaceDN w:val="0"/>
              <w:spacing w:after="0" w:line="360" w:lineRule="auto"/>
              <w:jc w:val="center"/>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1T</w:t>
            </w:r>
          </w:p>
        </w:tc>
        <w:tc>
          <w:tcPr>
            <w:tcW w:w="1271" w:type="dxa"/>
            <w:tcBorders>
              <w:bottom w:val="single" w:sz="6" w:space="0" w:color="993333"/>
            </w:tcBorders>
            <w:shd w:val="clear" w:color="auto" w:fill="FFFFFF"/>
            <w:tcMar>
              <w:top w:w="0" w:type="dxa"/>
              <w:left w:w="0" w:type="dxa"/>
              <w:bottom w:w="57" w:type="dxa"/>
              <w:right w:w="0" w:type="dxa"/>
            </w:tcMar>
          </w:tcPr>
          <w:p w14:paraId="34722646" w14:textId="30161E0D" w:rsidR="00D572EA" w:rsidRPr="00AB1C62" w:rsidRDefault="00D572EA" w:rsidP="001F17F7">
            <w:pPr>
              <w:autoSpaceDN w:val="0"/>
              <w:spacing w:after="0" w:line="360" w:lineRule="auto"/>
              <w:jc w:val="center"/>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18,58</w:t>
            </w:r>
            <w:r w:rsidR="001F17F7" w:rsidRPr="00AB1C62">
              <w:rPr>
                <w:rFonts w:ascii="Open Sans" w:eastAsia="Times New Roman" w:hAnsi="Open Sans" w:cs="Open Sans"/>
                <w:sz w:val="18"/>
                <w:szCs w:val="18"/>
                <w:lang w:eastAsia="es-ES"/>
              </w:rPr>
              <w:t xml:space="preserve"> </w:t>
            </w:r>
          </w:p>
        </w:tc>
        <w:tc>
          <w:tcPr>
            <w:tcW w:w="1276" w:type="dxa"/>
            <w:tcBorders>
              <w:bottom w:val="single" w:sz="6" w:space="0" w:color="993333"/>
            </w:tcBorders>
            <w:shd w:val="clear" w:color="auto" w:fill="FFFFFF"/>
            <w:tcMar>
              <w:top w:w="0" w:type="dxa"/>
              <w:left w:w="0" w:type="dxa"/>
              <w:bottom w:w="57" w:type="dxa"/>
              <w:right w:w="0" w:type="dxa"/>
            </w:tcMar>
          </w:tcPr>
          <w:p w14:paraId="1A331157" w14:textId="5AA626C6" w:rsidR="00D572EA" w:rsidRPr="00AB1C62" w:rsidRDefault="00D572EA" w:rsidP="001F17F7">
            <w:pPr>
              <w:autoSpaceDN w:val="0"/>
              <w:spacing w:after="0" w:line="360" w:lineRule="auto"/>
              <w:jc w:val="center"/>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5,47</w:t>
            </w:r>
          </w:p>
        </w:tc>
        <w:tc>
          <w:tcPr>
            <w:tcW w:w="1280" w:type="dxa"/>
            <w:tcBorders>
              <w:bottom w:val="single" w:sz="6" w:space="0" w:color="993333"/>
            </w:tcBorders>
            <w:shd w:val="clear" w:color="auto" w:fill="FFFFFF"/>
            <w:tcMar>
              <w:top w:w="0" w:type="dxa"/>
              <w:left w:w="0" w:type="dxa"/>
              <w:bottom w:w="57" w:type="dxa"/>
              <w:right w:w="0" w:type="dxa"/>
            </w:tcMar>
          </w:tcPr>
          <w:p w14:paraId="342CFC24" w14:textId="1D9FC7C5" w:rsidR="00D572EA" w:rsidRPr="00AB1C62" w:rsidRDefault="00D572EA" w:rsidP="001F17F7">
            <w:pPr>
              <w:autoSpaceDN w:val="0"/>
              <w:spacing w:after="0" w:line="360" w:lineRule="auto"/>
              <w:jc w:val="center"/>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108.245,77</w:t>
            </w:r>
          </w:p>
        </w:tc>
        <w:tc>
          <w:tcPr>
            <w:tcW w:w="1560" w:type="dxa"/>
            <w:tcBorders>
              <w:bottom w:val="single" w:sz="6" w:space="0" w:color="993333"/>
            </w:tcBorders>
            <w:shd w:val="clear" w:color="auto" w:fill="FFFFFF"/>
            <w:tcMar>
              <w:top w:w="0" w:type="dxa"/>
              <w:left w:w="0" w:type="dxa"/>
              <w:bottom w:w="57" w:type="dxa"/>
              <w:right w:w="0" w:type="dxa"/>
            </w:tcMar>
          </w:tcPr>
          <w:p w14:paraId="3CD1BA22" w14:textId="79F65D12" w:rsidR="00D572EA" w:rsidRPr="00AB1C62" w:rsidRDefault="00D572EA" w:rsidP="001F17F7">
            <w:pPr>
              <w:autoSpaceDN w:val="0"/>
              <w:spacing w:after="0" w:line="360" w:lineRule="auto"/>
              <w:jc w:val="center"/>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1.069,39</w:t>
            </w:r>
          </w:p>
        </w:tc>
        <w:tc>
          <w:tcPr>
            <w:tcW w:w="1417" w:type="dxa"/>
            <w:tcBorders>
              <w:bottom w:val="single" w:sz="6" w:space="0" w:color="993333"/>
              <w:right w:val="single" w:sz="4" w:space="0" w:color="auto"/>
            </w:tcBorders>
            <w:shd w:val="clear" w:color="auto" w:fill="FFFFFF"/>
            <w:tcMar>
              <w:top w:w="0" w:type="dxa"/>
              <w:left w:w="0" w:type="dxa"/>
              <w:bottom w:w="57" w:type="dxa"/>
              <w:right w:w="0" w:type="dxa"/>
            </w:tcMar>
          </w:tcPr>
          <w:p w14:paraId="54DE8803" w14:textId="77777777" w:rsidR="00D572EA" w:rsidRPr="00AB1C62" w:rsidRDefault="00D572EA" w:rsidP="001F17F7">
            <w:pPr>
              <w:autoSpaceDN w:val="0"/>
              <w:spacing w:after="0" w:line="360" w:lineRule="auto"/>
              <w:jc w:val="center"/>
              <w:rPr>
                <w:rFonts w:ascii="Open Sans" w:eastAsia="Times New Roman" w:hAnsi="Open Sans" w:cs="Open Sans"/>
                <w:b/>
                <w:bCs/>
                <w:sz w:val="18"/>
                <w:szCs w:val="18"/>
                <w:lang w:eastAsia="es-ES"/>
              </w:rPr>
            </w:pPr>
            <w:r w:rsidRPr="00AB1C62">
              <w:rPr>
                <w:rFonts w:ascii="Open Sans" w:eastAsia="Times New Roman" w:hAnsi="Open Sans" w:cs="Open Sans"/>
                <w:b/>
                <w:bCs/>
                <w:sz w:val="18"/>
                <w:szCs w:val="18"/>
                <w:lang w:eastAsia="es-ES"/>
              </w:rPr>
              <w:t>18,45</w:t>
            </w:r>
          </w:p>
        </w:tc>
      </w:tr>
      <w:tr w:rsidR="00D572EA" w:rsidRPr="00AB1C62" w14:paraId="2133050D" w14:textId="77777777" w:rsidTr="00611512">
        <w:trPr>
          <w:jc w:val="right"/>
        </w:trPr>
        <w:tc>
          <w:tcPr>
            <w:tcW w:w="567" w:type="dxa"/>
            <w:tcBorders>
              <w:left w:val="single" w:sz="4" w:space="0" w:color="auto"/>
              <w:bottom w:val="single" w:sz="6" w:space="0" w:color="993333"/>
            </w:tcBorders>
            <w:shd w:val="clear" w:color="auto" w:fill="FFFFFF"/>
            <w:tcMar>
              <w:top w:w="0" w:type="dxa"/>
              <w:left w:w="0" w:type="dxa"/>
              <w:bottom w:w="57" w:type="dxa"/>
              <w:right w:w="0" w:type="dxa"/>
            </w:tcMar>
          </w:tcPr>
          <w:p w14:paraId="4DB89CC5" w14:textId="77777777" w:rsidR="00D572EA" w:rsidRPr="00AB1C62" w:rsidRDefault="00D572EA" w:rsidP="001F17F7">
            <w:pPr>
              <w:autoSpaceDN w:val="0"/>
              <w:spacing w:after="0" w:line="360" w:lineRule="auto"/>
              <w:jc w:val="center"/>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2019</w:t>
            </w:r>
          </w:p>
        </w:tc>
        <w:tc>
          <w:tcPr>
            <w:tcW w:w="992" w:type="dxa"/>
            <w:tcBorders>
              <w:bottom w:val="single" w:sz="6" w:space="0" w:color="993333"/>
            </w:tcBorders>
            <w:shd w:val="clear" w:color="auto" w:fill="FFFFFF"/>
            <w:tcMar>
              <w:top w:w="0" w:type="dxa"/>
              <w:left w:w="0" w:type="dxa"/>
              <w:bottom w:w="57" w:type="dxa"/>
              <w:right w:w="0" w:type="dxa"/>
            </w:tcMar>
          </w:tcPr>
          <w:p w14:paraId="3E6312E6" w14:textId="77777777" w:rsidR="00D572EA" w:rsidRPr="00AB1C62" w:rsidRDefault="00D572EA" w:rsidP="001F17F7">
            <w:pPr>
              <w:autoSpaceDN w:val="0"/>
              <w:spacing w:after="0" w:line="360" w:lineRule="auto"/>
              <w:jc w:val="center"/>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2T</w:t>
            </w:r>
          </w:p>
        </w:tc>
        <w:tc>
          <w:tcPr>
            <w:tcW w:w="1271" w:type="dxa"/>
            <w:tcBorders>
              <w:bottom w:val="single" w:sz="6" w:space="0" w:color="993333"/>
            </w:tcBorders>
            <w:shd w:val="clear" w:color="auto" w:fill="FFFFFF"/>
            <w:tcMar>
              <w:top w:w="0" w:type="dxa"/>
              <w:left w:w="0" w:type="dxa"/>
              <w:bottom w:w="57" w:type="dxa"/>
              <w:right w:w="0" w:type="dxa"/>
            </w:tcMar>
          </w:tcPr>
          <w:p w14:paraId="79D8D984" w14:textId="5B8BA358" w:rsidR="00D572EA" w:rsidRPr="00AB1C62" w:rsidRDefault="00D572EA" w:rsidP="001F17F7">
            <w:pPr>
              <w:autoSpaceDN w:val="0"/>
              <w:spacing w:after="0" w:line="360" w:lineRule="auto"/>
              <w:jc w:val="center"/>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14,16</w:t>
            </w:r>
            <w:r w:rsidR="001F17F7" w:rsidRPr="00AB1C62">
              <w:rPr>
                <w:rFonts w:ascii="Open Sans" w:eastAsia="Times New Roman" w:hAnsi="Open Sans" w:cs="Open Sans"/>
                <w:sz w:val="18"/>
                <w:szCs w:val="18"/>
                <w:lang w:eastAsia="es-ES"/>
              </w:rPr>
              <w:t xml:space="preserve"> </w:t>
            </w:r>
          </w:p>
        </w:tc>
        <w:tc>
          <w:tcPr>
            <w:tcW w:w="1276" w:type="dxa"/>
            <w:tcBorders>
              <w:bottom w:val="single" w:sz="6" w:space="0" w:color="993333"/>
            </w:tcBorders>
            <w:shd w:val="clear" w:color="auto" w:fill="FFFFFF"/>
            <w:tcMar>
              <w:top w:w="0" w:type="dxa"/>
              <w:left w:w="0" w:type="dxa"/>
              <w:bottom w:w="57" w:type="dxa"/>
              <w:right w:w="0" w:type="dxa"/>
            </w:tcMar>
          </w:tcPr>
          <w:p w14:paraId="0F1DA69A" w14:textId="0C146575" w:rsidR="00D572EA" w:rsidRPr="00AB1C62" w:rsidRDefault="00D572EA" w:rsidP="001F17F7">
            <w:pPr>
              <w:autoSpaceDN w:val="0"/>
              <w:spacing w:after="0" w:line="360" w:lineRule="auto"/>
              <w:jc w:val="center"/>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26,56</w:t>
            </w:r>
          </w:p>
        </w:tc>
        <w:tc>
          <w:tcPr>
            <w:tcW w:w="1280" w:type="dxa"/>
            <w:tcBorders>
              <w:bottom w:val="single" w:sz="6" w:space="0" w:color="993333"/>
            </w:tcBorders>
            <w:shd w:val="clear" w:color="auto" w:fill="FFFFFF"/>
            <w:tcMar>
              <w:top w:w="0" w:type="dxa"/>
              <w:left w:w="0" w:type="dxa"/>
              <w:bottom w:w="57" w:type="dxa"/>
              <w:right w:w="0" w:type="dxa"/>
            </w:tcMar>
          </w:tcPr>
          <w:p w14:paraId="7F8D08FB" w14:textId="70EE5802" w:rsidR="00D572EA" w:rsidRPr="00AB1C62" w:rsidRDefault="00D572EA" w:rsidP="001F17F7">
            <w:pPr>
              <w:autoSpaceDN w:val="0"/>
              <w:spacing w:after="0" w:line="360" w:lineRule="auto"/>
              <w:jc w:val="center"/>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211.594,20</w:t>
            </w:r>
          </w:p>
        </w:tc>
        <w:tc>
          <w:tcPr>
            <w:tcW w:w="1560" w:type="dxa"/>
            <w:tcBorders>
              <w:bottom w:val="single" w:sz="6" w:space="0" w:color="993333"/>
            </w:tcBorders>
            <w:shd w:val="clear" w:color="auto" w:fill="FFFFFF"/>
            <w:tcMar>
              <w:top w:w="0" w:type="dxa"/>
              <w:left w:w="0" w:type="dxa"/>
              <w:bottom w:w="57" w:type="dxa"/>
              <w:right w:w="0" w:type="dxa"/>
            </w:tcMar>
          </w:tcPr>
          <w:p w14:paraId="609E775F" w14:textId="4C80986C" w:rsidR="00D572EA" w:rsidRPr="00AB1C62" w:rsidRDefault="00D572EA" w:rsidP="001F17F7">
            <w:pPr>
              <w:autoSpaceDN w:val="0"/>
              <w:spacing w:after="0" w:line="360" w:lineRule="auto"/>
              <w:jc w:val="center"/>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5.909,56</w:t>
            </w:r>
            <w:r w:rsidR="001F17F7" w:rsidRPr="00AB1C62">
              <w:rPr>
                <w:rFonts w:ascii="Open Sans" w:eastAsia="Times New Roman" w:hAnsi="Open Sans" w:cs="Open Sans"/>
                <w:sz w:val="18"/>
                <w:szCs w:val="18"/>
                <w:lang w:eastAsia="es-ES"/>
              </w:rPr>
              <w:t xml:space="preserve"> </w:t>
            </w:r>
          </w:p>
        </w:tc>
        <w:tc>
          <w:tcPr>
            <w:tcW w:w="1417" w:type="dxa"/>
            <w:tcBorders>
              <w:bottom w:val="single" w:sz="6" w:space="0" w:color="993333"/>
              <w:right w:val="single" w:sz="4" w:space="0" w:color="auto"/>
            </w:tcBorders>
            <w:shd w:val="clear" w:color="auto" w:fill="FFFFFF"/>
            <w:tcMar>
              <w:top w:w="0" w:type="dxa"/>
              <w:left w:w="0" w:type="dxa"/>
              <w:bottom w:w="57" w:type="dxa"/>
              <w:right w:w="0" w:type="dxa"/>
            </w:tcMar>
          </w:tcPr>
          <w:p w14:paraId="3A5670D2" w14:textId="77777777" w:rsidR="00D572EA" w:rsidRPr="00AB1C62" w:rsidRDefault="00D572EA" w:rsidP="001F17F7">
            <w:pPr>
              <w:autoSpaceDN w:val="0"/>
              <w:spacing w:after="0" w:line="360" w:lineRule="auto"/>
              <w:jc w:val="center"/>
              <w:rPr>
                <w:rFonts w:ascii="Open Sans" w:eastAsia="Times New Roman" w:hAnsi="Open Sans" w:cs="Open Sans"/>
                <w:b/>
                <w:bCs/>
                <w:sz w:val="18"/>
                <w:szCs w:val="18"/>
                <w:lang w:eastAsia="es-ES"/>
              </w:rPr>
            </w:pPr>
            <w:r w:rsidRPr="00AB1C62">
              <w:rPr>
                <w:rFonts w:ascii="Open Sans" w:eastAsia="Times New Roman" w:hAnsi="Open Sans" w:cs="Open Sans"/>
                <w:b/>
                <w:bCs/>
                <w:sz w:val="18"/>
                <w:szCs w:val="18"/>
                <w:lang w:eastAsia="es-ES"/>
              </w:rPr>
              <w:t>14,50</w:t>
            </w:r>
          </w:p>
        </w:tc>
      </w:tr>
      <w:tr w:rsidR="00D572EA" w:rsidRPr="00AB1C62" w14:paraId="4B8AF54C" w14:textId="77777777" w:rsidTr="00611512">
        <w:trPr>
          <w:jc w:val="right"/>
        </w:trPr>
        <w:tc>
          <w:tcPr>
            <w:tcW w:w="567" w:type="dxa"/>
            <w:tcBorders>
              <w:left w:val="single" w:sz="4" w:space="0" w:color="auto"/>
              <w:bottom w:val="single" w:sz="6" w:space="0" w:color="993333"/>
            </w:tcBorders>
            <w:shd w:val="clear" w:color="auto" w:fill="FFFFFF"/>
            <w:tcMar>
              <w:top w:w="0" w:type="dxa"/>
              <w:left w:w="0" w:type="dxa"/>
              <w:bottom w:w="57" w:type="dxa"/>
              <w:right w:w="0" w:type="dxa"/>
            </w:tcMar>
          </w:tcPr>
          <w:p w14:paraId="3D55989E" w14:textId="77777777" w:rsidR="00D572EA" w:rsidRPr="00AB1C62" w:rsidRDefault="00D572EA" w:rsidP="001F17F7">
            <w:pPr>
              <w:autoSpaceDN w:val="0"/>
              <w:spacing w:after="0" w:line="360" w:lineRule="auto"/>
              <w:jc w:val="center"/>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2019</w:t>
            </w:r>
          </w:p>
        </w:tc>
        <w:tc>
          <w:tcPr>
            <w:tcW w:w="992" w:type="dxa"/>
            <w:tcBorders>
              <w:bottom w:val="single" w:sz="6" w:space="0" w:color="993333"/>
            </w:tcBorders>
            <w:shd w:val="clear" w:color="auto" w:fill="FFFFFF"/>
            <w:tcMar>
              <w:top w:w="0" w:type="dxa"/>
              <w:left w:w="0" w:type="dxa"/>
              <w:bottom w:w="57" w:type="dxa"/>
              <w:right w:w="0" w:type="dxa"/>
            </w:tcMar>
          </w:tcPr>
          <w:p w14:paraId="17CCB786" w14:textId="77777777" w:rsidR="00D572EA" w:rsidRPr="00AB1C62" w:rsidRDefault="00D572EA" w:rsidP="001F17F7">
            <w:pPr>
              <w:autoSpaceDN w:val="0"/>
              <w:spacing w:after="0" w:line="360" w:lineRule="auto"/>
              <w:jc w:val="center"/>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3T</w:t>
            </w:r>
          </w:p>
        </w:tc>
        <w:tc>
          <w:tcPr>
            <w:tcW w:w="1271" w:type="dxa"/>
            <w:tcBorders>
              <w:bottom w:val="single" w:sz="6" w:space="0" w:color="993333"/>
            </w:tcBorders>
            <w:shd w:val="clear" w:color="auto" w:fill="FFFFFF"/>
            <w:tcMar>
              <w:top w:w="0" w:type="dxa"/>
              <w:left w:w="0" w:type="dxa"/>
              <w:bottom w:w="57" w:type="dxa"/>
              <w:right w:w="0" w:type="dxa"/>
            </w:tcMar>
          </w:tcPr>
          <w:p w14:paraId="23A94628" w14:textId="17065C3C" w:rsidR="00D572EA" w:rsidRPr="00AB1C62" w:rsidRDefault="00D572EA" w:rsidP="001F17F7">
            <w:pPr>
              <w:autoSpaceDN w:val="0"/>
              <w:spacing w:after="0" w:line="360" w:lineRule="auto"/>
              <w:jc w:val="center"/>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10,81</w:t>
            </w:r>
            <w:r w:rsidR="001F17F7" w:rsidRPr="00AB1C62">
              <w:rPr>
                <w:rFonts w:ascii="Open Sans" w:eastAsia="Times New Roman" w:hAnsi="Open Sans" w:cs="Open Sans"/>
                <w:sz w:val="18"/>
                <w:szCs w:val="18"/>
                <w:lang w:eastAsia="es-ES"/>
              </w:rPr>
              <w:t xml:space="preserve"> </w:t>
            </w:r>
          </w:p>
        </w:tc>
        <w:tc>
          <w:tcPr>
            <w:tcW w:w="1276" w:type="dxa"/>
            <w:tcBorders>
              <w:bottom w:val="single" w:sz="6" w:space="0" w:color="993333"/>
            </w:tcBorders>
            <w:shd w:val="clear" w:color="auto" w:fill="FFFFFF"/>
            <w:tcMar>
              <w:top w:w="0" w:type="dxa"/>
              <w:left w:w="0" w:type="dxa"/>
              <w:bottom w:w="57" w:type="dxa"/>
              <w:right w:w="0" w:type="dxa"/>
            </w:tcMar>
          </w:tcPr>
          <w:p w14:paraId="2FF52208" w14:textId="63A3A066" w:rsidR="00D572EA" w:rsidRPr="00AB1C62" w:rsidRDefault="00D572EA" w:rsidP="001F17F7">
            <w:pPr>
              <w:autoSpaceDN w:val="0"/>
              <w:spacing w:after="0" w:line="360" w:lineRule="auto"/>
              <w:jc w:val="center"/>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9,64</w:t>
            </w:r>
          </w:p>
        </w:tc>
        <w:tc>
          <w:tcPr>
            <w:tcW w:w="1280" w:type="dxa"/>
            <w:tcBorders>
              <w:bottom w:val="single" w:sz="6" w:space="0" w:color="993333"/>
            </w:tcBorders>
            <w:shd w:val="clear" w:color="auto" w:fill="FFFFFF"/>
            <w:tcMar>
              <w:top w:w="0" w:type="dxa"/>
              <w:left w:w="0" w:type="dxa"/>
              <w:bottom w:w="57" w:type="dxa"/>
              <w:right w:w="0" w:type="dxa"/>
            </w:tcMar>
          </w:tcPr>
          <w:p w14:paraId="6A275AE8" w14:textId="307406B6" w:rsidR="00D572EA" w:rsidRPr="00AB1C62" w:rsidRDefault="00D572EA" w:rsidP="001F17F7">
            <w:pPr>
              <w:autoSpaceDN w:val="0"/>
              <w:spacing w:after="0" w:line="360" w:lineRule="auto"/>
              <w:jc w:val="center"/>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106.236,29</w:t>
            </w:r>
          </w:p>
        </w:tc>
        <w:tc>
          <w:tcPr>
            <w:tcW w:w="1560" w:type="dxa"/>
            <w:tcBorders>
              <w:bottom w:val="single" w:sz="6" w:space="0" w:color="993333"/>
            </w:tcBorders>
            <w:shd w:val="clear" w:color="auto" w:fill="FFFFFF"/>
            <w:tcMar>
              <w:top w:w="0" w:type="dxa"/>
              <w:left w:w="0" w:type="dxa"/>
              <w:bottom w:w="57" w:type="dxa"/>
              <w:right w:w="0" w:type="dxa"/>
            </w:tcMar>
          </w:tcPr>
          <w:p w14:paraId="02D7537F" w14:textId="2E1E3C32" w:rsidR="00D572EA" w:rsidRPr="00AB1C62" w:rsidRDefault="00D572EA" w:rsidP="001F17F7">
            <w:pPr>
              <w:autoSpaceDN w:val="0"/>
              <w:spacing w:after="0" w:line="360" w:lineRule="auto"/>
              <w:jc w:val="center"/>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78.302,29</w:t>
            </w:r>
          </w:p>
        </w:tc>
        <w:tc>
          <w:tcPr>
            <w:tcW w:w="1417" w:type="dxa"/>
            <w:tcBorders>
              <w:bottom w:val="single" w:sz="6" w:space="0" w:color="993333"/>
              <w:right w:val="single" w:sz="4" w:space="0" w:color="auto"/>
            </w:tcBorders>
            <w:shd w:val="clear" w:color="auto" w:fill="FFFFFF"/>
            <w:tcMar>
              <w:top w:w="0" w:type="dxa"/>
              <w:left w:w="0" w:type="dxa"/>
              <w:bottom w:w="57" w:type="dxa"/>
              <w:right w:w="0" w:type="dxa"/>
            </w:tcMar>
          </w:tcPr>
          <w:p w14:paraId="19AAE11E" w14:textId="77777777" w:rsidR="00D572EA" w:rsidRPr="00AB1C62" w:rsidRDefault="00D572EA" w:rsidP="001F17F7">
            <w:pPr>
              <w:autoSpaceDN w:val="0"/>
              <w:spacing w:after="0" w:line="360" w:lineRule="auto"/>
              <w:jc w:val="center"/>
              <w:rPr>
                <w:rFonts w:ascii="Open Sans" w:eastAsia="Times New Roman" w:hAnsi="Open Sans" w:cs="Open Sans"/>
                <w:b/>
                <w:bCs/>
                <w:sz w:val="18"/>
                <w:szCs w:val="18"/>
                <w:lang w:eastAsia="es-ES"/>
              </w:rPr>
            </w:pPr>
            <w:r w:rsidRPr="00AB1C62">
              <w:rPr>
                <w:rFonts w:ascii="Open Sans" w:eastAsia="Times New Roman" w:hAnsi="Open Sans" w:cs="Open Sans"/>
                <w:b/>
                <w:bCs/>
                <w:sz w:val="18"/>
                <w:szCs w:val="18"/>
                <w:lang w:eastAsia="es-ES"/>
              </w:rPr>
              <w:t>10,31</w:t>
            </w:r>
          </w:p>
        </w:tc>
      </w:tr>
      <w:tr w:rsidR="00D572EA" w:rsidRPr="00AB1C62" w14:paraId="0B3B9939" w14:textId="77777777" w:rsidTr="00611512">
        <w:trPr>
          <w:jc w:val="right"/>
        </w:trPr>
        <w:tc>
          <w:tcPr>
            <w:tcW w:w="567" w:type="dxa"/>
            <w:tcBorders>
              <w:left w:val="single" w:sz="4" w:space="0" w:color="auto"/>
              <w:bottom w:val="single" w:sz="4" w:space="0" w:color="auto"/>
            </w:tcBorders>
            <w:shd w:val="clear" w:color="auto" w:fill="FFFFFF"/>
            <w:tcMar>
              <w:top w:w="0" w:type="dxa"/>
              <w:left w:w="0" w:type="dxa"/>
              <w:bottom w:w="57" w:type="dxa"/>
              <w:right w:w="0" w:type="dxa"/>
            </w:tcMar>
          </w:tcPr>
          <w:p w14:paraId="2CF13456" w14:textId="77777777" w:rsidR="00D572EA" w:rsidRPr="00AB1C62" w:rsidRDefault="00D572EA" w:rsidP="001F17F7">
            <w:pPr>
              <w:autoSpaceDN w:val="0"/>
              <w:spacing w:after="0" w:line="360" w:lineRule="auto"/>
              <w:jc w:val="center"/>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2019</w:t>
            </w:r>
          </w:p>
        </w:tc>
        <w:tc>
          <w:tcPr>
            <w:tcW w:w="992" w:type="dxa"/>
            <w:tcBorders>
              <w:bottom w:val="single" w:sz="4" w:space="0" w:color="auto"/>
            </w:tcBorders>
            <w:shd w:val="clear" w:color="auto" w:fill="FFFFFF"/>
            <w:tcMar>
              <w:top w:w="0" w:type="dxa"/>
              <w:left w:w="0" w:type="dxa"/>
              <w:bottom w:w="57" w:type="dxa"/>
              <w:right w:w="0" w:type="dxa"/>
            </w:tcMar>
          </w:tcPr>
          <w:p w14:paraId="3C7184E9" w14:textId="77777777" w:rsidR="00D572EA" w:rsidRPr="00AB1C62" w:rsidRDefault="00D572EA" w:rsidP="001F17F7">
            <w:pPr>
              <w:autoSpaceDN w:val="0"/>
              <w:spacing w:after="0" w:line="360" w:lineRule="auto"/>
              <w:jc w:val="center"/>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4T</w:t>
            </w:r>
          </w:p>
        </w:tc>
        <w:tc>
          <w:tcPr>
            <w:tcW w:w="1271" w:type="dxa"/>
            <w:tcBorders>
              <w:bottom w:val="single" w:sz="4" w:space="0" w:color="auto"/>
            </w:tcBorders>
            <w:shd w:val="clear" w:color="auto" w:fill="FFFFFF"/>
            <w:tcMar>
              <w:top w:w="0" w:type="dxa"/>
              <w:left w:w="0" w:type="dxa"/>
              <w:bottom w:w="57" w:type="dxa"/>
              <w:right w:w="0" w:type="dxa"/>
            </w:tcMar>
          </w:tcPr>
          <w:p w14:paraId="6A04A4ED" w14:textId="6A0D2789" w:rsidR="00D572EA" w:rsidRPr="00AB1C62" w:rsidRDefault="00D572EA" w:rsidP="001F17F7">
            <w:pPr>
              <w:autoSpaceDN w:val="0"/>
              <w:spacing w:after="0" w:line="360" w:lineRule="auto"/>
              <w:jc w:val="center"/>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20,78</w:t>
            </w:r>
            <w:r w:rsidR="001F17F7" w:rsidRPr="00AB1C62">
              <w:rPr>
                <w:rFonts w:ascii="Open Sans" w:eastAsia="Times New Roman" w:hAnsi="Open Sans" w:cs="Open Sans"/>
                <w:sz w:val="18"/>
                <w:szCs w:val="18"/>
                <w:lang w:eastAsia="es-ES"/>
              </w:rPr>
              <w:t xml:space="preserve"> </w:t>
            </w:r>
          </w:p>
        </w:tc>
        <w:tc>
          <w:tcPr>
            <w:tcW w:w="1276" w:type="dxa"/>
            <w:tcBorders>
              <w:bottom w:val="single" w:sz="4" w:space="0" w:color="auto"/>
            </w:tcBorders>
            <w:shd w:val="clear" w:color="auto" w:fill="FFFFFF"/>
            <w:tcMar>
              <w:top w:w="0" w:type="dxa"/>
              <w:left w:w="0" w:type="dxa"/>
              <w:bottom w:w="57" w:type="dxa"/>
              <w:right w:w="0" w:type="dxa"/>
            </w:tcMar>
          </w:tcPr>
          <w:p w14:paraId="4F380079" w14:textId="01A5E1DC" w:rsidR="00D572EA" w:rsidRPr="00AB1C62" w:rsidRDefault="00D572EA" w:rsidP="001F17F7">
            <w:pPr>
              <w:autoSpaceDN w:val="0"/>
              <w:spacing w:after="0" w:line="360" w:lineRule="auto"/>
              <w:jc w:val="center"/>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7,67</w:t>
            </w:r>
          </w:p>
        </w:tc>
        <w:tc>
          <w:tcPr>
            <w:tcW w:w="1280" w:type="dxa"/>
            <w:tcBorders>
              <w:bottom w:val="single" w:sz="4" w:space="0" w:color="auto"/>
            </w:tcBorders>
            <w:shd w:val="clear" w:color="auto" w:fill="FFFFFF"/>
            <w:tcMar>
              <w:top w:w="0" w:type="dxa"/>
              <w:left w:w="0" w:type="dxa"/>
              <w:bottom w:w="57" w:type="dxa"/>
              <w:right w:w="0" w:type="dxa"/>
            </w:tcMar>
          </w:tcPr>
          <w:p w14:paraId="3276FCC5" w14:textId="1A1981DD" w:rsidR="00D572EA" w:rsidRPr="00AB1C62" w:rsidRDefault="00D572EA" w:rsidP="001F17F7">
            <w:pPr>
              <w:autoSpaceDN w:val="0"/>
              <w:spacing w:after="0" w:line="360" w:lineRule="auto"/>
              <w:jc w:val="center"/>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177.125,79</w:t>
            </w:r>
          </w:p>
        </w:tc>
        <w:tc>
          <w:tcPr>
            <w:tcW w:w="1560" w:type="dxa"/>
            <w:tcBorders>
              <w:bottom w:val="single" w:sz="4" w:space="0" w:color="auto"/>
            </w:tcBorders>
            <w:shd w:val="clear" w:color="auto" w:fill="FFFFFF"/>
            <w:tcMar>
              <w:top w:w="0" w:type="dxa"/>
              <w:left w:w="0" w:type="dxa"/>
              <w:bottom w:w="57" w:type="dxa"/>
              <w:right w:w="0" w:type="dxa"/>
            </w:tcMar>
          </w:tcPr>
          <w:p w14:paraId="19CBF11A" w14:textId="3FE3AA8E" w:rsidR="00D572EA" w:rsidRPr="00AB1C62" w:rsidRDefault="00D572EA" w:rsidP="001F17F7">
            <w:pPr>
              <w:autoSpaceDN w:val="0"/>
              <w:spacing w:after="0" w:line="360" w:lineRule="auto"/>
              <w:jc w:val="center"/>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93.748,47</w:t>
            </w:r>
          </w:p>
        </w:tc>
        <w:tc>
          <w:tcPr>
            <w:tcW w:w="1417" w:type="dxa"/>
            <w:tcBorders>
              <w:bottom w:val="single" w:sz="4" w:space="0" w:color="auto"/>
              <w:right w:val="single" w:sz="4" w:space="0" w:color="auto"/>
            </w:tcBorders>
            <w:shd w:val="clear" w:color="auto" w:fill="FFFFFF"/>
            <w:tcMar>
              <w:top w:w="0" w:type="dxa"/>
              <w:left w:w="0" w:type="dxa"/>
              <w:bottom w:w="57" w:type="dxa"/>
              <w:right w:w="0" w:type="dxa"/>
            </w:tcMar>
          </w:tcPr>
          <w:p w14:paraId="3FED3CA0" w14:textId="77777777" w:rsidR="00D572EA" w:rsidRPr="00AB1C62" w:rsidRDefault="00D572EA" w:rsidP="001F17F7">
            <w:pPr>
              <w:autoSpaceDN w:val="0"/>
              <w:spacing w:after="0" w:line="360" w:lineRule="auto"/>
              <w:jc w:val="center"/>
              <w:rPr>
                <w:rFonts w:ascii="Open Sans" w:eastAsia="Times New Roman" w:hAnsi="Open Sans" w:cs="Open Sans"/>
                <w:b/>
                <w:bCs/>
                <w:sz w:val="18"/>
                <w:szCs w:val="18"/>
                <w:lang w:eastAsia="es-ES"/>
              </w:rPr>
            </w:pPr>
            <w:r w:rsidRPr="00AB1C62">
              <w:rPr>
                <w:rFonts w:ascii="Open Sans" w:eastAsia="Times New Roman" w:hAnsi="Open Sans" w:cs="Open Sans"/>
                <w:b/>
                <w:bCs/>
                <w:sz w:val="18"/>
                <w:szCs w:val="18"/>
                <w:lang w:eastAsia="es-ES"/>
              </w:rPr>
              <w:t>16,24</w:t>
            </w:r>
          </w:p>
        </w:tc>
      </w:tr>
    </w:tbl>
    <w:p w14:paraId="0871E40C" w14:textId="4D20D462" w:rsidR="00D572EA" w:rsidRPr="00A07BE9" w:rsidRDefault="00D572EA" w:rsidP="00264EC2">
      <w:pPr>
        <w:autoSpaceDN w:val="0"/>
        <w:spacing w:after="0" w:line="276" w:lineRule="auto"/>
        <w:rPr>
          <w:rFonts w:ascii="Open Sans" w:eastAsia="Times New Roman" w:hAnsi="Open Sans" w:cs="Open Sans"/>
          <w:sz w:val="20"/>
          <w:szCs w:val="20"/>
          <w:lang w:eastAsia="es-ES"/>
        </w:rPr>
      </w:pPr>
    </w:p>
    <w:p w14:paraId="79B80164" w14:textId="77777777" w:rsidR="00877A02" w:rsidRPr="00A07BE9" w:rsidRDefault="00877A02" w:rsidP="00264EC2">
      <w:pPr>
        <w:autoSpaceDN w:val="0"/>
        <w:spacing w:after="0" w:line="276" w:lineRule="auto"/>
        <w:rPr>
          <w:rFonts w:ascii="Open Sans" w:eastAsia="Times New Roman" w:hAnsi="Open Sans" w:cs="Open Sans"/>
          <w:sz w:val="20"/>
          <w:szCs w:val="20"/>
          <w:lang w:eastAsia="es-ES"/>
        </w:rPr>
      </w:pPr>
    </w:p>
    <w:p w14:paraId="144646A7" w14:textId="6EF5F1FC" w:rsidR="00D572EA" w:rsidRPr="00A07BE9" w:rsidRDefault="00D572EA" w:rsidP="00A2723B">
      <w:pPr>
        <w:autoSpaceDN w:val="0"/>
        <w:spacing w:after="0" w:line="276" w:lineRule="auto"/>
        <w:jc w:val="both"/>
        <w:rPr>
          <w:rFonts w:ascii="Open Sans" w:eastAsia="Times New Roman" w:hAnsi="Open Sans" w:cs="Open Sans"/>
          <w:b/>
          <w:bCs/>
          <w:smallCaps/>
          <w:color w:val="993333"/>
          <w:sz w:val="28"/>
          <w:szCs w:val="28"/>
          <w:lang w:eastAsia="es-ES"/>
        </w:rPr>
      </w:pPr>
      <w:bookmarkStart w:id="42" w:name="Marcador_471"/>
      <w:bookmarkEnd w:id="42"/>
      <w:r w:rsidRPr="00A07BE9">
        <w:rPr>
          <w:rFonts w:ascii="Open Sans" w:eastAsia="Times New Roman" w:hAnsi="Open Sans" w:cs="Open Sans"/>
          <w:b/>
          <w:bCs/>
          <w:smallCaps/>
          <w:color w:val="993333"/>
          <w:sz w:val="28"/>
          <w:szCs w:val="28"/>
          <w:lang w:eastAsia="es-ES"/>
        </w:rPr>
        <w:t>6.2.2. Contratación</w:t>
      </w:r>
    </w:p>
    <w:p w14:paraId="6C51364C" w14:textId="77777777" w:rsidR="00A2723B" w:rsidRPr="00A07BE9" w:rsidRDefault="00A2723B" w:rsidP="00A2723B">
      <w:pPr>
        <w:autoSpaceDN w:val="0"/>
        <w:spacing w:after="0" w:line="276" w:lineRule="auto"/>
        <w:jc w:val="both"/>
        <w:rPr>
          <w:rFonts w:ascii="Open Sans" w:eastAsia="Times New Roman" w:hAnsi="Open Sans" w:cs="Open Sans"/>
          <w:b/>
          <w:bCs/>
          <w:smallCaps/>
          <w:color w:val="993333"/>
          <w:sz w:val="20"/>
          <w:szCs w:val="20"/>
          <w:lang w:eastAsia="es-ES"/>
        </w:rPr>
      </w:pPr>
    </w:p>
    <w:p w14:paraId="6711212C" w14:textId="77777777" w:rsidR="00D572EA" w:rsidRPr="00A07BE9" w:rsidRDefault="00D572EA" w:rsidP="00D572EA">
      <w:pPr>
        <w:suppressAutoHyphens/>
        <w:autoSpaceDN w:val="0"/>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La actividad contractual de la Agencia, intrínsecamente vinculada a su puesta en marcha y a la progresiva incorporación del personal que la integra, se ha venido intensificando de forma progresiva.</w:t>
      </w:r>
    </w:p>
    <w:p w14:paraId="17329125" w14:textId="77777777" w:rsidR="00D572EA" w:rsidRPr="00A07BE9" w:rsidRDefault="00D572EA" w:rsidP="00D572EA">
      <w:pPr>
        <w:suppressAutoHyphens/>
        <w:autoSpaceDN w:val="0"/>
        <w:spacing w:after="0" w:line="276" w:lineRule="auto"/>
        <w:jc w:val="both"/>
        <w:rPr>
          <w:rFonts w:ascii="Open Sans" w:eastAsia="Times New Roman" w:hAnsi="Open Sans" w:cs="Open Sans"/>
          <w:sz w:val="20"/>
          <w:szCs w:val="20"/>
          <w:lang w:eastAsia="es-ES"/>
        </w:rPr>
      </w:pPr>
    </w:p>
    <w:p w14:paraId="09F6EB19" w14:textId="77777777" w:rsidR="00D572EA" w:rsidRPr="00A07BE9" w:rsidRDefault="00D572EA" w:rsidP="00D572EA">
      <w:pPr>
        <w:suppressAutoHyphens/>
        <w:autoSpaceDN w:val="0"/>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Al igual que en años anteriores, en 2019 se ha tratado de articular los procedimientos de contratación a través de las centrales de contratación estatal y autonómica, que permiten, no sólo obtener las economías de escala derivadas de este sistema de contratación, sino también una aplicación eficiente de los escasos recursos humanos de que dispone el área de administración en general.</w:t>
      </w:r>
    </w:p>
    <w:p w14:paraId="60A5C977" w14:textId="77777777" w:rsidR="00D572EA" w:rsidRPr="00A07BE9" w:rsidRDefault="00D572EA" w:rsidP="00D572EA">
      <w:pPr>
        <w:suppressAutoHyphens/>
        <w:autoSpaceDN w:val="0"/>
        <w:spacing w:after="0" w:line="276" w:lineRule="auto"/>
        <w:jc w:val="both"/>
        <w:rPr>
          <w:rFonts w:ascii="Open Sans" w:eastAsia="Times New Roman" w:hAnsi="Open Sans" w:cs="Open Sans"/>
          <w:sz w:val="20"/>
          <w:szCs w:val="20"/>
          <w:lang w:eastAsia="es-ES"/>
        </w:rPr>
      </w:pPr>
    </w:p>
    <w:p w14:paraId="532EBA96" w14:textId="2555877A" w:rsidR="00D572EA" w:rsidRDefault="00D572EA" w:rsidP="00D572EA">
      <w:pPr>
        <w:suppressAutoHyphens/>
        <w:autoSpaceDN w:val="0"/>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sz w:val="20"/>
          <w:szCs w:val="20"/>
          <w:lang w:eastAsia="es-ES"/>
        </w:rPr>
        <w:t xml:space="preserve">No obstante, el acceso a este recurso ha resultado mucho más limitado de lo deseado como se ha indicado, toda vez que persiste la limitación derivada de que la Agencia no puede adherirse de manera específica a buena parte de los acuerdos marco formalizados antes de su adhesión genérica a las respectivas Centrales de Contratación. Así, como ya se ha indicado en el apartado de esta Memoria relativo a la ejecución presupuestaria, la Agencia no ha podido adherirse a los acuerdos marco que posibilitarán la contratación centralizada del suministro de </w:t>
      </w:r>
      <w:r w:rsidRPr="00A07BE9">
        <w:rPr>
          <w:rFonts w:ascii="Open Sans" w:eastAsia="Times New Roman" w:hAnsi="Open Sans" w:cs="Open Sans"/>
          <w:color w:val="000000"/>
          <w:sz w:val="20"/>
          <w:szCs w:val="20"/>
          <w:lang w:eastAsia="es-ES"/>
        </w:rPr>
        <w:t>ordenadores, de los servicios de limpieza, de agencia de viajes, servicios postales, y de otros suministros y servicios que eran del interés de esta entidad.</w:t>
      </w:r>
    </w:p>
    <w:p w14:paraId="5D3B157B" w14:textId="77777777" w:rsidR="00AB1C62" w:rsidRPr="00A07BE9" w:rsidRDefault="00AB1C62" w:rsidP="00D572EA">
      <w:pPr>
        <w:suppressAutoHyphens/>
        <w:autoSpaceDN w:val="0"/>
        <w:spacing w:after="0" w:line="276" w:lineRule="auto"/>
        <w:jc w:val="both"/>
        <w:rPr>
          <w:rFonts w:ascii="Open Sans" w:eastAsia="Times New Roman" w:hAnsi="Open Sans" w:cs="Open Sans"/>
          <w:color w:val="000000"/>
          <w:sz w:val="20"/>
          <w:szCs w:val="20"/>
          <w:lang w:eastAsia="es-ES"/>
        </w:rPr>
      </w:pPr>
    </w:p>
    <w:p w14:paraId="4DCD357E" w14:textId="77777777" w:rsidR="00D572EA" w:rsidRPr="00A07BE9" w:rsidRDefault="00D572EA" w:rsidP="00D572EA">
      <w:pPr>
        <w:suppressAutoHyphens/>
        <w:autoSpaceDN w:val="0"/>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Esta limitación se atenuará progresivamente a medida que se vayan sustituyendo los vigentes acuerdos marco por otros nuevos, a los que la Agencia ya podrá adherirse de manera específica.</w:t>
      </w:r>
    </w:p>
    <w:p w14:paraId="548A1197" w14:textId="77777777" w:rsidR="00D572EA" w:rsidRPr="00A07BE9" w:rsidRDefault="00D572EA" w:rsidP="00D572EA">
      <w:pPr>
        <w:suppressAutoHyphens/>
        <w:autoSpaceDN w:val="0"/>
        <w:spacing w:after="0" w:line="276" w:lineRule="auto"/>
        <w:jc w:val="both"/>
        <w:rPr>
          <w:rFonts w:ascii="Open Sans" w:eastAsia="Times New Roman" w:hAnsi="Open Sans" w:cs="Open Sans"/>
          <w:color w:val="000000"/>
          <w:sz w:val="20"/>
          <w:szCs w:val="20"/>
          <w:lang w:eastAsia="es-ES"/>
        </w:rPr>
      </w:pPr>
    </w:p>
    <w:p w14:paraId="3CD29E88" w14:textId="3EB3F86F" w:rsidR="00D572EA" w:rsidRPr="00A07BE9" w:rsidRDefault="00D572EA" w:rsidP="00D572EA">
      <w:pPr>
        <w:suppressAutoHyphens/>
        <w:autoSpaceDN w:val="0"/>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En este marco, el de la racionalización de la contratación, y a lo largo de este ejercicio, la Agencia ha formalizado determinados acuerdos de adhesión específica y, asimismo, ha tramitado procedimientos de contratación centralizada.</w:t>
      </w:r>
    </w:p>
    <w:p w14:paraId="77188B70" w14:textId="77777777" w:rsidR="00D572EA" w:rsidRPr="00A07BE9" w:rsidRDefault="00D572EA" w:rsidP="00D572EA">
      <w:pPr>
        <w:suppressAutoHyphens/>
        <w:autoSpaceDN w:val="0"/>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lastRenderedPageBreak/>
        <w:t>Interesa destacar que a 31 de diciembre de 2019 la Agencia está adherida específicamente a los acuerdos marco que se relacionan a continuación.</w:t>
      </w:r>
    </w:p>
    <w:p w14:paraId="03AA4532" w14:textId="77777777" w:rsidR="00D572EA" w:rsidRPr="00A07BE9" w:rsidRDefault="00D572EA" w:rsidP="00D572EA">
      <w:pPr>
        <w:suppressAutoHyphens/>
        <w:autoSpaceDN w:val="0"/>
        <w:spacing w:after="0" w:line="276" w:lineRule="auto"/>
        <w:jc w:val="both"/>
        <w:rPr>
          <w:rFonts w:ascii="Open Sans" w:eastAsia="Times New Roman" w:hAnsi="Open Sans" w:cs="Open Sans"/>
          <w:sz w:val="20"/>
          <w:szCs w:val="20"/>
          <w:lang w:eastAsia="es-ES"/>
        </w:rPr>
      </w:pPr>
    </w:p>
    <w:p w14:paraId="4032F148" w14:textId="4753EE9D" w:rsidR="008E6E2C" w:rsidRDefault="00D572EA" w:rsidP="00262F77">
      <w:pPr>
        <w:suppressAutoHyphens/>
        <w:autoSpaceDN w:val="0"/>
        <w:spacing w:after="0" w:line="240" w:lineRule="auto"/>
        <w:jc w:val="both"/>
        <w:rPr>
          <w:rFonts w:ascii="Open Sans" w:eastAsia="Times New Roman" w:hAnsi="Open Sans" w:cs="Open Sans"/>
          <w:b/>
          <w:bCs/>
          <w:color w:val="00000A"/>
          <w:sz w:val="20"/>
          <w:szCs w:val="20"/>
          <w:lang w:eastAsia="es-ES"/>
        </w:rPr>
      </w:pPr>
      <w:r w:rsidRPr="00A07BE9">
        <w:rPr>
          <w:rFonts w:ascii="Open Sans" w:eastAsia="Times New Roman" w:hAnsi="Open Sans" w:cs="Open Sans"/>
          <w:b/>
          <w:bCs/>
          <w:color w:val="9D2235"/>
          <w:sz w:val="20"/>
          <w:szCs w:val="20"/>
          <w:lang w:eastAsia="es-ES"/>
        </w:rPr>
        <w:t xml:space="preserve">Tabla </w:t>
      </w:r>
      <w:r w:rsidR="001F17F7" w:rsidRPr="00A07BE9">
        <w:rPr>
          <w:rFonts w:ascii="Open Sans" w:eastAsia="Times New Roman" w:hAnsi="Open Sans" w:cs="Open Sans"/>
          <w:b/>
          <w:bCs/>
          <w:color w:val="9D2235"/>
          <w:sz w:val="20"/>
          <w:szCs w:val="20"/>
          <w:lang w:eastAsia="es-ES"/>
        </w:rPr>
        <w:t>3</w:t>
      </w:r>
      <w:r w:rsidR="00747A7D" w:rsidRPr="00A07BE9">
        <w:rPr>
          <w:rFonts w:ascii="Open Sans" w:eastAsia="Times New Roman" w:hAnsi="Open Sans" w:cs="Open Sans"/>
          <w:b/>
          <w:bCs/>
          <w:color w:val="9D2235"/>
          <w:sz w:val="20"/>
          <w:szCs w:val="20"/>
          <w:lang w:eastAsia="es-ES"/>
        </w:rPr>
        <w:t>4</w:t>
      </w:r>
      <w:r w:rsidRPr="00A07BE9">
        <w:rPr>
          <w:rFonts w:ascii="Open Sans" w:eastAsia="Times New Roman" w:hAnsi="Open Sans" w:cs="Open Sans"/>
          <w:b/>
          <w:bCs/>
          <w:sz w:val="20"/>
          <w:szCs w:val="20"/>
          <w:lang w:eastAsia="es-ES"/>
        </w:rPr>
        <w:t xml:space="preserve">: </w:t>
      </w:r>
      <w:r w:rsidRPr="00A07BE9">
        <w:rPr>
          <w:rFonts w:ascii="Open Sans" w:eastAsia="Times New Roman" w:hAnsi="Open Sans" w:cs="Open Sans"/>
          <w:b/>
          <w:bCs/>
          <w:color w:val="00000A"/>
          <w:sz w:val="20"/>
          <w:szCs w:val="20"/>
          <w:lang w:eastAsia="es-ES"/>
        </w:rPr>
        <w:t xml:space="preserve">Acuerdos </w:t>
      </w:r>
      <w:r w:rsidR="004A4D64">
        <w:rPr>
          <w:rFonts w:ascii="Open Sans" w:eastAsia="Times New Roman" w:hAnsi="Open Sans" w:cs="Open Sans"/>
          <w:b/>
          <w:bCs/>
          <w:color w:val="00000A"/>
          <w:sz w:val="20"/>
          <w:szCs w:val="20"/>
          <w:lang w:eastAsia="es-ES"/>
        </w:rPr>
        <w:t>M</w:t>
      </w:r>
      <w:r w:rsidRPr="00A07BE9">
        <w:rPr>
          <w:rFonts w:ascii="Open Sans" w:eastAsia="Times New Roman" w:hAnsi="Open Sans" w:cs="Open Sans"/>
          <w:b/>
          <w:bCs/>
          <w:color w:val="00000A"/>
          <w:sz w:val="20"/>
          <w:szCs w:val="20"/>
          <w:lang w:eastAsia="es-ES"/>
        </w:rPr>
        <w:t>arco de la Central de Compras de la Generalitat a los que la Agencia está adherida a 31/12/2019</w:t>
      </w:r>
    </w:p>
    <w:p w14:paraId="76352553" w14:textId="77777777" w:rsidR="00AB1C62" w:rsidRPr="00A07BE9" w:rsidRDefault="00AB1C62" w:rsidP="00262F77">
      <w:pPr>
        <w:suppressAutoHyphens/>
        <w:autoSpaceDN w:val="0"/>
        <w:spacing w:after="0" w:line="240" w:lineRule="auto"/>
        <w:jc w:val="both"/>
        <w:rPr>
          <w:rFonts w:ascii="Open Sans" w:eastAsia="Times New Roman" w:hAnsi="Open Sans" w:cs="Open Sans"/>
          <w:b/>
          <w:bCs/>
          <w:color w:val="00000A"/>
          <w:sz w:val="20"/>
          <w:szCs w:val="20"/>
          <w:lang w:eastAsia="es-ES"/>
        </w:rPr>
      </w:pPr>
    </w:p>
    <w:tbl>
      <w:tblPr>
        <w:tblW w:w="8624" w:type="dxa"/>
        <w:tblInd w:w="51" w:type="dxa"/>
        <w:tblLayout w:type="fixed"/>
        <w:tblCellMar>
          <w:left w:w="10" w:type="dxa"/>
          <w:right w:w="10" w:type="dxa"/>
        </w:tblCellMar>
        <w:tblLook w:val="0000" w:firstRow="0" w:lastRow="0" w:firstColumn="0" w:lastColumn="0" w:noHBand="0" w:noVBand="0"/>
      </w:tblPr>
      <w:tblGrid>
        <w:gridCol w:w="6318"/>
        <w:gridCol w:w="2306"/>
      </w:tblGrid>
      <w:tr w:rsidR="00D572EA" w:rsidRPr="00AB1C62" w14:paraId="0473C2C3" w14:textId="77777777" w:rsidTr="001F17F7">
        <w:tc>
          <w:tcPr>
            <w:tcW w:w="7035" w:type="dxa"/>
            <w:tcBorders>
              <w:top w:val="single" w:sz="4" w:space="0" w:color="000000"/>
              <w:left w:val="single" w:sz="4" w:space="0" w:color="000000"/>
              <w:bottom w:val="single" w:sz="4" w:space="0" w:color="000000"/>
              <w:right w:val="single" w:sz="4" w:space="0" w:color="000000"/>
            </w:tcBorders>
            <w:shd w:val="clear" w:color="auto" w:fill="9D2235"/>
            <w:tcMar>
              <w:top w:w="0" w:type="dxa"/>
              <w:left w:w="5" w:type="dxa"/>
              <w:bottom w:w="57" w:type="dxa"/>
              <w:right w:w="5" w:type="dxa"/>
            </w:tcMar>
            <w:vAlign w:val="center"/>
          </w:tcPr>
          <w:p w14:paraId="02D24EB3" w14:textId="77777777" w:rsidR="00D572EA" w:rsidRPr="00AB1C62" w:rsidRDefault="00D572EA" w:rsidP="007049F4">
            <w:pPr>
              <w:autoSpaceDN w:val="0"/>
              <w:spacing w:after="0" w:line="360" w:lineRule="auto"/>
              <w:jc w:val="center"/>
              <w:rPr>
                <w:rFonts w:ascii="Open Sans" w:eastAsia="Times New Roman" w:hAnsi="Open Sans" w:cs="Open Sans"/>
                <w:b/>
                <w:bCs/>
                <w:color w:val="FFFFFF"/>
                <w:sz w:val="18"/>
                <w:szCs w:val="18"/>
                <w:lang w:eastAsia="es-ES"/>
              </w:rPr>
            </w:pPr>
            <w:r w:rsidRPr="00AB1C62">
              <w:rPr>
                <w:rFonts w:ascii="Open Sans" w:eastAsia="Times New Roman" w:hAnsi="Open Sans" w:cs="Open Sans"/>
                <w:b/>
                <w:bCs/>
                <w:color w:val="FFFFFF"/>
                <w:sz w:val="18"/>
                <w:szCs w:val="18"/>
                <w:lang w:eastAsia="es-ES"/>
              </w:rPr>
              <w:t>Acuerdo Marco</w:t>
            </w:r>
          </w:p>
        </w:tc>
        <w:tc>
          <w:tcPr>
            <w:tcW w:w="2559" w:type="dxa"/>
            <w:tcBorders>
              <w:top w:val="single" w:sz="4" w:space="0" w:color="000000"/>
              <w:left w:val="single" w:sz="4" w:space="0" w:color="000000"/>
              <w:bottom w:val="single" w:sz="4" w:space="0" w:color="000000"/>
              <w:right w:val="single" w:sz="4" w:space="0" w:color="000000"/>
            </w:tcBorders>
            <w:shd w:val="clear" w:color="auto" w:fill="9D2235"/>
            <w:tcMar>
              <w:top w:w="0" w:type="dxa"/>
              <w:left w:w="5" w:type="dxa"/>
              <w:bottom w:w="57" w:type="dxa"/>
              <w:right w:w="5" w:type="dxa"/>
            </w:tcMar>
            <w:vAlign w:val="center"/>
          </w:tcPr>
          <w:p w14:paraId="5921E5A5" w14:textId="77777777" w:rsidR="00D572EA" w:rsidRPr="00AB1C62" w:rsidRDefault="00D572EA" w:rsidP="00D572EA">
            <w:pPr>
              <w:autoSpaceDN w:val="0"/>
              <w:spacing w:after="0" w:line="360" w:lineRule="auto"/>
              <w:jc w:val="center"/>
              <w:rPr>
                <w:rFonts w:ascii="Open Sans" w:eastAsia="Times New Roman" w:hAnsi="Open Sans" w:cs="Open Sans"/>
                <w:b/>
                <w:bCs/>
                <w:color w:val="FFFFFF"/>
                <w:sz w:val="18"/>
                <w:szCs w:val="18"/>
                <w:lang w:eastAsia="es-ES"/>
              </w:rPr>
            </w:pPr>
            <w:r w:rsidRPr="00AB1C62">
              <w:rPr>
                <w:rFonts w:ascii="Open Sans" w:eastAsia="Times New Roman" w:hAnsi="Open Sans" w:cs="Open Sans"/>
                <w:b/>
                <w:bCs/>
                <w:color w:val="FFFFFF"/>
                <w:sz w:val="18"/>
                <w:szCs w:val="18"/>
                <w:lang w:eastAsia="es-ES"/>
              </w:rPr>
              <w:t>Fecha acuerdo/aceptación de adhesión específica</w:t>
            </w:r>
          </w:p>
        </w:tc>
      </w:tr>
      <w:tr w:rsidR="00D572EA" w:rsidRPr="00AB1C62" w14:paraId="5468DA77" w14:textId="77777777" w:rsidTr="001F17F7">
        <w:tc>
          <w:tcPr>
            <w:tcW w:w="7035" w:type="dxa"/>
            <w:tcBorders>
              <w:top w:val="single" w:sz="4" w:space="0" w:color="000000"/>
              <w:left w:val="single" w:sz="4" w:space="0" w:color="000000"/>
              <w:bottom w:val="single" w:sz="4" w:space="0" w:color="000000"/>
              <w:right w:val="single" w:sz="4" w:space="0" w:color="000000"/>
            </w:tcBorders>
            <w:shd w:val="clear" w:color="auto" w:fill="FFFFFF"/>
            <w:tcMar>
              <w:top w:w="57" w:type="dxa"/>
              <w:left w:w="5" w:type="dxa"/>
              <w:bottom w:w="57" w:type="dxa"/>
              <w:right w:w="5" w:type="dxa"/>
            </w:tcMar>
          </w:tcPr>
          <w:p w14:paraId="680378D2" w14:textId="77777777" w:rsidR="00D572EA" w:rsidRPr="00AB1C62" w:rsidRDefault="00D572EA" w:rsidP="007049F4">
            <w:pPr>
              <w:autoSpaceDN w:val="0"/>
              <w:spacing w:after="0" w:line="276" w:lineRule="auto"/>
              <w:jc w:val="both"/>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Acuerdo Marco 1/18CC para la contratación centralizada del suministro de energía eléctrica destinada a los puntos de suministro eléctrico de instalaciones utilizadas por la Administración de la Generalitat, su sector público instrumental y entidades adheridas</w:t>
            </w:r>
          </w:p>
        </w:tc>
        <w:tc>
          <w:tcPr>
            <w:tcW w:w="2559" w:type="dxa"/>
            <w:tcBorders>
              <w:top w:val="single" w:sz="4" w:space="0" w:color="000000"/>
              <w:left w:val="single" w:sz="4" w:space="0" w:color="000000"/>
              <w:bottom w:val="single" w:sz="4" w:space="0" w:color="000000"/>
              <w:right w:val="single" w:sz="4" w:space="0" w:color="000000"/>
            </w:tcBorders>
            <w:shd w:val="clear" w:color="auto" w:fill="FFFFFF"/>
            <w:tcMar>
              <w:top w:w="57" w:type="dxa"/>
              <w:left w:w="57" w:type="dxa"/>
              <w:bottom w:w="57" w:type="dxa"/>
              <w:right w:w="5" w:type="dxa"/>
            </w:tcMar>
            <w:vAlign w:val="center"/>
          </w:tcPr>
          <w:p w14:paraId="683F0327" w14:textId="37DB7A19" w:rsidR="00D572EA" w:rsidRPr="00AB1C62" w:rsidRDefault="00D572EA" w:rsidP="00D572EA">
            <w:pPr>
              <w:autoSpaceDN w:val="0"/>
              <w:spacing w:after="0" w:line="360" w:lineRule="auto"/>
              <w:jc w:val="center"/>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29</w:t>
            </w:r>
            <w:r w:rsidR="001F17F7" w:rsidRPr="00AB1C62">
              <w:rPr>
                <w:rFonts w:ascii="Open Sans" w:eastAsia="Times New Roman" w:hAnsi="Open Sans" w:cs="Open Sans"/>
                <w:sz w:val="18"/>
                <w:szCs w:val="18"/>
                <w:lang w:eastAsia="es-ES"/>
              </w:rPr>
              <w:t xml:space="preserve"> </w:t>
            </w:r>
            <w:r w:rsidRPr="00AB1C62">
              <w:rPr>
                <w:rFonts w:ascii="Open Sans" w:eastAsia="Times New Roman" w:hAnsi="Open Sans" w:cs="Open Sans"/>
                <w:sz w:val="18"/>
                <w:szCs w:val="18"/>
                <w:lang w:eastAsia="es-ES"/>
              </w:rPr>
              <w:t>junio2018</w:t>
            </w:r>
          </w:p>
        </w:tc>
      </w:tr>
      <w:tr w:rsidR="00D572EA" w:rsidRPr="00AB1C62" w14:paraId="1E5DB7E3" w14:textId="77777777" w:rsidTr="001F17F7">
        <w:tc>
          <w:tcPr>
            <w:tcW w:w="7035"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tcPr>
          <w:p w14:paraId="5591E544" w14:textId="77777777" w:rsidR="00D572EA" w:rsidRPr="00AB1C62" w:rsidRDefault="00D572EA" w:rsidP="007049F4">
            <w:pPr>
              <w:autoSpaceDN w:val="0"/>
              <w:spacing w:after="0" w:line="276" w:lineRule="auto"/>
              <w:jc w:val="both"/>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Acuerdo Marco 2/18CC para la contratación centralizada de los servicios de mediación de seguros para la Administración de la Generalitat, su sector público instrumental y entidades adheridas</w:t>
            </w:r>
          </w:p>
        </w:tc>
        <w:tc>
          <w:tcPr>
            <w:tcW w:w="2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57" w:type="dxa"/>
              <w:bottom w:w="57" w:type="dxa"/>
              <w:right w:w="5" w:type="dxa"/>
            </w:tcMar>
            <w:vAlign w:val="center"/>
          </w:tcPr>
          <w:p w14:paraId="591539F8" w14:textId="670D0DCE" w:rsidR="00D572EA" w:rsidRPr="00AB1C62" w:rsidRDefault="00D572EA" w:rsidP="00D572EA">
            <w:pPr>
              <w:autoSpaceDN w:val="0"/>
              <w:spacing w:after="0" w:line="360" w:lineRule="auto"/>
              <w:jc w:val="center"/>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7</w:t>
            </w:r>
            <w:r w:rsidR="001F17F7" w:rsidRPr="00AB1C62">
              <w:rPr>
                <w:rFonts w:ascii="Open Sans" w:eastAsia="Times New Roman" w:hAnsi="Open Sans" w:cs="Open Sans"/>
                <w:sz w:val="18"/>
                <w:szCs w:val="18"/>
                <w:lang w:eastAsia="es-ES"/>
              </w:rPr>
              <w:t xml:space="preserve"> </w:t>
            </w:r>
            <w:r w:rsidRPr="00AB1C62">
              <w:rPr>
                <w:rFonts w:ascii="Open Sans" w:eastAsia="Times New Roman" w:hAnsi="Open Sans" w:cs="Open Sans"/>
                <w:sz w:val="18"/>
                <w:szCs w:val="18"/>
                <w:lang w:eastAsia="es-ES"/>
              </w:rPr>
              <w:t>marzo</w:t>
            </w:r>
            <w:r w:rsidR="001F17F7" w:rsidRPr="00AB1C62">
              <w:rPr>
                <w:rFonts w:ascii="Open Sans" w:eastAsia="Times New Roman" w:hAnsi="Open Sans" w:cs="Open Sans"/>
                <w:sz w:val="18"/>
                <w:szCs w:val="18"/>
                <w:lang w:eastAsia="es-ES"/>
              </w:rPr>
              <w:t xml:space="preserve"> </w:t>
            </w:r>
            <w:r w:rsidRPr="00AB1C62">
              <w:rPr>
                <w:rFonts w:ascii="Open Sans" w:eastAsia="Times New Roman" w:hAnsi="Open Sans" w:cs="Open Sans"/>
                <w:sz w:val="18"/>
                <w:szCs w:val="18"/>
                <w:lang w:eastAsia="es-ES"/>
              </w:rPr>
              <w:t>2019</w:t>
            </w:r>
          </w:p>
        </w:tc>
      </w:tr>
      <w:tr w:rsidR="00D572EA" w:rsidRPr="00AB1C62" w14:paraId="194D2D6F" w14:textId="77777777" w:rsidTr="001F17F7">
        <w:tc>
          <w:tcPr>
            <w:tcW w:w="7035" w:type="dxa"/>
            <w:tcBorders>
              <w:left w:val="single" w:sz="4" w:space="0" w:color="000000"/>
              <w:bottom w:val="single" w:sz="4" w:space="0" w:color="000000"/>
              <w:right w:val="single" w:sz="4" w:space="0" w:color="000000"/>
            </w:tcBorders>
            <w:shd w:val="clear" w:color="auto" w:fill="FFFFFF"/>
            <w:tcMar>
              <w:top w:w="0" w:type="dxa"/>
              <w:left w:w="5" w:type="dxa"/>
              <w:bottom w:w="57" w:type="dxa"/>
              <w:right w:w="5" w:type="dxa"/>
            </w:tcMar>
          </w:tcPr>
          <w:p w14:paraId="0C643C4F" w14:textId="77777777" w:rsidR="00D572EA" w:rsidRPr="00AB1C62" w:rsidRDefault="00D572EA" w:rsidP="007049F4">
            <w:pPr>
              <w:autoSpaceDN w:val="0"/>
              <w:spacing w:after="0" w:line="276" w:lineRule="auto"/>
              <w:jc w:val="both"/>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Acuerdo Marco 3/18CC para la contratación centralizada del suministro de papel y material de oficina e informático no inventariable</w:t>
            </w:r>
          </w:p>
        </w:tc>
        <w:tc>
          <w:tcPr>
            <w:tcW w:w="2559" w:type="dxa"/>
            <w:tcBorders>
              <w:left w:val="single" w:sz="4" w:space="0" w:color="000000"/>
              <w:bottom w:val="single" w:sz="4" w:space="0" w:color="000000"/>
              <w:right w:val="single" w:sz="4" w:space="0" w:color="000000"/>
            </w:tcBorders>
            <w:shd w:val="clear" w:color="auto" w:fill="FFFFFF"/>
            <w:tcMar>
              <w:top w:w="0" w:type="dxa"/>
              <w:left w:w="57" w:type="dxa"/>
              <w:bottom w:w="57" w:type="dxa"/>
              <w:right w:w="5" w:type="dxa"/>
            </w:tcMar>
            <w:vAlign w:val="center"/>
          </w:tcPr>
          <w:p w14:paraId="7C6A690E" w14:textId="07A9009C" w:rsidR="00D572EA" w:rsidRPr="00AB1C62" w:rsidRDefault="00D572EA" w:rsidP="00D572EA">
            <w:pPr>
              <w:autoSpaceDN w:val="0"/>
              <w:spacing w:after="0" w:line="360" w:lineRule="auto"/>
              <w:jc w:val="center"/>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29</w:t>
            </w:r>
            <w:r w:rsidR="001F17F7" w:rsidRPr="00AB1C62">
              <w:rPr>
                <w:rFonts w:ascii="Open Sans" w:eastAsia="Times New Roman" w:hAnsi="Open Sans" w:cs="Open Sans"/>
                <w:sz w:val="18"/>
                <w:szCs w:val="18"/>
                <w:lang w:eastAsia="es-ES"/>
              </w:rPr>
              <w:t xml:space="preserve"> </w:t>
            </w:r>
            <w:r w:rsidRPr="00AB1C62">
              <w:rPr>
                <w:rFonts w:ascii="Open Sans" w:eastAsia="Times New Roman" w:hAnsi="Open Sans" w:cs="Open Sans"/>
                <w:sz w:val="18"/>
                <w:szCs w:val="18"/>
                <w:lang w:eastAsia="es-ES"/>
              </w:rPr>
              <w:t>junio</w:t>
            </w:r>
            <w:r w:rsidR="001F17F7" w:rsidRPr="00AB1C62">
              <w:rPr>
                <w:rFonts w:ascii="Open Sans" w:eastAsia="Times New Roman" w:hAnsi="Open Sans" w:cs="Open Sans"/>
                <w:sz w:val="18"/>
                <w:szCs w:val="18"/>
                <w:lang w:eastAsia="es-ES"/>
              </w:rPr>
              <w:t xml:space="preserve"> </w:t>
            </w:r>
            <w:r w:rsidRPr="00AB1C62">
              <w:rPr>
                <w:rFonts w:ascii="Open Sans" w:eastAsia="Times New Roman" w:hAnsi="Open Sans" w:cs="Open Sans"/>
                <w:sz w:val="18"/>
                <w:szCs w:val="18"/>
                <w:lang w:eastAsia="es-ES"/>
              </w:rPr>
              <w:t>2018</w:t>
            </w:r>
          </w:p>
        </w:tc>
      </w:tr>
      <w:tr w:rsidR="00D572EA" w:rsidRPr="00AB1C62" w14:paraId="72D19934" w14:textId="77777777" w:rsidTr="001F17F7">
        <w:tc>
          <w:tcPr>
            <w:tcW w:w="7035"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tcPr>
          <w:p w14:paraId="40D4ABCE" w14:textId="77777777" w:rsidR="00D572EA" w:rsidRPr="00AB1C62" w:rsidRDefault="00D572EA" w:rsidP="007049F4">
            <w:pPr>
              <w:autoSpaceDN w:val="0"/>
              <w:spacing w:after="0" w:line="276" w:lineRule="auto"/>
              <w:jc w:val="both"/>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Acuerdo Marco 6/18CC para la contratación de los servicios de vigilancia y seguridad de edificios de la administración de la Generalitat, su sector público instrumental y entidades adheridas</w:t>
            </w:r>
          </w:p>
        </w:tc>
        <w:tc>
          <w:tcPr>
            <w:tcW w:w="2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57" w:type="dxa"/>
              <w:bottom w:w="57" w:type="dxa"/>
              <w:right w:w="5" w:type="dxa"/>
            </w:tcMar>
            <w:vAlign w:val="center"/>
          </w:tcPr>
          <w:p w14:paraId="39CFC551" w14:textId="77777777" w:rsidR="00D572EA" w:rsidRPr="00AB1C62" w:rsidRDefault="00D572EA" w:rsidP="00D572EA">
            <w:pPr>
              <w:autoSpaceDN w:val="0"/>
              <w:spacing w:after="0" w:line="360" w:lineRule="auto"/>
              <w:jc w:val="center"/>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2018</w:t>
            </w:r>
          </w:p>
        </w:tc>
      </w:tr>
      <w:tr w:rsidR="00D572EA" w:rsidRPr="00AB1C62" w14:paraId="1EFBE09C" w14:textId="77777777" w:rsidTr="001F17F7">
        <w:tc>
          <w:tcPr>
            <w:tcW w:w="7035" w:type="dxa"/>
            <w:tcBorders>
              <w:left w:val="single" w:sz="4" w:space="0" w:color="000000"/>
              <w:bottom w:val="single" w:sz="4" w:space="0" w:color="000000"/>
              <w:right w:val="single" w:sz="4" w:space="0" w:color="000000"/>
            </w:tcBorders>
            <w:shd w:val="clear" w:color="auto" w:fill="FFFFFF"/>
            <w:tcMar>
              <w:top w:w="0" w:type="dxa"/>
              <w:left w:w="5" w:type="dxa"/>
              <w:bottom w:w="57" w:type="dxa"/>
              <w:right w:w="5" w:type="dxa"/>
            </w:tcMar>
          </w:tcPr>
          <w:p w14:paraId="6DEF457E" w14:textId="77777777" w:rsidR="00D572EA" w:rsidRPr="00AB1C62" w:rsidRDefault="00D572EA" w:rsidP="007049F4">
            <w:pPr>
              <w:autoSpaceDN w:val="0"/>
              <w:spacing w:after="0" w:line="276" w:lineRule="auto"/>
              <w:jc w:val="both"/>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CNMY15/DGTIC/16 Acuerdo Marco para la contratación centralizada de determinados servicios y suministros en materia de tecnologías de la información y la comunicación (TIC) para la Administración de la Generalitat, sus Organismos Públicos, sociedades mercantiles y fundaciones del sector público de la Generalitat (proyecto CESSTIC)</w:t>
            </w:r>
          </w:p>
        </w:tc>
        <w:tc>
          <w:tcPr>
            <w:tcW w:w="2559" w:type="dxa"/>
            <w:tcBorders>
              <w:left w:val="single" w:sz="4" w:space="0" w:color="000000"/>
              <w:bottom w:val="single" w:sz="4" w:space="0" w:color="000000"/>
              <w:right w:val="single" w:sz="4" w:space="0" w:color="000000"/>
            </w:tcBorders>
            <w:shd w:val="clear" w:color="auto" w:fill="FFFFFF"/>
            <w:tcMar>
              <w:top w:w="0" w:type="dxa"/>
              <w:left w:w="57" w:type="dxa"/>
              <w:bottom w:w="57" w:type="dxa"/>
              <w:right w:w="5" w:type="dxa"/>
            </w:tcMar>
            <w:vAlign w:val="center"/>
          </w:tcPr>
          <w:p w14:paraId="0F49D84E" w14:textId="5F9D8F30" w:rsidR="00D572EA" w:rsidRPr="00AB1C62" w:rsidRDefault="00D572EA" w:rsidP="00D572EA">
            <w:pPr>
              <w:autoSpaceDN w:val="0"/>
              <w:spacing w:after="0" w:line="360" w:lineRule="auto"/>
              <w:jc w:val="center"/>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05</w:t>
            </w:r>
            <w:r w:rsidR="00571318" w:rsidRPr="00AB1C62">
              <w:rPr>
                <w:rFonts w:ascii="Open Sans" w:eastAsia="Times New Roman" w:hAnsi="Open Sans" w:cs="Open Sans"/>
                <w:sz w:val="18"/>
                <w:szCs w:val="18"/>
                <w:lang w:eastAsia="es-ES"/>
              </w:rPr>
              <w:t xml:space="preserve"> </w:t>
            </w:r>
            <w:r w:rsidRPr="00AB1C62">
              <w:rPr>
                <w:rFonts w:ascii="Open Sans" w:eastAsia="Times New Roman" w:hAnsi="Open Sans" w:cs="Open Sans"/>
                <w:sz w:val="18"/>
                <w:szCs w:val="18"/>
                <w:lang w:eastAsia="es-ES"/>
              </w:rPr>
              <w:t>julio</w:t>
            </w:r>
            <w:r w:rsidR="009A090E" w:rsidRPr="00AB1C62">
              <w:rPr>
                <w:rFonts w:ascii="Open Sans" w:eastAsia="Times New Roman" w:hAnsi="Open Sans" w:cs="Open Sans"/>
                <w:sz w:val="18"/>
                <w:szCs w:val="18"/>
                <w:lang w:eastAsia="es-ES"/>
              </w:rPr>
              <w:t xml:space="preserve"> </w:t>
            </w:r>
            <w:r w:rsidRPr="00AB1C62">
              <w:rPr>
                <w:rFonts w:ascii="Open Sans" w:eastAsia="Times New Roman" w:hAnsi="Open Sans" w:cs="Open Sans"/>
                <w:sz w:val="18"/>
                <w:szCs w:val="18"/>
                <w:lang w:eastAsia="es-ES"/>
              </w:rPr>
              <w:t>2018</w:t>
            </w:r>
          </w:p>
        </w:tc>
      </w:tr>
    </w:tbl>
    <w:p w14:paraId="46901538" w14:textId="77777777" w:rsidR="00877A02" w:rsidRPr="00A07BE9" w:rsidRDefault="00877A02" w:rsidP="00D572EA">
      <w:pPr>
        <w:autoSpaceDN w:val="0"/>
        <w:spacing w:after="0" w:line="360" w:lineRule="auto"/>
        <w:jc w:val="both"/>
        <w:rPr>
          <w:rFonts w:ascii="Open Sans" w:eastAsia="Times New Roman" w:hAnsi="Open Sans" w:cs="Open Sans"/>
          <w:b/>
          <w:bCs/>
          <w:color w:val="993333"/>
          <w:sz w:val="21"/>
          <w:szCs w:val="21"/>
          <w:shd w:val="clear" w:color="auto" w:fill="FFFF00"/>
          <w:lang w:eastAsia="es-ES"/>
        </w:rPr>
      </w:pPr>
    </w:p>
    <w:p w14:paraId="2797CA63" w14:textId="6FE5D391" w:rsidR="008E6E2C" w:rsidRDefault="00D572EA" w:rsidP="00262F77">
      <w:pPr>
        <w:autoSpaceDN w:val="0"/>
        <w:spacing w:after="0" w:line="240" w:lineRule="auto"/>
        <w:jc w:val="both"/>
        <w:rPr>
          <w:rFonts w:ascii="Open Sans" w:eastAsia="Times New Roman" w:hAnsi="Open Sans" w:cs="Open Sans"/>
          <w:b/>
          <w:bCs/>
          <w:color w:val="00000A"/>
          <w:sz w:val="20"/>
          <w:szCs w:val="20"/>
          <w:lang w:eastAsia="es-ES"/>
        </w:rPr>
      </w:pPr>
      <w:r w:rsidRPr="00A07BE9">
        <w:rPr>
          <w:rFonts w:ascii="Open Sans" w:eastAsia="Times New Roman" w:hAnsi="Open Sans" w:cs="Open Sans"/>
          <w:b/>
          <w:bCs/>
          <w:color w:val="993333"/>
          <w:sz w:val="20"/>
          <w:szCs w:val="20"/>
          <w:lang w:eastAsia="es-ES"/>
        </w:rPr>
        <w:t xml:space="preserve">Tabla </w:t>
      </w:r>
      <w:r w:rsidR="00571318" w:rsidRPr="00A07BE9">
        <w:rPr>
          <w:rFonts w:ascii="Open Sans" w:eastAsia="Times New Roman" w:hAnsi="Open Sans" w:cs="Open Sans"/>
          <w:b/>
          <w:bCs/>
          <w:color w:val="993333"/>
          <w:sz w:val="20"/>
          <w:szCs w:val="20"/>
          <w:lang w:eastAsia="es-ES"/>
        </w:rPr>
        <w:t>3</w:t>
      </w:r>
      <w:r w:rsidR="00747A7D" w:rsidRPr="00A07BE9">
        <w:rPr>
          <w:rFonts w:ascii="Open Sans" w:eastAsia="Times New Roman" w:hAnsi="Open Sans" w:cs="Open Sans"/>
          <w:b/>
          <w:bCs/>
          <w:color w:val="993333"/>
          <w:sz w:val="20"/>
          <w:szCs w:val="20"/>
          <w:lang w:eastAsia="es-ES"/>
        </w:rPr>
        <w:t>5</w:t>
      </w:r>
      <w:r w:rsidRPr="00A07BE9">
        <w:rPr>
          <w:rFonts w:ascii="Open Sans" w:eastAsia="Times New Roman" w:hAnsi="Open Sans" w:cs="Open Sans"/>
          <w:b/>
          <w:bCs/>
          <w:color w:val="993333"/>
          <w:sz w:val="20"/>
          <w:szCs w:val="20"/>
          <w:lang w:eastAsia="es-ES"/>
        </w:rPr>
        <w:t>.</w:t>
      </w:r>
      <w:r w:rsidRPr="00A07BE9">
        <w:rPr>
          <w:rFonts w:ascii="Open Sans" w:eastAsia="Times New Roman" w:hAnsi="Open Sans" w:cs="Open Sans"/>
          <w:color w:val="00000A"/>
          <w:sz w:val="20"/>
          <w:szCs w:val="20"/>
          <w:lang w:eastAsia="es-ES"/>
        </w:rPr>
        <w:t xml:space="preserve"> </w:t>
      </w:r>
      <w:r w:rsidRPr="00A07BE9">
        <w:rPr>
          <w:rFonts w:ascii="Open Sans" w:eastAsia="Times New Roman" w:hAnsi="Open Sans" w:cs="Open Sans"/>
          <w:b/>
          <w:bCs/>
          <w:color w:val="00000A"/>
          <w:sz w:val="20"/>
          <w:szCs w:val="20"/>
          <w:lang w:eastAsia="es-ES"/>
        </w:rPr>
        <w:t>Acuerdos Marco de la Central de Compras del Estado a los que la Agencia está adherida a 31/12/2019</w:t>
      </w:r>
    </w:p>
    <w:p w14:paraId="5EF2499A" w14:textId="77777777" w:rsidR="00AB1C62" w:rsidRPr="00A07BE9" w:rsidRDefault="00AB1C62" w:rsidP="00262F77">
      <w:pPr>
        <w:autoSpaceDN w:val="0"/>
        <w:spacing w:after="0" w:line="240" w:lineRule="auto"/>
        <w:jc w:val="both"/>
        <w:rPr>
          <w:rFonts w:ascii="Open Sans" w:eastAsia="Times New Roman" w:hAnsi="Open Sans" w:cs="Open Sans"/>
          <w:b/>
          <w:bCs/>
          <w:color w:val="00000A"/>
          <w:sz w:val="20"/>
          <w:szCs w:val="20"/>
          <w:lang w:eastAsia="es-ES"/>
        </w:rPr>
      </w:pPr>
    </w:p>
    <w:tbl>
      <w:tblPr>
        <w:tblW w:w="8624" w:type="dxa"/>
        <w:tblLayout w:type="fixed"/>
        <w:tblCellMar>
          <w:left w:w="10" w:type="dxa"/>
          <w:right w:w="10" w:type="dxa"/>
        </w:tblCellMar>
        <w:tblLook w:val="0000" w:firstRow="0" w:lastRow="0" w:firstColumn="0" w:lastColumn="0" w:noHBand="0" w:noVBand="0"/>
      </w:tblPr>
      <w:tblGrid>
        <w:gridCol w:w="5563"/>
        <w:gridCol w:w="3061"/>
      </w:tblGrid>
      <w:tr w:rsidR="00D572EA" w:rsidRPr="00AB1C62" w14:paraId="52E3EEA7" w14:textId="77777777" w:rsidTr="008E6E2C">
        <w:tc>
          <w:tcPr>
            <w:tcW w:w="6223" w:type="dxa"/>
            <w:tcBorders>
              <w:top w:val="single" w:sz="4" w:space="0" w:color="000000"/>
              <w:left w:val="single" w:sz="4" w:space="0" w:color="000000"/>
              <w:bottom w:val="single" w:sz="4" w:space="0" w:color="000000"/>
              <w:right w:val="single" w:sz="4" w:space="0" w:color="000000"/>
            </w:tcBorders>
            <w:shd w:val="clear" w:color="auto" w:fill="9D2235"/>
            <w:tcMar>
              <w:top w:w="0" w:type="dxa"/>
              <w:left w:w="5" w:type="dxa"/>
              <w:bottom w:w="57" w:type="dxa"/>
              <w:right w:w="5" w:type="dxa"/>
            </w:tcMar>
            <w:vAlign w:val="center"/>
          </w:tcPr>
          <w:p w14:paraId="745713A3" w14:textId="77777777" w:rsidR="00D572EA" w:rsidRPr="00AB1C62" w:rsidRDefault="00D572EA" w:rsidP="00D865E8">
            <w:pPr>
              <w:autoSpaceDN w:val="0"/>
              <w:spacing w:after="0" w:line="276" w:lineRule="auto"/>
              <w:jc w:val="center"/>
              <w:rPr>
                <w:rFonts w:ascii="Open Sans" w:eastAsia="Times New Roman" w:hAnsi="Open Sans" w:cs="Open Sans"/>
                <w:b/>
                <w:bCs/>
                <w:color w:val="FFFFFF"/>
                <w:sz w:val="18"/>
                <w:szCs w:val="18"/>
                <w:lang w:eastAsia="es-ES"/>
              </w:rPr>
            </w:pPr>
            <w:r w:rsidRPr="00AB1C62">
              <w:rPr>
                <w:rFonts w:ascii="Open Sans" w:eastAsia="Times New Roman" w:hAnsi="Open Sans" w:cs="Open Sans"/>
                <w:b/>
                <w:bCs/>
                <w:color w:val="FFFFFF"/>
                <w:sz w:val="18"/>
                <w:szCs w:val="18"/>
                <w:lang w:eastAsia="es-ES"/>
              </w:rPr>
              <w:t>Acuerdo Marco</w:t>
            </w:r>
          </w:p>
        </w:tc>
        <w:tc>
          <w:tcPr>
            <w:tcW w:w="3422" w:type="dxa"/>
            <w:tcBorders>
              <w:top w:val="single" w:sz="4" w:space="0" w:color="000000"/>
              <w:left w:val="single" w:sz="4" w:space="0" w:color="000000"/>
              <w:bottom w:val="single" w:sz="4" w:space="0" w:color="000000"/>
              <w:right w:val="single" w:sz="4" w:space="0" w:color="000000"/>
            </w:tcBorders>
            <w:shd w:val="clear" w:color="auto" w:fill="9D2235"/>
            <w:tcMar>
              <w:top w:w="0" w:type="dxa"/>
              <w:left w:w="5" w:type="dxa"/>
              <w:bottom w:w="57" w:type="dxa"/>
              <w:right w:w="5" w:type="dxa"/>
            </w:tcMar>
            <w:vAlign w:val="center"/>
          </w:tcPr>
          <w:p w14:paraId="4B994B20" w14:textId="77777777" w:rsidR="00D572EA" w:rsidRPr="00AB1C62" w:rsidRDefault="00D572EA" w:rsidP="007049F4">
            <w:pPr>
              <w:autoSpaceDN w:val="0"/>
              <w:spacing w:after="0" w:line="276" w:lineRule="auto"/>
              <w:jc w:val="center"/>
              <w:rPr>
                <w:rFonts w:ascii="Open Sans" w:eastAsia="Times New Roman" w:hAnsi="Open Sans" w:cs="Open Sans"/>
                <w:b/>
                <w:bCs/>
                <w:color w:val="FFFFFF"/>
                <w:sz w:val="18"/>
                <w:szCs w:val="18"/>
                <w:lang w:eastAsia="es-ES"/>
              </w:rPr>
            </w:pPr>
            <w:r w:rsidRPr="00AB1C62">
              <w:rPr>
                <w:rFonts w:ascii="Open Sans" w:eastAsia="Times New Roman" w:hAnsi="Open Sans" w:cs="Open Sans"/>
                <w:b/>
                <w:bCs/>
                <w:color w:val="FFFFFF"/>
                <w:sz w:val="18"/>
                <w:szCs w:val="18"/>
                <w:lang w:eastAsia="es-ES"/>
              </w:rPr>
              <w:t>Fecha acuerdo/aceptación de adhesión específica</w:t>
            </w:r>
          </w:p>
        </w:tc>
      </w:tr>
      <w:tr w:rsidR="00D572EA" w:rsidRPr="00AB1C62" w14:paraId="21BD4581" w14:textId="77777777" w:rsidTr="008E6E2C">
        <w:tc>
          <w:tcPr>
            <w:tcW w:w="6223"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tcPr>
          <w:p w14:paraId="0D476951" w14:textId="77777777" w:rsidR="00D572EA" w:rsidRPr="00AB1C62" w:rsidRDefault="00D572EA" w:rsidP="007049F4">
            <w:pPr>
              <w:autoSpaceDN w:val="0"/>
              <w:spacing w:after="0" w:line="276" w:lineRule="auto"/>
              <w:jc w:val="both"/>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Acuerdo Marco 13/2013 para la contratación centralizada deL suministro de servidores de propósito general y sistemas de almacenamiento de la Central de Contratación del Estado.</w:t>
            </w:r>
          </w:p>
        </w:tc>
        <w:tc>
          <w:tcPr>
            <w:tcW w:w="3422"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07A00A71" w14:textId="5E51534C" w:rsidR="00D572EA" w:rsidRPr="00AB1C62" w:rsidRDefault="00D572EA" w:rsidP="007049F4">
            <w:pPr>
              <w:autoSpaceDN w:val="0"/>
              <w:spacing w:after="0" w:line="276" w:lineRule="auto"/>
              <w:jc w:val="center"/>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21</w:t>
            </w:r>
            <w:r w:rsidR="00370995">
              <w:rPr>
                <w:rFonts w:ascii="Open Sans" w:eastAsia="Times New Roman" w:hAnsi="Open Sans" w:cs="Open Sans"/>
                <w:sz w:val="18"/>
                <w:szCs w:val="18"/>
                <w:lang w:eastAsia="es-ES"/>
              </w:rPr>
              <w:t xml:space="preserve"> </w:t>
            </w:r>
            <w:r w:rsidRPr="00AB1C62">
              <w:rPr>
                <w:rFonts w:ascii="Open Sans" w:eastAsia="Times New Roman" w:hAnsi="Open Sans" w:cs="Open Sans"/>
                <w:sz w:val="18"/>
                <w:szCs w:val="18"/>
                <w:lang w:eastAsia="es-ES"/>
              </w:rPr>
              <w:t>agosto</w:t>
            </w:r>
            <w:r w:rsidR="00370995">
              <w:rPr>
                <w:rFonts w:ascii="Open Sans" w:eastAsia="Times New Roman" w:hAnsi="Open Sans" w:cs="Open Sans"/>
                <w:sz w:val="18"/>
                <w:szCs w:val="18"/>
                <w:lang w:eastAsia="es-ES"/>
              </w:rPr>
              <w:t xml:space="preserve"> </w:t>
            </w:r>
            <w:r w:rsidRPr="00AB1C62">
              <w:rPr>
                <w:rFonts w:ascii="Open Sans" w:eastAsia="Times New Roman" w:hAnsi="Open Sans" w:cs="Open Sans"/>
                <w:sz w:val="18"/>
                <w:szCs w:val="18"/>
                <w:lang w:eastAsia="es-ES"/>
              </w:rPr>
              <w:t>2019</w:t>
            </w:r>
          </w:p>
        </w:tc>
      </w:tr>
      <w:tr w:rsidR="00D572EA" w:rsidRPr="00AB1C62" w14:paraId="568E1D06" w14:textId="77777777" w:rsidTr="008E6E2C">
        <w:tc>
          <w:tcPr>
            <w:tcW w:w="6223"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tcPr>
          <w:p w14:paraId="75201F08" w14:textId="77777777" w:rsidR="00D572EA" w:rsidRPr="00AB1C62" w:rsidRDefault="00D572EA" w:rsidP="007049F4">
            <w:pPr>
              <w:autoSpaceDN w:val="0"/>
              <w:spacing w:after="0" w:line="276" w:lineRule="auto"/>
              <w:jc w:val="both"/>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Acuerdo Marco 10/2018 para la contratación centralizada del suministro de sistemas, equipos y software de comunicaciones de la Central de Contratación del Estado.</w:t>
            </w:r>
          </w:p>
        </w:tc>
        <w:tc>
          <w:tcPr>
            <w:tcW w:w="3422" w:type="dxa"/>
            <w:tcBorders>
              <w:top w:val="single" w:sz="4" w:space="0" w:color="000000"/>
              <w:left w:val="single" w:sz="4" w:space="0" w:color="000000"/>
              <w:bottom w:val="single" w:sz="4" w:space="0" w:color="000000"/>
              <w:right w:val="single" w:sz="4" w:space="0" w:color="000000"/>
            </w:tcBorders>
            <w:shd w:val="clear" w:color="auto" w:fill="FFFFFF"/>
            <w:tcMar>
              <w:top w:w="0" w:type="dxa"/>
              <w:left w:w="5" w:type="dxa"/>
              <w:bottom w:w="57" w:type="dxa"/>
              <w:right w:w="5" w:type="dxa"/>
            </w:tcMar>
            <w:vAlign w:val="center"/>
          </w:tcPr>
          <w:p w14:paraId="6C536672" w14:textId="0DC182E2" w:rsidR="00D572EA" w:rsidRPr="00AB1C62" w:rsidRDefault="00D572EA" w:rsidP="007049F4">
            <w:pPr>
              <w:autoSpaceDN w:val="0"/>
              <w:spacing w:after="0" w:line="276" w:lineRule="auto"/>
              <w:jc w:val="center"/>
              <w:rPr>
                <w:rFonts w:ascii="Open Sans" w:eastAsia="Times New Roman" w:hAnsi="Open Sans" w:cs="Open Sans"/>
                <w:sz w:val="18"/>
                <w:szCs w:val="18"/>
                <w:lang w:eastAsia="es-ES"/>
              </w:rPr>
            </w:pPr>
            <w:r w:rsidRPr="00AB1C62">
              <w:rPr>
                <w:rFonts w:ascii="Open Sans" w:eastAsia="Times New Roman" w:hAnsi="Open Sans" w:cs="Open Sans"/>
                <w:sz w:val="18"/>
                <w:szCs w:val="18"/>
                <w:lang w:eastAsia="es-ES"/>
              </w:rPr>
              <w:t>3</w:t>
            </w:r>
            <w:r w:rsidR="00370995">
              <w:rPr>
                <w:rFonts w:ascii="Open Sans" w:eastAsia="Times New Roman" w:hAnsi="Open Sans" w:cs="Open Sans"/>
                <w:sz w:val="18"/>
                <w:szCs w:val="18"/>
                <w:lang w:eastAsia="es-ES"/>
              </w:rPr>
              <w:t xml:space="preserve"> </w:t>
            </w:r>
            <w:r w:rsidRPr="00AB1C62">
              <w:rPr>
                <w:rFonts w:ascii="Open Sans" w:eastAsia="Times New Roman" w:hAnsi="Open Sans" w:cs="Open Sans"/>
                <w:sz w:val="18"/>
                <w:szCs w:val="18"/>
                <w:lang w:eastAsia="es-ES"/>
              </w:rPr>
              <w:t>septiembre</w:t>
            </w:r>
            <w:r w:rsidR="00370995">
              <w:rPr>
                <w:rFonts w:ascii="Open Sans" w:eastAsia="Times New Roman" w:hAnsi="Open Sans" w:cs="Open Sans"/>
                <w:sz w:val="18"/>
                <w:szCs w:val="18"/>
                <w:lang w:eastAsia="es-ES"/>
              </w:rPr>
              <w:t xml:space="preserve"> </w:t>
            </w:r>
            <w:r w:rsidRPr="00AB1C62">
              <w:rPr>
                <w:rFonts w:ascii="Open Sans" w:eastAsia="Times New Roman" w:hAnsi="Open Sans" w:cs="Open Sans"/>
                <w:sz w:val="18"/>
                <w:szCs w:val="18"/>
                <w:lang w:eastAsia="es-ES"/>
              </w:rPr>
              <w:t>2019</w:t>
            </w:r>
          </w:p>
        </w:tc>
      </w:tr>
    </w:tbl>
    <w:p w14:paraId="015A2440" w14:textId="77777777" w:rsidR="00112709" w:rsidRPr="00A07BE9" w:rsidRDefault="00112709" w:rsidP="00D572EA">
      <w:pPr>
        <w:suppressAutoHyphens/>
        <w:autoSpaceDN w:val="0"/>
        <w:spacing w:after="0" w:line="276" w:lineRule="auto"/>
        <w:jc w:val="both"/>
        <w:rPr>
          <w:rFonts w:ascii="Open Sans" w:eastAsia="Times New Roman" w:hAnsi="Open Sans" w:cs="Open Sans"/>
          <w:sz w:val="20"/>
          <w:szCs w:val="20"/>
          <w:lang w:eastAsia="es-ES"/>
        </w:rPr>
      </w:pPr>
    </w:p>
    <w:p w14:paraId="7C6AA36B" w14:textId="4591B1AD" w:rsidR="00D572EA" w:rsidRPr="00A07BE9" w:rsidRDefault="00D572EA" w:rsidP="00D572EA">
      <w:pPr>
        <w:suppressAutoHyphens/>
        <w:autoSpaceDN w:val="0"/>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 xml:space="preserve">En relación con la contratación propia que ha realizado la Agencia, el recurso al contrato menor, si bien puede parecer elevado, debe precisarse que se efectúa dentro del marco de la </w:t>
      </w:r>
      <w:hyperlink r:id="rId430" w:history="1">
        <w:r w:rsidRPr="00A07BE9">
          <w:rPr>
            <w:rStyle w:val="Hipervnculo"/>
            <w:rFonts w:ascii="Open Sans" w:eastAsia="Times New Roman" w:hAnsi="Open Sans" w:cs="Open Sans"/>
            <w:sz w:val="20"/>
            <w:szCs w:val="20"/>
            <w:lang w:eastAsia="es-ES"/>
          </w:rPr>
          <w:t>Ley 9/2017, de 8 de noviembre, de Contratos del Sector Público</w:t>
        </w:r>
      </w:hyperlink>
      <w:r w:rsidRPr="00A07BE9">
        <w:rPr>
          <w:rFonts w:ascii="Open Sans" w:eastAsia="Times New Roman" w:hAnsi="Open Sans" w:cs="Open Sans"/>
          <w:sz w:val="20"/>
          <w:szCs w:val="20"/>
          <w:lang w:eastAsia="es-ES"/>
        </w:rPr>
        <w:t xml:space="preserve">. Respecto de esta, y buscando procurar la máxima concurrencia, se efectúa su publicación en la Plataforma de Contratación del Sector Público, amén de formular invitaciones a distintos potenciales </w:t>
      </w:r>
      <w:r w:rsidRPr="00A07BE9">
        <w:rPr>
          <w:rFonts w:ascii="Open Sans" w:eastAsia="Times New Roman" w:hAnsi="Open Sans" w:cs="Open Sans"/>
          <w:sz w:val="20"/>
          <w:szCs w:val="20"/>
          <w:lang w:eastAsia="es-ES"/>
        </w:rPr>
        <w:lastRenderedPageBreak/>
        <w:t>contratistas. Se busca con ello que, aún cuando se trate de una contratación menor, se procure de una parte la máxima concurrencia y, simultáneamente, su eficiencia desde el punto de vista de la Agencia.</w:t>
      </w:r>
    </w:p>
    <w:p w14:paraId="220C35BC" w14:textId="77777777" w:rsidR="00D572EA" w:rsidRPr="00A07BE9" w:rsidRDefault="00D572EA" w:rsidP="00D572EA">
      <w:pPr>
        <w:suppressAutoHyphens/>
        <w:autoSpaceDN w:val="0"/>
        <w:spacing w:after="0" w:line="276" w:lineRule="auto"/>
        <w:jc w:val="both"/>
        <w:rPr>
          <w:rFonts w:ascii="Open Sans" w:eastAsia="Times New Roman" w:hAnsi="Open Sans" w:cs="Open Sans"/>
          <w:sz w:val="20"/>
          <w:szCs w:val="20"/>
          <w:lang w:eastAsia="es-ES"/>
        </w:rPr>
      </w:pPr>
    </w:p>
    <w:p w14:paraId="49763C7F" w14:textId="77777777" w:rsidR="00D572EA" w:rsidRPr="00A07BE9" w:rsidRDefault="00D572EA" w:rsidP="00D572EA">
      <w:pPr>
        <w:suppressAutoHyphens/>
        <w:autoSpaceDN w:val="0"/>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Por otra parte, alguno de los contratos menores que deben ser objeto de licitación abierta están ineludiblemente vinculados con la puesta en marcha de la administración electrónica, plataforma con la que deben quedar integrados, por lo que esta no ha podido realizarse en el ejercicio 2019.</w:t>
      </w:r>
    </w:p>
    <w:p w14:paraId="57FBADC0" w14:textId="77777777" w:rsidR="00D572EA" w:rsidRPr="00A07BE9" w:rsidRDefault="00D572EA" w:rsidP="00D572EA">
      <w:pPr>
        <w:suppressAutoHyphens/>
        <w:autoSpaceDN w:val="0"/>
        <w:spacing w:after="0" w:line="276" w:lineRule="auto"/>
        <w:jc w:val="both"/>
        <w:rPr>
          <w:rFonts w:ascii="Open Sans" w:eastAsia="Times New Roman" w:hAnsi="Open Sans" w:cs="Open Sans"/>
          <w:sz w:val="20"/>
          <w:szCs w:val="20"/>
          <w:lang w:eastAsia="es-ES"/>
        </w:rPr>
      </w:pPr>
    </w:p>
    <w:p w14:paraId="6D4581E1" w14:textId="17325A21" w:rsidR="00D572EA" w:rsidRPr="00A07BE9" w:rsidRDefault="00D572EA" w:rsidP="00D572EA">
      <w:pPr>
        <w:suppressAutoHyphens/>
        <w:autoSpaceDN w:val="0"/>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 xml:space="preserve">Además, respecto a esta contratación menor, habiendo resultado inevitable su recurso por la construcción de esta Agencia </w:t>
      </w:r>
      <w:r w:rsidR="00611512" w:rsidRPr="00A07BE9">
        <w:rPr>
          <w:rFonts w:ascii="Open Sans" w:eastAsia="Times New Roman" w:hAnsi="Open Sans" w:cs="Open Sans"/>
          <w:sz w:val="20"/>
          <w:szCs w:val="20"/>
          <w:lang w:eastAsia="es-ES"/>
        </w:rPr>
        <w:t>desde sus inicios</w:t>
      </w:r>
      <w:r w:rsidRPr="00A07BE9">
        <w:rPr>
          <w:rFonts w:ascii="Open Sans" w:eastAsia="Times New Roman" w:hAnsi="Open Sans" w:cs="Open Sans"/>
          <w:sz w:val="20"/>
          <w:szCs w:val="20"/>
          <w:lang w:eastAsia="es-ES"/>
        </w:rPr>
        <w:t>, a lo largo del ejercicio 2020 se centrarán esfuerzos en su disminución paulatina, tanto por la sustitución de los contratos menores por procedimientos abiertos, como por la concertación de contratos basados en la Contratación Centralizada de la Generalitat y del Estado.</w:t>
      </w:r>
    </w:p>
    <w:p w14:paraId="1E947A7E" w14:textId="77777777" w:rsidR="00D572EA" w:rsidRPr="00A07BE9" w:rsidRDefault="00D572EA" w:rsidP="00D572EA">
      <w:pPr>
        <w:suppressAutoHyphens/>
        <w:autoSpaceDN w:val="0"/>
        <w:spacing w:after="0" w:line="276" w:lineRule="auto"/>
        <w:jc w:val="both"/>
        <w:rPr>
          <w:rFonts w:ascii="Open Sans" w:eastAsia="Times New Roman" w:hAnsi="Open Sans" w:cs="Open Sans"/>
          <w:sz w:val="20"/>
          <w:szCs w:val="20"/>
          <w:lang w:eastAsia="es-ES"/>
        </w:rPr>
      </w:pPr>
    </w:p>
    <w:p w14:paraId="412C0106" w14:textId="77777777" w:rsidR="00D572EA" w:rsidRPr="00A07BE9" w:rsidRDefault="00D572EA" w:rsidP="00D572EA">
      <w:pPr>
        <w:suppressAutoHyphens/>
        <w:autoSpaceDN w:val="0"/>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En las siguientes tablas y gráficas se expone resumidamente la actividad contractual de la Agencia en el año 2019. La relación exhaustiva de qué contratos han sido concertados puede obtenerse en la página web de la Agencia, a través de su Portal de Transparencia en:</w:t>
      </w:r>
    </w:p>
    <w:p w14:paraId="5030276F" w14:textId="5FF79DA8" w:rsidR="00D572EA" w:rsidRPr="00A07BE9" w:rsidRDefault="00000000" w:rsidP="00D572EA">
      <w:pPr>
        <w:suppressAutoHyphens/>
        <w:autoSpaceDN w:val="0"/>
        <w:spacing w:after="0" w:line="276" w:lineRule="auto"/>
        <w:jc w:val="both"/>
        <w:rPr>
          <w:rFonts w:ascii="Open Sans" w:eastAsia="Times New Roman" w:hAnsi="Open Sans" w:cs="Open Sans"/>
          <w:sz w:val="20"/>
          <w:szCs w:val="20"/>
          <w:lang w:eastAsia="es-ES"/>
        </w:rPr>
      </w:pPr>
      <w:hyperlink r:id="rId431" w:history="1">
        <w:r w:rsidR="00D572EA" w:rsidRPr="00A07BE9">
          <w:rPr>
            <w:rStyle w:val="Hipervnculo"/>
            <w:rFonts w:ascii="Open Sans" w:eastAsia="Times New Roman" w:hAnsi="Open Sans" w:cs="Open Sans"/>
            <w:sz w:val="20"/>
            <w:szCs w:val="20"/>
            <w:lang w:eastAsia="es-ES"/>
          </w:rPr>
          <w:t>https://www.antifraucv.es/portal-de-transparencia/contractacio/</w:t>
        </w:r>
      </w:hyperlink>
    </w:p>
    <w:p w14:paraId="081A1CD9" w14:textId="77777777" w:rsidR="00877A02" w:rsidRPr="00A07BE9" w:rsidRDefault="00877A02" w:rsidP="00D572EA">
      <w:pPr>
        <w:autoSpaceDN w:val="0"/>
        <w:spacing w:after="0" w:line="360" w:lineRule="auto"/>
        <w:jc w:val="both"/>
        <w:rPr>
          <w:rFonts w:ascii="Open Sans" w:eastAsia="Times New Roman" w:hAnsi="Open Sans" w:cs="Open Sans"/>
          <w:sz w:val="20"/>
          <w:szCs w:val="20"/>
          <w:lang w:eastAsia="es-ES"/>
        </w:rPr>
      </w:pPr>
    </w:p>
    <w:p w14:paraId="70FE8599" w14:textId="3AC377CB" w:rsidR="00D572EA" w:rsidRPr="00A07BE9" w:rsidRDefault="00D572EA" w:rsidP="00D572EA">
      <w:pPr>
        <w:autoSpaceDN w:val="0"/>
        <w:spacing w:after="0" w:line="360" w:lineRule="auto"/>
        <w:rPr>
          <w:rFonts w:ascii="Liberation Serif" w:eastAsia="Droid Sans Fallback" w:hAnsi="Liberation Serif" w:cs="FreeSans"/>
          <w:kern w:val="3"/>
          <w:sz w:val="20"/>
          <w:szCs w:val="20"/>
          <w:lang w:eastAsia="zh-CN" w:bidi="hi-IN"/>
        </w:rPr>
      </w:pPr>
      <w:r w:rsidRPr="00A07BE9">
        <w:rPr>
          <w:rFonts w:ascii="Open Sans" w:eastAsia="Times New Roman" w:hAnsi="Open Sans" w:cs="Open Sans"/>
          <w:b/>
          <w:bCs/>
          <w:color w:val="9D2235"/>
          <w:sz w:val="20"/>
          <w:szCs w:val="20"/>
          <w:lang w:eastAsia="es-ES"/>
        </w:rPr>
        <w:t xml:space="preserve">Tabla </w:t>
      </w:r>
      <w:r w:rsidR="00571318" w:rsidRPr="00A07BE9">
        <w:rPr>
          <w:rFonts w:ascii="Open Sans" w:eastAsia="Times New Roman" w:hAnsi="Open Sans" w:cs="Open Sans"/>
          <w:b/>
          <w:bCs/>
          <w:color w:val="9D2235"/>
          <w:sz w:val="20"/>
          <w:szCs w:val="20"/>
          <w:lang w:eastAsia="es-ES"/>
        </w:rPr>
        <w:t>3</w:t>
      </w:r>
      <w:r w:rsidR="00747A7D" w:rsidRPr="00A07BE9">
        <w:rPr>
          <w:rFonts w:ascii="Open Sans" w:eastAsia="Times New Roman" w:hAnsi="Open Sans" w:cs="Open Sans"/>
          <w:b/>
          <w:bCs/>
          <w:color w:val="9D2235"/>
          <w:sz w:val="20"/>
          <w:szCs w:val="20"/>
          <w:lang w:eastAsia="es-ES"/>
        </w:rPr>
        <w:t>6</w:t>
      </w:r>
      <w:r w:rsidRPr="00A07BE9">
        <w:rPr>
          <w:rFonts w:ascii="Open Sans" w:eastAsia="Times New Roman" w:hAnsi="Open Sans" w:cs="Open Sans"/>
          <w:b/>
          <w:bCs/>
          <w:color w:val="CE181E"/>
          <w:sz w:val="20"/>
          <w:szCs w:val="20"/>
          <w:lang w:eastAsia="es-ES"/>
        </w:rPr>
        <w:t xml:space="preserve">. </w:t>
      </w:r>
      <w:r w:rsidRPr="00A07BE9">
        <w:rPr>
          <w:rFonts w:ascii="Open Sans" w:eastAsia="Times New Roman" w:hAnsi="Open Sans" w:cs="Open Sans"/>
          <w:b/>
          <w:bCs/>
          <w:color w:val="1B1B1B"/>
          <w:sz w:val="20"/>
          <w:szCs w:val="20"/>
          <w:lang w:eastAsia="es-ES"/>
        </w:rPr>
        <w:t>Actividad contractual de la Agencia</w:t>
      </w:r>
    </w:p>
    <w:tbl>
      <w:tblPr>
        <w:tblW w:w="8644" w:type="dxa"/>
        <w:tblLayout w:type="fixed"/>
        <w:tblCellMar>
          <w:left w:w="10" w:type="dxa"/>
          <w:right w:w="10" w:type="dxa"/>
        </w:tblCellMar>
        <w:tblLook w:val="0000" w:firstRow="0" w:lastRow="0" w:firstColumn="0" w:lastColumn="0" w:noHBand="0" w:noVBand="0"/>
      </w:tblPr>
      <w:tblGrid>
        <w:gridCol w:w="1394"/>
        <w:gridCol w:w="3779"/>
        <w:gridCol w:w="1345"/>
        <w:gridCol w:w="2126"/>
      </w:tblGrid>
      <w:tr w:rsidR="00D572EA" w:rsidRPr="00AE766A" w14:paraId="496CB838" w14:textId="77777777" w:rsidTr="00AB1C62">
        <w:trPr>
          <w:trHeight w:val="344"/>
          <w:tblHeader/>
        </w:trPr>
        <w:tc>
          <w:tcPr>
            <w:tcW w:w="1394" w:type="dxa"/>
            <w:tcBorders>
              <w:top w:val="single" w:sz="2" w:space="0" w:color="000000"/>
              <w:left w:val="single" w:sz="2" w:space="0" w:color="000000"/>
              <w:bottom w:val="single" w:sz="2" w:space="0" w:color="000000"/>
            </w:tcBorders>
            <w:shd w:val="clear" w:color="auto" w:fill="9D2235"/>
            <w:tcMar>
              <w:top w:w="28" w:type="dxa"/>
              <w:left w:w="28" w:type="dxa"/>
              <w:bottom w:w="28" w:type="dxa"/>
              <w:right w:w="28" w:type="dxa"/>
            </w:tcMar>
            <w:vAlign w:val="center"/>
          </w:tcPr>
          <w:p w14:paraId="6F5840E1" w14:textId="77777777" w:rsidR="00D572EA" w:rsidRPr="00AE766A" w:rsidRDefault="00D572EA" w:rsidP="00D572EA">
            <w:pPr>
              <w:autoSpaceDN w:val="0"/>
              <w:spacing w:after="0" w:line="360" w:lineRule="auto"/>
              <w:jc w:val="center"/>
              <w:rPr>
                <w:rFonts w:ascii="Open Sans" w:eastAsia="Times New Roman" w:hAnsi="Open Sans" w:cs="Open Sans"/>
                <w:b/>
                <w:bCs/>
                <w:color w:val="FFFFFF"/>
                <w:sz w:val="19"/>
                <w:szCs w:val="19"/>
                <w:lang w:eastAsia="es-ES"/>
              </w:rPr>
            </w:pPr>
            <w:r w:rsidRPr="00AE766A">
              <w:rPr>
                <w:rFonts w:ascii="Open Sans" w:eastAsia="Times New Roman" w:hAnsi="Open Sans" w:cs="Open Sans"/>
                <w:b/>
                <w:bCs/>
                <w:color w:val="FFFFFF"/>
                <w:sz w:val="19"/>
                <w:szCs w:val="19"/>
                <w:lang w:eastAsia="es-ES"/>
              </w:rPr>
              <w:t>Tipo de contrato</w:t>
            </w:r>
          </w:p>
        </w:tc>
        <w:tc>
          <w:tcPr>
            <w:tcW w:w="3779" w:type="dxa"/>
            <w:tcBorders>
              <w:top w:val="single" w:sz="2" w:space="0" w:color="000000"/>
              <w:left w:val="single" w:sz="2" w:space="0" w:color="000000"/>
              <w:bottom w:val="single" w:sz="2" w:space="0" w:color="000000"/>
            </w:tcBorders>
            <w:shd w:val="clear" w:color="auto" w:fill="9D2235"/>
            <w:tcMar>
              <w:top w:w="28" w:type="dxa"/>
              <w:left w:w="28" w:type="dxa"/>
              <w:bottom w:w="28" w:type="dxa"/>
              <w:right w:w="28" w:type="dxa"/>
            </w:tcMar>
            <w:vAlign w:val="center"/>
          </w:tcPr>
          <w:p w14:paraId="27BDF326" w14:textId="77777777" w:rsidR="00D572EA" w:rsidRPr="00AE766A" w:rsidRDefault="00D572EA" w:rsidP="00D572EA">
            <w:pPr>
              <w:autoSpaceDN w:val="0"/>
              <w:spacing w:after="0" w:line="360" w:lineRule="auto"/>
              <w:jc w:val="center"/>
              <w:rPr>
                <w:rFonts w:ascii="Open Sans" w:eastAsia="Times New Roman" w:hAnsi="Open Sans" w:cs="Open Sans"/>
                <w:b/>
                <w:bCs/>
                <w:color w:val="FFFFFF"/>
                <w:sz w:val="19"/>
                <w:szCs w:val="19"/>
                <w:lang w:eastAsia="es-ES"/>
              </w:rPr>
            </w:pPr>
            <w:r w:rsidRPr="00AE766A">
              <w:rPr>
                <w:rFonts w:ascii="Open Sans" w:eastAsia="Times New Roman" w:hAnsi="Open Sans" w:cs="Open Sans"/>
                <w:b/>
                <w:bCs/>
                <w:color w:val="FFFFFF"/>
                <w:sz w:val="19"/>
                <w:szCs w:val="19"/>
                <w:lang w:eastAsia="es-ES"/>
              </w:rPr>
              <w:t>Procedimiento de adjudicación</w:t>
            </w:r>
          </w:p>
        </w:tc>
        <w:tc>
          <w:tcPr>
            <w:tcW w:w="1345" w:type="dxa"/>
            <w:tcBorders>
              <w:top w:val="single" w:sz="2" w:space="0" w:color="000000"/>
              <w:left w:val="single" w:sz="2" w:space="0" w:color="000000"/>
              <w:bottom w:val="single" w:sz="2" w:space="0" w:color="000000"/>
            </w:tcBorders>
            <w:shd w:val="clear" w:color="auto" w:fill="9D2235"/>
            <w:tcMar>
              <w:top w:w="28" w:type="dxa"/>
              <w:left w:w="28" w:type="dxa"/>
              <w:bottom w:w="28" w:type="dxa"/>
              <w:right w:w="28" w:type="dxa"/>
            </w:tcMar>
            <w:vAlign w:val="center"/>
          </w:tcPr>
          <w:p w14:paraId="3D25B293" w14:textId="77777777" w:rsidR="00D572EA" w:rsidRPr="00AE766A" w:rsidRDefault="00D572EA" w:rsidP="00D572EA">
            <w:pPr>
              <w:autoSpaceDN w:val="0"/>
              <w:spacing w:after="0" w:line="360" w:lineRule="auto"/>
              <w:jc w:val="center"/>
              <w:rPr>
                <w:rFonts w:ascii="Open Sans" w:eastAsia="Times New Roman" w:hAnsi="Open Sans" w:cs="Open Sans"/>
                <w:b/>
                <w:bCs/>
                <w:color w:val="FFFFFF"/>
                <w:sz w:val="19"/>
                <w:szCs w:val="19"/>
                <w:lang w:eastAsia="es-ES"/>
              </w:rPr>
            </w:pPr>
            <w:r w:rsidRPr="00AE766A">
              <w:rPr>
                <w:rFonts w:ascii="Open Sans" w:eastAsia="Times New Roman" w:hAnsi="Open Sans" w:cs="Open Sans"/>
                <w:b/>
                <w:bCs/>
                <w:color w:val="FFFFFF"/>
                <w:sz w:val="19"/>
                <w:szCs w:val="19"/>
                <w:lang w:eastAsia="es-ES"/>
              </w:rPr>
              <w:t>Núm. Contratos (1)</w:t>
            </w:r>
          </w:p>
        </w:tc>
        <w:tc>
          <w:tcPr>
            <w:tcW w:w="2126" w:type="dxa"/>
            <w:tcBorders>
              <w:top w:val="single" w:sz="2" w:space="0" w:color="000000"/>
              <w:left w:val="single" w:sz="2" w:space="0" w:color="000000"/>
              <w:bottom w:val="single" w:sz="2" w:space="0" w:color="000000"/>
              <w:right w:val="single" w:sz="2" w:space="0" w:color="000000"/>
            </w:tcBorders>
            <w:shd w:val="clear" w:color="auto" w:fill="9D2235"/>
            <w:tcMar>
              <w:top w:w="28" w:type="dxa"/>
              <w:left w:w="28" w:type="dxa"/>
              <w:bottom w:w="28" w:type="dxa"/>
              <w:right w:w="28" w:type="dxa"/>
            </w:tcMar>
            <w:vAlign w:val="center"/>
          </w:tcPr>
          <w:p w14:paraId="6A408CF6" w14:textId="77777777" w:rsidR="00D572EA" w:rsidRPr="00AE766A" w:rsidRDefault="00D572EA" w:rsidP="00D572EA">
            <w:pPr>
              <w:autoSpaceDN w:val="0"/>
              <w:spacing w:after="0" w:line="360" w:lineRule="auto"/>
              <w:jc w:val="center"/>
              <w:rPr>
                <w:rFonts w:ascii="Open Sans" w:eastAsia="Times New Roman" w:hAnsi="Open Sans" w:cs="Open Sans"/>
                <w:b/>
                <w:bCs/>
                <w:color w:val="FFFFFF"/>
                <w:sz w:val="19"/>
                <w:szCs w:val="19"/>
                <w:lang w:eastAsia="es-ES"/>
              </w:rPr>
            </w:pPr>
            <w:r w:rsidRPr="00AE766A">
              <w:rPr>
                <w:rFonts w:ascii="Open Sans" w:eastAsia="Times New Roman" w:hAnsi="Open Sans" w:cs="Open Sans"/>
                <w:b/>
                <w:bCs/>
                <w:color w:val="FFFFFF"/>
                <w:sz w:val="19"/>
                <w:szCs w:val="19"/>
                <w:lang w:eastAsia="es-ES"/>
              </w:rPr>
              <w:t>Importe adjudicación (sin IVA)</w:t>
            </w:r>
          </w:p>
        </w:tc>
      </w:tr>
      <w:tr w:rsidR="00D572EA" w:rsidRPr="00AE766A" w14:paraId="399CAEBF" w14:textId="77777777" w:rsidTr="00AB1C62">
        <w:tc>
          <w:tcPr>
            <w:tcW w:w="1394" w:type="dxa"/>
            <w:vMerge w:val="restart"/>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AE42A09" w14:textId="77777777" w:rsidR="00D572EA" w:rsidRPr="00AE766A" w:rsidRDefault="00D572EA" w:rsidP="00D572EA">
            <w:pPr>
              <w:autoSpaceDN w:val="0"/>
              <w:spacing w:after="0" w:line="240" w:lineRule="auto"/>
              <w:jc w:val="center"/>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Privados</w:t>
            </w:r>
          </w:p>
        </w:tc>
        <w:tc>
          <w:tcPr>
            <w:tcW w:w="3779" w:type="dxa"/>
            <w:tcBorders>
              <w:left w:val="single" w:sz="2" w:space="0" w:color="000000"/>
              <w:bottom w:val="single" w:sz="2" w:space="0" w:color="000000"/>
            </w:tcBorders>
            <w:shd w:val="clear" w:color="auto" w:fill="auto"/>
            <w:tcMar>
              <w:top w:w="28" w:type="dxa"/>
              <w:left w:w="28" w:type="dxa"/>
              <w:bottom w:w="28" w:type="dxa"/>
              <w:right w:w="28" w:type="dxa"/>
            </w:tcMar>
          </w:tcPr>
          <w:p w14:paraId="4E2D9879" w14:textId="77777777" w:rsidR="00D572EA" w:rsidRPr="00AE766A" w:rsidRDefault="00D572EA" w:rsidP="00D572EA">
            <w:pPr>
              <w:autoSpaceDN w:val="0"/>
              <w:spacing w:after="0" w:line="240" w:lineRule="auto"/>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Menor</w:t>
            </w:r>
          </w:p>
        </w:tc>
        <w:tc>
          <w:tcPr>
            <w:tcW w:w="1345" w:type="dxa"/>
            <w:tcBorders>
              <w:left w:val="single" w:sz="2" w:space="0" w:color="000000"/>
              <w:bottom w:val="single" w:sz="2" w:space="0" w:color="000000"/>
            </w:tcBorders>
            <w:shd w:val="clear" w:color="auto" w:fill="auto"/>
            <w:tcMar>
              <w:top w:w="28" w:type="dxa"/>
              <w:left w:w="28" w:type="dxa"/>
              <w:bottom w:w="28" w:type="dxa"/>
              <w:right w:w="28" w:type="dxa"/>
            </w:tcMar>
          </w:tcPr>
          <w:p w14:paraId="463F47E0" w14:textId="77777777" w:rsidR="00D572EA" w:rsidRPr="00AE766A" w:rsidRDefault="00D572EA" w:rsidP="00D572EA">
            <w:pPr>
              <w:autoSpaceDN w:val="0"/>
              <w:spacing w:after="0" w:line="240" w:lineRule="auto"/>
              <w:jc w:val="center"/>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1</w:t>
            </w:r>
          </w:p>
        </w:tc>
        <w:tc>
          <w:tcPr>
            <w:tcW w:w="2126"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04B54820" w14:textId="77777777" w:rsidR="00D572EA" w:rsidRPr="00AE766A" w:rsidRDefault="00D572EA" w:rsidP="00D572EA">
            <w:pPr>
              <w:autoSpaceDN w:val="0"/>
              <w:spacing w:after="0" w:line="240" w:lineRule="auto"/>
              <w:jc w:val="right"/>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9.360,00</w:t>
            </w:r>
          </w:p>
        </w:tc>
      </w:tr>
      <w:tr w:rsidR="00D572EA" w:rsidRPr="00AE766A" w14:paraId="44846888" w14:textId="77777777" w:rsidTr="00AB1C62">
        <w:tc>
          <w:tcPr>
            <w:tcW w:w="1394" w:type="dxa"/>
            <w:vMerge/>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AE894ED" w14:textId="77777777" w:rsidR="00D572EA" w:rsidRPr="00AE766A" w:rsidRDefault="00D572EA" w:rsidP="00D572EA">
            <w:pPr>
              <w:widowControl w:val="0"/>
              <w:suppressAutoHyphens/>
              <w:autoSpaceDN w:val="0"/>
              <w:spacing w:after="0" w:line="240" w:lineRule="auto"/>
              <w:textAlignment w:val="baseline"/>
              <w:rPr>
                <w:rFonts w:ascii="Calibri" w:eastAsia="Calibri" w:hAnsi="Calibri" w:cs="Tahoma"/>
                <w:sz w:val="19"/>
                <w:szCs w:val="19"/>
              </w:rPr>
            </w:pPr>
          </w:p>
        </w:tc>
        <w:tc>
          <w:tcPr>
            <w:tcW w:w="3779" w:type="dxa"/>
            <w:tcBorders>
              <w:left w:val="single" w:sz="2" w:space="0" w:color="000000"/>
              <w:bottom w:val="single" w:sz="2" w:space="0" w:color="000000"/>
            </w:tcBorders>
            <w:shd w:val="clear" w:color="auto" w:fill="auto"/>
            <w:tcMar>
              <w:top w:w="28" w:type="dxa"/>
              <w:left w:w="28" w:type="dxa"/>
              <w:bottom w:w="28" w:type="dxa"/>
              <w:right w:w="28" w:type="dxa"/>
            </w:tcMar>
          </w:tcPr>
          <w:p w14:paraId="57A62322" w14:textId="77777777" w:rsidR="00D572EA" w:rsidRPr="00AE766A" w:rsidRDefault="00D572EA" w:rsidP="00D572EA">
            <w:pPr>
              <w:autoSpaceDN w:val="0"/>
              <w:spacing w:after="0" w:line="240" w:lineRule="auto"/>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Abierto</w:t>
            </w:r>
          </w:p>
        </w:tc>
        <w:tc>
          <w:tcPr>
            <w:tcW w:w="1345" w:type="dxa"/>
            <w:tcBorders>
              <w:left w:val="single" w:sz="2" w:space="0" w:color="000000"/>
              <w:bottom w:val="single" w:sz="2" w:space="0" w:color="000000"/>
            </w:tcBorders>
            <w:shd w:val="clear" w:color="auto" w:fill="auto"/>
            <w:tcMar>
              <w:top w:w="28" w:type="dxa"/>
              <w:left w:w="28" w:type="dxa"/>
              <w:bottom w:w="28" w:type="dxa"/>
              <w:right w:w="28" w:type="dxa"/>
            </w:tcMar>
          </w:tcPr>
          <w:p w14:paraId="1B9EC3CB" w14:textId="77777777" w:rsidR="00D572EA" w:rsidRPr="00AE766A" w:rsidRDefault="00D572EA" w:rsidP="00D572EA">
            <w:pPr>
              <w:autoSpaceDN w:val="0"/>
              <w:spacing w:after="0" w:line="240" w:lineRule="auto"/>
              <w:jc w:val="center"/>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0</w:t>
            </w:r>
          </w:p>
        </w:tc>
        <w:tc>
          <w:tcPr>
            <w:tcW w:w="2126"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34CA0090" w14:textId="77777777" w:rsidR="00D572EA" w:rsidRPr="00AE766A" w:rsidRDefault="00D572EA" w:rsidP="00D572EA">
            <w:pPr>
              <w:autoSpaceDN w:val="0"/>
              <w:spacing w:after="0" w:line="240" w:lineRule="auto"/>
              <w:jc w:val="right"/>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0,00</w:t>
            </w:r>
          </w:p>
        </w:tc>
      </w:tr>
      <w:tr w:rsidR="00D572EA" w:rsidRPr="00AE766A" w14:paraId="1C66F921" w14:textId="77777777" w:rsidTr="00AB1C62">
        <w:tc>
          <w:tcPr>
            <w:tcW w:w="1394" w:type="dxa"/>
            <w:vMerge/>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6AB098B" w14:textId="77777777" w:rsidR="00D572EA" w:rsidRPr="00AE766A" w:rsidRDefault="00D572EA" w:rsidP="00D572EA">
            <w:pPr>
              <w:widowControl w:val="0"/>
              <w:suppressAutoHyphens/>
              <w:autoSpaceDN w:val="0"/>
              <w:spacing w:after="0" w:line="240" w:lineRule="auto"/>
              <w:textAlignment w:val="baseline"/>
              <w:rPr>
                <w:rFonts w:ascii="Calibri" w:eastAsia="Calibri" w:hAnsi="Calibri" w:cs="Tahoma"/>
                <w:sz w:val="19"/>
                <w:szCs w:val="19"/>
              </w:rPr>
            </w:pPr>
          </w:p>
        </w:tc>
        <w:tc>
          <w:tcPr>
            <w:tcW w:w="3779" w:type="dxa"/>
            <w:tcBorders>
              <w:left w:val="single" w:sz="2" w:space="0" w:color="000000"/>
              <w:bottom w:val="single" w:sz="2" w:space="0" w:color="000000"/>
            </w:tcBorders>
            <w:shd w:val="clear" w:color="auto" w:fill="auto"/>
            <w:tcMar>
              <w:top w:w="28" w:type="dxa"/>
              <w:left w:w="28" w:type="dxa"/>
              <w:bottom w:w="28" w:type="dxa"/>
              <w:right w:w="28" w:type="dxa"/>
            </w:tcMar>
          </w:tcPr>
          <w:p w14:paraId="0A99CEB3" w14:textId="77777777" w:rsidR="00D572EA" w:rsidRPr="00AE766A" w:rsidRDefault="00D572EA" w:rsidP="00D572EA">
            <w:pPr>
              <w:autoSpaceDN w:val="0"/>
              <w:spacing w:after="0" w:line="240" w:lineRule="auto"/>
              <w:jc w:val="right"/>
              <w:rPr>
                <w:rFonts w:ascii="Open Sans" w:eastAsia="Times New Roman" w:hAnsi="Open Sans" w:cs="Open Sans"/>
                <w:b/>
                <w:bCs/>
                <w:sz w:val="19"/>
                <w:szCs w:val="19"/>
                <w:lang w:eastAsia="es-ES"/>
              </w:rPr>
            </w:pPr>
            <w:r w:rsidRPr="00AE766A">
              <w:rPr>
                <w:rFonts w:ascii="Open Sans" w:eastAsia="Times New Roman" w:hAnsi="Open Sans" w:cs="Open Sans"/>
                <w:b/>
                <w:bCs/>
                <w:sz w:val="19"/>
                <w:szCs w:val="19"/>
                <w:lang w:eastAsia="es-ES"/>
              </w:rPr>
              <w:t>Subtotal contratos privados</w:t>
            </w:r>
          </w:p>
        </w:tc>
        <w:tc>
          <w:tcPr>
            <w:tcW w:w="1345" w:type="dxa"/>
            <w:tcBorders>
              <w:left w:val="single" w:sz="2" w:space="0" w:color="000000"/>
              <w:bottom w:val="single" w:sz="2" w:space="0" w:color="000000"/>
            </w:tcBorders>
            <w:shd w:val="clear" w:color="auto" w:fill="auto"/>
            <w:tcMar>
              <w:top w:w="28" w:type="dxa"/>
              <w:left w:w="28" w:type="dxa"/>
              <w:bottom w:w="28" w:type="dxa"/>
              <w:right w:w="28" w:type="dxa"/>
            </w:tcMar>
          </w:tcPr>
          <w:p w14:paraId="499B5B27" w14:textId="77777777" w:rsidR="00D572EA" w:rsidRPr="00AE766A" w:rsidRDefault="00D572EA" w:rsidP="00D572EA">
            <w:pPr>
              <w:autoSpaceDN w:val="0"/>
              <w:spacing w:after="0" w:line="240" w:lineRule="auto"/>
              <w:jc w:val="center"/>
              <w:rPr>
                <w:rFonts w:ascii="Open Sans" w:eastAsia="Times New Roman" w:hAnsi="Open Sans" w:cs="Open Sans"/>
                <w:b/>
                <w:bCs/>
                <w:sz w:val="19"/>
                <w:szCs w:val="19"/>
                <w:lang w:eastAsia="es-ES"/>
              </w:rPr>
            </w:pPr>
            <w:r w:rsidRPr="00AE766A">
              <w:rPr>
                <w:rFonts w:ascii="Open Sans" w:eastAsia="Times New Roman" w:hAnsi="Open Sans" w:cs="Open Sans"/>
                <w:b/>
                <w:bCs/>
                <w:sz w:val="19"/>
                <w:szCs w:val="19"/>
                <w:lang w:eastAsia="es-ES"/>
              </w:rPr>
              <w:t>1</w:t>
            </w:r>
          </w:p>
        </w:tc>
        <w:tc>
          <w:tcPr>
            <w:tcW w:w="2126"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6804D4DC" w14:textId="77777777" w:rsidR="00D572EA" w:rsidRPr="00AE766A" w:rsidRDefault="00D572EA" w:rsidP="00D572EA">
            <w:pPr>
              <w:autoSpaceDN w:val="0"/>
              <w:spacing w:after="0" w:line="240" w:lineRule="auto"/>
              <w:jc w:val="right"/>
              <w:rPr>
                <w:rFonts w:ascii="Open Sans" w:eastAsia="Times New Roman" w:hAnsi="Open Sans" w:cs="Open Sans"/>
                <w:b/>
                <w:bCs/>
                <w:sz w:val="19"/>
                <w:szCs w:val="19"/>
                <w:lang w:eastAsia="es-ES"/>
              </w:rPr>
            </w:pPr>
            <w:r w:rsidRPr="00AE766A">
              <w:rPr>
                <w:rFonts w:ascii="Open Sans" w:eastAsia="Times New Roman" w:hAnsi="Open Sans" w:cs="Open Sans"/>
                <w:b/>
                <w:bCs/>
                <w:sz w:val="19"/>
                <w:szCs w:val="19"/>
                <w:lang w:eastAsia="es-ES"/>
              </w:rPr>
              <w:t>9.360,00</w:t>
            </w:r>
          </w:p>
        </w:tc>
      </w:tr>
      <w:tr w:rsidR="00D572EA" w:rsidRPr="00AE766A" w14:paraId="77A06A5E" w14:textId="77777777" w:rsidTr="00AB1C62">
        <w:tc>
          <w:tcPr>
            <w:tcW w:w="1394" w:type="dxa"/>
            <w:vMerge w:val="restart"/>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35702E79" w14:textId="77777777" w:rsidR="00D572EA" w:rsidRPr="00AE766A" w:rsidRDefault="00D572EA" w:rsidP="00D572EA">
            <w:pPr>
              <w:autoSpaceDN w:val="0"/>
              <w:spacing w:after="0" w:line="240" w:lineRule="auto"/>
              <w:jc w:val="center"/>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Servicios</w:t>
            </w:r>
          </w:p>
        </w:tc>
        <w:tc>
          <w:tcPr>
            <w:tcW w:w="3779" w:type="dxa"/>
            <w:tcBorders>
              <w:left w:val="single" w:sz="2" w:space="0" w:color="000000"/>
              <w:bottom w:val="single" w:sz="2" w:space="0" w:color="000000"/>
            </w:tcBorders>
            <w:shd w:val="clear" w:color="auto" w:fill="auto"/>
            <w:tcMar>
              <w:top w:w="28" w:type="dxa"/>
              <w:left w:w="28" w:type="dxa"/>
              <w:bottom w:w="28" w:type="dxa"/>
              <w:right w:w="28" w:type="dxa"/>
            </w:tcMar>
          </w:tcPr>
          <w:p w14:paraId="2BB39660" w14:textId="77777777" w:rsidR="00D572EA" w:rsidRPr="00AE766A" w:rsidRDefault="00D572EA" w:rsidP="00D572EA">
            <w:pPr>
              <w:autoSpaceDN w:val="0"/>
              <w:spacing w:after="0" w:line="240" w:lineRule="auto"/>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Menor</w:t>
            </w:r>
          </w:p>
        </w:tc>
        <w:tc>
          <w:tcPr>
            <w:tcW w:w="1345" w:type="dxa"/>
            <w:tcBorders>
              <w:left w:val="single" w:sz="2" w:space="0" w:color="000000"/>
              <w:bottom w:val="single" w:sz="2" w:space="0" w:color="000000"/>
            </w:tcBorders>
            <w:shd w:val="clear" w:color="auto" w:fill="auto"/>
            <w:tcMar>
              <w:top w:w="28" w:type="dxa"/>
              <w:left w:w="28" w:type="dxa"/>
              <w:bottom w:w="28" w:type="dxa"/>
              <w:right w:w="28" w:type="dxa"/>
            </w:tcMar>
          </w:tcPr>
          <w:p w14:paraId="239CA01E" w14:textId="77777777" w:rsidR="00D572EA" w:rsidRPr="00AE766A" w:rsidRDefault="00D572EA" w:rsidP="00D572EA">
            <w:pPr>
              <w:autoSpaceDN w:val="0"/>
              <w:spacing w:after="0" w:line="240" w:lineRule="auto"/>
              <w:jc w:val="center"/>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55</w:t>
            </w:r>
          </w:p>
        </w:tc>
        <w:tc>
          <w:tcPr>
            <w:tcW w:w="2126"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4AB75E10" w14:textId="77777777" w:rsidR="00D572EA" w:rsidRPr="00AE766A" w:rsidRDefault="00D572EA" w:rsidP="00D572EA">
            <w:pPr>
              <w:autoSpaceDN w:val="0"/>
              <w:spacing w:after="0" w:line="240" w:lineRule="auto"/>
              <w:jc w:val="right"/>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78.199,24</w:t>
            </w:r>
          </w:p>
        </w:tc>
      </w:tr>
      <w:tr w:rsidR="00D572EA" w:rsidRPr="00AE766A" w14:paraId="3A797BEB" w14:textId="77777777" w:rsidTr="00AB1C62">
        <w:tc>
          <w:tcPr>
            <w:tcW w:w="1394" w:type="dxa"/>
            <w:vMerge/>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01DA131" w14:textId="77777777" w:rsidR="00D572EA" w:rsidRPr="00AE766A" w:rsidRDefault="00D572EA" w:rsidP="00D572EA">
            <w:pPr>
              <w:widowControl w:val="0"/>
              <w:suppressAutoHyphens/>
              <w:autoSpaceDN w:val="0"/>
              <w:spacing w:after="0" w:line="240" w:lineRule="auto"/>
              <w:textAlignment w:val="baseline"/>
              <w:rPr>
                <w:rFonts w:ascii="Calibri" w:eastAsia="Calibri" w:hAnsi="Calibri" w:cs="Tahoma"/>
                <w:sz w:val="19"/>
                <w:szCs w:val="19"/>
              </w:rPr>
            </w:pPr>
          </w:p>
        </w:tc>
        <w:tc>
          <w:tcPr>
            <w:tcW w:w="3779" w:type="dxa"/>
            <w:tcBorders>
              <w:left w:val="single" w:sz="2" w:space="0" w:color="000000"/>
              <w:bottom w:val="single" w:sz="2" w:space="0" w:color="000000"/>
            </w:tcBorders>
            <w:shd w:val="clear" w:color="auto" w:fill="auto"/>
            <w:tcMar>
              <w:top w:w="28" w:type="dxa"/>
              <w:left w:w="28" w:type="dxa"/>
              <w:bottom w:w="28" w:type="dxa"/>
              <w:right w:w="28" w:type="dxa"/>
            </w:tcMar>
          </w:tcPr>
          <w:p w14:paraId="6BBDB72E" w14:textId="77777777" w:rsidR="00D572EA" w:rsidRPr="00AE766A" w:rsidRDefault="00D572EA" w:rsidP="00D572EA">
            <w:pPr>
              <w:autoSpaceDN w:val="0"/>
              <w:spacing w:after="0" w:line="240" w:lineRule="auto"/>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Abierto</w:t>
            </w:r>
          </w:p>
        </w:tc>
        <w:tc>
          <w:tcPr>
            <w:tcW w:w="1345" w:type="dxa"/>
            <w:tcBorders>
              <w:left w:val="single" w:sz="2" w:space="0" w:color="000000"/>
              <w:bottom w:val="single" w:sz="2" w:space="0" w:color="000000"/>
            </w:tcBorders>
            <w:shd w:val="clear" w:color="auto" w:fill="auto"/>
            <w:tcMar>
              <w:top w:w="28" w:type="dxa"/>
              <w:left w:w="28" w:type="dxa"/>
              <w:bottom w:w="28" w:type="dxa"/>
              <w:right w:w="28" w:type="dxa"/>
            </w:tcMar>
          </w:tcPr>
          <w:p w14:paraId="68294C81" w14:textId="77777777" w:rsidR="00D572EA" w:rsidRPr="00AE766A" w:rsidRDefault="00D572EA" w:rsidP="00D572EA">
            <w:pPr>
              <w:autoSpaceDN w:val="0"/>
              <w:spacing w:after="0" w:line="240" w:lineRule="auto"/>
              <w:jc w:val="center"/>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4</w:t>
            </w:r>
          </w:p>
        </w:tc>
        <w:tc>
          <w:tcPr>
            <w:tcW w:w="2126"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1368E72E" w14:textId="77777777" w:rsidR="00D572EA" w:rsidRPr="00AE766A" w:rsidRDefault="00D572EA" w:rsidP="00D572EA">
            <w:pPr>
              <w:autoSpaceDN w:val="0"/>
              <w:spacing w:after="0" w:line="240" w:lineRule="auto"/>
              <w:jc w:val="right"/>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208.823,52</w:t>
            </w:r>
          </w:p>
        </w:tc>
      </w:tr>
      <w:tr w:rsidR="00D572EA" w:rsidRPr="00AE766A" w14:paraId="28152E64" w14:textId="77777777" w:rsidTr="00AB1C62">
        <w:tc>
          <w:tcPr>
            <w:tcW w:w="1394" w:type="dxa"/>
            <w:vMerge/>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193C6A7" w14:textId="77777777" w:rsidR="00D572EA" w:rsidRPr="00AE766A" w:rsidRDefault="00D572EA" w:rsidP="00D572EA">
            <w:pPr>
              <w:widowControl w:val="0"/>
              <w:suppressAutoHyphens/>
              <w:autoSpaceDN w:val="0"/>
              <w:spacing w:after="0" w:line="240" w:lineRule="auto"/>
              <w:textAlignment w:val="baseline"/>
              <w:rPr>
                <w:rFonts w:ascii="Calibri" w:eastAsia="Calibri" w:hAnsi="Calibri" w:cs="Tahoma"/>
                <w:sz w:val="19"/>
                <w:szCs w:val="19"/>
              </w:rPr>
            </w:pPr>
          </w:p>
        </w:tc>
        <w:tc>
          <w:tcPr>
            <w:tcW w:w="3779" w:type="dxa"/>
            <w:tcBorders>
              <w:left w:val="single" w:sz="2" w:space="0" w:color="000000"/>
              <w:bottom w:val="single" w:sz="2" w:space="0" w:color="000000"/>
            </w:tcBorders>
            <w:shd w:val="clear" w:color="auto" w:fill="auto"/>
            <w:tcMar>
              <w:top w:w="28" w:type="dxa"/>
              <w:left w:w="28" w:type="dxa"/>
              <w:bottom w:w="28" w:type="dxa"/>
              <w:right w:w="28" w:type="dxa"/>
            </w:tcMar>
          </w:tcPr>
          <w:p w14:paraId="7D38DE2A" w14:textId="77777777" w:rsidR="00D572EA" w:rsidRPr="00AE766A" w:rsidRDefault="00D572EA" w:rsidP="00D572EA">
            <w:pPr>
              <w:autoSpaceDN w:val="0"/>
              <w:spacing w:after="0" w:line="240" w:lineRule="auto"/>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Basado en Acuerdo Marco</w:t>
            </w:r>
          </w:p>
        </w:tc>
        <w:tc>
          <w:tcPr>
            <w:tcW w:w="1345" w:type="dxa"/>
            <w:tcBorders>
              <w:left w:val="single" w:sz="2" w:space="0" w:color="000000"/>
              <w:bottom w:val="single" w:sz="2" w:space="0" w:color="000000"/>
            </w:tcBorders>
            <w:shd w:val="clear" w:color="auto" w:fill="auto"/>
            <w:tcMar>
              <w:top w:w="28" w:type="dxa"/>
              <w:left w:w="28" w:type="dxa"/>
              <w:bottom w:w="28" w:type="dxa"/>
              <w:right w:w="28" w:type="dxa"/>
            </w:tcMar>
          </w:tcPr>
          <w:p w14:paraId="09AFE7DF" w14:textId="77777777" w:rsidR="00D572EA" w:rsidRPr="00AE766A" w:rsidRDefault="00D572EA" w:rsidP="00D572EA">
            <w:pPr>
              <w:autoSpaceDN w:val="0"/>
              <w:spacing w:after="0" w:line="240" w:lineRule="auto"/>
              <w:jc w:val="center"/>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2</w:t>
            </w:r>
          </w:p>
        </w:tc>
        <w:tc>
          <w:tcPr>
            <w:tcW w:w="2126"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3C5F1E2B" w14:textId="77777777" w:rsidR="00D572EA" w:rsidRPr="00AE766A" w:rsidRDefault="00D572EA" w:rsidP="00D572EA">
            <w:pPr>
              <w:autoSpaceDN w:val="0"/>
              <w:spacing w:after="0" w:line="240" w:lineRule="auto"/>
              <w:jc w:val="right"/>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904,00</w:t>
            </w:r>
          </w:p>
        </w:tc>
      </w:tr>
      <w:tr w:rsidR="00D572EA" w:rsidRPr="00AE766A" w14:paraId="05239008" w14:textId="77777777" w:rsidTr="00AB1C62">
        <w:tc>
          <w:tcPr>
            <w:tcW w:w="1394" w:type="dxa"/>
            <w:vMerge/>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FA172D7" w14:textId="77777777" w:rsidR="00D572EA" w:rsidRPr="00AE766A" w:rsidRDefault="00D572EA" w:rsidP="00D572EA">
            <w:pPr>
              <w:widowControl w:val="0"/>
              <w:suppressAutoHyphens/>
              <w:autoSpaceDN w:val="0"/>
              <w:spacing w:after="0" w:line="240" w:lineRule="auto"/>
              <w:textAlignment w:val="baseline"/>
              <w:rPr>
                <w:rFonts w:ascii="Calibri" w:eastAsia="Calibri" w:hAnsi="Calibri" w:cs="Tahoma"/>
                <w:sz w:val="19"/>
                <w:szCs w:val="19"/>
              </w:rPr>
            </w:pPr>
          </w:p>
        </w:tc>
        <w:tc>
          <w:tcPr>
            <w:tcW w:w="3779" w:type="dxa"/>
            <w:tcBorders>
              <w:left w:val="single" w:sz="2" w:space="0" w:color="000000"/>
              <w:bottom w:val="single" w:sz="2" w:space="0" w:color="000000"/>
            </w:tcBorders>
            <w:shd w:val="clear" w:color="auto" w:fill="auto"/>
            <w:tcMar>
              <w:top w:w="28" w:type="dxa"/>
              <w:left w:w="28" w:type="dxa"/>
              <w:bottom w:w="28" w:type="dxa"/>
              <w:right w:w="28" w:type="dxa"/>
            </w:tcMar>
          </w:tcPr>
          <w:p w14:paraId="7FBF8B00" w14:textId="77777777" w:rsidR="00D572EA" w:rsidRPr="00AE766A" w:rsidRDefault="00D572EA" w:rsidP="00D572EA">
            <w:pPr>
              <w:autoSpaceDN w:val="0"/>
              <w:spacing w:after="0" w:line="240" w:lineRule="auto"/>
              <w:jc w:val="right"/>
              <w:rPr>
                <w:rFonts w:ascii="Open Sans" w:eastAsia="Times New Roman" w:hAnsi="Open Sans" w:cs="Open Sans"/>
                <w:b/>
                <w:bCs/>
                <w:sz w:val="19"/>
                <w:szCs w:val="19"/>
                <w:lang w:eastAsia="es-ES"/>
              </w:rPr>
            </w:pPr>
            <w:r w:rsidRPr="00AE766A">
              <w:rPr>
                <w:rFonts w:ascii="Open Sans" w:eastAsia="Times New Roman" w:hAnsi="Open Sans" w:cs="Open Sans"/>
                <w:b/>
                <w:bCs/>
                <w:sz w:val="19"/>
                <w:szCs w:val="19"/>
                <w:lang w:eastAsia="es-ES"/>
              </w:rPr>
              <w:t>Subtotal contratos de servicio</w:t>
            </w:r>
          </w:p>
        </w:tc>
        <w:tc>
          <w:tcPr>
            <w:tcW w:w="1345" w:type="dxa"/>
            <w:tcBorders>
              <w:left w:val="single" w:sz="2" w:space="0" w:color="000000"/>
              <w:bottom w:val="single" w:sz="2" w:space="0" w:color="000000"/>
            </w:tcBorders>
            <w:shd w:val="clear" w:color="auto" w:fill="auto"/>
            <w:tcMar>
              <w:top w:w="28" w:type="dxa"/>
              <w:left w:w="28" w:type="dxa"/>
              <w:bottom w:w="28" w:type="dxa"/>
              <w:right w:w="28" w:type="dxa"/>
            </w:tcMar>
          </w:tcPr>
          <w:p w14:paraId="72448A97" w14:textId="77777777" w:rsidR="00D572EA" w:rsidRPr="00AE766A" w:rsidRDefault="00D572EA" w:rsidP="00D572EA">
            <w:pPr>
              <w:autoSpaceDN w:val="0"/>
              <w:spacing w:after="0" w:line="240" w:lineRule="auto"/>
              <w:jc w:val="center"/>
              <w:rPr>
                <w:rFonts w:ascii="Open Sans" w:eastAsia="Times New Roman" w:hAnsi="Open Sans" w:cs="Open Sans"/>
                <w:b/>
                <w:bCs/>
                <w:sz w:val="19"/>
                <w:szCs w:val="19"/>
                <w:lang w:eastAsia="es-ES"/>
              </w:rPr>
            </w:pPr>
            <w:r w:rsidRPr="00AE766A">
              <w:rPr>
                <w:rFonts w:ascii="Open Sans" w:eastAsia="Times New Roman" w:hAnsi="Open Sans" w:cs="Open Sans"/>
                <w:b/>
                <w:bCs/>
                <w:sz w:val="19"/>
                <w:szCs w:val="19"/>
                <w:lang w:eastAsia="es-ES"/>
              </w:rPr>
              <w:t>61</w:t>
            </w:r>
          </w:p>
        </w:tc>
        <w:tc>
          <w:tcPr>
            <w:tcW w:w="2126"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4A85ABFB" w14:textId="77777777" w:rsidR="00D572EA" w:rsidRPr="00AE766A" w:rsidRDefault="00D572EA" w:rsidP="00D572EA">
            <w:pPr>
              <w:autoSpaceDN w:val="0"/>
              <w:spacing w:after="0" w:line="240" w:lineRule="auto"/>
              <w:jc w:val="right"/>
              <w:rPr>
                <w:rFonts w:ascii="Open Sans" w:eastAsia="Times New Roman" w:hAnsi="Open Sans" w:cs="Open Sans"/>
                <w:b/>
                <w:bCs/>
                <w:sz w:val="19"/>
                <w:szCs w:val="19"/>
                <w:lang w:eastAsia="es-ES"/>
              </w:rPr>
            </w:pPr>
            <w:r w:rsidRPr="00AE766A">
              <w:rPr>
                <w:rFonts w:ascii="Open Sans" w:eastAsia="Times New Roman" w:hAnsi="Open Sans" w:cs="Open Sans"/>
                <w:b/>
                <w:bCs/>
                <w:sz w:val="19"/>
                <w:szCs w:val="19"/>
                <w:lang w:eastAsia="es-ES"/>
              </w:rPr>
              <w:t>287.926,76</w:t>
            </w:r>
          </w:p>
        </w:tc>
      </w:tr>
      <w:tr w:rsidR="00D572EA" w:rsidRPr="00AE766A" w14:paraId="1F99580C" w14:textId="77777777" w:rsidTr="00AB1C62">
        <w:tc>
          <w:tcPr>
            <w:tcW w:w="1394" w:type="dxa"/>
            <w:vMerge w:val="restart"/>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0594033" w14:textId="77777777" w:rsidR="00D572EA" w:rsidRPr="00AE766A" w:rsidRDefault="00D572EA" w:rsidP="00D572EA">
            <w:pPr>
              <w:autoSpaceDN w:val="0"/>
              <w:spacing w:after="0" w:line="240" w:lineRule="auto"/>
              <w:jc w:val="center"/>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Suministros</w:t>
            </w:r>
          </w:p>
        </w:tc>
        <w:tc>
          <w:tcPr>
            <w:tcW w:w="3779" w:type="dxa"/>
            <w:tcBorders>
              <w:left w:val="single" w:sz="2" w:space="0" w:color="000000"/>
              <w:bottom w:val="single" w:sz="2" w:space="0" w:color="000000"/>
            </w:tcBorders>
            <w:shd w:val="clear" w:color="auto" w:fill="auto"/>
            <w:tcMar>
              <w:top w:w="28" w:type="dxa"/>
              <w:left w:w="28" w:type="dxa"/>
              <w:bottom w:w="28" w:type="dxa"/>
              <w:right w:w="28" w:type="dxa"/>
            </w:tcMar>
          </w:tcPr>
          <w:p w14:paraId="3B00AE55" w14:textId="77777777" w:rsidR="00D572EA" w:rsidRPr="00AE766A" w:rsidRDefault="00D572EA" w:rsidP="00D572EA">
            <w:pPr>
              <w:autoSpaceDN w:val="0"/>
              <w:spacing w:after="0" w:line="240" w:lineRule="auto"/>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Menor</w:t>
            </w:r>
          </w:p>
        </w:tc>
        <w:tc>
          <w:tcPr>
            <w:tcW w:w="1345" w:type="dxa"/>
            <w:tcBorders>
              <w:left w:val="single" w:sz="2" w:space="0" w:color="000000"/>
              <w:bottom w:val="single" w:sz="2" w:space="0" w:color="000000"/>
            </w:tcBorders>
            <w:shd w:val="clear" w:color="auto" w:fill="auto"/>
            <w:tcMar>
              <w:top w:w="28" w:type="dxa"/>
              <w:left w:w="28" w:type="dxa"/>
              <w:bottom w:w="28" w:type="dxa"/>
              <w:right w:w="28" w:type="dxa"/>
            </w:tcMar>
          </w:tcPr>
          <w:p w14:paraId="242CC97F" w14:textId="77777777" w:rsidR="00D572EA" w:rsidRPr="00AE766A" w:rsidRDefault="00D572EA" w:rsidP="00D572EA">
            <w:pPr>
              <w:autoSpaceDN w:val="0"/>
              <w:spacing w:after="0" w:line="240" w:lineRule="auto"/>
              <w:jc w:val="center"/>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41</w:t>
            </w:r>
          </w:p>
        </w:tc>
        <w:tc>
          <w:tcPr>
            <w:tcW w:w="2126"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653AE613" w14:textId="77777777" w:rsidR="00D572EA" w:rsidRPr="00AE766A" w:rsidRDefault="00D572EA" w:rsidP="00D572EA">
            <w:pPr>
              <w:autoSpaceDN w:val="0"/>
              <w:spacing w:after="0" w:line="240" w:lineRule="auto"/>
              <w:jc w:val="right"/>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41.233,34</w:t>
            </w:r>
          </w:p>
        </w:tc>
      </w:tr>
      <w:tr w:rsidR="00D572EA" w:rsidRPr="00AE766A" w14:paraId="5D27B4F4" w14:textId="77777777" w:rsidTr="00AB1C62">
        <w:tc>
          <w:tcPr>
            <w:tcW w:w="1394" w:type="dxa"/>
            <w:vMerge/>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8D38279" w14:textId="77777777" w:rsidR="00D572EA" w:rsidRPr="00AE766A" w:rsidRDefault="00D572EA" w:rsidP="00D572EA">
            <w:pPr>
              <w:widowControl w:val="0"/>
              <w:suppressAutoHyphens/>
              <w:autoSpaceDN w:val="0"/>
              <w:spacing w:after="0" w:line="240" w:lineRule="auto"/>
              <w:textAlignment w:val="baseline"/>
              <w:rPr>
                <w:rFonts w:ascii="Calibri" w:eastAsia="Calibri" w:hAnsi="Calibri" w:cs="Tahoma"/>
                <w:sz w:val="19"/>
                <w:szCs w:val="19"/>
              </w:rPr>
            </w:pPr>
          </w:p>
        </w:tc>
        <w:tc>
          <w:tcPr>
            <w:tcW w:w="3779" w:type="dxa"/>
            <w:tcBorders>
              <w:left w:val="single" w:sz="2" w:space="0" w:color="000000"/>
              <w:bottom w:val="single" w:sz="2" w:space="0" w:color="000000"/>
            </w:tcBorders>
            <w:shd w:val="clear" w:color="auto" w:fill="auto"/>
            <w:tcMar>
              <w:top w:w="28" w:type="dxa"/>
              <w:left w:w="28" w:type="dxa"/>
              <w:bottom w:w="28" w:type="dxa"/>
              <w:right w:w="28" w:type="dxa"/>
            </w:tcMar>
          </w:tcPr>
          <w:p w14:paraId="45414C0D" w14:textId="77777777" w:rsidR="00D572EA" w:rsidRPr="00AE766A" w:rsidRDefault="00D572EA" w:rsidP="00D572EA">
            <w:pPr>
              <w:autoSpaceDN w:val="0"/>
              <w:spacing w:after="0" w:line="240" w:lineRule="auto"/>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Abierto</w:t>
            </w:r>
          </w:p>
        </w:tc>
        <w:tc>
          <w:tcPr>
            <w:tcW w:w="1345" w:type="dxa"/>
            <w:tcBorders>
              <w:left w:val="single" w:sz="2" w:space="0" w:color="000000"/>
              <w:bottom w:val="single" w:sz="2" w:space="0" w:color="000000"/>
            </w:tcBorders>
            <w:shd w:val="clear" w:color="auto" w:fill="auto"/>
            <w:tcMar>
              <w:top w:w="28" w:type="dxa"/>
              <w:left w:w="28" w:type="dxa"/>
              <w:bottom w:w="28" w:type="dxa"/>
              <w:right w:w="28" w:type="dxa"/>
            </w:tcMar>
          </w:tcPr>
          <w:p w14:paraId="750F5E5E" w14:textId="77777777" w:rsidR="00D572EA" w:rsidRPr="00AE766A" w:rsidRDefault="00D572EA" w:rsidP="00D572EA">
            <w:pPr>
              <w:autoSpaceDN w:val="0"/>
              <w:spacing w:after="0" w:line="240" w:lineRule="auto"/>
              <w:jc w:val="center"/>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0</w:t>
            </w:r>
          </w:p>
        </w:tc>
        <w:tc>
          <w:tcPr>
            <w:tcW w:w="2126"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69A43F92" w14:textId="77777777" w:rsidR="00D572EA" w:rsidRPr="00AE766A" w:rsidRDefault="00D572EA" w:rsidP="00D572EA">
            <w:pPr>
              <w:autoSpaceDN w:val="0"/>
              <w:spacing w:after="0" w:line="240" w:lineRule="auto"/>
              <w:jc w:val="right"/>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0,00</w:t>
            </w:r>
          </w:p>
        </w:tc>
      </w:tr>
      <w:tr w:rsidR="00D572EA" w:rsidRPr="00AE766A" w14:paraId="3DF0D97D" w14:textId="77777777" w:rsidTr="00AB1C62">
        <w:tc>
          <w:tcPr>
            <w:tcW w:w="1394" w:type="dxa"/>
            <w:vMerge/>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755EA94" w14:textId="77777777" w:rsidR="00D572EA" w:rsidRPr="00AE766A" w:rsidRDefault="00D572EA" w:rsidP="00D572EA">
            <w:pPr>
              <w:widowControl w:val="0"/>
              <w:suppressAutoHyphens/>
              <w:autoSpaceDN w:val="0"/>
              <w:spacing w:after="0" w:line="240" w:lineRule="auto"/>
              <w:textAlignment w:val="baseline"/>
              <w:rPr>
                <w:rFonts w:ascii="Calibri" w:eastAsia="Calibri" w:hAnsi="Calibri" w:cs="Tahoma"/>
                <w:sz w:val="19"/>
                <w:szCs w:val="19"/>
              </w:rPr>
            </w:pPr>
          </w:p>
        </w:tc>
        <w:tc>
          <w:tcPr>
            <w:tcW w:w="3779" w:type="dxa"/>
            <w:tcBorders>
              <w:left w:val="single" w:sz="2" w:space="0" w:color="000000"/>
              <w:bottom w:val="single" w:sz="2" w:space="0" w:color="000000"/>
            </w:tcBorders>
            <w:shd w:val="clear" w:color="auto" w:fill="auto"/>
            <w:tcMar>
              <w:top w:w="28" w:type="dxa"/>
              <w:left w:w="28" w:type="dxa"/>
              <w:bottom w:w="28" w:type="dxa"/>
              <w:right w:w="28" w:type="dxa"/>
            </w:tcMar>
          </w:tcPr>
          <w:p w14:paraId="161505DC" w14:textId="77777777" w:rsidR="00D572EA" w:rsidRPr="00AE766A" w:rsidRDefault="00D572EA" w:rsidP="00D572EA">
            <w:pPr>
              <w:autoSpaceDN w:val="0"/>
              <w:spacing w:after="0" w:line="240" w:lineRule="auto"/>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Basado en Acuerdo Marco</w:t>
            </w:r>
          </w:p>
        </w:tc>
        <w:tc>
          <w:tcPr>
            <w:tcW w:w="1345" w:type="dxa"/>
            <w:tcBorders>
              <w:left w:val="single" w:sz="2" w:space="0" w:color="000000"/>
              <w:bottom w:val="single" w:sz="2" w:space="0" w:color="000000"/>
            </w:tcBorders>
            <w:shd w:val="clear" w:color="auto" w:fill="auto"/>
            <w:tcMar>
              <w:top w:w="28" w:type="dxa"/>
              <w:left w:w="28" w:type="dxa"/>
              <w:bottom w:w="28" w:type="dxa"/>
              <w:right w:w="28" w:type="dxa"/>
            </w:tcMar>
          </w:tcPr>
          <w:p w14:paraId="3F8E9772" w14:textId="77777777" w:rsidR="00D572EA" w:rsidRPr="00AE766A" w:rsidRDefault="00D572EA" w:rsidP="00D572EA">
            <w:pPr>
              <w:autoSpaceDN w:val="0"/>
              <w:spacing w:after="0" w:line="240" w:lineRule="auto"/>
              <w:jc w:val="center"/>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6</w:t>
            </w:r>
          </w:p>
        </w:tc>
        <w:tc>
          <w:tcPr>
            <w:tcW w:w="2126"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5C54D80A" w14:textId="77777777" w:rsidR="00D572EA" w:rsidRPr="00AE766A" w:rsidRDefault="00D572EA" w:rsidP="00D572EA">
            <w:pPr>
              <w:autoSpaceDN w:val="0"/>
              <w:spacing w:after="0" w:line="240" w:lineRule="auto"/>
              <w:jc w:val="right"/>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25.055,97</w:t>
            </w:r>
          </w:p>
        </w:tc>
      </w:tr>
      <w:tr w:rsidR="00D572EA" w:rsidRPr="00AE766A" w14:paraId="6B1EC366" w14:textId="77777777" w:rsidTr="00AB1C62">
        <w:tc>
          <w:tcPr>
            <w:tcW w:w="1394" w:type="dxa"/>
            <w:vMerge/>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BD472CA" w14:textId="77777777" w:rsidR="00D572EA" w:rsidRPr="00AE766A" w:rsidRDefault="00D572EA" w:rsidP="00D572EA">
            <w:pPr>
              <w:widowControl w:val="0"/>
              <w:suppressAutoHyphens/>
              <w:autoSpaceDN w:val="0"/>
              <w:spacing w:after="0" w:line="240" w:lineRule="auto"/>
              <w:textAlignment w:val="baseline"/>
              <w:rPr>
                <w:rFonts w:ascii="Calibri" w:eastAsia="Calibri" w:hAnsi="Calibri" w:cs="Tahoma"/>
                <w:sz w:val="19"/>
                <w:szCs w:val="19"/>
              </w:rPr>
            </w:pPr>
          </w:p>
        </w:tc>
        <w:tc>
          <w:tcPr>
            <w:tcW w:w="3779" w:type="dxa"/>
            <w:tcBorders>
              <w:left w:val="single" w:sz="2" w:space="0" w:color="000000"/>
              <w:bottom w:val="single" w:sz="2" w:space="0" w:color="000000"/>
            </w:tcBorders>
            <w:shd w:val="clear" w:color="auto" w:fill="auto"/>
            <w:tcMar>
              <w:top w:w="28" w:type="dxa"/>
              <w:left w:w="28" w:type="dxa"/>
              <w:bottom w:w="28" w:type="dxa"/>
              <w:right w:w="28" w:type="dxa"/>
            </w:tcMar>
          </w:tcPr>
          <w:p w14:paraId="00449C2F" w14:textId="77777777" w:rsidR="00D572EA" w:rsidRPr="00AE766A" w:rsidRDefault="00D572EA" w:rsidP="00D572EA">
            <w:pPr>
              <w:autoSpaceDN w:val="0"/>
              <w:spacing w:after="0" w:line="240" w:lineRule="auto"/>
              <w:jc w:val="right"/>
              <w:rPr>
                <w:rFonts w:ascii="Open Sans" w:eastAsia="Times New Roman" w:hAnsi="Open Sans" w:cs="Open Sans"/>
                <w:b/>
                <w:bCs/>
                <w:sz w:val="19"/>
                <w:szCs w:val="19"/>
                <w:lang w:eastAsia="es-ES"/>
              </w:rPr>
            </w:pPr>
            <w:r w:rsidRPr="00AE766A">
              <w:rPr>
                <w:rFonts w:ascii="Open Sans" w:eastAsia="Times New Roman" w:hAnsi="Open Sans" w:cs="Open Sans"/>
                <w:b/>
                <w:bCs/>
                <w:sz w:val="19"/>
                <w:szCs w:val="19"/>
                <w:lang w:eastAsia="es-ES"/>
              </w:rPr>
              <w:t>Subtotal contratos de suministro</w:t>
            </w:r>
          </w:p>
        </w:tc>
        <w:tc>
          <w:tcPr>
            <w:tcW w:w="1345" w:type="dxa"/>
            <w:tcBorders>
              <w:left w:val="single" w:sz="2" w:space="0" w:color="000000"/>
              <w:bottom w:val="single" w:sz="2" w:space="0" w:color="000000"/>
            </w:tcBorders>
            <w:shd w:val="clear" w:color="auto" w:fill="auto"/>
            <w:tcMar>
              <w:top w:w="28" w:type="dxa"/>
              <w:left w:w="28" w:type="dxa"/>
              <w:bottom w:w="28" w:type="dxa"/>
              <w:right w:w="28" w:type="dxa"/>
            </w:tcMar>
          </w:tcPr>
          <w:p w14:paraId="632860A8" w14:textId="77777777" w:rsidR="00D572EA" w:rsidRPr="00AE766A" w:rsidRDefault="00D572EA" w:rsidP="00D572EA">
            <w:pPr>
              <w:autoSpaceDN w:val="0"/>
              <w:spacing w:after="0" w:line="240" w:lineRule="auto"/>
              <w:jc w:val="center"/>
              <w:rPr>
                <w:rFonts w:ascii="Open Sans" w:eastAsia="Times New Roman" w:hAnsi="Open Sans" w:cs="Open Sans"/>
                <w:b/>
                <w:bCs/>
                <w:sz w:val="19"/>
                <w:szCs w:val="19"/>
                <w:lang w:eastAsia="es-ES"/>
              </w:rPr>
            </w:pPr>
            <w:r w:rsidRPr="00AE766A">
              <w:rPr>
                <w:rFonts w:ascii="Open Sans" w:eastAsia="Times New Roman" w:hAnsi="Open Sans" w:cs="Open Sans"/>
                <w:b/>
                <w:bCs/>
                <w:sz w:val="19"/>
                <w:szCs w:val="19"/>
                <w:lang w:eastAsia="es-ES"/>
              </w:rPr>
              <w:t>47</w:t>
            </w:r>
          </w:p>
        </w:tc>
        <w:tc>
          <w:tcPr>
            <w:tcW w:w="2126"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1F1105F8" w14:textId="77777777" w:rsidR="00D572EA" w:rsidRPr="00AE766A" w:rsidRDefault="00D572EA" w:rsidP="00D572EA">
            <w:pPr>
              <w:autoSpaceDN w:val="0"/>
              <w:spacing w:after="0" w:line="240" w:lineRule="auto"/>
              <w:jc w:val="right"/>
              <w:rPr>
                <w:rFonts w:ascii="Open Sans" w:eastAsia="Times New Roman" w:hAnsi="Open Sans" w:cs="Open Sans"/>
                <w:b/>
                <w:bCs/>
                <w:sz w:val="19"/>
                <w:szCs w:val="19"/>
                <w:lang w:eastAsia="es-ES"/>
              </w:rPr>
            </w:pPr>
            <w:r w:rsidRPr="00AE766A">
              <w:rPr>
                <w:rFonts w:ascii="Open Sans" w:eastAsia="Times New Roman" w:hAnsi="Open Sans" w:cs="Open Sans"/>
                <w:b/>
                <w:bCs/>
                <w:sz w:val="19"/>
                <w:szCs w:val="19"/>
                <w:lang w:eastAsia="es-ES"/>
              </w:rPr>
              <w:t>66.289,31</w:t>
            </w:r>
          </w:p>
        </w:tc>
      </w:tr>
      <w:tr w:rsidR="00D572EA" w:rsidRPr="00AE766A" w14:paraId="694531E6" w14:textId="77777777" w:rsidTr="00AB1C62">
        <w:tc>
          <w:tcPr>
            <w:tcW w:w="1394" w:type="dxa"/>
            <w:vMerge w:val="restart"/>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63B04C3" w14:textId="77777777" w:rsidR="00D572EA" w:rsidRPr="00AE766A" w:rsidRDefault="00D572EA" w:rsidP="00D572EA">
            <w:pPr>
              <w:autoSpaceDN w:val="0"/>
              <w:spacing w:after="0" w:line="240" w:lineRule="auto"/>
              <w:jc w:val="center"/>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Mixtos: servicio-suministro</w:t>
            </w:r>
          </w:p>
        </w:tc>
        <w:tc>
          <w:tcPr>
            <w:tcW w:w="3779" w:type="dxa"/>
            <w:tcBorders>
              <w:left w:val="single" w:sz="2" w:space="0" w:color="000000"/>
              <w:bottom w:val="single" w:sz="2" w:space="0" w:color="000000"/>
            </w:tcBorders>
            <w:shd w:val="clear" w:color="auto" w:fill="auto"/>
            <w:tcMar>
              <w:top w:w="28" w:type="dxa"/>
              <w:left w:w="28" w:type="dxa"/>
              <w:bottom w:w="28" w:type="dxa"/>
              <w:right w:w="28" w:type="dxa"/>
            </w:tcMar>
          </w:tcPr>
          <w:p w14:paraId="7132651C" w14:textId="77777777" w:rsidR="00D572EA" w:rsidRPr="00AE766A" w:rsidRDefault="00D572EA" w:rsidP="00D572EA">
            <w:pPr>
              <w:autoSpaceDN w:val="0"/>
              <w:spacing w:after="0" w:line="240" w:lineRule="auto"/>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Abierto</w:t>
            </w:r>
          </w:p>
        </w:tc>
        <w:tc>
          <w:tcPr>
            <w:tcW w:w="1345" w:type="dxa"/>
            <w:tcBorders>
              <w:left w:val="single" w:sz="2" w:space="0" w:color="000000"/>
              <w:bottom w:val="single" w:sz="2" w:space="0" w:color="000000"/>
            </w:tcBorders>
            <w:shd w:val="clear" w:color="auto" w:fill="auto"/>
            <w:tcMar>
              <w:top w:w="28" w:type="dxa"/>
              <w:left w:w="28" w:type="dxa"/>
              <w:bottom w:w="28" w:type="dxa"/>
              <w:right w:w="28" w:type="dxa"/>
            </w:tcMar>
          </w:tcPr>
          <w:p w14:paraId="355DCCD2" w14:textId="77777777" w:rsidR="00D572EA" w:rsidRPr="00AE766A" w:rsidRDefault="00D572EA" w:rsidP="00D572EA">
            <w:pPr>
              <w:autoSpaceDN w:val="0"/>
              <w:spacing w:after="0" w:line="240" w:lineRule="auto"/>
              <w:jc w:val="center"/>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0</w:t>
            </w:r>
          </w:p>
        </w:tc>
        <w:tc>
          <w:tcPr>
            <w:tcW w:w="2126"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6A87729F" w14:textId="77777777" w:rsidR="00D572EA" w:rsidRPr="00AE766A" w:rsidRDefault="00D572EA" w:rsidP="00D572EA">
            <w:pPr>
              <w:autoSpaceDN w:val="0"/>
              <w:spacing w:after="0" w:line="240" w:lineRule="auto"/>
              <w:jc w:val="right"/>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0,00</w:t>
            </w:r>
          </w:p>
        </w:tc>
      </w:tr>
      <w:tr w:rsidR="00D572EA" w:rsidRPr="00AE766A" w14:paraId="7889A2BC" w14:textId="77777777" w:rsidTr="00AB1C62">
        <w:tc>
          <w:tcPr>
            <w:tcW w:w="1394" w:type="dxa"/>
            <w:vMerge/>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E98333A" w14:textId="77777777" w:rsidR="00D572EA" w:rsidRPr="00AE766A" w:rsidRDefault="00D572EA" w:rsidP="00D572EA">
            <w:pPr>
              <w:widowControl w:val="0"/>
              <w:suppressAutoHyphens/>
              <w:autoSpaceDN w:val="0"/>
              <w:spacing w:after="0" w:line="240" w:lineRule="auto"/>
              <w:textAlignment w:val="baseline"/>
              <w:rPr>
                <w:rFonts w:ascii="Calibri" w:eastAsia="Calibri" w:hAnsi="Calibri" w:cs="Tahoma"/>
                <w:sz w:val="19"/>
                <w:szCs w:val="19"/>
              </w:rPr>
            </w:pPr>
          </w:p>
        </w:tc>
        <w:tc>
          <w:tcPr>
            <w:tcW w:w="3779" w:type="dxa"/>
            <w:tcBorders>
              <w:left w:val="single" w:sz="2" w:space="0" w:color="000000"/>
              <w:bottom w:val="single" w:sz="2" w:space="0" w:color="000000"/>
            </w:tcBorders>
            <w:shd w:val="clear" w:color="auto" w:fill="auto"/>
            <w:tcMar>
              <w:top w:w="28" w:type="dxa"/>
              <w:left w:w="28" w:type="dxa"/>
              <w:bottom w:w="28" w:type="dxa"/>
              <w:right w:w="28" w:type="dxa"/>
            </w:tcMar>
          </w:tcPr>
          <w:p w14:paraId="4FF1F669" w14:textId="77777777" w:rsidR="00D572EA" w:rsidRPr="00AE766A" w:rsidRDefault="00D572EA" w:rsidP="00D572EA">
            <w:pPr>
              <w:autoSpaceDN w:val="0"/>
              <w:spacing w:after="0" w:line="240" w:lineRule="auto"/>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Basado en Acuerdo Marco</w:t>
            </w:r>
          </w:p>
        </w:tc>
        <w:tc>
          <w:tcPr>
            <w:tcW w:w="1345" w:type="dxa"/>
            <w:tcBorders>
              <w:left w:val="single" w:sz="2" w:space="0" w:color="000000"/>
              <w:bottom w:val="single" w:sz="2" w:space="0" w:color="000000"/>
            </w:tcBorders>
            <w:shd w:val="clear" w:color="auto" w:fill="auto"/>
            <w:tcMar>
              <w:top w:w="28" w:type="dxa"/>
              <w:left w:w="28" w:type="dxa"/>
              <w:bottom w:w="28" w:type="dxa"/>
              <w:right w:w="28" w:type="dxa"/>
            </w:tcMar>
          </w:tcPr>
          <w:p w14:paraId="1086F8C8" w14:textId="77777777" w:rsidR="00D572EA" w:rsidRPr="00AE766A" w:rsidRDefault="00D572EA" w:rsidP="00D572EA">
            <w:pPr>
              <w:autoSpaceDN w:val="0"/>
              <w:spacing w:after="0" w:line="240" w:lineRule="auto"/>
              <w:jc w:val="center"/>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1</w:t>
            </w:r>
          </w:p>
        </w:tc>
        <w:tc>
          <w:tcPr>
            <w:tcW w:w="2126"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2502D3F2" w14:textId="77777777" w:rsidR="00D572EA" w:rsidRPr="00AE766A" w:rsidRDefault="00D572EA" w:rsidP="00D572EA">
            <w:pPr>
              <w:autoSpaceDN w:val="0"/>
              <w:spacing w:after="0" w:line="240" w:lineRule="auto"/>
              <w:jc w:val="right"/>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3.675,33</w:t>
            </w:r>
          </w:p>
        </w:tc>
      </w:tr>
      <w:tr w:rsidR="00D572EA" w:rsidRPr="00AE766A" w14:paraId="78383027" w14:textId="77777777" w:rsidTr="00AB1C62">
        <w:tc>
          <w:tcPr>
            <w:tcW w:w="1394" w:type="dxa"/>
            <w:vMerge/>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334EC80" w14:textId="77777777" w:rsidR="00D572EA" w:rsidRPr="00AE766A" w:rsidRDefault="00D572EA" w:rsidP="00D572EA">
            <w:pPr>
              <w:widowControl w:val="0"/>
              <w:suppressAutoHyphens/>
              <w:autoSpaceDN w:val="0"/>
              <w:spacing w:after="0" w:line="240" w:lineRule="auto"/>
              <w:textAlignment w:val="baseline"/>
              <w:rPr>
                <w:rFonts w:ascii="Calibri" w:eastAsia="Calibri" w:hAnsi="Calibri" w:cs="Tahoma"/>
                <w:sz w:val="19"/>
                <w:szCs w:val="19"/>
              </w:rPr>
            </w:pPr>
          </w:p>
        </w:tc>
        <w:tc>
          <w:tcPr>
            <w:tcW w:w="3779" w:type="dxa"/>
            <w:tcBorders>
              <w:left w:val="single" w:sz="2" w:space="0" w:color="000000"/>
              <w:bottom w:val="single" w:sz="2" w:space="0" w:color="000000"/>
            </w:tcBorders>
            <w:shd w:val="clear" w:color="auto" w:fill="auto"/>
            <w:tcMar>
              <w:top w:w="28" w:type="dxa"/>
              <w:left w:w="28" w:type="dxa"/>
              <w:bottom w:w="28" w:type="dxa"/>
              <w:right w:w="28" w:type="dxa"/>
            </w:tcMar>
          </w:tcPr>
          <w:p w14:paraId="3061BB0D" w14:textId="156432A7" w:rsidR="00D572EA" w:rsidRPr="00AE766A" w:rsidRDefault="00D572EA" w:rsidP="00D572EA">
            <w:pPr>
              <w:autoSpaceDN w:val="0"/>
              <w:spacing w:after="0" w:line="240" w:lineRule="auto"/>
              <w:jc w:val="right"/>
              <w:rPr>
                <w:rFonts w:ascii="Open Sans" w:eastAsia="Times New Roman" w:hAnsi="Open Sans" w:cs="Open Sans"/>
                <w:b/>
                <w:bCs/>
                <w:sz w:val="19"/>
                <w:szCs w:val="19"/>
                <w:lang w:eastAsia="es-ES"/>
              </w:rPr>
            </w:pPr>
            <w:r w:rsidRPr="00AE766A">
              <w:rPr>
                <w:rFonts w:ascii="Open Sans" w:eastAsia="Times New Roman" w:hAnsi="Open Sans" w:cs="Open Sans"/>
                <w:b/>
                <w:bCs/>
                <w:sz w:val="19"/>
                <w:szCs w:val="19"/>
                <w:lang w:eastAsia="es-ES"/>
              </w:rPr>
              <w:t>Subtotal contratos mixtos</w:t>
            </w:r>
          </w:p>
        </w:tc>
        <w:tc>
          <w:tcPr>
            <w:tcW w:w="1345" w:type="dxa"/>
            <w:tcBorders>
              <w:left w:val="single" w:sz="2" w:space="0" w:color="000000"/>
              <w:bottom w:val="single" w:sz="2" w:space="0" w:color="000000"/>
            </w:tcBorders>
            <w:shd w:val="clear" w:color="auto" w:fill="auto"/>
            <w:tcMar>
              <w:top w:w="28" w:type="dxa"/>
              <w:left w:w="28" w:type="dxa"/>
              <w:bottom w:w="28" w:type="dxa"/>
              <w:right w:w="28" w:type="dxa"/>
            </w:tcMar>
          </w:tcPr>
          <w:p w14:paraId="30519F51" w14:textId="77777777" w:rsidR="00D572EA" w:rsidRPr="00AE766A" w:rsidRDefault="00D572EA" w:rsidP="00D572EA">
            <w:pPr>
              <w:autoSpaceDN w:val="0"/>
              <w:spacing w:after="0" w:line="240" w:lineRule="auto"/>
              <w:jc w:val="center"/>
              <w:rPr>
                <w:rFonts w:ascii="Open Sans" w:eastAsia="Times New Roman" w:hAnsi="Open Sans" w:cs="Open Sans"/>
                <w:b/>
                <w:bCs/>
                <w:sz w:val="19"/>
                <w:szCs w:val="19"/>
                <w:lang w:eastAsia="es-ES"/>
              </w:rPr>
            </w:pPr>
            <w:r w:rsidRPr="00AE766A">
              <w:rPr>
                <w:rFonts w:ascii="Open Sans" w:eastAsia="Times New Roman" w:hAnsi="Open Sans" w:cs="Open Sans"/>
                <w:b/>
                <w:bCs/>
                <w:sz w:val="19"/>
                <w:szCs w:val="19"/>
                <w:lang w:eastAsia="es-ES"/>
              </w:rPr>
              <w:t>1</w:t>
            </w:r>
          </w:p>
        </w:tc>
        <w:tc>
          <w:tcPr>
            <w:tcW w:w="2126"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4659A5BD" w14:textId="77777777" w:rsidR="00D572EA" w:rsidRPr="00AE766A" w:rsidRDefault="00D572EA" w:rsidP="00D572EA">
            <w:pPr>
              <w:autoSpaceDN w:val="0"/>
              <w:spacing w:after="0" w:line="240" w:lineRule="auto"/>
              <w:jc w:val="right"/>
              <w:rPr>
                <w:rFonts w:ascii="Open Sans" w:eastAsia="Times New Roman" w:hAnsi="Open Sans" w:cs="Open Sans"/>
                <w:b/>
                <w:bCs/>
                <w:sz w:val="19"/>
                <w:szCs w:val="19"/>
                <w:lang w:eastAsia="es-ES"/>
              </w:rPr>
            </w:pPr>
            <w:r w:rsidRPr="00AE766A">
              <w:rPr>
                <w:rFonts w:ascii="Open Sans" w:eastAsia="Times New Roman" w:hAnsi="Open Sans" w:cs="Open Sans"/>
                <w:b/>
                <w:bCs/>
                <w:sz w:val="19"/>
                <w:szCs w:val="19"/>
                <w:lang w:eastAsia="es-ES"/>
              </w:rPr>
              <w:t>3.675,33</w:t>
            </w:r>
          </w:p>
        </w:tc>
      </w:tr>
      <w:tr w:rsidR="00D572EA" w:rsidRPr="00AE766A" w14:paraId="5AC26827" w14:textId="77777777" w:rsidTr="00AB1C62">
        <w:tc>
          <w:tcPr>
            <w:tcW w:w="1394" w:type="dxa"/>
            <w:vMerge w:val="restart"/>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E9C48F9" w14:textId="77777777" w:rsidR="00D572EA" w:rsidRPr="00AE766A" w:rsidRDefault="00D572EA" w:rsidP="00D572EA">
            <w:pPr>
              <w:autoSpaceDN w:val="0"/>
              <w:spacing w:after="0" w:line="240" w:lineRule="auto"/>
              <w:jc w:val="center"/>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Obras</w:t>
            </w:r>
          </w:p>
        </w:tc>
        <w:tc>
          <w:tcPr>
            <w:tcW w:w="3779" w:type="dxa"/>
            <w:tcBorders>
              <w:left w:val="single" w:sz="2" w:space="0" w:color="000000"/>
              <w:bottom w:val="single" w:sz="2" w:space="0" w:color="000000"/>
            </w:tcBorders>
            <w:shd w:val="clear" w:color="auto" w:fill="auto"/>
            <w:tcMar>
              <w:top w:w="28" w:type="dxa"/>
              <w:left w:w="28" w:type="dxa"/>
              <w:bottom w:w="28" w:type="dxa"/>
              <w:right w:w="28" w:type="dxa"/>
            </w:tcMar>
          </w:tcPr>
          <w:p w14:paraId="6CA83539" w14:textId="77777777" w:rsidR="00D572EA" w:rsidRPr="00AE766A" w:rsidRDefault="00D572EA" w:rsidP="00D572EA">
            <w:pPr>
              <w:autoSpaceDN w:val="0"/>
              <w:spacing w:after="0" w:line="240" w:lineRule="auto"/>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Menor</w:t>
            </w:r>
          </w:p>
        </w:tc>
        <w:tc>
          <w:tcPr>
            <w:tcW w:w="1345" w:type="dxa"/>
            <w:tcBorders>
              <w:left w:val="single" w:sz="2" w:space="0" w:color="000000"/>
              <w:bottom w:val="single" w:sz="2" w:space="0" w:color="000000"/>
            </w:tcBorders>
            <w:shd w:val="clear" w:color="auto" w:fill="auto"/>
            <w:tcMar>
              <w:top w:w="28" w:type="dxa"/>
              <w:left w:w="28" w:type="dxa"/>
              <w:bottom w:w="28" w:type="dxa"/>
              <w:right w:w="28" w:type="dxa"/>
            </w:tcMar>
          </w:tcPr>
          <w:p w14:paraId="0C0EB177" w14:textId="77777777" w:rsidR="00D572EA" w:rsidRPr="00AE766A" w:rsidRDefault="00D572EA" w:rsidP="00D572EA">
            <w:pPr>
              <w:autoSpaceDN w:val="0"/>
              <w:spacing w:after="0" w:line="240" w:lineRule="auto"/>
              <w:jc w:val="center"/>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1</w:t>
            </w:r>
          </w:p>
        </w:tc>
        <w:tc>
          <w:tcPr>
            <w:tcW w:w="2126"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2ABAC91F" w14:textId="77777777" w:rsidR="00D572EA" w:rsidRPr="00AE766A" w:rsidRDefault="00D572EA" w:rsidP="00D572EA">
            <w:pPr>
              <w:autoSpaceDN w:val="0"/>
              <w:spacing w:after="0" w:line="240" w:lineRule="auto"/>
              <w:jc w:val="right"/>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2.223,78</w:t>
            </w:r>
          </w:p>
        </w:tc>
      </w:tr>
      <w:tr w:rsidR="00D572EA" w:rsidRPr="00AE766A" w14:paraId="231FDCFA" w14:textId="77777777" w:rsidTr="00AB1C62">
        <w:tc>
          <w:tcPr>
            <w:tcW w:w="1394" w:type="dxa"/>
            <w:vMerge/>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6F227B5A" w14:textId="77777777" w:rsidR="00D572EA" w:rsidRPr="00AE766A" w:rsidRDefault="00D572EA" w:rsidP="00D572EA">
            <w:pPr>
              <w:widowControl w:val="0"/>
              <w:suppressAutoHyphens/>
              <w:autoSpaceDN w:val="0"/>
              <w:spacing w:after="0" w:line="240" w:lineRule="auto"/>
              <w:textAlignment w:val="baseline"/>
              <w:rPr>
                <w:rFonts w:ascii="Calibri" w:eastAsia="Calibri" w:hAnsi="Calibri" w:cs="Tahoma"/>
                <w:sz w:val="19"/>
                <w:szCs w:val="19"/>
              </w:rPr>
            </w:pPr>
          </w:p>
        </w:tc>
        <w:tc>
          <w:tcPr>
            <w:tcW w:w="3779" w:type="dxa"/>
            <w:tcBorders>
              <w:left w:val="single" w:sz="2" w:space="0" w:color="000000"/>
              <w:bottom w:val="single" w:sz="2" w:space="0" w:color="000000"/>
            </w:tcBorders>
            <w:shd w:val="clear" w:color="auto" w:fill="auto"/>
            <w:tcMar>
              <w:top w:w="28" w:type="dxa"/>
              <w:left w:w="28" w:type="dxa"/>
              <w:bottom w:w="28" w:type="dxa"/>
              <w:right w:w="28" w:type="dxa"/>
            </w:tcMar>
          </w:tcPr>
          <w:p w14:paraId="18E32E13" w14:textId="77777777" w:rsidR="00D572EA" w:rsidRPr="00AE766A" w:rsidRDefault="00D572EA" w:rsidP="00D572EA">
            <w:pPr>
              <w:autoSpaceDN w:val="0"/>
              <w:spacing w:after="0" w:line="240" w:lineRule="auto"/>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Abierto</w:t>
            </w:r>
          </w:p>
        </w:tc>
        <w:tc>
          <w:tcPr>
            <w:tcW w:w="1345" w:type="dxa"/>
            <w:tcBorders>
              <w:left w:val="single" w:sz="2" w:space="0" w:color="000000"/>
              <w:bottom w:val="single" w:sz="2" w:space="0" w:color="000000"/>
            </w:tcBorders>
            <w:shd w:val="clear" w:color="auto" w:fill="auto"/>
            <w:tcMar>
              <w:top w:w="28" w:type="dxa"/>
              <w:left w:w="28" w:type="dxa"/>
              <w:bottom w:w="28" w:type="dxa"/>
              <w:right w:w="28" w:type="dxa"/>
            </w:tcMar>
          </w:tcPr>
          <w:p w14:paraId="5E6B4479" w14:textId="77777777" w:rsidR="00D572EA" w:rsidRPr="00AE766A" w:rsidRDefault="00D572EA" w:rsidP="00D572EA">
            <w:pPr>
              <w:autoSpaceDN w:val="0"/>
              <w:spacing w:after="0" w:line="240" w:lineRule="auto"/>
              <w:jc w:val="center"/>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0</w:t>
            </w:r>
          </w:p>
        </w:tc>
        <w:tc>
          <w:tcPr>
            <w:tcW w:w="2126"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542ED14A" w14:textId="77777777" w:rsidR="00D572EA" w:rsidRPr="00AE766A" w:rsidRDefault="00D572EA" w:rsidP="00D572EA">
            <w:pPr>
              <w:autoSpaceDN w:val="0"/>
              <w:spacing w:after="0" w:line="240" w:lineRule="auto"/>
              <w:jc w:val="right"/>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0,00</w:t>
            </w:r>
          </w:p>
        </w:tc>
      </w:tr>
      <w:tr w:rsidR="00D572EA" w:rsidRPr="00AE766A" w14:paraId="216F7836" w14:textId="77777777" w:rsidTr="00AB1C62">
        <w:tc>
          <w:tcPr>
            <w:tcW w:w="1394" w:type="dxa"/>
            <w:vMerge/>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86D152D" w14:textId="77777777" w:rsidR="00D572EA" w:rsidRPr="00AE766A" w:rsidRDefault="00D572EA" w:rsidP="00D572EA">
            <w:pPr>
              <w:widowControl w:val="0"/>
              <w:suppressAutoHyphens/>
              <w:autoSpaceDN w:val="0"/>
              <w:spacing w:after="0" w:line="240" w:lineRule="auto"/>
              <w:textAlignment w:val="baseline"/>
              <w:rPr>
                <w:rFonts w:ascii="Calibri" w:eastAsia="Calibri" w:hAnsi="Calibri" w:cs="Tahoma"/>
                <w:sz w:val="19"/>
                <w:szCs w:val="19"/>
              </w:rPr>
            </w:pPr>
          </w:p>
        </w:tc>
        <w:tc>
          <w:tcPr>
            <w:tcW w:w="3779" w:type="dxa"/>
            <w:tcBorders>
              <w:left w:val="single" w:sz="2" w:space="0" w:color="000000"/>
              <w:bottom w:val="single" w:sz="2" w:space="0" w:color="000000"/>
            </w:tcBorders>
            <w:shd w:val="clear" w:color="auto" w:fill="auto"/>
            <w:tcMar>
              <w:top w:w="28" w:type="dxa"/>
              <w:left w:w="28" w:type="dxa"/>
              <w:bottom w:w="28" w:type="dxa"/>
              <w:right w:w="28" w:type="dxa"/>
            </w:tcMar>
          </w:tcPr>
          <w:p w14:paraId="2BD21539" w14:textId="77777777" w:rsidR="00D572EA" w:rsidRPr="00AE766A" w:rsidRDefault="00D572EA" w:rsidP="00D572EA">
            <w:pPr>
              <w:autoSpaceDN w:val="0"/>
              <w:spacing w:after="0" w:line="240" w:lineRule="auto"/>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Basado en Acuerdo Marco</w:t>
            </w:r>
          </w:p>
        </w:tc>
        <w:tc>
          <w:tcPr>
            <w:tcW w:w="1345" w:type="dxa"/>
            <w:tcBorders>
              <w:left w:val="single" w:sz="2" w:space="0" w:color="000000"/>
              <w:bottom w:val="single" w:sz="2" w:space="0" w:color="000000"/>
            </w:tcBorders>
            <w:shd w:val="clear" w:color="auto" w:fill="auto"/>
            <w:tcMar>
              <w:top w:w="28" w:type="dxa"/>
              <w:left w:w="28" w:type="dxa"/>
              <w:bottom w:w="28" w:type="dxa"/>
              <w:right w:w="28" w:type="dxa"/>
            </w:tcMar>
          </w:tcPr>
          <w:p w14:paraId="3584F630" w14:textId="77777777" w:rsidR="00D572EA" w:rsidRPr="00AE766A" w:rsidRDefault="00D572EA" w:rsidP="00D572EA">
            <w:pPr>
              <w:autoSpaceDN w:val="0"/>
              <w:spacing w:after="0" w:line="240" w:lineRule="auto"/>
              <w:jc w:val="center"/>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0</w:t>
            </w:r>
          </w:p>
        </w:tc>
        <w:tc>
          <w:tcPr>
            <w:tcW w:w="2126"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48E5580B" w14:textId="77777777" w:rsidR="00D572EA" w:rsidRPr="00AE766A" w:rsidRDefault="00D572EA" w:rsidP="00D572EA">
            <w:pPr>
              <w:autoSpaceDN w:val="0"/>
              <w:spacing w:after="0" w:line="240" w:lineRule="auto"/>
              <w:jc w:val="right"/>
              <w:rPr>
                <w:rFonts w:ascii="Open Sans" w:eastAsia="Times New Roman" w:hAnsi="Open Sans" w:cs="Open Sans"/>
                <w:sz w:val="19"/>
                <w:szCs w:val="19"/>
                <w:lang w:eastAsia="es-ES"/>
              </w:rPr>
            </w:pPr>
            <w:r w:rsidRPr="00AE766A">
              <w:rPr>
                <w:rFonts w:ascii="Open Sans" w:eastAsia="Times New Roman" w:hAnsi="Open Sans" w:cs="Open Sans"/>
                <w:sz w:val="19"/>
                <w:szCs w:val="19"/>
                <w:lang w:eastAsia="es-ES"/>
              </w:rPr>
              <w:t>0,00</w:t>
            </w:r>
          </w:p>
        </w:tc>
      </w:tr>
      <w:tr w:rsidR="00D572EA" w:rsidRPr="00AE766A" w14:paraId="61025CA7" w14:textId="77777777" w:rsidTr="00AB1C62">
        <w:tc>
          <w:tcPr>
            <w:tcW w:w="1394" w:type="dxa"/>
            <w:vMerge/>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C637DC4" w14:textId="77777777" w:rsidR="00D572EA" w:rsidRPr="00AE766A" w:rsidRDefault="00D572EA" w:rsidP="00D572EA">
            <w:pPr>
              <w:widowControl w:val="0"/>
              <w:suppressAutoHyphens/>
              <w:autoSpaceDN w:val="0"/>
              <w:spacing w:after="0" w:line="240" w:lineRule="auto"/>
              <w:textAlignment w:val="baseline"/>
              <w:rPr>
                <w:rFonts w:ascii="Calibri" w:eastAsia="Calibri" w:hAnsi="Calibri" w:cs="Tahoma"/>
                <w:sz w:val="19"/>
                <w:szCs w:val="19"/>
              </w:rPr>
            </w:pPr>
          </w:p>
        </w:tc>
        <w:tc>
          <w:tcPr>
            <w:tcW w:w="3779" w:type="dxa"/>
            <w:tcBorders>
              <w:left w:val="single" w:sz="2" w:space="0" w:color="000000"/>
              <w:bottom w:val="single" w:sz="2" w:space="0" w:color="000000"/>
            </w:tcBorders>
            <w:shd w:val="clear" w:color="auto" w:fill="auto"/>
            <w:tcMar>
              <w:top w:w="28" w:type="dxa"/>
              <w:left w:w="28" w:type="dxa"/>
              <w:bottom w:w="28" w:type="dxa"/>
              <w:right w:w="28" w:type="dxa"/>
            </w:tcMar>
          </w:tcPr>
          <w:p w14:paraId="1FDCB35A" w14:textId="77777777" w:rsidR="00D572EA" w:rsidRPr="00AE766A" w:rsidRDefault="00D572EA" w:rsidP="00D572EA">
            <w:pPr>
              <w:autoSpaceDN w:val="0"/>
              <w:spacing w:after="0" w:line="240" w:lineRule="auto"/>
              <w:jc w:val="right"/>
              <w:rPr>
                <w:rFonts w:ascii="Open Sans" w:eastAsia="Times New Roman" w:hAnsi="Open Sans" w:cs="Open Sans"/>
                <w:b/>
                <w:bCs/>
                <w:sz w:val="19"/>
                <w:szCs w:val="19"/>
                <w:lang w:eastAsia="es-ES"/>
              </w:rPr>
            </w:pPr>
            <w:r w:rsidRPr="00AE766A">
              <w:rPr>
                <w:rFonts w:ascii="Open Sans" w:eastAsia="Times New Roman" w:hAnsi="Open Sans" w:cs="Open Sans"/>
                <w:b/>
                <w:bCs/>
                <w:sz w:val="19"/>
                <w:szCs w:val="19"/>
                <w:lang w:eastAsia="es-ES"/>
              </w:rPr>
              <w:t>Subtotal contratos de obra</w:t>
            </w:r>
          </w:p>
        </w:tc>
        <w:tc>
          <w:tcPr>
            <w:tcW w:w="1345" w:type="dxa"/>
            <w:tcBorders>
              <w:left w:val="single" w:sz="2" w:space="0" w:color="000000"/>
              <w:bottom w:val="single" w:sz="2" w:space="0" w:color="000000"/>
            </w:tcBorders>
            <w:shd w:val="clear" w:color="auto" w:fill="auto"/>
            <w:tcMar>
              <w:top w:w="28" w:type="dxa"/>
              <w:left w:w="28" w:type="dxa"/>
              <w:bottom w:w="28" w:type="dxa"/>
              <w:right w:w="28" w:type="dxa"/>
            </w:tcMar>
          </w:tcPr>
          <w:p w14:paraId="70D953CA" w14:textId="77777777" w:rsidR="00D572EA" w:rsidRPr="00AE766A" w:rsidRDefault="00D572EA" w:rsidP="00D572EA">
            <w:pPr>
              <w:autoSpaceDN w:val="0"/>
              <w:spacing w:after="0" w:line="240" w:lineRule="auto"/>
              <w:jc w:val="center"/>
              <w:rPr>
                <w:rFonts w:ascii="Open Sans" w:eastAsia="Times New Roman" w:hAnsi="Open Sans" w:cs="Open Sans"/>
                <w:b/>
                <w:bCs/>
                <w:sz w:val="19"/>
                <w:szCs w:val="19"/>
                <w:lang w:eastAsia="es-ES"/>
              </w:rPr>
            </w:pPr>
            <w:r w:rsidRPr="00AE766A">
              <w:rPr>
                <w:rFonts w:ascii="Open Sans" w:eastAsia="Times New Roman" w:hAnsi="Open Sans" w:cs="Open Sans"/>
                <w:b/>
                <w:bCs/>
                <w:sz w:val="19"/>
                <w:szCs w:val="19"/>
                <w:lang w:eastAsia="es-ES"/>
              </w:rPr>
              <w:t>1</w:t>
            </w:r>
          </w:p>
        </w:tc>
        <w:tc>
          <w:tcPr>
            <w:tcW w:w="2126"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5C707341" w14:textId="77777777" w:rsidR="00D572EA" w:rsidRPr="00AE766A" w:rsidRDefault="00D572EA" w:rsidP="00D572EA">
            <w:pPr>
              <w:autoSpaceDN w:val="0"/>
              <w:spacing w:after="0" w:line="240" w:lineRule="auto"/>
              <w:jc w:val="right"/>
              <w:rPr>
                <w:rFonts w:ascii="Open Sans" w:eastAsia="Times New Roman" w:hAnsi="Open Sans" w:cs="Open Sans"/>
                <w:b/>
                <w:bCs/>
                <w:sz w:val="19"/>
                <w:szCs w:val="19"/>
                <w:lang w:eastAsia="es-ES"/>
              </w:rPr>
            </w:pPr>
            <w:r w:rsidRPr="00AE766A">
              <w:rPr>
                <w:rFonts w:ascii="Open Sans" w:eastAsia="Times New Roman" w:hAnsi="Open Sans" w:cs="Open Sans"/>
                <w:b/>
                <w:bCs/>
                <w:sz w:val="19"/>
                <w:szCs w:val="19"/>
                <w:lang w:eastAsia="es-ES"/>
              </w:rPr>
              <w:t>2.223,78</w:t>
            </w:r>
          </w:p>
        </w:tc>
      </w:tr>
      <w:tr w:rsidR="00D572EA" w:rsidRPr="00AE766A" w14:paraId="10AFE68C" w14:textId="77777777" w:rsidTr="00AB1C62">
        <w:tc>
          <w:tcPr>
            <w:tcW w:w="5173" w:type="dxa"/>
            <w:gridSpan w:val="2"/>
            <w:tcBorders>
              <w:left w:val="single" w:sz="2" w:space="0" w:color="000000"/>
              <w:bottom w:val="single" w:sz="2" w:space="0" w:color="000000"/>
            </w:tcBorders>
            <w:shd w:val="clear" w:color="auto" w:fill="9D2235"/>
            <w:tcMar>
              <w:top w:w="28" w:type="dxa"/>
              <w:left w:w="28" w:type="dxa"/>
              <w:bottom w:w="28" w:type="dxa"/>
              <w:right w:w="28" w:type="dxa"/>
            </w:tcMar>
            <w:vAlign w:val="center"/>
          </w:tcPr>
          <w:p w14:paraId="32A95CEB" w14:textId="77777777" w:rsidR="00D572EA" w:rsidRPr="00AE766A" w:rsidRDefault="00D572EA" w:rsidP="00D572EA">
            <w:pPr>
              <w:autoSpaceDN w:val="0"/>
              <w:spacing w:after="0" w:line="240" w:lineRule="auto"/>
              <w:jc w:val="center"/>
              <w:rPr>
                <w:rFonts w:ascii="Open Sans" w:eastAsia="Times New Roman" w:hAnsi="Open Sans" w:cs="Open Sans"/>
                <w:b/>
                <w:bCs/>
                <w:color w:val="FFFFFF"/>
                <w:sz w:val="19"/>
                <w:szCs w:val="19"/>
                <w:lang w:eastAsia="es-ES"/>
              </w:rPr>
            </w:pPr>
            <w:r w:rsidRPr="00AE766A">
              <w:rPr>
                <w:rFonts w:ascii="Open Sans" w:eastAsia="Times New Roman" w:hAnsi="Open Sans" w:cs="Open Sans"/>
                <w:b/>
                <w:bCs/>
                <w:color w:val="FFFFFF"/>
                <w:sz w:val="19"/>
                <w:szCs w:val="19"/>
                <w:lang w:eastAsia="es-ES"/>
              </w:rPr>
              <w:t>TOTAL</w:t>
            </w:r>
          </w:p>
        </w:tc>
        <w:tc>
          <w:tcPr>
            <w:tcW w:w="1345" w:type="dxa"/>
            <w:tcBorders>
              <w:left w:val="single" w:sz="2" w:space="0" w:color="000000"/>
              <w:bottom w:val="single" w:sz="2" w:space="0" w:color="000000"/>
            </w:tcBorders>
            <w:shd w:val="clear" w:color="auto" w:fill="9D2235"/>
            <w:tcMar>
              <w:top w:w="28" w:type="dxa"/>
              <w:left w:w="28" w:type="dxa"/>
              <w:bottom w:w="28" w:type="dxa"/>
              <w:right w:w="28" w:type="dxa"/>
            </w:tcMar>
          </w:tcPr>
          <w:p w14:paraId="265E6C94" w14:textId="77777777" w:rsidR="00D572EA" w:rsidRPr="00AE766A" w:rsidRDefault="00D572EA" w:rsidP="00D572EA">
            <w:pPr>
              <w:autoSpaceDN w:val="0"/>
              <w:spacing w:after="0" w:line="240" w:lineRule="auto"/>
              <w:jc w:val="center"/>
              <w:rPr>
                <w:rFonts w:ascii="Open Sans" w:eastAsia="Times New Roman" w:hAnsi="Open Sans" w:cs="Open Sans"/>
                <w:b/>
                <w:bCs/>
                <w:color w:val="FFFFFF"/>
                <w:sz w:val="19"/>
                <w:szCs w:val="19"/>
                <w:lang w:eastAsia="es-ES"/>
              </w:rPr>
            </w:pPr>
            <w:r w:rsidRPr="00AE766A">
              <w:rPr>
                <w:rFonts w:ascii="Open Sans" w:eastAsia="Times New Roman" w:hAnsi="Open Sans" w:cs="Open Sans"/>
                <w:b/>
                <w:bCs/>
                <w:color w:val="FFFFFF"/>
                <w:sz w:val="19"/>
                <w:szCs w:val="19"/>
                <w:lang w:eastAsia="es-ES"/>
              </w:rPr>
              <w:t>111</w:t>
            </w:r>
          </w:p>
        </w:tc>
        <w:tc>
          <w:tcPr>
            <w:tcW w:w="2126" w:type="dxa"/>
            <w:tcBorders>
              <w:left w:val="single" w:sz="2" w:space="0" w:color="000000"/>
              <w:bottom w:val="single" w:sz="2" w:space="0" w:color="000000"/>
              <w:right w:val="single" w:sz="2" w:space="0" w:color="000000"/>
            </w:tcBorders>
            <w:shd w:val="clear" w:color="auto" w:fill="9D2235"/>
            <w:tcMar>
              <w:top w:w="28" w:type="dxa"/>
              <w:left w:w="28" w:type="dxa"/>
              <w:bottom w:w="28" w:type="dxa"/>
              <w:right w:w="28" w:type="dxa"/>
            </w:tcMar>
          </w:tcPr>
          <w:p w14:paraId="0F782F01" w14:textId="77777777" w:rsidR="00D572EA" w:rsidRPr="00AE766A" w:rsidRDefault="00D572EA" w:rsidP="00D572EA">
            <w:pPr>
              <w:autoSpaceDN w:val="0"/>
              <w:spacing w:after="0" w:line="240" w:lineRule="auto"/>
              <w:jc w:val="right"/>
              <w:rPr>
                <w:rFonts w:ascii="Open Sans" w:eastAsia="Times New Roman" w:hAnsi="Open Sans" w:cs="Open Sans"/>
                <w:b/>
                <w:bCs/>
                <w:color w:val="FFFFFF"/>
                <w:sz w:val="19"/>
                <w:szCs w:val="19"/>
                <w:lang w:eastAsia="es-ES"/>
              </w:rPr>
            </w:pPr>
            <w:r w:rsidRPr="00AE766A">
              <w:rPr>
                <w:rFonts w:ascii="Open Sans" w:eastAsia="Times New Roman" w:hAnsi="Open Sans" w:cs="Open Sans"/>
                <w:b/>
                <w:bCs/>
                <w:color w:val="FFFFFF"/>
                <w:sz w:val="19"/>
                <w:szCs w:val="19"/>
                <w:lang w:eastAsia="es-ES"/>
              </w:rPr>
              <w:t>369.475,18</w:t>
            </w:r>
          </w:p>
        </w:tc>
      </w:tr>
    </w:tbl>
    <w:p w14:paraId="14A99B40" w14:textId="77777777" w:rsidR="00AB1C62" w:rsidRDefault="00AB1C62" w:rsidP="00264EC2">
      <w:pPr>
        <w:suppressAutoHyphens/>
        <w:autoSpaceDN w:val="0"/>
        <w:spacing w:after="0" w:line="276" w:lineRule="auto"/>
        <w:jc w:val="both"/>
        <w:rPr>
          <w:rFonts w:ascii="Open Sans" w:eastAsia="Times New Roman" w:hAnsi="Open Sans" w:cs="Open Sans"/>
          <w:sz w:val="20"/>
          <w:szCs w:val="20"/>
          <w:lang w:eastAsia="es-ES"/>
        </w:rPr>
      </w:pPr>
    </w:p>
    <w:p w14:paraId="745DCF47" w14:textId="62E20A14" w:rsidR="00264EC2" w:rsidRPr="00A07BE9" w:rsidRDefault="00D572EA" w:rsidP="00264EC2">
      <w:pPr>
        <w:suppressAutoHyphens/>
        <w:autoSpaceDN w:val="0"/>
        <w:spacing w:after="0" w:line="276" w:lineRule="auto"/>
        <w:jc w:val="both"/>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lastRenderedPageBreak/>
        <w:t>Esta información debe ser puesta en relación con la relevancia que los diferentes procedimientos contractuales tienen entre sí y con el conjunto de la contratación. En la tabla siguiente puede verse esta relación y cómo los procedimientos abiertos por sí solos destacan respecto a la contratación menor, lo que pone de relieve el tránsito de una contratación menor en los momentos iniciales de la Agencia hacia una contratación basada en los procedimientos abiertos y centralizados.</w:t>
      </w:r>
    </w:p>
    <w:p w14:paraId="59226319" w14:textId="77777777" w:rsidR="00264EC2" w:rsidRPr="00A07BE9" w:rsidRDefault="00264EC2" w:rsidP="00D572EA">
      <w:pPr>
        <w:autoSpaceDN w:val="0"/>
        <w:spacing w:after="0" w:line="276" w:lineRule="auto"/>
        <w:rPr>
          <w:rFonts w:ascii="Open Sans" w:eastAsia="Times New Roman" w:hAnsi="Open Sans" w:cs="Open Sans"/>
          <w:b/>
          <w:bCs/>
          <w:color w:val="9D2235"/>
          <w:sz w:val="20"/>
          <w:szCs w:val="20"/>
          <w:lang w:eastAsia="es-ES"/>
        </w:rPr>
      </w:pPr>
    </w:p>
    <w:p w14:paraId="51BC27E8" w14:textId="4BA6CD64" w:rsidR="00D572EA" w:rsidRPr="00A07BE9" w:rsidRDefault="00D572EA" w:rsidP="00D572EA">
      <w:pPr>
        <w:autoSpaceDN w:val="0"/>
        <w:spacing w:after="0" w:line="276" w:lineRule="auto"/>
        <w:rPr>
          <w:rFonts w:ascii="Liberation Serif" w:eastAsia="Droid Sans Fallback" w:hAnsi="Liberation Serif" w:cs="FreeSans"/>
          <w:kern w:val="3"/>
          <w:sz w:val="20"/>
          <w:szCs w:val="20"/>
          <w:lang w:eastAsia="zh-CN" w:bidi="hi-IN"/>
        </w:rPr>
      </w:pPr>
      <w:r w:rsidRPr="00A07BE9">
        <w:rPr>
          <w:rFonts w:ascii="Open Sans" w:eastAsia="Times New Roman" w:hAnsi="Open Sans" w:cs="Open Sans"/>
          <w:b/>
          <w:bCs/>
          <w:color w:val="9D2235"/>
          <w:sz w:val="20"/>
          <w:szCs w:val="20"/>
          <w:lang w:eastAsia="es-ES"/>
        </w:rPr>
        <w:t>Tabla</w:t>
      </w:r>
      <w:r w:rsidR="00571318" w:rsidRPr="00A07BE9">
        <w:rPr>
          <w:rFonts w:ascii="Open Sans" w:eastAsia="Times New Roman" w:hAnsi="Open Sans" w:cs="Open Sans"/>
          <w:b/>
          <w:bCs/>
          <w:color w:val="9D2235"/>
          <w:sz w:val="20"/>
          <w:szCs w:val="20"/>
          <w:lang w:eastAsia="es-ES"/>
        </w:rPr>
        <w:t xml:space="preserve"> 3</w:t>
      </w:r>
      <w:r w:rsidR="00747A7D" w:rsidRPr="00A07BE9">
        <w:rPr>
          <w:rFonts w:ascii="Open Sans" w:eastAsia="Times New Roman" w:hAnsi="Open Sans" w:cs="Open Sans"/>
          <w:b/>
          <w:bCs/>
          <w:color w:val="9D2235"/>
          <w:sz w:val="20"/>
          <w:szCs w:val="20"/>
          <w:lang w:eastAsia="es-ES"/>
        </w:rPr>
        <w:t>7</w:t>
      </w:r>
      <w:r w:rsidRPr="00A07BE9">
        <w:rPr>
          <w:rFonts w:ascii="Open Sans" w:eastAsia="Times New Roman" w:hAnsi="Open Sans" w:cs="Open Sans"/>
          <w:b/>
          <w:bCs/>
          <w:color w:val="993333"/>
          <w:sz w:val="20"/>
          <w:szCs w:val="20"/>
          <w:lang w:eastAsia="es-ES"/>
        </w:rPr>
        <w:t>.</w:t>
      </w:r>
      <w:r w:rsidRPr="00A07BE9">
        <w:rPr>
          <w:rFonts w:ascii="Open Sans" w:eastAsia="Times New Roman" w:hAnsi="Open Sans" w:cs="Open Sans"/>
          <w:b/>
          <w:bCs/>
          <w:color w:val="CE181E"/>
          <w:sz w:val="20"/>
          <w:szCs w:val="20"/>
          <w:lang w:eastAsia="es-ES"/>
        </w:rPr>
        <w:t xml:space="preserve"> </w:t>
      </w:r>
      <w:r w:rsidRPr="00A07BE9">
        <w:rPr>
          <w:rFonts w:ascii="Open Sans" w:eastAsia="Times New Roman" w:hAnsi="Open Sans" w:cs="Open Sans"/>
          <w:b/>
          <w:bCs/>
          <w:sz w:val="20"/>
          <w:szCs w:val="20"/>
          <w:lang w:eastAsia="es-ES"/>
        </w:rPr>
        <w:t>Porcentaje de volumen presupuestario del 1 de enero al 31 de diciembre de 2019</w:t>
      </w:r>
    </w:p>
    <w:tbl>
      <w:tblPr>
        <w:tblW w:w="8624" w:type="dxa"/>
        <w:tblInd w:w="-9" w:type="dxa"/>
        <w:tblLayout w:type="fixed"/>
        <w:tblCellMar>
          <w:left w:w="10" w:type="dxa"/>
          <w:right w:w="10" w:type="dxa"/>
        </w:tblCellMar>
        <w:tblLook w:val="0000" w:firstRow="0" w:lastRow="0" w:firstColumn="0" w:lastColumn="0" w:noHBand="0" w:noVBand="0"/>
      </w:tblPr>
      <w:tblGrid>
        <w:gridCol w:w="1140"/>
        <w:gridCol w:w="1273"/>
        <w:gridCol w:w="1846"/>
        <w:gridCol w:w="1417"/>
        <w:gridCol w:w="1418"/>
        <w:gridCol w:w="1530"/>
      </w:tblGrid>
      <w:tr w:rsidR="00D572EA" w:rsidRPr="00A07BE9" w14:paraId="3BD03681" w14:textId="77777777" w:rsidTr="00054DEE">
        <w:tc>
          <w:tcPr>
            <w:tcW w:w="8624" w:type="dxa"/>
            <w:gridSpan w:val="6"/>
            <w:tcBorders>
              <w:top w:val="single" w:sz="2" w:space="0" w:color="000000"/>
              <w:left w:val="single" w:sz="2" w:space="0" w:color="000000"/>
              <w:bottom w:val="single" w:sz="2" w:space="0" w:color="000000"/>
              <w:right w:val="single" w:sz="2" w:space="0" w:color="000000"/>
            </w:tcBorders>
            <w:shd w:val="clear" w:color="auto" w:fill="9D2235"/>
            <w:tcMar>
              <w:top w:w="28" w:type="dxa"/>
              <w:left w:w="28" w:type="dxa"/>
              <w:bottom w:w="28" w:type="dxa"/>
              <w:right w:w="28" w:type="dxa"/>
            </w:tcMar>
          </w:tcPr>
          <w:p w14:paraId="3A53CC45" w14:textId="77777777" w:rsidR="00D572EA" w:rsidRPr="00A07BE9" w:rsidRDefault="00D572EA" w:rsidP="00D572EA">
            <w:pPr>
              <w:autoSpaceDN w:val="0"/>
              <w:spacing w:after="0" w:line="240" w:lineRule="auto"/>
              <w:jc w:val="both"/>
              <w:rPr>
                <w:rFonts w:ascii="Open Sans" w:eastAsia="Times New Roman" w:hAnsi="Open Sans" w:cs="Open Sans"/>
                <w:b/>
                <w:bCs/>
                <w:color w:val="FFFFFF"/>
                <w:sz w:val="18"/>
                <w:szCs w:val="18"/>
                <w:lang w:eastAsia="es-ES"/>
              </w:rPr>
            </w:pPr>
            <w:r w:rsidRPr="00A07BE9">
              <w:rPr>
                <w:rFonts w:ascii="Open Sans" w:eastAsia="Times New Roman" w:hAnsi="Open Sans" w:cs="Open Sans"/>
                <w:b/>
                <w:bCs/>
                <w:color w:val="FFFFFF"/>
                <w:sz w:val="18"/>
                <w:szCs w:val="18"/>
                <w:lang w:eastAsia="es-ES"/>
              </w:rPr>
              <w:t>PORCENTAJE DE VOLUMEN PRESUPUESTARIO DE CONTRATOS A TRAVÉS DE LOS PROCEDIMIENTOS DE ADJUDICACIÓN</w:t>
            </w:r>
          </w:p>
        </w:tc>
      </w:tr>
      <w:tr w:rsidR="00D572EA" w:rsidRPr="00A07BE9" w14:paraId="54F29CB8" w14:textId="77777777" w:rsidTr="00370995">
        <w:tc>
          <w:tcPr>
            <w:tcW w:w="1140" w:type="dxa"/>
            <w:vMerge w:val="restart"/>
            <w:tcBorders>
              <w:left w:val="single" w:sz="2" w:space="0" w:color="000000"/>
              <w:bottom w:val="single" w:sz="2" w:space="0" w:color="000000"/>
            </w:tcBorders>
            <w:shd w:val="clear" w:color="auto" w:fill="9D2235"/>
            <w:tcMar>
              <w:top w:w="28" w:type="dxa"/>
              <w:left w:w="28" w:type="dxa"/>
              <w:bottom w:w="28" w:type="dxa"/>
              <w:right w:w="28" w:type="dxa"/>
            </w:tcMar>
          </w:tcPr>
          <w:p w14:paraId="3DC7B89F" w14:textId="0AFD399D" w:rsidR="00D572EA" w:rsidRPr="00A07BE9" w:rsidRDefault="00D572EA" w:rsidP="00D572EA">
            <w:pPr>
              <w:autoSpaceDN w:val="0"/>
              <w:spacing w:after="0" w:line="240" w:lineRule="auto"/>
              <w:rPr>
                <w:rFonts w:ascii="Open Sans" w:eastAsia="Times New Roman" w:hAnsi="Open Sans" w:cs="Open Sans"/>
                <w:b/>
                <w:bCs/>
                <w:color w:val="FFFFFF"/>
                <w:sz w:val="18"/>
                <w:szCs w:val="18"/>
                <w:lang w:eastAsia="es-ES"/>
              </w:rPr>
            </w:pPr>
            <w:r w:rsidRPr="00A07BE9">
              <w:rPr>
                <w:rFonts w:ascii="Open Sans" w:eastAsia="Times New Roman" w:hAnsi="Open Sans" w:cs="Open Sans"/>
                <w:b/>
                <w:bCs/>
                <w:color w:val="FFFFFF"/>
                <w:sz w:val="18"/>
                <w:szCs w:val="18"/>
                <w:lang w:eastAsia="es-ES"/>
              </w:rPr>
              <w:t>PROCED</w:t>
            </w:r>
            <w:r w:rsidR="00370995">
              <w:rPr>
                <w:rFonts w:ascii="Open Sans" w:eastAsia="Times New Roman" w:hAnsi="Open Sans" w:cs="Open Sans"/>
                <w:b/>
                <w:bCs/>
                <w:color w:val="FFFFFF"/>
                <w:sz w:val="18"/>
                <w:szCs w:val="18"/>
                <w:lang w:eastAsia="es-ES"/>
              </w:rPr>
              <w:t>.</w:t>
            </w:r>
          </w:p>
        </w:tc>
        <w:tc>
          <w:tcPr>
            <w:tcW w:w="1273" w:type="dxa"/>
            <w:vMerge w:val="restart"/>
            <w:tcBorders>
              <w:left w:val="single" w:sz="2" w:space="0" w:color="000000"/>
              <w:bottom w:val="single" w:sz="2" w:space="0" w:color="000000"/>
            </w:tcBorders>
            <w:shd w:val="clear" w:color="auto" w:fill="9D2235"/>
            <w:tcMar>
              <w:top w:w="28" w:type="dxa"/>
              <w:left w:w="28" w:type="dxa"/>
              <w:bottom w:w="28" w:type="dxa"/>
              <w:right w:w="28" w:type="dxa"/>
            </w:tcMar>
          </w:tcPr>
          <w:p w14:paraId="320289B9" w14:textId="438BC40C" w:rsidR="00D572EA" w:rsidRPr="00A07BE9" w:rsidRDefault="00D572EA" w:rsidP="00D572EA">
            <w:pPr>
              <w:autoSpaceDN w:val="0"/>
              <w:spacing w:after="0" w:line="240" w:lineRule="auto"/>
              <w:rPr>
                <w:rFonts w:ascii="Liberation Serif" w:eastAsia="Droid Sans Fallback" w:hAnsi="Liberation Serif" w:cs="FreeSans"/>
                <w:color w:val="FFFFFF"/>
                <w:kern w:val="3"/>
                <w:sz w:val="24"/>
                <w:szCs w:val="24"/>
                <w:lang w:eastAsia="zh-CN" w:bidi="hi-IN"/>
              </w:rPr>
            </w:pPr>
            <w:r w:rsidRPr="00A07BE9">
              <w:rPr>
                <w:rFonts w:ascii="Open Sans" w:eastAsia="Times New Roman" w:hAnsi="Open Sans" w:cs="Open Sans"/>
                <w:b/>
                <w:bCs/>
                <w:color w:val="FFFFFF"/>
                <w:sz w:val="18"/>
                <w:szCs w:val="18"/>
                <w:lang w:eastAsia="es-ES"/>
              </w:rPr>
              <w:t>NÚM. DE CONTRATO</w:t>
            </w:r>
            <w:r w:rsidR="00370995">
              <w:rPr>
                <w:rFonts w:ascii="Open Sans" w:eastAsia="Times New Roman" w:hAnsi="Open Sans" w:cs="Open Sans"/>
                <w:b/>
                <w:bCs/>
                <w:color w:val="FFFFFF"/>
                <w:sz w:val="18"/>
                <w:szCs w:val="18"/>
                <w:lang w:eastAsia="es-ES"/>
              </w:rPr>
              <w:t xml:space="preserve">S </w:t>
            </w:r>
            <w:r w:rsidRPr="00A07BE9">
              <w:rPr>
                <w:rFonts w:ascii="Open Sans" w:eastAsia="Times New Roman" w:hAnsi="Open Sans" w:cs="Open Sans"/>
                <w:b/>
                <w:bCs/>
                <w:color w:val="FFFFFF"/>
                <w:sz w:val="18"/>
                <w:szCs w:val="18"/>
                <w:lang w:eastAsia="es-ES"/>
              </w:rPr>
              <w:t>(1)</w:t>
            </w:r>
          </w:p>
        </w:tc>
        <w:tc>
          <w:tcPr>
            <w:tcW w:w="1846" w:type="dxa"/>
            <w:vMerge w:val="restart"/>
            <w:tcBorders>
              <w:left w:val="single" w:sz="2" w:space="0" w:color="000000"/>
              <w:bottom w:val="single" w:sz="2" w:space="0" w:color="000000"/>
            </w:tcBorders>
            <w:shd w:val="clear" w:color="auto" w:fill="9D2235"/>
            <w:tcMar>
              <w:top w:w="28" w:type="dxa"/>
              <w:left w:w="28" w:type="dxa"/>
              <w:bottom w:w="28" w:type="dxa"/>
              <w:right w:w="28" w:type="dxa"/>
            </w:tcMar>
          </w:tcPr>
          <w:p w14:paraId="266A4F82" w14:textId="77777777" w:rsidR="00D572EA" w:rsidRPr="00A07BE9" w:rsidRDefault="00D572EA" w:rsidP="00D572EA">
            <w:pPr>
              <w:autoSpaceDN w:val="0"/>
              <w:spacing w:after="0" w:line="240" w:lineRule="auto"/>
              <w:rPr>
                <w:rFonts w:ascii="Open Sans" w:eastAsia="Times New Roman" w:hAnsi="Open Sans" w:cs="Open Sans"/>
                <w:b/>
                <w:bCs/>
                <w:color w:val="FFFFFF"/>
                <w:sz w:val="18"/>
                <w:szCs w:val="18"/>
                <w:lang w:eastAsia="es-ES"/>
              </w:rPr>
            </w:pPr>
            <w:r w:rsidRPr="00A07BE9">
              <w:rPr>
                <w:rFonts w:ascii="Open Sans" w:eastAsia="Times New Roman" w:hAnsi="Open Sans" w:cs="Open Sans"/>
                <w:b/>
                <w:bCs/>
                <w:color w:val="FFFFFF"/>
                <w:sz w:val="18"/>
                <w:szCs w:val="18"/>
                <w:lang w:eastAsia="es-ES"/>
              </w:rPr>
              <w:t>PRESUPUESTO LICITACIÓN sin IVA (2)</w:t>
            </w:r>
          </w:p>
        </w:tc>
        <w:tc>
          <w:tcPr>
            <w:tcW w:w="1417" w:type="dxa"/>
            <w:vMerge w:val="restart"/>
            <w:tcBorders>
              <w:left w:val="single" w:sz="2" w:space="0" w:color="000000"/>
              <w:bottom w:val="single" w:sz="2" w:space="0" w:color="000000"/>
            </w:tcBorders>
            <w:shd w:val="clear" w:color="auto" w:fill="9D2235"/>
            <w:tcMar>
              <w:top w:w="28" w:type="dxa"/>
              <w:left w:w="28" w:type="dxa"/>
              <w:bottom w:w="28" w:type="dxa"/>
              <w:right w:w="28" w:type="dxa"/>
            </w:tcMar>
          </w:tcPr>
          <w:p w14:paraId="5778E4C6" w14:textId="77777777" w:rsidR="00D572EA" w:rsidRPr="00A07BE9" w:rsidRDefault="00D572EA" w:rsidP="00D572EA">
            <w:pPr>
              <w:autoSpaceDN w:val="0"/>
              <w:spacing w:after="0" w:line="240" w:lineRule="auto"/>
              <w:rPr>
                <w:rFonts w:ascii="Open Sans" w:eastAsia="Times New Roman" w:hAnsi="Open Sans" w:cs="Open Sans"/>
                <w:b/>
                <w:bCs/>
                <w:color w:val="FFFFFF"/>
                <w:sz w:val="18"/>
                <w:szCs w:val="18"/>
                <w:lang w:eastAsia="es-ES"/>
              </w:rPr>
            </w:pPr>
            <w:r w:rsidRPr="00A07BE9">
              <w:rPr>
                <w:rFonts w:ascii="Open Sans" w:eastAsia="Times New Roman" w:hAnsi="Open Sans" w:cs="Open Sans"/>
                <w:b/>
                <w:bCs/>
                <w:color w:val="FFFFFF"/>
                <w:sz w:val="18"/>
                <w:szCs w:val="18"/>
                <w:lang w:eastAsia="es-ES"/>
              </w:rPr>
              <w:t>IMPORTE DE ADJUDICACIÓN sin IVA (2)</w:t>
            </w:r>
          </w:p>
        </w:tc>
        <w:tc>
          <w:tcPr>
            <w:tcW w:w="2948" w:type="dxa"/>
            <w:gridSpan w:val="2"/>
            <w:tcBorders>
              <w:left w:val="single" w:sz="2" w:space="0" w:color="000000"/>
              <w:bottom w:val="single" w:sz="2" w:space="0" w:color="000000"/>
              <w:right w:val="single" w:sz="2" w:space="0" w:color="000000"/>
            </w:tcBorders>
            <w:shd w:val="clear" w:color="auto" w:fill="9D2235"/>
            <w:tcMar>
              <w:top w:w="28" w:type="dxa"/>
              <w:left w:w="28" w:type="dxa"/>
              <w:bottom w:w="28" w:type="dxa"/>
              <w:right w:w="28" w:type="dxa"/>
            </w:tcMar>
          </w:tcPr>
          <w:p w14:paraId="53ED62C2" w14:textId="77777777" w:rsidR="00D572EA" w:rsidRPr="00A07BE9" w:rsidRDefault="00D572EA" w:rsidP="00D572EA">
            <w:pPr>
              <w:autoSpaceDN w:val="0"/>
              <w:spacing w:after="0" w:line="240" w:lineRule="auto"/>
              <w:rPr>
                <w:rFonts w:ascii="Open Sans" w:eastAsia="Times New Roman" w:hAnsi="Open Sans" w:cs="Open Sans"/>
                <w:b/>
                <w:bCs/>
                <w:color w:val="FFFFFF"/>
                <w:sz w:val="18"/>
                <w:szCs w:val="18"/>
                <w:lang w:eastAsia="es-ES"/>
              </w:rPr>
            </w:pPr>
            <w:r w:rsidRPr="00A07BE9">
              <w:rPr>
                <w:rFonts w:ascii="Open Sans" w:eastAsia="Times New Roman" w:hAnsi="Open Sans" w:cs="Open Sans"/>
                <w:b/>
                <w:bCs/>
                <w:color w:val="FFFFFF"/>
                <w:sz w:val="18"/>
                <w:szCs w:val="18"/>
                <w:lang w:eastAsia="es-ES"/>
              </w:rPr>
              <w:t>PORCENTAJE SOBRE</w:t>
            </w:r>
          </w:p>
        </w:tc>
      </w:tr>
      <w:tr w:rsidR="00D572EA" w:rsidRPr="00A07BE9" w14:paraId="7617290E" w14:textId="77777777" w:rsidTr="00370995">
        <w:tc>
          <w:tcPr>
            <w:tcW w:w="1140" w:type="dxa"/>
            <w:vMerge/>
            <w:tcBorders>
              <w:left w:val="single" w:sz="2" w:space="0" w:color="000000"/>
              <w:bottom w:val="single" w:sz="2" w:space="0" w:color="000000"/>
            </w:tcBorders>
            <w:shd w:val="clear" w:color="auto" w:fill="9D2235"/>
            <w:tcMar>
              <w:top w:w="28" w:type="dxa"/>
              <w:left w:w="28" w:type="dxa"/>
              <w:bottom w:w="28" w:type="dxa"/>
              <w:right w:w="28" w:type="dxa"/>
            </w:tcMar>
          </w:tcPr>
          <w:p w14:paraId="7A731C6D" w14:textId="77777777" w:rsidR="00D572EA" w:rsidRPr="00A07BE9" w:rsidRDefault="00D572EA" w:rsidP="00D572EA">
            <w:pPr>
              <w:widowControl w:val="0"/>
              <w:suppressAutoHyphens/>
              <w:autoSpaceDN w:val="0"/>
              <w:spacing w:after="0" w:line="240" w:lineRule="auto"/>
              <w:textAlignment w:val="baseline"/>
              <w:rPr>
                <w:rFonts w:ascii="Calibri" w:eastAsia="Calibri" w:hAnsi="Calibri" w:cs="Tahoma"/>
                <w:sz w:val="24"/>
              </w:rPr>
            </w:pPr>
          </w:p>
        </w:tc>
        <w:tc>
          <w:tcPr>
            <w:tcW w:w="1273" w:type="dxa"/>
            <w:vMerge/>
            <w:tcBorders>
              <w:left w:val="single" w:sz="2" w:space="0" w:color="000000"/>
              <w:bottom w:val="single" w:sz="2" w:space="0" w:color="000000"/>
            </w:tcBorders>
            <w:shd w:val="clear" w:color="auto" w:fill="9D2235"/>
            <w:tcMar>
              <w:top w:w="28" w:type="dxa"/>
              <w:left w:w="28" w:type="dxa"/>
              <w:bottom w:w="28" w:type="dxa"/>
              <w:right w:w="28" w:type="dxa"/>
            </w:tcMar>
          </w:tcPr>
          <w:p w14:paraId="2D167CC8" w14:textId="77777777" w:rsidR="00D572EA" w:rsidRPr="00A07BE9" w:rsidRDefault="00D572EA" w:rsidP="00D572EA">
            <w:pPr>
              <w:widowControl w:val="0"/>
              <w:suppressAutoHyphens/>
              <w:autoSpaceDN w:val="0"/>
              <w:spacing w:after="0" w:line="240" w:lineRule="auto"/>
              <w:textAlignment w:val="baseline"/>
              <w:rPr>
                <w:rFonts w:ascii="Calibri" w:eastAsia="Calibri" w:hAnsi="Calibri" w:cs="Tahoma"/>
                <w:sz w:val="24"/>
              </w:rPr>
            </w:pPr>
          </w:p>
        </w:tc>
        <w:tc>
          <w:tcPr>
            <w:tcW w:w="1846" w:type="dxa"/>
            <w:vMerge/>
            <w:tcBorders>
              <w:left w:val="single" w:sz="2" w:space="0" w:color="000000"/>
              <w:bottom w:val="single" w:sz="2" w:space="0" w:color="000000"/>
            </w:tcBorders>
            <w:shd w:val="clear" w:color="auto" w:fill="9D2235"/>
            <w:tcMar>
              <w:top w:w="28" w:type="dxa"/>
              <w:left w:w="28" w:type="dxa"/>
              <w:bottom w:w="28" w:type="dxa"/>
              <w:right w:w="28" w:type="dxa"/>
            </w:tcMar>
          </w:tcPr>
          <w:p w14:paraId="52BDCFCF" w14:textId="77777777" w:rsidR="00D572EA" w:rsidRPr="00A07BE9" w:rsidRDefault="00D572EA" w:rsidP="00D572EA">
            <w:pPr>
              <w:widowControl w:val="0"/>
              <w:suppressAutoHyphens/>
              <w:autoSpaceDN w:val="0"/>
              <w:spacing w:after="0" w:line="240" w:lineRule="auto"/>
              <w:textAlignment w:val="baseline"/>
              <w:rPr>
                <w:rFonts w:ascii="Calibri" w:eastAsia="Calibri" w:hAnsi="Calibri" w:cs="Tahoma"/>
                <w:sz w:val="24"/>
              </w:rPr>
            </w:pPr>
          </w:p>
        </w:tc>
        <w:tc>
          <w:tcPr>
            <w:tcW w:w="1417" w:type="dxa"/>
            <w:vMerge/>
            <w:tcBorders>
              <w:left w:val="single" w:sz="2" w:space="0" w:color="000000"/>
              <w:bottom w:val="single" w:sz="2" w:space="0" w:color="000000"/>
            </w:tcBorders>
            <w:shd w:val="clear" w:color="auto" w:fill="9D2235"/>
            <w:tcMar>
              <w:top w:w="28" w:type="dxa"/>
              <w:left w:w="28" w:type="dxa"/>
              <w:bottom w:w="28" w:type="dxa"/>
              <w:right w:w="28" w:type="dxa"/>
            </w:tcMar>
          </w:tcPr>
          <w:p w14:paraId="56DA1928" w14:textId="77777777" w:rsidR="00D572EA" w:rsidRPr="00A07BE9" w:rsidRDefault="00D572EA" w:rsidP="00D572EA">
            <w:pPr>
              <w:widowControl w:val="0"/>
              <w:suppressAutoHyphens/>
              <w:autoSpaceDN w:val="0"/>
              <w:spacing w:after="0" w:line="240" w:lineRule="auto"/>
              <w:textAlignment w:val="baseline"/>
              <w:rPr>
                <w:rFonts w:ascii="Calibri" w:eastAsia="Calibri" w:hAnsi="Calibri" w:cs="Tahoma"/>
                <w:sz w:val="24"/>
              </w:rPr>
            </w:pPr>
          </w:p>
        </w:tc>
        <w:tc>
          <w:tcPr>
            <w:tcW w:w="1418" w:type="dxa"/>
            <w:tcBorders>
              <w:left w:val="single" w:sz="2" w:space="0" w:color="000000"/>
              <w:bottom w:val="single" w:sz="2" w:space="0" w:color="000000"/>
            </w:tcBorders>
            <w:shd w:val="clear" w:color="auto" w:fill="9D2235"/>
            <w:tcMar>
              <w:top w:w="28" w:type="dxa"/>
              <w:left w:w="28" w:type="dxa"/>
              <w:bottom w:w="28" w:type="dxa"/>
              <w:right w:w="28" w:type="dxa"/>
            </w:tcMar>
          </w:tcPr>
          <w:p w14:paraId="0803EF06" w14:textId="77777777" w:rsidR="00D572EA" w:rsidRPr="00A07BE9" w:rsidRDefault="00D572EA" w:rsidP="00D572EA">
            <w:pPr>
              <w:autoSpaceDN w:val="0"/>
              <w:spacing w:after="0" w:line="240" w:lineRule="auto"/>
              <w:rPr>
                <w:rFonts w:ascii="Open Sans" w:eastAsia="Times New Roman" w:hAnsi="Open Sans" w:cs="Open Sans"/>
                <w:b/>
                <w:bCs/>
                <w:color w:val="FFFFFF"/>
                <w:sz w:val="18"/>
                <w:szCs w:val="18"/>
                <w:lang w:eastAsia="es-ES"/>
              </w:rPr>
            </w:pPr>
            <w:r w:rsidRPr="00A07BE9">
              <w:rPr>
                <w:rFonts w:ascii="Open Sans" w:eastAsia="Times New Roman" w:hAnsi="Open Sans" w:cs="Open Sans"/>
                <w:b/>
                <w:bCs/>
                <w:color w:val="FFFFFF"/>
                <w:sz w:val="18"/>
                <w:szCs w:val="18"/>
                <w:lang w:eastAsia="es-ES"/>
              </w:rPr>
              <w:t>PRESUPUESTO DE LICITACIÓN</w:t>
            </w:r>
          </w:p>
        </w:tc>
        <w:tc>
          <w:tcPr>
            <w:tcW w:w="1530" w:type="dxa"/>
            <w:tcBorders>
              <w:left w:val="single" w:sz="2" w:space="0" w:color="000000"/>
              <w:bottom w:val="single" w:sz="2" w:space="0" w:color="000000"/>
              <w:right w:val="single" w:sz="2" w:space="0" w:color="000000"/>
            </w:tcBorders>
            <w:shd w:val="clear" w:color="auto" w:fill="9D2235"/>
            <w:tcMar>
              <w:top w:w="28" w:type="dxa"/>
              <w:left w:w="28" w:type="dxa"/>
              <w:bottom w:w="28" w:type="dxa"/>
              <w:right w:w="28" w:type="dxa"/>
            </w:tcMar>
          </w:tcPr>
          <w:p w14:paraId="19F56457" w14:textId="77777777" w:rsidR="00D572EA" w:rsidRPr="00A07BE9" w:rsidRDefault="00D572EA" w:rsidP="00D572EA">
            <w:pPr>
              <w:autoSpaceDN w:val="0"/>
              <w:spacing w:after="0" w:line="240" w:lineRule="auto"/>
              <w:rPr>
                <w:rFonts w:ascii="Open Sans" w:eastAsia="Times New Roman" w:hAnsi="Open Sans" w:cs="Open Sans"/>
                <w:b/>
                <w:bCs/>
                <w:color w:val="FFFFFF"/>
                <w:sz w:val="18"/>
                <w:szCs w:val="18"/>
                <w:lang w:eastAsia="es-ES"/>
              </w:rPr>
            </w:pPr>
            <w:r w:rsidRPr="00A07BE9">
              <w:rPr>
                <w:rFonts w:ascii="Open Sans" w:eastAsia="Times New Roman" w:hAnsi="Open Sans" w:cs="Open Sans"/>
                <w:b/>
                <w:bCs/>
                <w:color w:val="FFFFFF"/>
                <w:sz w:val="18"/>
                <w:szCs w:val="18"/>
                <w:lang w:eastAsia="es-ES"/>
              </w:rPr>
              <w:t>IMPORTE DE ADJUDICACIÓN</w:t>
            </w:r>
          </w:p>
        </w:tc>
      </w:tr>
      <w:tr w:rsidR="00D572EA" w:rsidRPr="00A07BE9" w14:paraId="7A9F93B3" w14:textId="77777777" w:rsidTr="00370995">
        <w:tc>
          <w:tcPr>
            <w:tcW w:w="1140" w:type="dxa"/>
            <w:tcBorders>
              <w:top w:val="single" w:sz="2" w:space="0" w:color="000000"/>
              <w:left w:val="single" w:sz="2" w:space="0" w:color="000000"/>
              <w:bottom w:val="single" w:sz="2" w:space="0" w:color="000000"/>
            </w:tcBorders>
            <w:shd w:val="clear" w:color="auto" w:fill="auto"/>
            <w:tcMar>
              <w:top w:w="28" w:type="dxa"/>
              <w:left w:w="28" w:type="dxa"/>
              <w:bottom w:w="28" w:type="dxa"/>
              <w:right w:w="28" w:type="dxa"/>
            </w:tcMar>
          </w:tcPr>
          <w:p w14:paraId="718EFAEA" w14:textId="77777777" w:rsidR="00D572EA" w:rsidRPr="00A07BE9" w:rsidRDefault="00D572EA" w:rsidP="00D572EA">
            <w:pPr>
              <w:autoSpaceDN w:val="0"/>
              <w:spacing w:after="0" w:line="240" w:lineRule="auto"/>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MENOR</w:t>
            </w:r>
          </w:p>
        </w:tc>
        <w:tc>
          <w:tcPr>
            <w:tcW w:w="1273" w:type="dxa"/>
            <w:tcBorders>
              <w:top w:val="single" w:sz="2" w:space="0" w:color="000000"/>
              <w:left w:val="single" w:sz="2" w:space="0" w:color="000000"/>
              <w:bottom w:val="single" w:sz="2" w:space="0" w:color="000000"/>
            </w:tcBorders>
            <w:shd w:val="clear" w:color="auto" w:fill="auto"/>
            <w:tcMar>
              <w:top w:w="28" w:type="dxa"/>
              <w:left w:w="28" w:type="dxa"/>
              <w:bottom w:w="28" w:type="dxa"/>
              <w:right w:w="28" w:type="dxa"/>
            </w:tcMar>
          </w:tcPr>
          <w:p w14:paraId="153CD487" w14:textId="77777777" w:rsidR="00D572EA" w:rsidRPr="00A07BE9" w:rsidRDefault="00D572EA" w:rsidP="00D572EA">
            <w:pPr>
              <w:autoSpaceDN w:val="0"/>
              <w:spacing w:after="0" w:line="240" w:lineRule="auto"/>
              <w:jc w:val="right"/>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98</w:t>
            </w:r>
          </w:p>
        </w:tc>
        <w:tc>
          <w:tcPr>
            <w:tcW w:w="1846" w:type="dxa"/>
            <w:tcBorders>
              <w:top w:val="single" w:sz="2" w:space="0" w:color="000000"/>
              <w:left w:val="single" w:sz="2" w:space="0" w:color="000000"/>
              <w:bottom w:val="single" w:sz="2" w:space="0" w:color="000000"/>
            </w:tcBorders>
            <w:shd w:val="clear" w:color="auto" w:fill="auto"/>
            <w:tcMar>
              <w:top w:w="28" w:type="dxa"/>
              <w:left w:w="28" w:type="dxa"/>
              <w:bottom w:w="28" w:type="dxa"/>
              <w:right w:w="28" w:type="dxa"/>
            </w:tcMar>
          </w:tcPr>
          <w:p w14:paraId="59B1F9B6" w14:textId="77777777" w:rsidR="00D572EA" w:rsidRPr="00A07BE9" w:rsidRDefault="00D572EA" w:rsidP="00D572EA">
            <w:pPr>
              <w:autoSpaceDN w:val="0"/>
              <w:spacing w:after="0" w:line="240" w:lineRule="auto"/>
              <w:jc w:val="right"/>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153.289,88</w:t>
            </w:r>
          </w:p>
        </w:tc>
        <w:tc>
          <w:tcPr>
            <w:tcW w:w="1417" w:type="dxa"/>
            <w:tcBorders>
              <w:top w:val="single" w:sz="2" w:space="0" w:color="000000"/>
              <w:left w:val="single" w:sz="2" w:space="0" w:color="000000"/>
              <w:bottom w:val="single" w:sz="2" w:space="0" w:color="000000"/>
            </w:tcBorders>
            <w:shd w:val="clear" w:color="auto" w:fill="auto"/>
            <w:tcMar>
              <w:top w:w="28" w:type="dxa"/>
              <w:left w:w="28" w:type="dxa"/>
              <w:bottom w:w="28" w:type="dxa"/>
              <w:right w:w="28" w:type="dxa"/>
            </w:tcMar>
          </w:tcPr>
          <w:p w14:paraId="1BC59D93" w14:textId="77777777" w:rsidR="00D572EA" w:rsidRPr="00A07BE9" w:rsidRDefault="00D572EA" w:rsidP="00D572EA">
            <w:pPr>
              <w:autoSpaceDN w:val="0"/>
              <w:spacing w:after="0" w:line="240" w:lineRule="auto"/>
              <w:jc w:val="right"/>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131.016,36</w:t>
            </w:r>
          </w:p>
        </w:tc>
        <w:tc>
          <w:tcPr>
            <w:tcW w:w="1418" w:type="dxa"/>
            <w:tcBorders>
              <w:top w:val="single" w:sz="2" w:space="0" w:color="000000"/>
              <w:left w:val="single" w:sz="2" w:space="0" w:color="000000"/>
              <w:bottom w:val="single" w:sz="2" w:space="0" w:color="000000"/>
            </w:tcBorders>
            <w:shd w:val="clear" w:color="auto" w:fill="auto"/>
            <w:tcMar>
              <w:top w:w="28" w:type="dxa"/>
              <w:left w:w="28" w:type="dxa"/>
              <w:bottom w:w="28" w:type="dxa"/>
              <w:right w:w="28" w:type="dxa"/>
            </w:tcMar>
          </w:tcPr>
          <w:p w14:paraId="073ADDCF" w14:textId="73AFB1AC" w:rsidR="00D572EA" w:rsidRPr="00A07BE9" w:rsidRDefault="00D572EA" w:rsidP="00D572EA">
            <w:pPr>
              <w:autoSpaceDN w:val="0"/>
              <w:spacing w:after="0" w:line="240" w:lineRule="auto"/>
              <w:ind w:right="57"/>
              <w:jc w:val="right"/>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32,75%</w:t>
            </w:r>
          </w:p>
        </w:tc>
        <w:tc>
          <w:tcPr>
            <w:tcW w:w="1530" w:type="dxa"/>
            <w:tcBorders>
              <w:top w:val="single" w:sz="2" w:space="0" w:color="000000"/>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785BF3A9" w14:textId="36400813" w:rsidR="00D572EA" w:rsidRPr="00A07BE9" w:rsidRDefault="00D572EA" w:rsidP="00D572EA">
            <w:pPr>
              <w:autoSpaceDN w:val="0"/>
              <w:spacing w:after="0" w:line="240" w:lineRule="auto"/>
              <w:ind w:right="170"/>
              <w:jc w:val="right"/>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35,46%</w:t>
            </w:r>
          </w:p>
        </w:tc>
      </w:tr>
      <w:tr w:rsidR="00D572EA" w:rsidRPr="00A07BE9" w14:paraId="4115F118" w14:textId="77777777" w:rsidTr="00370995">
        <w:tc>
          <w:tcPr>
            <w:tcW w:w="1140"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56F23D3A" w14:textId="77777777" w:rsidR="00D572EA" w:rsidRPr="00A07BE9" w:rsidRDefault="00D572EA" w:rsidP="00D572EA">
            <w:pPr>
              <w:autoSpaceDN w:val="0"/>
              <w:spacing w:after="0" w:line="240" w:lineRule="auto"/>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ABIERTO</w:t>
            </w:r>
          </w:p>
        </w:tc>
        <w:tc>
          <w:tcPr>
            <w:tcW w:w="1273"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2623B602" w14:textId="77777777" w:rsidR="00D572EA" w:rsidRPr="00A07BE9" w:rsidRDefault="00D572EA" w:rsidP="00D572EA">
            <w:pPr>
              <w:autoSpaceDN w:val="0"/>
              <w:spacing w:after="0" w:line="240" w:lineRule="auto"/>
              <w:jc w:val="right"/>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4</w:t>
            </w:r>
          </w:p>
        </w:tc>
        <w:tc>
          <w:tcPr>
            <w:tcW w:w="1846"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430A3FB2" w14:textId="77777777" w:rsidR="00D572EA" w:rsidRPr="00A07BE9" w:rsidRDefault="00D572EA" w:rsidP="00D572EA">
            <w:pPr>
              <w:autoSpaceDN w:val="0"/>
              <w:spacing w:after="0" w:line="240" w:lineRule="auto"/>
              <w:jc w:val="right"/>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281.752,32</w:t>
            </w:r>
          </w:p>
        </w:tc>
        <w:tc>
          <w:tcPr>
            <w:tcW w:w="141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B3A68C0" w14:textId="77777777" w:rsidR="00D572EA" w:rsidRPr="00A07BE9" w:rsidRDefault="00D572EA" w:rsidP="00D572EA">
            <w:pPr>
              <w:autoSpaceDN w:val="0"/>
              <w:spacing w:after="0" w:line="240" w:lineRule="auto"/>
              <w:jc w:val="right"/>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208.823,52</w:t>
            </w:r>
          </w:p>
        </w:tc>
        <w:tc>
          <w:tcPr>
            <w:tcW w:w="141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AD18CD5" w14:textId="2BB902DD" w:rsidR="00D572EA" w:rsidRPr="00A07BE9" w:rsidRDefault="00D572EA" w:rsidP="00D572EA">
            <w:pPr>
              <w:autoSpaceDN w:val="0"/>
              <w:spacing w:after="0" w:line="240" w:lineRule="auto"/>
              <w:ind w:right="57"/>
              <w:jc w:val="right"/>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60,20%</w:t>
            </w:r>
          </w:p>
        </w:tc>
        <w:tc>
          <w:tcPr>
            <w:tcW w:w="1530"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24147D41" w14:textId="51828CA7" w:rsidR="00D572EA" w:rsidRPr="00A07BE9" w:rsidRDefault="00D572EA" w:rsidP="00D572EA">
            <w:pPr>
              <w:autoSpaceDN w:val="0"/>
              <w:spacing w:after="0" w:line="240" w:lineRule="auto"/>
              <w:ind w:right="170"/>
              <w:jc w:val="right"/>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56,52%</w:t>
            </w:r>
          </w:p>
        </w:tc>
      </w:tr>
      <w:tr w:rsidR="00D572EA" w:rsidRPr="00A07BE9" w14:paraId="102201B3" w14:textId="77777777" w:rsidTr="00370995">
        <w:tc>
          <w:tcPr>
            <w:tcW w:w="1140"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01CEEE54" w14:textId="77777777" w:rsidR="00D572EA" w:rsidRPr="00A07BE9" w:rsidRDefault="00D572EA" w:rsidP="00D572EA">
            <w:pPr>
              <w:autoSpaceDN w:val="0"/>
              <w:spacing w:after="0" w:line="240" w:lineRule="auto"/>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BASADO EN ACUERDO MARCO</w:t>
            </w:r>
          </w:p>
        </w:tc>
        <w:tc>
          <w:tcPr>
            <w:tcW w:w="1273"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A99C05D" w14:textId="77777777" w:rsidR="00D572EA" w:rsidRPr="00A07BE9" w:rsidRDefault="00D572EA" w:rsidP="00D572EA">
            <w:pPr>
              <w:autoSpaceDN w:val="0"/>
              <w:spacing w:after="0" w:line="240" w:lineRule="auto"/>
              <w:jc w:val="right"/>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9</w:t>
            </w:r>
          </w:p>
        </w:tc>
        <w:tc>
          <w:tcPr>
            <w:tcW w:w="1846"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775A44C" w14:textId="77777777" w:rsidR="00D572EA" w:rsidRPr="00A07BE9" w:rsidRDefault="00D572EA" w:rsidP="00D572EA">
            <w:pPr>
              <w:autoSpaceDN w:val="0"/>
              <w:spacing w:after="0" w:line="240" w:lineRule="auto"/>
              <w:jc w:val="right"/>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32.953,57</w:t>
            </w:r>
          </w:p>
        </w:tc>
        <w:tc>
          <w:tcPr>
            <w:tcW w:w="141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772CF9C2" w14:textId="77777777" w:rsidR="00D572EA" w:rsidRPr="00A07BE9" w:rsidRDefault="00D572EA" w:rsidP="00D572EA">
            <w:pPr>
              <w:autoSpaceDN w:val="0"/>
              <w:spacing w:after="0" w:line="240" w:lineRule="auto"/>
              <w:jc w:val="right"/>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29.635,30</w:t>
            </w:r>
          </w:p>
        </w:tc>
        <w:tc>
          <w:tcPr>
            <w:tcW w:w="1418"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14:paraId="137674F3" w14:textId="3A5360E5" w:rsidR="00D572EA" w:rsidRPr="00A07BE9" w:rsidRDefault="00D572EA" w:rsidP="00D572EA">
            <w:pPr>
              <w:autoSpaceDN w:val="0"/>
              <w:spacing w:after="0" w:line="240" w:lineRule="auto"/>
              <w:ind w:right="57"/>
              <w:jc w:val="right"/>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7,04%</w:t>
            </w:r>
          </w:p>
        </w:tc>
        <w:tc>
          <w:tcPr>
            <w:tcW w:w="1530"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14:paraId="4271504A" w14:textId="185AD503" w:rsidR="00D572EA" w:rsidRPr="00A07BE9" w:rsidRDefault="00D572EA" w:rsidP="00D572EA">
            <w:pPr>
              <w:autoSpaceDN w:val="0"/>
              <w:spacing w:after="0" w:line="240" w:lineRule="auto"/>
              <w:ind w:right="170"/>
              <w:jc w:val="right"/>
              <w:rPr>
                <w:rFonts w:ascii="Open Sans" w:eastAsia="Times New Roman" w:hAnsi="Open Sans" w:cs="Open Sans"/>
                <w:sz w:val="18"/>
                <w:szCs w:val="18"/>
                <w:lang w:eastAsia="es-ES"/>
              </w:rPr>
            </w:pPr>
            <w:r w:rsidRPr="00A07BE9">
              <w:rPr>
                <w:rFonts w:ascii="Open Sans" w:eastAsia="Times New Roman" w:hAnsi="Open Sans" w:cs="Open Sans"/>
                <w:sz w:val="18"/>
                <w:szCs w:val="18"/>
                <w:lang w:eastAsia="es-ES"/>
              </w:rPr>
              <w:t>8,02%</w:t>
            </w:r>
          </w:p>
        </w:tc>
      </w:tr>
      <w:tr w:rsidR="00D572EA" w:rsidRPr="00A07BE9" w14:paraId="783F1B94" w14:textId="77777777" w:rsidTr="00370995">
        <w:tc>
          <w:tcPr>
            <w:tcW w:w="1140" w:type="dxa"/>
            <w:tcBorders>
              <w:left w:val="single" w:sz="2" w:space="0" w:color="000000"/>
              <w:bottom w:val="single" w:sz="2" w:space="0" w:color="000000"/>
            </w:tcBorders>
            <w:shd w:val="clear" w:color="auto" w:fill="auto"/>
            <w:tcMar>
              <w:top w:w="28" w:type="dxa"/>
              <w:left w:w="28" w:type="dxa"/>
              <w:bottom w:w="28" w:type="dxa"/>
              <w:right w:w="28" w:type="dxa"/>
            </w:tcMar>
          </w:tcPr>
          <w:p w14:paraId="03A7E934" w14:textId="77777777" w:rsidR="00D572EA" w:rsidRPr="00A07BE9" w:rsidRDefault="00D572EA" w:rsidP="00D572EA">
            <w:pPr>
              <w:autoSpaceDN w:val="0"/>
              <w:spacing w:after="0" w:line="240" w:lineRule="auto"/>
              <w:rPr>
                <w:rFonts w:ascii="Open Sans" w:eastAsia="Times New Roman" w:hAnsi="Open Sans" w:cs="Open Sans"/>
                <w:b/>
                <w:bCs/>
                <w:sz w:val="18"/>
                <w:szCs w:val="18"/>
                <w:lang w:eastAsia="es-ES"/>
              </w:rPr>
            </w:pPr>
            <w:r w:rsidRPr="00A07BE9">
              <w:rPr>
                <w:rFonts w:ascii="Open Sans" w:eastAsia="Times New Roman" w:hAnsi="Open Sans" w:cs="Open Sans"/>
                <w:b/>
                <w:bCs/>
                <w:sz w:val="18"/>
                <w:szCs w:val="18"/>
                <w:lang w:eastAsia="es-ES"/>
              </w:rPr>
              <w:t>TOTAL</w:t>
            </w:r>
          </w:p>
        </w:tc>
        <w:tc>
          <w:tcPr>
            <w:tcW w:w="1273" w:type="dxa"/>
            <w:tcBorders>
              <w:left w:val="single" w:sz="2" w:space="0" w:color="000000"/>
              <w:bottom w:val="single" w:sz="2" w:space="0" w:color="000000"/>
            </w:tcBorders>
            <w:shd w:val="clear" w:color="auto" w:fill="auto"/>
            <w:tcMar>
              <w:top w:w="28" w:type="dxa"/>
              <w:left w:w="28" w:type="dxa"/>
              <w:bottom w:w="28" w:type="dxa"/>
              <w:right w:w="28" w:type="dxa"/>
            </w:tcMar>
          </w:tcPr>
          <w:p w14:paraId="5BAA13B4" w14:textId="77777777" w:rsidR="00D572EA" w:rsidRPr="00A07BE9" w:rsidRDefault="00D572EA" w:rsidP="00D572EA">
            <w:pPr>
              <w:autoSpaceDN w:val="0"/>
              <w:spacing w:after="0" w:line="240" w:lineRule="auto"/>
              <w:jc w:val="right"/>
              <w:rPr>
                <w:rFonts w:ascii="Open Sans" w:eastAsia="Times New Roman" w:hAnsi="Open Sans" w:cs="Open Sans"/>
                <w:b/>
                <w:bCs/>
                <w:sz w:val="18"/>
                <w:szCs w:val="18"/>
                <w:lang w:eastAsia="es-ES"/>
              </w:rPr>
            </w:pPr>
            <w:r w:rsidRPr="00A07BE9">
              <w:rPr>
                <w:rFonts w:ascii="Open Sans" w:eastAsia="Times New Roman" w:hAnsi="Open Sans" w:cs="Open Sans"/>
                <w:b/>
                <w:bCs/>
                <w:sz w:val="18"/>
                <w:szCs w:val="18"/>
                <w:lang w:eastAsia="es-ES"/>
              </w:rPr>
              <w:t>111</w:t>
            </w:r>
          </w:p>
        </w:tc>
        <w:tc>
          <w:tcPr>
            <w:tcW w:w="1846" w:type="dxa"/>
            <w:tcBorders>
              <w:left w:val="single" w:sz="2" w:space="0" w:color="000000"/>
              <w:bottom w:val="single" w:sz="2" w:space="0" w:color="000000"/>
            </w:tcBorders>
            <w:shd w:val="clear" w:color="auto" w:fill="auto"/>
            <w:tcMar>
              <w:top w:w="28" w:type="dxa"/>
              <w:left w:w="28" w:type="dxa"/>
              <w:bottom w:w="28" w:type="dxa"/>
              <w:right w:w="28" w:type="dxa"/>
            </w:tcMar>
          </w:tcPr>
          <w:p w14:paraId="26C2D9DA" w14:textId="77777777" w:rsidR="00D572EA" w:rsidRPr="00A07BE9" w:rsidRDefault="00D572EA" w:rsidP="00D572EA">
            <w:pPr>
              <w:autoSpaceDN w:val="0"/>
              <w:spacing w:after="0" w:line="240" w:lineRule="auto"/>
              <w:jc w:val="right"/>
              <w:rPr>
                <w:rFonts w:ascii="Open Sans" w:eastAsia="Times New Roman" w:hAnsi="Open Sans" w:cs="Open Sans"/>
                <w:b/>
                <w:bCs/>
                <w:sz w:val="18"/>
                <w:szCs w:val="18"/>
                <w:lang w:eastAsia="es-ES"/>
              </w:rPr>
            </w:pPr>
            <w:r w:rsidRPr="00A07BE9">
              <w:rPr>
                <w:rFonts w:ascii="Open Sans" w:eastAsia="Times New Roman" w:hAnsi="Open Sans" w:cs="Open Sans"/>
                <w:b/>
                <w:bCs/>
                <w:sz w:val="18"/>
                <w:szCs w:val="18"/>
                <w:lang w:eastAsia="es-ES"/>
              </w:rPr>
              <w:t>467.995,77</w:t>
            </w:r>
          </w:p>
        </w:tc>
        <w:tc>
          <w:tcPr>
            <w:tcW w:w="1417" w:type="dxa"/>
            <w:tcBorders>
              <w:left w:val="single" w:sz="2" w:space="0" w:color="000000"/>
              <w:bottom w:val="single" w:sz="2" w:space="0" w:color="000000"/>
            </w:tcBorders>
            <w:shd w:val="clear" w:color="auto" w:fill="auto"/>
            <w:tcMar>
              <w:top w:w="28" w:type="dxa"/>
              <w:left w:w="28" w:type="dxa"/>
              <w:bottom w:w="28" w:type="dxa"/>
              <w:right w:w="28" w:type="dxa"/>
            </w:tcMar>
          </w:tcPr>
          <w:p w14:paraId="1C2C4488" w14:textId="77777777" w:rsidR="00D572EA" w:rsidRPr="00A07BE9" w:rsidRDefault="00D572EA" w:rsidP="00D572EA">
            <w:pPr>
              <w:autoSpaceDN w:val="0"/>
              <w:spacing w:after="0" w:line="240" w:lineRule="auto"/>
              <w:jc w:val="right"/>
              <w:rPr>
                <w:rFonts w:ascii="Open Sans" w:eastAsia="Times New Roman" w:hAnsi="Open Sans" w:cs="Open Sans"/>
                <w:b/>
                <w:bCs/>
                <w:sz w:val="18"/>
                <w:szCs w:val="18"/>
                <w:lang w:eastAsia="es-ES"/>
              </w:rPr>
            </w:pPr>
            <w:r w:rsidRPr="00A07BE9">
              <w:rPr>
                <w:rFonts w:ascii="Open Sans" w:eastAsia="Times New Roman" w:hAnsi="Open Sans" w:cs="Open Sans"/>
                <w:b/>
                <w:bCs/>
                <w:sz w:val="18"/>
                <w:szCs w:val="18"/>
                <w:lang w:eastAsia="es-ES"/>
              </w:rPr>
              <w:t>369.475,18</w:t>
            </w:r>
          </w:p>
        </w:tc>
        <w:tc>
          <w:tcPr>
            <w:tcW w:w="1418" w:type="dxa"/>
            <w:tcBorders>
              <w:left w:val="single" w:sz="2" w:space="0" w:color="000000"/>
              <w:bottom w:val="single" w:sz="2" w:space="0" w:color="000000"/>
            </w:tcBorders>
            <w:shd w:val="clear" w:color="auto" w:fill="auto"/>
            <w:tcMar>
              <w:top w:w="28" w:type="dxa"/>
              <w:left w:w="28" w:type="dxa"/>
              <w:bottom w:w="28" w:type="dxa"/>
              <w:right w:w="28" w:type="dxa"/>
            </w:tcMar>
          </w:tcPr>
          <w:p w14:paraId="694DE20E" w14:textId="0E645667" w:rsidR="00D572EA" w:rsidRPr="00A07BE9" w:rsidRDefault="00D572EA" w:rsidP="00D572EA">
            <w:pPr>
              <w:autoSpaceDN w:val="0"/>
              <w:spacing w:after="0" w:line="240" w:lineRule="auto"/>
              <w:ind w:right="57"/>
              <w:jc w:val="right"/>
              <w:rPr>
                <w:rFonts w:ascii="Open Sans" w:eastAsia="Times New Roman" w:hAnsi="Open Sans" w:cs="Open Sans"/>
                <w:b/>
                <w:bCs/>
                <w:sz w:val="18"/>
                <w:szCs w:val="18"/>
                <w:lang w:eastAsia="es-ES"/>
              </w:rPr>
            </w:pPr>
            <w:r w:rsidRPr="00A07BE9">
              <w:rPr>
                <w:rFonts w:ascii="Open Sans" w:eastAsia="Times New Roman" w:hAnsi="Open Sans" w:cs="Open Sans"/>
                <w:b/>
                <w:bCs/>
                <w:sz w:val="18"/>
                <w:szCs w:val="18"/>
                <w:lang w:eastAsia="es-ES"/>
              </w:rPr>
              <w:t>100,00%</w:t>
            </w:r>
          </w:p>
        </w:tc>
        <w:tc>
          <w:tcPr>
            <w:tcW w:w="1530"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tcPr>
          <w:p w14:paraId="6BE62C51" w14:textId="6FAA8E9B" w:rsidR="00D572EA" w:rsidRPr="00A07BE9" w:rsidRDefault="00D572EA" w:rsidP="00D572EA">
            <w:pPr>
              <w:autoSpaceDN w:val="0"/>
              <w:spacing w:after="0" w:line="240" w:lineRule="auto"/>
              <w:ind w:right="113"/>
              <w:jc w:val="right"/>
              <w:rPr>
                <w:rFonts w:ascii="Open Sans" w:eastAsia="Times New Roman" w:hAnsi="Open Sans" w:cs="Open Sans"/>
                <w:b/>
                <w:bCs/>
                <w:sz w:val="18"/>
                <w:szCs w:val="18"/>
                <w:lang w:eastAsia="es-ES"/>
              </w:rPr>
            </w:pPr>
            <w:r w:rsidRPr="00A07BE9">
              <w:rPr>
                <w:rFonts w:ascii="Open Sans" w:eastAsia="Times New Roman" w:hAnsi="Open Sans" w:cs="Open Sans"/>
                <w:b/>
                <w:bCs/>
                <w:sz w:val="18"/>
                <w:szCs w:val="18"/>
                <w:lang w:eastAsia="es-ES"/>
              </w:rPr>
              <w:t>100,00%</w:t>
            </w:r>
          </w:p>
        </w:tc>
      </w:tr>
      <w:tr w:rsidR="00D572EA" w:rsidRPr="00A07BE9" w14:paraId="5A02008E" w14:textId="77777777" w:rsidTr="00054DEE">
        <w:tc>
          <w:tcPr>
            <w:tcW w:w="8624" w:type="dxa"/>
            <w:gridSpan w:val="6"/>
            <w:shd w:val="clear" w:color="auto" w:fill="auto"/>
            <w:vAlign w:val="center"/>
          </w:tcPr>
          <w:p w14:paraId="76BE101B" w14:textId="77777777" w:rsidR="00264EC2" w:rsidRPr="00A07BE9" w:rsidRDefault="00264EC2" w:rsidP="00264EC2">
            <w:pPr>
              <w:autoSpaceDN w:val="0"/>
              <w:spacing w:after="0" w:line="276" w:lineRule="auto"/>
              <w:jc w:val="both"/>
              <w:rPr>
                <w:rFonts w:ascii="Open Sans" w:eastAsia="Times New Roman" w:hAnsi="Open Sans" w:cs="Open Sans"/>
                <w:sz w:val="16"/>
                <w:szCs w:val="16"/>
                <w:lang w:eastAsia="es-ES"/>
              </w:rPr>
            </w:pPr>
          </w:p>
          <w:p w14:paraId="07D4B5F9" w14:textId="77777777" w:rsidR="00264EC2" w:rsidRPr="00A07BE9" w:rsidRDefault="00264EC2" w:rsidP="00264EC2">
            <w:pPr>
              <w:autoSpaceDN w:val="0"/>
              <w:spacing w:after="0" w:line="276" w:lineRule="auto"/>
              <w:jc w:val="both"/>
              <w:rPr>
                <w:rFonts w:ascii="Open Sans" w:eastAsia="Times New Roman" w:hAnsi="Open Sans" w:cs="Open Sans"/>
                <w:sz w:val="16"/>
                <w:szCs w:val="16"/>
                <w:lang w:eastAsia="es-ES"/>
              </w:rPr>
            </w:pPr>
            <w:bookmarkStart w:id="43" w:name="_Hlk36054576"/>
            <w:r w:rsidRPr="00A07BE9">
              <w:rPr>
                <w:rFonts w:ascii="Open Sans" w:eastAsia="Times New Roman" w:hAnsi="Open Sans" w:cs="Open Sans"/>
                <w:sz w:val="16"/>
                <w:szCs w:val="16"/>
                <w:lang w:eastAsia="es-ES"/>
              </w:rPr>
              <w:t>(1) A efectos comparativos, el cómputo de contratos se refiere a los contratos adjudicados o a las modificaciones efectuadas en el período indicado</w:t>
            </w:r>
          </w:p>
          <w:p w14:paraId="5505C922" w14:textId="0655C157" w:rsidR="00264EC2" w:rsidRPr="00A07BE9" w:rsidRDefault="00264EC2" w:rsidP="00264EC2">
            <w:pPr>
              <w:autoSpaceDN w:val="0"/>
              <w:spacing w:after="0" w:line="276" w:lineRule="auto"/>
              <w:jc w:val="both"/>
              <w:rPr>
                <w:rFonts w:ascii="Open Sans" w:eastAsia="Times New Roman" w:hAnsi="Open Sans" w:cs="Open Sans"/>
                <w:sz w:val="16"/>
                <w:szCs w:val="16"/>
                <w:lang w:eastAsia="es-ES"/>
              </w:rPr>
            </w:pPr>
            <w:r w:rsidRPr="00A07BE9">
              <w:rPr>
                <w:rFonts w:ascii="Open Sans" w:eastAsia="Times New Roman" w:hAnsi="Open Sans" w:cs="Open Sans"/>
                <w:sz w:val="16"/>
                <w:szCs w:val="16"/>
                <w:lang w:eastAsia="es-ES"/>
              </w:rPr>
              <w:t>(2) A efectos comparativos, solo se tiene en consideración el importe de los contratos adjudicados en el periodo indicado. En los supuestos de modificaciones contractuales, se han considerado únicamente los importes de las modificaciones efectuadas en el período indicado.</w:t>
            </w:r>
            <w:bookmarkEnd w:id="43"/>
          </w:p>
        </w:tc>
      </w:tr>
      <w:tr w:rsidR="00D572EA" w:rsidRPr="00A07BE9" w14:paraId="2FCF83AE" w14:textId="77777777" w:rsidTr="00054DEE">
        <w:tc>
          <w:tcPr>
            <w:tcW w:w="8624" w:type="dxa"/>
            <w:gridSpan w:val="6"/>
            <w:shd w:val="clear" w:color="auto" w:fill="auto"/>
            <w:vAlign w:val="center"/>
          </w:tcPr>
          <w:p w14:paraId="19DC344F" w14:textId="4EF0D259" w:rsidR="00D572EA" w:rsidRPr="00A07BE9" w:rsidRDefault="00D572EA" w:rsidP="007B6339">
            <w:pPr>
              <w:autoSpaceDN w:val="0"/>
              <w:spacing w:after="0" w:line="276" w:lineRule="auto"/>
              <w:jc w:val="both"/>
              <w:rPr>
                <w:rFonts w:ascii="Open Sans" w:eastAsia="Times New Roman" w:hAnsi="Open Sans" w:cs="Open Sans"/>
                <w:sz w:val="16"/>
                <w:szCs w:val="16"/>
                <w:lang w:eastAsia="es-ES"/>
              </w:rPr>
            </w:pPr>
          </w:p>
        </w:tc>
      </w:tr>
    </w:tbl>
    <w:p w14:paraId="32F3BD02" w14:textId="77777777" w:rsidR="00264EC2" w:rsidRPr="00A07BE9" w:rsidRDefault="00264EC2" w:rsidP="00D572EA">
      <w:pPr>
        <w:suppressAutoHyphens/>
        <w:autoSpaceDN w:val="0"/>
        <w:spacing w:after="0" w:line="276" w:lineRule="auto"/>
        <w:jc w:val="both"/>
        <w:rPr>
          <w:rFonts w:ascii="Open Sans" w:eastAsia="Times New Roman" w:hAnsi="Open Sans" w:cs="Open Sans"/>
          <w:b/>
          <w:bCs/>
          <w:color w:val="993333"/>
          <w:sz w:val="20"/>
          <w:szCs w:val="20"/>
          <w:lang w:eastAsia="es-ES"/>
        </w:rPr>
      </w:pPr>
    </w:p>
    <w:p w14:paraId="46FB80E7" w14:textId="48F9D1D5" w:rsidR="00D572EA" w:rsidRPr="00A07BE9" w:rsidRDefault="00D572EA" w:rsidP="00D572EA">
      <w:pPr>
        <w:suppressAutoHyphens/>
        <w:autoSpaceDN w:val="0"/>
        <w:spacing w:after="0" w:line="276" w:lineRule="auto"/>
        <w:jc w:val="both"/>
        <w:rPr>
          <w:rFonts w:ascii="Liberation Serif" w:eastAsia="Droid Sans Fallback" w:hAnsi="Liberation Serif" w:cs="FreeSans"/>
          <w:b/>
          <w:kern w:val="3"/>
          <w:sz w:val="20"/>
          <w:szCs w:val="20"/>
          <w:lang w:eastAsia="zh-CN" w:bidi="hi-IN"/>
        </w:rPr>
      </w:pPr>
      <w:r w:rsidRPr="00A07BE9">
        <w:rPr>
          <w:rFonts w:ascii="Open Sans" w:eastAsia="Times New Roman" w:hAnsi="Open Sans" w:cs="Open Sans"/>
          <w:b/>
          <w:bCs/>
          <w:color w:val="993333"/>
          <w:sz w:val="20"/>
          <w:szCs w:val="20"/>
          <w:lang w:eastAsia="es-ES"/>
        </w:rPr>
        <w:t xml:space="preserve">Gráfico </w:t>
      </w:r>
      <w:r w:rsidR="00D201B5" w:rsidRPr="00A07BE9">
        <w:rPr>
          <w:rFonts w:ascii="Open Sans" w:eastAsia="Times New Roman" w:hAnsi="Open Sans" w:cs="Open Sans"/>
          <w:b/>
          <w:bCs/>
          <w:color w:val="993333"/>
          <w:sz w:val="20"/>
          <w:szCs w:val="20"/>
          <w:lang w:eastAsia="es-ES"/>
        </w:rPr>
        <w:t>40</w:t>
      </w:r>
      <w:r w:rsidRPr="00A07BE9">
        <w:rPr>
          <w:rFonts w:ascii="Open Sans" w:eastAsia="Times New Roman" w:hAnsi="Open Sans" w:cs="Open Sans"/>
          <w:b/>
          <w:bCs/>
          <w:color w:val="993333"/>
          <w:sz w:val="20"/>
          <w:szCs w:val="20"/>
          <w:lang w:eastAsia="es-ES"/>
        </w:rPr>
        <w:t>.</w:t>
      </w:r>
      <w:r w:rsidRPr="00A07BE9">
        <w:rPr>
          <w:rFonts w:ascii="Open Sans" w:eastAsia="Times New Roman" w:hAnsi="Open Sans" w:cs="Open Sans"/>
          <w:b/>
          <w:bCs/>
          <w:color w:val="CE181E"/>
          <w:sz w:val="20"/>
          <w:szCs w:val="20"/>
          <w:lang w:eastAsia="es-ES"/>
        </w:rPr>
        <w:t xml:space="preserve"> </w:t>
      </w:r>
      <w:r w:rsidRPr="00A07BE9">
        <w:rPr>
          <w:rFonts w:ascii="Open Sans" w:eastAsia="Times New Roman" w:hAnsi="Open Sans" w:cs="Open Sans"/>
          <w:b/>
          <w:color w:val="00000A"/>
          <w:sz w:val="20"/>
          <w:szCs w:val="20"/>
          <w:lang w:eastAsia="es-ES"/>
        </w:rPr>
        <w:t>Porcentaje sobre el importe del presupuesto de licitación según procedimiento de contratación</w:t>
      </w:r>
    </w:p>
    <w:p w14:paraId="398CFDD4" w14:textId="77777777" w:rsidR="00D572EA" w:rsidRPr="00A07BE9" w:rsidRDefault="00D572EA" w:rsidP="00D572EA">
      <w:pPr>
        <w:autoSpaceDN w:val="0"/>
        <w:spacing w:after="0" w:line="360" w:lineRule="auto"/>
        <w:jc w:val="both"/>
        <w:rPr>
          <w:rFonts w:ascii="Open Sans" w:eastAsia="Times New Roman" w:hAnsi="Open Sans" w:cs="Open Sans"/>
          <w:color w:val="00000A"/>
          <w:sz w:val="20"/>
          <w:szCs w:val="20"/>
          <w:lang w:eastAsia="es-ES"/>
        </w:rPr>
      </w:pPr>
    </w:p>
    <w:p w14:paraId="2072CF57" w14:textId="25609F1C" w:rsidR="00D572EA" w:rsidRPr="00A07BE9" w:rsidRDefault="00D572EA" w:rsidP="00D572EA">
      <w:pPr>
        <w:autoSpaceDN w:val="0"/>
        <w:spacing w:after="0" w:line="360" w:lineRule="auto"/>
        <w:jc w:val="both"/>
        <w:rPr>
          <w:rFonts w:ascii="Times New Roman" w:eastAsia="Times New Roman" w:hAnsi="Times New Roman" w:cs="Times New Roman"/>
          <w:sz w:val="20"/>
          <w:szCs w:val="20"/>
          <w:lang w:eastAsia="es-ES"/>
        </w:rPr>
      </w:pPr>
      <w:r w:rsidRPr="00A07BE9">
        <w:rPr>
          <w:rFonts w:ascii="Liberation Serif" w:eastAsia="Droid Sans Fallback" w:hAnsi="Liberation Serif" w:cs="FreeSans"/>
          <w:noProof/>
          <w:kern w:val="3"/>
          <w:sz w:val="24"/>
          <w:szCs w:val="24"/>
          <w:lang w:eastAsia="zh-CN" w:bidi="hi-IN"/>
        </w:rPr>
        <w:drawing>
          <wp:inline distT="0" distB="0" distL="0" distR="0" wp14:anchorId="25BA25A3" wp14:editId="30C3DCCB">
            <wp:extent cx="4806950" cy="1945640"/>
            <wp:effectExtent l="0" t="0" r="12700" b="16510"/>
            <wp:docPr id="113" name="Gráfico 113">
              <a:extLst xmlns:a="http://schemas.openxmlformats.org/drawingml/2006/main">
                <a:ext uri="{FF2B5EF4-FFF2-40B4-BE49-F238E27FC236}">
                  <a16:creationId xmlns:a16="http://schemas.microsoft.com/office/drawing/2014/main" id="{1E39F774-564B-4504-8086-7A23C8CFF4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2"/>
              </a:graphicData>
            </a:graphic>
          </wp:inline>
        </w:drawing>
      </w:r>
    </w:p>
    <w:p w14:paraId="6F8902F6" w14:textId="308C403F" w:rsidR="00D572EA" w:rsidRPr="00A07BE9" w:rsidRDefault="001C2ABB" w:rsidP="001C2ABB">
      <w:pPr>
        <w:suppressAutoHyphens/>
        <w:autoSpaceDN w:val="0"/>
        <w:spacing w:after="0" w:line="276" w:lineRule="auto"/>
        <w:jc w:val="both"/>
        <w:rPr>
          <w:rFonts w:ascii="Open Sans" w:eastAsia="Times New Roman" w:hAnsi="Open Sans" w:cs="Open Sans"/>
          <w:b/>
          <w:bCs/>
          <w:color w:val="993333"/>
          <w:sz w:val="16"/>
          <w:szCs w:val="16"/>
          <w:lang w:eastAsia="es-ES"/>
        </w:rPr>
      </w:pPr>
      <w:r w:rsidRPr="00A07BE9">
        <w:rPr>
          <w:rFonts w:ascii="Liberation Serif" w:eastAsia="Droid Sans Fallback" w:hAnsi="Liberation Serif" w:cs="FreeSans"/>
          <w:noProof/>
          <w:kern w:val="3"/>
          <w:sz w:val="24"/>
          <w:szCs w:val="24"/>
          <w:lang w:eastAsia="zh-CN" w:bidi="hi-IN"/>
        </w:rPr>
        <w:lastRenderedPageBreak/>
        <w:drawing>
          <wp:anchor distT="0" distB="0" distL="114300" distR="114300" simplePos="0" relativeHeight="251900928" behindDoc="1" locked="0" layoutInCell="1" allowOverlap="1" wp14:anchorId="270089BE" wp14:editId="795B5477">
            <wp:simplePos x="0" y="0"/>
            <wp:positionH relativeFrom="column">
              <wp:posOffset>46666</wp:posOffset>
            </wp:positionH>
            <wp:positionV relativeFrom="paragraph">
              <wp:posOffset>512681</wp:posOffset>
            </wp:positionV>
            <wp:extent cx="4709795" cy="2040890"/>
            <wp:effectExtent l="0" t="0" r="14605" b="16510"/>
            <wp:wrapTight wrapText="bothSides">
              <wp:wrapPolygon edited="0">
                <wp:start x="0" y="0"/>
                <wp:lineTo x="0" y="21573"/>
                <wp:lineTo x="21580" y="21573"/>
                <wp:lineTo x="21580" y="0"/>
                <wp:lineTo x="0" y="0"/>
              </wp:wrapPolygon>
            </wp:wrapTight>
            <wp:docPr id="114" name="Gráfico 114">
              <a:extLst xmlns:a="http://schemas.openxmlformats.org/drawingml/2006/main">
                <a:ext uri="{FF2B5EF4-FFF2-40B4-BE49-F238E27FC236}">
                  <a16:creationId xmlns:a16="http://schemas.microsoft.com/office/drawing/2014/main" id="{ABACCA3F-A2AC-4640-9942-68762AEA2D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3"/>
              </a:graphicData>
            </a:graphic>
            <wp14:sizeRelH relativeFrom="margin">
              <wp14:pctWidth>0</wp14:pctWidth>
            </wp14:sizeRelH>
            <wp14:sizeRelV relativeFrom="margin">
              <wp14:pctHeight>0</wp14:pctHeight>
            </wp14:sizeRelV>
          </wp:anchor>
        </w:drawing>
      </w:r>
      <w:r w:rsidR="00D572EA" w:rsidRPr="00A07BE9">
        <w:rPr>
          <w:rFonts w:ascii="Open Sans" w:eastAsia="Times New Roman" w:hAnsi="Open Sans" w:cs="Open Sans"/>
          <w:b/>
          <w:bCs/>
          <w:color w:val="993333"/>
          <w:sz w:val="20"/>
          <w:szCs w:val="20"/>
          <w:lang w:eastAsia="es-ES"/>
        </w:rPr>
        <w:t xml:space="preserve">Gráfico </w:t>
      </w:r>
      <w:r w:rsidR="007B6339" w:rsidRPr="00A07BE9">
        <w:rPr>
          <w:rFonts w:ascii="Open Sans" w:eastAsia="Times New Roman" w:hAnsi="Open Sans" w:cs="Open Sans"/>
          <w:b/>
          <w:bCs/>
          <w:color w:val="993333"/>
          <w:sz w:val="20"/>
          <w:szCs w:val="20"/>
          <w:lang w:eastAsia="es-ES"/>
        </w:rPr>
        <w:t>4</w:t>
      </w:r>
      <w:r w:rsidR="00D201B5" w:rsidRPr="00A07BE9">
        <w:rPr>
          <w:rFonts w:ascii="Open Sans" w:eastAsia="Times New Roman" w:hAnsi="Open Sans" w:cs="Open Sans"/>
          <w:b/>
          <w:bCs/>
          <w:color w:val="993333"/>
          <w:sz w:val="20"/>
          <w:szCs w:val="20"/>
          <w:lang w:eastAsia="es-ES"/>
        </w:rPr>
        <w:t>1</w:t>
      </w:r>
      <w:r w:rsidR="00D572EA" w:rsidRPr="00A07BE9">
        <w:rPr>
          <w:rFonts w:ascii="Open Sans" w:eastAsia="Times New Roman" w:hAnsi="Open Sans" w:cs="Open Sans"/>
          <w:b/>
          <w:bCs/>
          <w:color w:val="993333"/>
          <w:sz w:val="20"/>
          <w:szCs w:val="20"/>
          <w:lang w:eastAsia="es-ES"/>
        </w:rPr>
        <w:t>.</w:t>
      </w:r>
      <w:r w:rsidR="00D572EA" w:rsidRPr="00A07BE9">
        <w:rPr>
          <w:rFonts w:ascii="Open Sans" w:eastAsia="Times New Roman" w:hAnsi="Open Sans" w:cs="Open Sans"/>
          <w:b/>
          <w:bCs/>
          <w:sz w:val="20"/>
          <w:szCs w:val="20"/>
          <w:lang w:eastAsia="es-ES"/>
        </w:rPr>
        <w:t xml:space="preserve"> </w:t>
      </w:r>
      <w:r w:rsidR="00D572EA" w:rsidRPr="00A07BE9">
        <w:rPr>
          <w:rFonts w:ascii="Open Sans" w:eastAsia="Times New Roman" w:hAnsi="Open Sans" w:cs="Open Sans"/>
          <w:b/>
          <w:sz w:val="20"/>
          <w:szCs w:val="20"/>
          <w:lang w:eastAsia="es-ES"/>
        </w:rPr>
        <w:t xml:space="preserve">Porcentaje </w:t>
      </w:r>
      <w:r w:rsidR="00D572EA" w:rsidRPr="00A07BE9">
        <w:rPr>
          <w:rFonts w:ascii="Open Sans" w:eastAsia="Times New Roman" w:hAnsi="Open Sans" w:cs="Open Sans"/>
          <w:b/>
          <w:color w:val="00000A"/>
          <w:sz w:val="20"/>
          <w:szCs w:val="20"/>
          <w:lang w:eastAsia="es-ES"/>
        </w:rPr>
        <w:t>sobre el importe del presupuesto de adjudicación según procedimiento de contratación</w:t>
      </w:r>
    </w:p>
    <w:p w14:paraId="1793CAF6" w14:textId="50ECE002" w:rsidR="00D572EA" w:rsidRPr="00A07BE9" w:rsidRDefault="00D572EA" w:rsidP="00D572EA">
      <w:pPr>
        <w:autoSpaceDN w:val="0"/>
        <w:spacing w:after="0" w:line="360" w:lineRule="auto"/>
        <w:jc w:val="both"/>
        <w:rPr>
          <w:rFonts w:ascii="Times New Roman" w:eastAsia="Times New Roman" w:hAnsi="Times New Roman" w:cs="Times New Roman"/>
          <w:sz w:val="20"/>
          <w:szCs w:val="20"/>
          <w:lang w:eastAsia="es-ES"/>
        </w:rPr>
      </w:pPr>
    </w:p>
    <w:p w14:paraId="5A0A71E7" w14:textId="3D6EEC05" w:rsidR="00D572EA" w:rsidRPr="00A07BE9" w:rsidRDefault="00D572EA" w:rsidP="00D572EA">
      <w:pPr>
        <w:autoSpaceDN w:val="0"/>
        <w:spacing w:after="0" w:line="360" w:lineRule="auto"/>
        <w:jc w:val="both"/>
        <w:rPr>
          <w:rFonts w:ascii="Open Sans" w:eastAsia="Times New Roman" w:hAnsi="Open Sans" w:cs="Open Sans"/>
          <w:color w:val="00000A"/>
          <w:sz w:val="20"/>
          <w:szCs w:val="20"/>
          <w:lang w:eastAsia="es-ES"/>
        </w:rPr>
      </w:pPr>
    </w:p>
    <w:p w14:paraId="63614E16" w14:textId="26FD8CC4" w:rsidR="00A2723B" w:rsidRPr="00A07BE9" w:rsidRDefault="00A2723B" w:rsidP="00D572EA">
      <w:pPr>
        <w:autoSpaceDN w:val="0"/>
        <w:spacing w:after="0" w:line="360" w:lineRule="auto"/>
        <w:jc w:val="both"/>
        <w:rPr>
          <w:rFonts w:ascii="Open Sans" w:eastAsia="Times New Roman" w:hAnsi="Open Sans" w:cs="Open Sans"/>
          <w:color w:val="00000A"/>
          <w:sz w:val="20"/>
          <w:szCs w:val="20"/>
          <w:lang w:eastAsia="es-ES"/>
        </w:rPr>
      </w:pPr>
    </w:p>
    <w:p w14:paraId="680E0ED2" w14:textId="7E5B8366" w:rsidR="00A2723B" w:rsidRPr="00A07BE9" w:rsidRDefault="00A2723B" w:rsidP="00D572EA">
      <w:pPr>
        <w:autoSpaceDN w:val="0"/>
        <w:spacing w:after="0" w:line="360" w:lineRule="auto"/>
        <w:jc w:val="both"/>
        <w:rPr>
          <w:rFonts w:ascii="Open Sans" w:eastAsia="Times New Roman" w:hAnsi="Open Sans" w:cs="Open Sans"/>
          <w:color w:val="00000A"/>
          <w:sz w:val="20"/>
          <w:szCs w:val="20"/>
          <w:lang w:eastAsia="es-ES"/>
        </w:rPr>
      </w:pPr>
    </w:p>
    <w:p w14:paraId="17CCDC97" w14:textId="29373C23" w:rsidR="00A2723B" w:rsidRPr="00A07BE9" w:rsidRDefault="00A2723B" w:rsidP="00D572EA">
      <w:pPr>
        <w:autoSpaceDN w:val="0"/>
        <w:spacing w:after="0" w:line="360" w:lineRule="auto"/>
        <w:jc w:val="both"/>
        <w:rPr>
          <w:rFonts w:ascii="Open Sans" w:eastAsia="Times New Roman" w:hAnsi="Open Sans" w:cs="Open Sans"/>
          <w:color w:val="00000A"/>
          <w:sz w:val="20"/>
          <w:szCs w:val="20"/>
          <w:lang w:eastAsia="es-ES"/>
        </w:rPr>
      </w:pPr>
    </w:p>
    <w:p w14:paraId="470AD5CB" w14:textId="05B8A6BD" w:rsidR="00A2723B" w:rsidRPr="00A07BE9" w:rsidRDefault="00A2723B" w:rsidP="00D572EA">
      <w:pPr>
        <w:autoSpaceDN w:val="0"/>
        <w:spacing w:after="0" w:line="360" w:lineRule="auto"/>
        <w:jc w:val="both"/>
        <w:rPr>
          <w:rFonts w:ascii="Open Sans" w:eastAsia="Times New Roman" w:hAnsi="Open Sans" w:cs="Open Sans"/>
          <w:color w:val="00000A"/>
          <w:sz w:val="20"/>
          <w:szCs w:val="20"/>
          <w:lang w:eastAsia="es-ES"/>
        </w:rPr>
      </w:pPr>
    </w:p>
    <w:p w14:paraId="17E159E8" w14:textId="3B42EA6E" w:rsidR="00A2723B" w:rsidRPr="00A07BE9" w:rsidRDefault="00A2723B" w:rsidP="00D572EA">
      <w:pPr>
        <w:autoSpaceDN w:val="0"/>
        <w:spacing w:after="0" w:line="360" w:lineRule="auto"/>
        <w:jc w:val="both"/>
        <w:rPr>
          <w:rFonts w:ascii="Open Sans" w:eastAsia="Times New Roman" w:hAnsi="Open Sans" w:cs="Open Sans"/>
          <w:color w:val="00000A"/>
          <w:sz w:val="20"/>
          <w:szCs w:val="20"/>
          <w:lang w:eastAsia="es-ES"/>
        </w:rPr>
      </w:pPr>
    </w:p>
    <w:p w14:paraId="11284CF0" w14:textId="521C57E5" w:rsidR="00A2723B" w:rsidRPr="00A07BE9" w:rsidRDefault="00A2723B" w:rsidP="00D572EA">
      <w:pPr>
        <w:autoSpaceDN w:val="0"/>
        <w:spacing w:after="0" w:line="360" w:lineRule="auto"/>
        <w:jc w:val="both"/>
        <w:rPr>
          <w:rFonts w:ascii="Open Sans" w:eastAsia="Times New Roman" w:hAnsi="Open Sans" w:cs="Open Sans"/>
          <w:color w:val="00000A"/>
          <w:sz w:val="20"/>
          <w:szCs w:val="20"/>
          <w:lang w:eastAsia="es-ES"/>
        </w:rPr>
      </w:pPr>
    </w:p>
    <w:p w14:paraId="2464DBB0" w14:textId="4C4CAD34" w:rsidR="00A2723B" w:rsidRPr="00A07BE9" w:rsidRDefault="00A2723B" w:rsidP="00D572EA">
      <w:pPr>
        <w:autoSpaceDN w:val="0"/>
        <w:spacing w:after="0" w:line="360" w:lineRule="auto"/>
        <w:jc w:val="both"/>
        <w:rPr>
          <w:rFonts w:ascii="Open Sans" w:eastAsia="Times New Roman" w:hAnsi="Open Sans" w:cs="Open Sans"/>
          <w:color w:val="00000A"/>
          <w:sz w:val="20"/>
          <w:szCs w:val="20"/>
          <w:lang w:eastAsia="es-ES"/>
        </w:rPr>
      </w:pPr>
    </w:p>
    <w:p w14:paraId="349D7B8F" w14:textId="1899E45C" w:rsidR="00A2723B" w:rsidRPr="00A07BE9" w:rsidRDefault="00A2723B" w:rsidP="00054DEE">
      <w:pPr>
        <w:autoSpaceDN w:val="0"/>
        <w:spacing w:after="0" w:line="276" w:lineRule="auto"/>
        <w:jc w:val="both"/>
        <w:rPr>
          <w:rFonts w:ascii="Open Sans" w:eastAsia="Times New Roman" w:hAnsi="Open Sans" w:cs="Open Sans"/>
          <w:color w:val="00000A"/>
          <w:sz w:val="20"/>
          <w:szCs w:val="20"/>
          <w:lang w:eastAsia="es-ES"/>
        </w:rPr>
      </w:pPr>
    </w:p>
    <w:p w14:paraId="62DA54DE" w14:textId="77777777" w:rsidR="00A2723B" w:rsidRPr="00A07BE9" w:rsidRDefault="00A2723B" w:rsidP="00054DEE">
      <w:pPr>
        <w:autoSpaceDN w:val="0"/>
        <w:spacing w:after="0" w:line="276" w:lineRule="auto"/>
        <w:jc w:val="both"/>
        <w:rPr>
          <w:rFonts w:ascii="Open Sans" w:eastAsia="Times New Roman" w:hAnsi="Open Sans" w:cs="Open Sans"/>
          <w:color w:val="00000A"/>
          <w:sz w:val="20"/>
          <w:szCs w:val="20"/>
          <w:lang w:eastAsia="es-ES"/>
        </w:rPr>
      </w:pPr>
    </w:p>
    <w:p w14:paraId="5DC07FBC" w14:textId="77777777" w:rsidR="00D572EA" w:rsidRPr="00A07BE9" w:rsidRDefault="00D572EA" w:rsidP="001C2ABB">
      <w:pPr>
        <w:autoSpaceDN w:val="0"/>
        <w:spacing w:after="0" w:line="276" w:lineRule="auto"/>
        <w:rPr>
          <w:rFonts w:ascii="Open Sans" w:eastAsia="Times New Roman" w:hAnsi="Open Sans" w:cs="Open Sans"/>
          <w:b/>
          <w:bCs/>
          <w:smallCaps/>
          <w:color w:val="993333"/>
          <w:spacing w:val="-6"/>
          <w:sz w:val="32"/>
          <w:szCs w:val="32"/>
          <w:lang w:eastAsia="es-ES"/>
        </w:rPr>
      </w:pPr>
      <w:bookmarkStart w:id="44" w:name="Marcador_4711"/>
      <w:bookmarkEnd w:id="44"/>
      <w:r w:rsidRPr="00A07BE9">
        <w:rPr>
          <w:rFonts w:ascii="Open Sans" w:eastAsia="Times New Roman" w:hAnsi="Open Sans" w:cs="Open Sans"/>
          <w:b/>
          <w:bCs/>
          <w:smallCaps/>
          <w:color w:val="94070A"/>
          <w:sz w:val="32"/>
          <w:szCs w:val="32"/>
          <w:lang w:eastAsia="es-ES"/>
        </w:rPr>
        <w:t>6</w:t>
      </w:r>
      <w:r w:rsidRPr="00A07BE9">
        <w:rPr>
          <w:rFonts w:ascii="Open Sans" w:eastAsia="Times New Roman" w:hAnsi="Open Sans" w:cs="Open Sans"/>
          <w:b/>
          <w:bCs/>
          <w:smallCaps/>
          <w:color w:val="993333"/>
          <w:sz w:val="32"/>
          <w:szCs w:val="32"/>
          <w:lang w:eastAsia="es-ES"/>
        </w:rPr>
        <w:t xml:space="preserve">.3. </w:t>
      </w:r>
      <w:r w:rsidRPr="00A07BE9">
        <w:rPr>
          <w:rFonts w:ascii="Open Sans" w:eastAsia="Times New Roman" w:hAnsi="Open Sans" w:cs="Open Sans"/>
          <w:b/>
          <w:bCs/>
          <w:smallCaps/>
          <w:color w:val="993333"/>
          <w:spacing w:val="-6"/>
          <w:sz w:val="32"/>
          <w:szCs w:val="32"/>
          <w:lang w:eastAsia="es-ES"/>
        </w:rPr>
        <w:t>Fiscalización externa de la Agencia. Ejercicio 2019</w:t>
      </w:r>
    </w:p>
    <w:p w14:paraId="3CF140D0" w14:textId="77777777" w:rsidR="00D572EA" w:rsidRPr="00A07BE9" w:rsidRDefault="00D572EA" w:rsidP="001C2ABB">
      <w:pPr>
        <w:autoSpaceDN w:val="0"/>
        <w:spacing w:after="0" w:line="276" w:lineRule="auto"/>
        <w:rPr>
          <w:rFonts w:ascii="Open Sans" w:eastAsia="Droid Sans Fallback" w:hAnsi="Open Sans" w:cs="Open Sans"/>
          <w:kern w:val="3"/>
          <w:sz w:val="20"/>
          <w:szCs w:val="20"/>
          <w:lang w:eastAsia="zh-CN" w:bidi="hi-IN"/>
        </w:rPr>
      </w:pPr>
    </w:p>
    <w:bookmarkStart w:id="45" w:name="OBJ_PREFIX_DWT77_com_zimbra_date3"/>
    <w:bookmarkEnd w:id="45"/>
    <w:p w14:paraId="0E504C86" w14:textId="006E4B24" w:rsidR="00D572EA" w:rsidRPr="00A07BE9" w:rsidRDefault="00614457" w:rsidP="001C2ABB">
      <w:pPr>
        <w:suppressAutoHyphens/>
        <w:autoSpaceDN w:val="0"/>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fldChar w:fldCharType="begin"/>
      </w:r>
      <w:r w:rsidRPr="00A07BE9">
        <w:rPr>
          <w:rFonts w:ascii="Open Sans" w:eastAsia="Times New Roman" w:hAnsi="Open Sans" w:cs="Open Sans"/>
          <w:color w:val="000000"/>
          <w:sz w:val="20"/>
          <w:szCs w:val="20"/>
          <w:lang w:eastAsia="es-ES"/>
        </w:rPr>
        <w:instrText xml:space="preserve"> HYPERLINK "https://www.boe.es/buscar/pdf/2016/BOE-A-2016-12048-consolidado.pdf" </w:instrText>
      </w:r>
      <w:r w:rsidRPr="00A07BE9">
        <w:rPr>
          <w:rFonts w:ascii="Open Sans" w:eastAsia="Times New Roman" w:hAnsi="Open Sans" w:cs="Open Sans"/>
          <w:color w:val="000000"/>
          <w:sz w:val="20"/>
          <w:szCs w:val="20"/>
          <w:lang w:eastAsia="es-ES"/>
        </w:rPr>
      </w:r>
      <w:r w:rsidRPr="00A07BE9">
        <w:rPr>
          <w:rFonts w:ascii="Open Sans" w:eastAsia="Times New Roman" w:hAnsi="Open Sans" w:cs="Open Sans"/>
          <w:color w:val="000000"/>
          <w:sz w:val="20"/>
          <w:szCs w:val="20"/>
          <w:lang w:eastAsia="es-ES"/>
        </w:rPr>
        <w:fldChar w:fldCharType="separate"/>
      </w:r>
      <w:r w:rsidR="00A2723B" w:rsidRPr="00A07BE9">
        <w:rPr>
          <w:rStyle w:val="Hipervnculo"/>
          <w:rFonts w:ascii="Open Sans" w:eastAsia="Times New Roman" w:hAnsi="Open Sans" w:cs="Open Sans"/>
          <w:color w:val="auto"/>
          <w:sz w:val="20"/>
          <w:szCs w:val="20"/>
          <w:u w:val="none"/>
          <w:lang w:eastAsia="es-ES"/>
        </w:rPr>
        <w:t>La</w:t>
      </w:r>
      <w:r w:rsidR="00A2723B" w:rsidRPr="00A07BE9">
        <w:rPr>
          <w:rStyle w:val="Hipervnculo"/>
          <w:rFonts w:ascii="Open Sans" w:eastAsia="Times New Roman" w:hAnsi="Open Sans" w:cs="Open Sans"/>
          <w:sz w:val="20"/>
          <w:szCs w:val="20"/>
          <w:u w:val="none"/>
          <w:lang w:eastAsia="es-ES"/>
        </w:rPr>
        <w:t xml:space="preserve"> </w:t>
      </w:r>
      <w:r w:rsidR="00D572EA" w:rsidRPr="00A07BE9">
        <w:rPr>
          <w:rStyle w:val="Hipervnculo"/>
          <w:rFonts w:ascii="Open Sans" w:eastAsia="Times New Roman" w:hAnsi="Open Sans" w:cs="Open Sans"/>
          <w:sz w:val="20"/>
          <w:szCs w:val="20"/>
          <w:lang w:eastAsia="es-ES"/>
        </w:rPr>
        <w:t>Ley 11/2016</w:t>
      </w:r>
      <w:r w:rsidR="00D572EA" w:rsidRPr="00A07BE9">
        <w:rPr>
          <w:rStyle w:val="Hipervnculo"/>
          <w:rFonts w:ascii="Open Sans" w:eastAsia="Times New Roman" w:hAnsi="Open Sans" w:cs="Open Sans"/>
          <w:color w:val="auto"/>
          <w:sz w:val="20"/>
          <w:szCs w:val="20"/>
          <w:u w:val="none"/>
          <w:lang w:eastAsia="es-ES"/>
        </w:rPr>
        <w:t>, de 28 de noviembre,</w:t>
      </w:r>
      <w:r w:rsidRPr="00A07BE9">
        <w:rPr>
          <w:rStyle w:val="Hipervnculo"/>
          <w:rFonts w:ascii="Open Sans" w:eastAsia="Times New Roman" w:hAnsi="Open Sans" w:cs="Open Sans"/>
          <w:color w:val="auto"/>
          <w:sz w:val="20"/>
          <w:szCs w:val="20"/>
          <w:u w:val="none"/>
          <w:lang w:eastAsia="es-ES"/>
        </w:rPr>
        <w:t xml:space="preserve"> de la Generalitat</w:t>
      </w:r>
      <w:r w:rsidRPr="00A07BE9">
        <w:rPr>
          <w:rFonts w:ascii="Open Sans" w:eastAsia="Times New Roman" w:hAnsi="Open Sans" w:cs="Open Sans"/>
          <w:color w:val="000000"/>
          <w:sz w:val="20"/>
          <w:szCs w:val="20"/>
          <w:lang w:eastAsia="es-ES"/>
        </w:rPr>
        <w:fldChar w:fldCharType="end"/>
      </w:r>
      <w:r w:rsidR="00AE766A">
        <w:rPr>
          <w:rFonts w:ascii="Open Sans" w:eastAsia="Times New Roman" w:hAnsi="Open Sans" w:cs="Open Sans"/>
          <w:color w:val="000000"/>
          <w:sz w:val="20"/>
          <w:szCs w:val="20"/>
          <w:lang w:eastAsia="es-ES"/>
        </w:rPr>
        <w:t xml:space="preserve">, </w:t>
      </w:r>
      <w:r w:rsidR="00D572EA" w:rsidRPr="00A07BE9">
        <w:rPr>
          <w:rFonts w:ascii="Open Sans" w:eastAsia="Times New Roman" w:hAnsi="Open Sans" w:cs="Open Sans"/>
          <w:color w:val="000000"/>
          <w:sz w:val="20"/>
          <w:szCs w:val="20"/>
          <w:lang w:eastAsia="es-ES"/>
        </w:rPr>
        <w:t xml:space="preserve">en su redacción dada por </w:t>
      </w:r>
      <w:hyperlink r:id="rId434" w:history="1">
        <w:r w:rsidR="00D572EA" w:rsidRPr="00A07BE9">
          <w:rPr>
            <w:rStyle w:val="Hipervnculo"/>
            <w:rFonts w:ascii="Open Sans" w:eastAsia="Times New Roman" w:hAnsi="Open Sans" w:cs="Open Sans"/>
            <w:sz w:val="20"/>
            <w:szCs w:val="20"/>
            <w:lang w:eastAsia="es-ES"/>
          </w:rPr>
          <w:t xml:space="preserve">Ley 27/2018, </w:t>
        </w:r>
        <w:r w:rsidR="00D572EA" w:rsidRPr="00A07BE9">
          <w:rPr>
            <w:rStyle w:val="Hipervnculo"/>
            <w:rFonts w:ascii="Open Sans" w:eastAsia="Times New Roman" w:hAnsi="Open Sans" w:cs="Open Sans"/>
            <w:color w:val="auto"/>
            <w:sz w:val="20"/>
            <w:szCs w:val="20"/>
            <w:u w:val="none"/>
            <w:lang w:eastAsia="es-ES"/>
          </w:rPr>
          <w:t>de 27 de diciembre, de medidas fiscales, de gestión administrativa y financiera y de organización de la Generalitat</w:t>
        </w:r>
      </w:hyperlink>
      <w:r w:rsidR="00D572EA" w:rsidRPr="00A07BE9">
        <w:rPr>
          <w:rFonts w:ascii="Open Sans" w:eastAsia="Times New Roman" w:hAnsi="Open Sans" w:cs="Open Sans"/>
          <w:color w:val="000000"/>
          <w:sz w:val="20"/>
          <w:szCs w:val="20"/>
          <w:lang w:eastAsia="es-ES"/>
        </w:rPr>
        <w:t xml:space="preserve"> determina que la Agencia está sujeta a la Intervención de les Corts, y justificará su gestión, anualmente, a la Sindicatura de Comptes.</w:t>
      </w:r>
    </w:p>
    <w:p w14:paraId="2294B00C" w14:textId="77777777" w:rsidR="00A70684" w:rsidRPr="00A07BE9" w:rsidRDefault="00A70684" w:rsidP="001C2ABB">
      <w:pPr>
        <w:suppressAutoHyphens/>
        <w:autoSpaceDN w:val="0"/>
        <w:spacing w:after="0" w:line="276" w:lineRule="auto"/>
        <w:jc w:val="both"/>
        <w:rPr>
          <w:rFonts w:ascii="Open Sans" w:eastAsia="Times New Roman" w:hAnsi="Open Sans" w:cs="Open Sans"/>
          <w:color w:val="000000"/>
          <w:sz w:val="20"/>
          <w:szCs w:val="20"/>
          <w:lang w:eastAsia="es-ES"/>
        </w:rPr>
      </w:pPr>
    </w:p>
    <w:p w14:paraId="0D12615D" w14:textId="0E6AD661" w:rsidR="00D572EA" w:rsidRPr="00A07BE9" w:rsidRDefault="00D572EA" w:rsidP="001C2ABB">
      <w:pPr>
        <w:suppressAutoHyphens/>
        <w:autoSpaceDN w:val="0"/>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Hasta el momento actual, se ha adoptado el Acuerdo 3169/IX, de 12 de febrero de 2019, de la Mesa de les Corts Valencianes, por el cual se aprueba el Plan anual de control financiero permanente de la entidad Agencia de Prevención y Lucha contra el Fraude y la Corrupción de la Comunitat Valenciana (DOGV núm. 8493, de 25</w:t>
      </w:r>
      <w:r w:rsidR="00AC3413" w:rsidRPr="00A07BE9">
        <w:rPr>
          <w:rFonts w:ascii="Open Sans" w:eastAsia="Times New Roman" w:hAnsi="Open Sans" w:cs="Open Sans"/>
          <w:color w:val="000000"/>
          <w:sz w:val="20"/>
          <w:szCs w:val="20"/>
          <w:lang w:eastAsia="es-ES"/>
        </w:rPr>
        <w:t xml:space="preserve"> de febrero de </w:t>
      </w:r>
      <w:r w:rsidRPr="00A07BE9">
        <w:rPr>
          <w:rFonts w:ascii="Open Sans" w:eastAsia="Times New Roman" w:hAnsi="Open Sans" w:cs="Open Sans"/>
          <w:color w:val="000000"/>
          <w:sz w:val="20"/>
          <w:szCs w:val="20"/>
          <w:lang w:eastAsia="es-ES"/>
        </w:rPr>
        <w:t>2019), que puede consultarse en el portal de Transparencia de la Agencia, en el apartado de Gestión Económica:</w:t>
      </w:r>
    </w:p>
    <w:p w14:paraId="152DD1E1" w14:textId="77777777" w:rsidR="00D572EA" w:rsidRPr="00A07BE9" w:rsidRDefault="00000000" w:rsidP="001C2ABB">
      <w:pPr>
        <w:suppressAutoHyphens/>
        <w:autoSpaceDN w:val="0"/>
        <w:spacing w:after="0" w:line="276" w:lineRule="auto"/>
        <w:jc w:val="both"/>
        <w:rPr>
          <w:rFonts w:ascii="Open Sans" w:eastAsia="Times New Roman" w:hAnsi="Open Sans" w:cs="Open Sans"/>
          <w:color w:val="000000"/>
          <w:sz w:val="20"/>
          <w:szCs w:val="20"/>
          <w:lang w:eastAsia="es-ES"/>
        </w:rPr>
      </w:pPr>
      <w:hyperlink r:id="rId435" w:history="1">
        <w:r w:rsidR="00D572EA" w:rsidRPr="00A07BE9">
          <w:rPr>
            <w:rFonts w:ascii="Open Sans" w:eastAsia="Times New Roman" w:hAnsi="Open Sans" w:cs="Open Sans"/>
            <w:color w:val="0563C1" w:themeColor="hyperlink"/>
            <w:sz w:val="20"/>
            <w:szCs w:val="20"/>
            <w:u w:val="single"/>
            <w:lang w:eastAsia="es-ES"/>
          </w:rPr>
          <w:t>https://www.antifraucv.es/wp-content/uploads/2019/02/ACUERDO-CORTS.-PCFP.pdf</w:t>
        </w:r>
      </w:hyperlink>
    </w:p>
    <w:p w14:paraId="19D954D8" w14:textId="77777777" w:rsidR="00D572EA" w:rsidRPr="00A07BE9" w:rsidRDefault="00D572EA" w:rsidP="001C2ABB">
      <w:pPr>
        <w:suppressAutoHyphens/>
        <w:autoSpaceDN w:val="0"/>
        <w:spacing w:after="0" w:line="276" w:lineRule="auto"/>
        <w:jc w:val="both"/>
        <w:rPr>
          <w:rFonts w:ascii="Open Sans" w:eastAsia="Times New Roman" w:hAnsi="Open Sans" w:cs="Open Sans"/>
          <w:color w:val="000000"/>
          <w:sz w:val="20"/>
          <w:szCs w:val="20"/>
          <w:lang w:eastAsia="es-ES"/>
        </w:rPr>
      </w:pPr>
    </w:p>
    <w:p w14:paraId="4198AD79" w14:textId="77777777" w:rsidR="00D572EA" w:rsidRPr="00A07BE9" w:rsidRDefault="00D572EA" w:rsidP="001C2ABB">
      <w:pPr>
        <w:suppressAutoHyphens/>
        <w:autoSpaceDN w:val="0"/>
        <w:spacing w:after="0" w:line="276" w:lineRule="auto"/>
        <w:jc w:val="both"/>
        <w:rPr>
          <w:rFonts w:ascii="Open Sans" w:eastAsia="Times New Roman" w:hAnsi="Open Sans" w:cs="Open Sans"/>
          <w:color w:val="000000"/>
          <w:sz w:val="20"/>
          <w:szCs w:val="20"/>
          <w:lang w:eastAsia="es-ES"/>
        </w:rPr>
      </w:pPr>
      <w:r w:rsidRPr="00A07BE9">
        <w:rPr>
          <w:rFonts w:ascii="Open Sans" w:eastAsia="Times New Roman" w:hAnsi="Open Sans" w:cs="Open Sans"/>
          <w:color w:val="000000"/>
          <w:sz w:val="20"/>
          <w:szCs w:val="20"/>
          <w:lang w:eastAsia="es-ES"/>
        </w:rPr>
        <w:t>En ejercicio de dicha atribución, la Agencia, a requerimiento de la Intervención de les Corts ha venido remitiendo la documentación e información solicitada estando pendiente la emisión del oportuno informe.</w:t>
      </w:r>
    </w:p>
    <w:p w14:paraId="1943CDFB" w14:textId="77777777" w:rsidR="00D572EA" w:rsidRPr="00A07BE9" w:rsidRDefault="00D572EA" w:rsidP="001C2ABB">
      <w:pPr>
        <w:suppressAutoHyphens/>
        <w:autoSpaceDN w:val="0"/>
        <w:spacing w:after="0" w:line="276" w:lineRule="auto"/>
        <w:jc w:val="both"/>
        <w:rPr>
          <w:rFonts w:ascii="Open Sans" w:eastAsia="Times New Roman" w:hAnsi="Open Sans" w:cs="Open Sans"/>
          <w:color w:val="000000"/>
          <w:sz w:val="20"/>
          <w:szCs w:val="20"/>
          <w:lang w:eastAsia="es-ES"/>
        </w:rPr>
      </w:pPr>
    </w:p>
    <w:p w14:paraId="5941D38C" w14:textId="06155ED5" w:rsidR="00D572EA" w:rsidRPr="00A07BE9" w:rsidRDefault="00D572EA" w:rsidP="001C2ABB">
      <w:pPr>
        <w:widowControl w:val="0"/>
        <w:suppressAutoHyphens/>
        <w:autoSpaceDN w:val="0"/>
        <w:spacing w:after="0" w:line="276" w:lineRule="auto"/>
        <w:jc w:val="both"/>
        <w:textAlignment w:val="baseline"/>
        <w:rPr>
          <w:rFonts w:ascii="Open Sans" w:eastAsia="Droid Sans Fallback" w:hAnsi="Open Sans" w:cs="FreeSans"/>
          <w:kern w:val="3"/>
          <w:sz w:val="20"/>
          <w:szCs w:val="20"/>
          <w:lang w:eastAsia="zh-CN" w:bidi="hi-IN"/>
        </w:rPr>
      </w:pPr>
      <w:r w:rsidRPr="00A07BE9">
        <w:rPr>
          <w:rFonts w:ascii="Open Sans" w:eastAsia="Droid Sans Fallback" w:hAnsi="Open Sans" w:cs="FreeSans"/>
          <w:kern w:val="3"/>
          <w:sz w:val="20"/>
          <w:szCs w:val="20"/>
          <w:lang w:eastAsia="zh-CN" w:bidi="hi-IN"/>
        </w:rPr>
        <w:t>Es evidente que cualquier observación y recomendación formulada por los órganos de control externo, Intervención de les Corts y Sindicatura de Comptes, será considerada como una oportunidad de mejora en los procesos de gestión de los recursos, humanos y económicos que desde la Agencia se llevan a cabo en el seno de una entidad de reciente creación y con un funcionamiento intenso desde su puesta en marcha.</w:t>
      </w:r>
      <w:r w:rsidRPr="00A07BE9">
        <w:rPr>
          <w:rFonts w:ascii="Open Sans" w:eastAsia="Droid Sans Fallback" w:hAnsi="Open Sans" w:cs="FreeSans"/>
          <w:kern w:val="3"/>
          <w:sz w:val="20"/>
          <w:szCs w:val="20"/>
          <w:lang w:eastAsia="zh-CN" w:bidi="hi-IN"/>
        </w:rPr>
        <w:br w:type="page"/>
      </w:r>
    </w:p>
    <w:p w14:paraId="7CE3C9F3" w14:textId="035307E4" w:rsidR="00D572EA" w:rsidRPr="00A07BE9" w:rsidRDefault="00D572EA" w:rsidP="00D572EA">
      <w:pPr>
        <w:widowControl w:val="0"/>
        <w:suppressAutoHyphens/>
        <w:autoSpaceDN w:val="0"/>
        <w:spacing w:after="0" w:line="276" w:lineRule="auto"/>
        <w:jc w:val="both"/>
        <w:textAlignment w:val="baseline"/>
        <w:rPr>
          <w:rFonts w:ascii="Open Sans" w:eastAsia="Droid Sans Fallback" w:hAnsi="Open Sans" w:cs="FreeSans"/>
          <w:kern w:val="3"/>
          <w:sz w:val="20"/>
          <w:szCs w:val="20"/>
          <w:lang w:eastAsia="zh-CN" w:bidi="hi-IN"/>
        </w:rPr>
      </w:pPr>
    </w:p>
    <w:p w14:paraId="23627A2A" w14:textId="77777777" w:rsidR="00D075FF" w:rsidRPr="00A07BE9" w:rsidRDefault="00D075FF" w:rsidP="00D572EA">
      <w:pPr>
        <w:widowControl w:val="0"/>
        <w:suppressAutoHyphens/>
        <w:autoSpaceDN w:val="0"/>
        <w:spacing w:after="0" w:line="276" w:lineRule="auto"/>
        <w:jc w:val="both"/>
        <w:textAlignment w:val="baseline"/>
        <w:rPr>
          <w:rFonts w:ascii="Open Sans" w:eastAsia="Droid Sans Fallback" w:hAnsi="Open Sans" w:cs="FreeSans"/>
          <w:kern w:val="3"/>
          <w:sz w:val="20"/>
          <w:szCs w:val="20"/>
          <w:lang w:eastAsia="zh-CN" w:bidi="hi-IN"/>
        </w:rPr>
      </w:pPr>
    </w:p>
    <w:p w14:paraId="1164EB3C" w14:textId="0B876604" w:rsidR="002D0FF9" w:rsidRPr="00A07BE9" w:rsidRDefault="002D0FF9" w:rsidP="002D0FF9">
      <w:pPr>
        <w:pStyle w:val="NormalWeb"/>
        <w:spacing w:after="0" w:line="240" w:lineRule="auto"/>
        <w:rPr>
          <w:rFonts w:ascii="Open Sans" w:hAnsi="Open Sans" w:cs="Open Sans"/>
          <w:color w:val="9D2235"/>
        </w:rPr>
      </w:pPr>
      <w:r w:rsidRPr="00A07BE9">
        <w:rPr>
          <w:rFonts w:ascii="Open Sans" w:hAnsi="Open Sans" w:cs="Open Sans"/>
          <w:b/>
          <w:bCs/>
          <w:smallCaps/>
          <w:color w:val="9D2235"/>
          <w:spacing w:val="-14"/>
          <w:sz w:val="200"/>
          <w:szCs w:val="200"/>
        </w:rPr>
        <w:t>07</w:t>
      </w:r>
    </w:p>
    <w:p w14:paraId="2F7EE3F6" w14:textId="31E4802B" w:rsidR="00D075FF" w:rsidRPr="00A07BE9" w:rsidRDefault="002D0FF9" w:rsidP="002D0FF9">
      <w:pPr>
        <w:pStyle w:val="NormalWeb"/>
        <w:spacing w:before="280" w:after="0" w:line="240" w:lineRule="auto"/>
        <w:rPr>
          <w:rFonts w:ascii="Open Sans" w:hAnsi="Open Sans" w:cs="Open Sans"/>
          <w:b/>
          <w:bCs/>
          <w:color w:val="9D2235"/>
          <w:spacing w:val="-14"/>
          <w:sz w:val="32"/>
          <w:szCs w:val="32"/>
        </w:rPr>
      </w:pPr>
      <w:r w:rsidRPr="00A07BE9">
        <w:rPr>
          <w:rFonts w:ascii="Open Sans" w:hAnsi="Open Sans" w:cs="Open Sans"/>
          <w:b/>
          <w:bCs/>
          <w:color w:val="9D2235"/>
          <w:spacing w:val="-14"/>
          <w:sz w:val="80"/>
          <w:szCs w:val="80"/>
        </w:rPr>
        <w:t xml:space="preserve">Conclusiones y </w:t>
      </w:r>
      <w:r w:rsidR="00B97A6B" w:rsidRPr="00A07BE9">
        <w:rPr>
          <w:rFonts w:ascii="Open Sans" w:hAnsi="Open Sans" w:cs="Open Sans"/>
          <w:b/>
          <w:bCs/>
          <w:color w:val="9D2235"/>
          <w:spacing w:val="-14"/>
          <w:sz w:val="80"/>
          <w:szCs w:val="80"/>
        </w:rPr>
        <w:t>r</w:t>
      </w:r>
      <w:r w:rsidRPr="00A07BE9">
        <w:rPr>
          <w:rFonts w:ascii="Open Sans" w:hAnsi="Open Sans" w:cs="Open Sans"/>
          <w:b/>
          <w:bCs/>
          <w:color w:val="9D2235"/>
          <w:spacing w:val="-14"/>
          <w:sz w:val="80"/>
          <w:szCs w:val="80"/>
        </w:rPr>
        <w:t>eflexiones</w:t>
      </w:r>
    </w:p>
    <w:p w14:paraId="2615CB9D" w14:textId="2D30FF48" w:rsidR="00D075FF" w:rsidRPr="00A07BE9" w:rsidRDefault="00D075FF" w:rsidP="00FE41A1">
      <w:pPr>
        <w:pStyle w:val="NormalWeb"/>
        <w:spacing w:before="0" w:beforeAutospacing="0" w:after="0" w:line="240" w:lineRule="auto"/>
        <w:rPr>
          <w:rFonts w:ascii="Open Sans" w:hAnsi="Open Sans" w:cs="Open Sans"/>
          <w:b/>
          <w:bCs/>
          <w:color w:val="9D2235"/>
          <w:spacing w:val="-14"/>
          <w:sz w:val="32"/>
          <w:szCs w:val="32"/>
        </w:rPr>
      </w:pPr>
    </w:p>
    <w:p w14:paraId="4BBE3E4E" w14:textId="77777777" w:rsidR="00D075FF" w:rsidRPr="00A07BE9" w:rsidRDefault="00D075FF" w:rsidP="00FE41A1">
      <w:pPr>
        <w:pStyle w:val="NormalWeb"/>
        <w:spacing w:before="0" w:beforeAutospacing="0" w:after="0" w:line="240" w:lineRule="auto"/>
        <w:rPr>
          <w:rFonts w:ascii="Open Sans" w:hAnsi="Open Sans" w:cs="Open Sans"/>
          <w:b/>
          <w:bCs/>
          <w:color w:val="9D2235"/>
          <w:spacing w:val="-14"/>
          <w:sz w:val="32"/>
          <w:szCs w:val="32"/>
        </w:rPr>
      </w:pPr>
    </w:p>
    <w:p w14:paraId="64F1E5D8" w14:textId="4F85988E" w:rsidR="002D0FF9" w:rsidRPr="00A07BE9" w:rsidRDefault="002D0FF9" w:rsidP="002D0FF9">
      <w:pPr>
        <w:tabs>
          <w:tab w:val="left" w:pos="738"/>
        </w:tabs>
        <w:spacing w:after="0" w:line="276" w:lineRule="auto"/>
        <w:jc w:val="both"/>
        <w:rPr>
          <w:color w:val="9D2235"/>
          <w:sz w:val="32"/>
          <w:szCs w:val="32"/>
        </w:rPr>
      </w:pPr>
      <w:r w:rsidRPr="00A07BE9">
        <w:rPr>
          <w:rFonts w:ascii="Open Sans" w:hAnsi="Open Sans" w:cs="Arial"/>
          <w:b/>
          <w:bCs/>
          <w:color w:val="9D2235"/>
          <w:w w:val="105"/>
          <w:sz w:val="32"/>
          <w:szCs w:val="32"/>
        </w:rPr>
        <w:t>7.1</w:t>
      </w:r>
      <w:r w:rsidR="00575AA9" w:rsidRPr="00A07BE9">
        <w:rPr>
          <w:rFonts w:ascii="Open Sans" w:hAnsi="Open Sans" w:cs="Arial"/>
          <w:b/>
          <w:bCs/>
          <w:color w:val="9D2235"/>
          <w:w w:val="105"/>
          <w:sz w:val="32"/>
          <w:szCs w:val="32"/>
        </w:rPr>
        <w:t>.</w:t>
      </w:r>
      <w:r w:rsidRPr="00A07BE9">
        <w:rPr>
          <w:rFonts w:ascii="Open Sans" w:hAnsi="Open Sans" w:cs="Arial"/>
          <w:b/>
          <w:bCs/>
          <w:color w:val="9D2235"/>
          <w:w w:val="105"/>
          <w:sz w:val="32"/>
          <w:szCs w:val="32"/>
        </w:rPr>
        <w:t xml:space="preserve"> SOBRE LA QUIEBRA DE LA OBJETIVIDAD E IMPARCIALIDAD EN EL EJERCICIO DE FUNCIONES PÚBLICAS</w:t>
      </w:r>
    </w:p>
    <w:p w14:paraId="2F0B70E0" w14:textId="77777777" w:rsidR="002D0FF9" w:rsidRPr="00A07BE9" w:rsidRDefault="002D0FF9" w:rsidP="002D0FF9">
      <w:pPr>
        <w:tabs>
          <w:tab w:val="left" w:pos="738"/>
        </w:tabs>
        <w:spacing w:after="0" w:line="276" w:lineRule="auto"/>
        <w:jc w:val="both"/>
        <w:rPr>
          <w:rFonts w:ascii="Open Sans" w:hAnsi="Open Sans" w:cs="Open Sans"/>
          <w:w w:val="105"/>
          <w:sz w:val="20"/>
          <w:szCs w:val="20"/>
        </w:rPr>
      </w:pPr>
    </w:p>
    <w:p w14:paraId="64F6204F" w14:textId="77777777" w:rsidR="002D0FF9" w:rsidRPr="00A07BE9" w:rsidRDefault="002D0FF9" w:rsidP="002D0FF9">
      <w:pPr>
        <w:tabs>
          <w:tab w:val="left" w:pos="738"/>
        </w:tabs>
        <w:spacing w:after="0" w:line="276" w:lineRule="auto"/>
        <w:jc w:val="both"/>
        <w:rPr>
          <w:rFonts w:ascii="Open Sans" w:hAnsi="Open Sans"/>
        </w:rPr>
      </w:pPr>
      <w:r w:rsidRPr="00A07BE9">
        <w:rPr>
          <w:rFonts w:ascii="Open Sans" w:hAnsi="Open Sans" w:cs="Arial"/>
          <w:w w:val="105"/>
          <w:sz w:val="20"/>
          <w:szCs w:val="20"/>
        </w:rPr>
        <w:t>Entendemos por “objetividad” la manera de actuar considerando todos los elementos en juego y su adecuada ponderación según la pericia del servidor/a público/a, independientemente de sus creencias o sentimientos. El concepto de “imparcialidad”, en cambio, exige actuar de forma legítima y adoptar las decisiones de forma independiente y representativa del interés general de la ciudadanía, y no de determinados colectivos o intereses políticos o condicionados por un conflicto de interés.</w:t>
      </w:r>
    </w:p>
    <w:p w14:paraId="514255DB" w14:textId="77777777" w:rsidR="002D0FF9" w:rsidRPr="00A07BE9" w:rsidRDefault="002D0FF9" w:rsidP="002D0FF9">
      <w:pPr>
        <w:tabs>
          <w:tab w:val="left" w:pos="738"/>
        </w:tabs>
        <w:spacing w:after="0" w:line="276" w:lineRule="auto"/>
        <w:jc w:val="both"/>
        <w:rPr>
          <w:rFonts w:ascii="Open Sans" w:hAnsi="Open Sans" w:cs="Open Sans"/>
          <w:w w:val="105"/>
          <w:sz w:val="20"/>
          <w:szCs w:val="20"/>
        </w:rPr>
      </w:pPr>
    </w:p>
    <w:p w14:paraId="78E4A69F" w14:textId="2E8C9D3C" w:rsidR="002D0FF9" w:rsidRPr="00A07BE9" w:rsidRDefault="002D0FF9" w:rsidP="002D0FF9">
      <w:pPr>
        <w:tabs>
          <w:tab w:val="left" w:pos="738"/>
        </w:tabs>
        <w:spacing w:after="0" w:line="276" w:lineRule="auto"/>
        <w:jc w:val="both"/>
        <w:rPr>
          <w:rFonts w:ascii="Open Sans" w:hAnsi="Open Sans"/>
        </w:rPr>
      </w:pPr>
      <w:r w:rsidRPr="00A07BE9">
        <w:rPr>
          <w:rFonts w:ascii="Open Sans" w:hAnsi="Open Sans" w:cs="Arial"/>
          <w:w w:val="105"/>
          <w:sz w:val="20"/>
          <w:szCs w:val="20"/>
        </w:rPr>
        <w:t xml:space="preserve">El artículo 103 CE recoge los principios de actuación de cualquier Administración Pública, configurándose como misión común y última la de servir con </w:t>
      </w:r>
      <w:r w:rsidRPr="00A07BE9">
        <w:rPr>
          <w:rFonts w:ascii="Open Sans" w:hAnsi="Open Sans" w:cs="Arial"/>
          <w:bCs/>
          <w:w w:val="105"/>
          <w:sz w:val="20"/>
          <w:szCs w:val="20"/>
        </w:rPr>
        <w:t>objetividad</w:t>
      </w:r>
      <w:r w:rsidRPr="00A07BE9">
        <w:rPr>
          <w:rFonts w:ascii="Open Sans" w:hAnsi="Open Sans" w:cs="Arial"/>
          <w:w w:val="105"/>
          <w:sz w:val="20"/>
          <w:szCs w:val="20"/>
        </w:rPr>
        <w:t xml:space="preserve"> y con sometimiento pleno a la ley y al Derecho los intereses generales, debiendo apartarse, en consecuencia, de cualquier interés privado que desvíe de dicha misión. En efecto, el artículo 103.3 CE en relación con el 23.2</w:t>
      </w:r>
      <w:r w:rsidR="00575AA9" w:rsidRPr="00A07BE9">
        <w:rPr>
          <w:rFonts w:ascii="Open Sans" w:hAnsi="Open Sans" w:cs="Arial"/>
          <w:w w:val="105"/>
          <w:sz w:val="20"/>
          <w:szCs w:val="20"/>
        </w:rPr>
        <w:t xml:space="preserve"> </w:t>
      </w:r>
      <w:r w:rsidRPr="00A07BE9">
        <w:rPr>
          <w:rFonts w:ascii="Open Sans" w:hAnsi="Open Sans" w:cs="Arial"/>
          <w:w w:val="105"/>
          <w:sz w:val="20"/>
          <w:szCs w:val="20"/>
        </w:rPr>
        <w:t xml:space="preserve">CE, de un lado, garantiza que en el acceso a la función pública prime el mérito y la capacidad y, de otro, alude a la regulación de un sistema de incompatibilidades y garantías dirigidas a salvaguardar la </w:t>
      </w:r>
      <w:r w:rsidRPr="00A07BE9">
        <w:rPr>
          <w:rFonts w:ascii="Open Sans" w:hAnsi="Open Sans" w:cs="Arial"/>
          <w:bCs/>
          <w:w w:val="105"/>
          <w:sz w:val="20"/>
          <w:szCs w:val="20"/>
        </w:rPr>
        <w:t>imparcialidad</w:t>
      </w:r>
      <w:r w:rsidRPr="00A07BE9">
        <w:rPr>
          <w:rFonts w:ascii="Open Sans" w:hAnsi="Open Sans" w:cs="Arial"/>
          <w:w w:val="105"/>
          <w:sz w:val="20"/>
          <w:szCs w:val="20"/>
        </w:rPr>
        <w:t xml:space="preserve"> de los funcionarios/as en el ejercicio de sus funciones. </w:t>
      </w:r>
    </w:p>
    <w:p w14:paraId="7F4CDCB0" w14:textId="77777777" w:rsidR="002D0FF9" w:rsidRPr="00A07BE9" w:rsidRDefault="002D0FF9" w:rsidP="002D0FF9">
      <w:pPr>
        <w:tabs>
          <w:tab w:val="left" w:pos="738"/>
        </w:tabs>
        <w:spacing w:after="0" w:line="276" w:lineRule="auto"/>
        <w:jc w:val="both"/>
        <w:rPr>
          <w:sz w:val="20"/>
          <w:szCs w:val="20"/>
        </w:rPr>
      </w:pPr>
      <w:r w:rsidRPr="00A07BE9">
        <w:rPr>
          <w:rFonts w:ascii="Open Sans" w:hAnsi="Open Sans" w:cs="Arial"/>
          <w:w w:val="105"/>
          <w:sz w:val="20"/>
          <w:szCs w:val="20"/>
        </w:rPr>
        <w:lastRenderedPageBreak/>
        <w:t xml:space="preserve">No obstante, pese a los sólidos mecanismos legales existentes para evitar que injerencias privadas impidan lograr el interés público, detectamos riesgos de fraude y corrupción en las entidades públicas de la Comunitat Valenciana que traen causa en la </w:t>
      </w:r>
      <w:r w:rsidRPr="00A07BE9">
        <w:rPr>
          <w:rFonts w:ascii="Open Sans" w:hAnsi="Open Sans" w:cs="Arial"/>
          <w:bCs/>
          <w:w w:val="105"/>
          <w:sz w:val="20"/>
          <w:szCs w:val="20"/>
        </w:rPr>
        <w:t>quiebra de la objetividad e imparcialidad de los servidores/as públicos/as.</w:t>
      </w:r>
    </w:p>
    <w:p w14:paraId="42BB50A3" w14:textId="77777777" w:rsidR="002D0FF9" w:rsidRPr="00A07BE9" w:rsidRDefault="002D0FF9" w:rsidP="002D0FF9">
      <w:pPr>
        <w:tabs>
          <w:tab w:val="left" w:pos="738"/>
        </w:tabs>
        <w:spacing w:after="0" w:line="276" w:lineRule="auto"/>
        <w:jc w:val="both"/>
        <w:rPr>
          <w:rFonts w:ascii="Open Sans" w:hAnsi="Open Sans" w:cs="Arial"/>
          <w:w w:val="105"/>
          <w:sz w:val="20"/>
          <w:szCs w:val="20"/>
        </w:rPr>
      </w:pPr>
    </w:p>
    <w:p w14:paraId="27114B11" w14:textId="0D1574BF" w:rsidR="002D0FF9" w:rsidRPr="00A07BE9" w:rsidRDefault="002D0FF9" w:rsidP="002D0FF9">
      <w:pPr>
        <w:tabs>
          <w:tab w:val="left" w:pos="738"/>
        </w:tabs>
        <w:spacing w:after="0" w:line="276" w:lineRule="auto"/>
        <w:jc w:val="both"/>
        <w:rPr>
          <w:sz w:val="20"/>
          <w:szCs w:val="20"/>
        </w:rPr>
      </w:pPr>
      <w:r w:rsidRPr="00A07BE9">
        <w:rPr>
          <w:rFonts w:ascii="Open Sans" w:hAnsi="Open Sans" w:cs="Arial"/>
          <w:w w:val="105"/>
          <w:sz w:val="20"/>
          <w:szCs w:val="20"/>
        </w:rPr>
        <w:t xml:space="preserve">En cuanto a la vulneración de los principios de </w:t>
      </w:r>
      <w:r w:rsidRPr="00A07BE9">
        <w:rPr>
          <w:rFonts w:ascii="Open Sans" w:hAnsi="Open Sans" w:cs="Arial"/>
          <w:bCs/>
          <w:w w:val="105"/>
          <w:sz w:val="20"/>
          <w:szCs w:val="20"/>
        </w:rPr>
        <w:t>acceso a la función pública</w:t>
      </w:r>
      <w:r w:rsidRPr="00A07BE9">
        <w:rPr>
          <w:rFonts w:ascii="Open Sans" w:hAnsi="Open Sans" w:cs="Arial"/>
          <w:w w:val="105"/>
          <w:sz w:val="20"/>
          <w:szCs w:val="20"/>
        </w:rPr>
        <w:t xml:space="preserve">, nos remitimos a las Reflexiones y Consideraciones finales realizadas en nuestra </w:t>
      </w:r>
      <w:r w:rsidR="0065585D" w:rsidRPr="00A07BE9">
        <w:rPr>
          <w:rFonts w:ascii="Open Sans" w:hAnsi="Open Sans" w:cs="Arial"/>
          <w:w w:val="105"/>
          <w:sz w:val="20"/>
          <w:szCs w:val="20"/>
        </w:rPr>
        <w:t>M</w:t>
      </w:r>
      <w:r w:rsidRPr="00A07BE9">
        <w:rPr>
          <w:rFonts w:ascii="Open Sans" w:hAnsi="Open Sans" w:cs="Arial"/>
          <w:w w:val="105"/>
          <w:sz w:val="20"/>
          <w:szCs w:val="20"/>
        </w:rPr>
        <w:t xml:space="preserve">emoria del ejercicio 2018, resultando de plena aplicación al 2019, habida cuenta el elevado número de denuncias que han entrado en la Agencia por esta causa. La </w:t>
      </w:r>
      <w:r w:rsidRPr="00A07BE9">
        <w:rPr>
          <w:rFonts w:ascii="Open Sans" w:hAnsi="Open Sans" w:cs="Arial"/>
          <w:bCs/>
          <w:w w:val="105"/>
          <w:sz w:val="20"/>
          <w:szCs w:val="20"/>
        </w:rPr>
        <w:t xml:space="preserve">meritocracia y la capacidad </w:t>
      </w:r>
      <w:r w:rsidRPr="00A07BE9">
        <w:rPr>
          <w:rFonts w:ascii="Open Sans" w:hAnsi="Open Sans" w:cs="Arial"/>
          <w:w w:val="105"/>
          <w:sz w:val="20"/>
          <w:szCs w:val="20"/>
        </w:rPr>
        <w:t>deben ser las</w:t>
      </w:r>
      <w:r w:rsidRPr="00A07BE9">
        <w:rPr>
          <w:rFonts w:ascii="Open Sans" w:hAnsi="Open Sans" w:cs="Arial"/>
          <w:bCs/>
          <w:w w:val="105"/>
          <w:sz w:val="20"/>
          <w:szCs w:val="20"/>
        </w:rPr>
        <w:t xml:space="preserve"> únicas llaves para abrir las puertas de la función pública</w:t>
      </w:r>
      <w:r w:rsidRPr="00A07BE9">
        <w:rPr>
          <w:rFonts w:ascii="Open Sans" w:hAnsi="Open Sans" w:cs="Arial"/>
          <w:w w:val="105"/>
          <w:sz w:val="20"/>
          <w:szCs w:val="20"/>
        </w:rPr>
        <w:t xml:space="preserve"> y, por ende, el fin último de los sistemas de selección de personal.</w:t>
      </w:r>
    </w:p>
    <w:p w14:paraId="5D799A73" w14:textId="77777777" w:rsidR="002D0FF9" w:rsidRPr="00A07BE9" w:rsidRDefault="002D0FF9" w:rsidP="002D0FF9">
      <w:pPr>
        <w:tabs>
          <w:tab w:val="left" w:pos="738"/>
        </w:tabs>
        <w:spacing w:after="0" w:line="276" w:lineRule="auto"/>
        <w:jc w:val="both"/>
        <w:rPr>
          <w:rFonts w:ascii="Open Sans" w:hAnsi="Open Sans" w:cs="Arial"/>
          <w:w w:val="105"/>
          <w:sz w:val="20"/>
          <w:szCs w:val="20"/>
        </w:rPr>
      </w:pPr>
    </w:p>
    <w:p w14:paraId="1D270E5D" w14:textId="4D83A1CD" w:rsidR="002D0FF9" w:rsidRPr="00A07BE9" w:rsidRDefault="002D0FF9" w:rsidP="002D0FF9">
      <w:pPr>
        <w:tabs>
          <w:tab w:val="left" w:pos="738"/>
        </w:tabs>
        <w:spacing w:after="0" w:line="276" w:lineRule="auto"/>
        <w:jc w:val="both"/>
        <w:rPr>
          <w:rFonts w:ascii="Open Sans" w:hAnsi="Open Sans" w:cs="Arial"/>
          <w:w w:val="105"/>
          <w:sz w:val="21"/>
          <w:szCs w:val="21"/>
        </w:rPr>
      </w:pPr>
      <w:r w:rsidRPr="00A07BE9">
        <w:rPr>
          <w:rFonts w:ascii="Open Sans" w:hAnsi="Open Sans" w:cs="Arial"/>
          <w:w w:val="105"/>
          <w:sz w:val="20"/>
          <w:szCs w:val="20"/>
        </w:rPr>
        <w:t xml:space="preserve">En lo relativo a las </w:t>
      </w:r>
      <w:r w:rsidRPr="00A07BE9">
        <w:rPr>
          <w:rFonts w:ascii="Open Sans" w:hAnsi="Open Sans" w:cs="Arial"/>
          <w:bCs/>
          <w:w w:val="105"/>
          <w:sz w:val="20"/>
          <w:szCs w:val="20"/>
        </w:rPr>
        <w:t>incompatibilidades</w:t>
      </w:r>
      <w:r w:rsidRPr="00A07BE9">
        <w:rPr>
          <w:rFonts w:ascii="Open Sans" w:hAnsi="Open Sans" w:cs="Arial"/>
          <w:w w:val="105"/>
          <w:sz w:val="20"/>
          <w:szCs w:val="20"/>
        </w:rPr>
        <w:t xml:space="preserve"> para el ejercicio de la función pública por cualquier servidor público (incluidos cargos electos) es doctrina reiterada del Tribunal Constitucional (por todas, STC 73/1997, de 11 de abril) que </w:t>
      </w:r>
      <w:r w:rsidRPr="00A07BE9">
        <w:rPr>
          <w:rFonts w:ascii="Open Sans" w:hAnsi="Open Sans" w:cs="Arial"/>
          <w:i/>
          <w:iCs/>
          <w:w w:val="105"/>
          <w:sz w:val="20"/>
          <w:szCs w:val="20"/>
        </w:rPr>
        <w:t>tienden a garantizar su objetividad de actuación en evitación de relaciones de dependencia perturbadoras, así como su eficacia, procurando la máxima dedicación a las funciones propias de su empleo o carg</w:t>
      </w:r>
      <w:r w:rsidR="0004391F" w:rsidRPr="00A07BE9">
        <w:rPr>
          <w:rFonts w:ascii="Open Sans" w:hAnsi="Open Sans" w:cs="Arial"/>
          <w:i/>
          <w:iCs/>
          <w:w w:val="105"/>
          <w:sz w:val="20"/>
          <w:szCs w:val="20"/>
        </w:rPr>
        <w:t>o</w:t>
      </w:r>
      <w:r w:rsidRPr="00A07BE9">
        <w:rPr>
          <w:rFonts w:ascii="Open Sans" w:hAnsi="Open Sans" w:cs="Arial"/>
          <w:w w:val="105"/>
          <w:sz w:val="20"/>
          <w:szCs w:val="20"/>
        </w:rPr>
        <w:t>.</w:t>
      </w:r>
    </w:p>
    <w:p w14:paraId="7E5EBE6D" w14:textId="77777777" w:rsidR="002D0FF9" w:rsidRPr="00A07BE9" w:rsidRDefault="002D0FF9" w:rsidP="002D0FF9">
      <w:pPr>
        <w:tabs>
          <w:tab w:val="left" w:pos="738"/>
        </w:tabs>
        <w:spacing w:after="0" w:line="276" w:lineRule="auto"/>
        <w:jc w:val="both"/>
        <w:rPr>
          <w:rFonts w:ascii="Open Sans" w:hAnsi="Open Sans" w:cs="Arial"/>
          <w:w w:val="105"/>
          <w:sz w:val="20"/>
          <w:szCs w:val="20"/>
        </w:rPr>
      </w:pPr>
    </w:p>
    <w:p w14:paraId="13BC6817" w14:textId="77777777" w:rsidR="002D0FF9" w:rsidRPr="00A07BE9" w:rsidRDefault="002D0FF9" w:rsidP="002D0FF9">
      <w:pPr>
        <w:tabs>
          <w:tab w:val="left" w:pos="738"/>
        </w:tabs>
        <w:spacing w:after="0" w:line="276" w:lineRule="auto"/>
        <w:jc w:val="both"/>
        <w:rPr>
          <w:rFonts w:ascii="Open Sans" w:hAnsi="Open Sans" w:cs="Arial"/>
          <w:w w:val="105"/>
          <w:sz w:val="21"/>
          <w:szCs w:val="21"/>
        </w:rPr>
      </w:pPr>
      <w:r w:rsidRPr="00A07BE9">
        <w:rPr>
          <w:rFonts w:ascii="Open Sans" w:hAnsi="Open Sans" w:cs="Arial"/>
          <w:w w:val="105"/>
          <w:sz w:val="20"/>
          <w:szCs w:val="20"/>
        </w:rPr>
        <w:t xml:space="preserve">Sin embargo, </w:t>
      </w:r>
      <w:r w:rsidRPr="00A07BE9">
        <w:rPr>
          <w:rFonts w:ascii="Open Sans" w:hAnsi="Open Sans" w:cs="Arial"/>
          <w:bCs/>
          <w:w w:val="105"/>
          <w:sz w:val="20"/>
          <w:szCs w:val="20"/>
        </w:rPr>
        <w:t>las medidas se han quedado en el plano formal</w:t>
      </w:r>
      <w:r w:rsidRPr="00A07BE9">
        <w:rPr>
          <w:rFonts w:ascii="Open Sans" w:hAnsi="Open Sans" w:cs="Arial"/>
          <w:w w:val="105"/>
          <w:sz w:val="20"/>
          <w:szCs w:val="20"/>
        </w:rPr>
        <w:t xml:space="preserve">, quedando circunscrita la cuestión a la retributiva tras la reciente unificación de doctrina por Sentencia del Tribunal Supremo (STS 3888/2019, de 5 de diciembre); esto es, permitiéndose que, cumplidos los requisitos de la normativa, se reconozca la compatibilidad para el ejercicio de un segundo puesto en el sector público o privado si el empleado/a público/a no percibe un complemento que le retribuya específicamente el factor incompatibilidad o dicho complemento es inferior al 30% de sus retribuciones básicas (excluidas las de antigüedad). </w:t>
      </w:r>
    </w:p>
    <w:p w14:paraId="3DF20403" w14:textId="77777777" w:rsidR="002D0FF9" w:rsidRPr="00A07BE9" w:rsidRDefault="002D0FF9" w:rsidP="002D0FF9">
      <w:pPr>
        <w:tabs>
          <w:tab w:val="left" w:pos="738"/>
        </w:tabs>
        <w:spacing w:after="0" w:line="276" w:lineRule="auto"/>
        <w:jc w:val="both"/>
        <w:rPr>
          <w:rFonts w:ascii="Open Sans" w:hAnsi="Open Sans" w:cs="Arial"/>
          <w:w w:val="105"/>
          <w:sz w:val="20"/>
          <w:szCs w:val="20"/>
        </w:rPr>
      </w:pPr>
    </w:p>
    <w:p w14:paraId="0890AFC6" w14:textId="77777777" w:rsidR="002D0FF9" w:rsidRPr="00A07BE9" w:rsidRDefault="002D0FF9" w:rsidP="002D0FF9">
      <w:pPr>
        <w:tabs>
          <w:tab w:val="left" w:pos="738"/>
        </w:tabs>
        <w:spacing w:after="0" w:line="276" w:lineRule="auto"/>
        <w:jc w:val="both"/>
        <w:rPr>
          <w:sz w:val="20"/>
          <w:szCs w:val="20"/>
        </w:rPr>
      </w:pPr>
      <w:r w:rsidRPr="00A07BE9">
        <w:rPr>
          <w:rFonts w:ascii="Open Sans" w:hAnsi="Open Sans" w:cs="Arial"/>
          <w:w w:val="105"/>
          <w:sz w:val="20"/>
          <w:szCs w:val="20"/>
        </w:rPr>
        <w:t>En cualquier caso, debemos recordar que el deber de actuar con objetividad e imparcialidad en el ejercicio de las funciones públicas es exigible con independencia de que un servidor público obtenga o no un reconocimiento de compatibilidad.</w:t>
      </w:r>
    </w:p>
    <w:p w14:paraId="31B3F9C0" w14:textId="77777777" w:rsidR="002D0FF9" w:rsidRPr="00A07BE9" w:rsidRDefault="002D0FF9" w:rsidP="002D0FF9">
      <w:pPr>
        <w:tabs>
          <w:tab w:val="left" w:pos="738"/>
        </w:tabs>
        <w:spacing w:after="0" w:line="276" w:lineRule="auto"/>
        <w:jc w:val="both"/>
        <w:rPr>
          <w:rFonts w:cs="Arial"/>
          <w:w w:val="105"/>
          <w:sz w:val="20"/>
          <w:szCs w:val="20"/>
        </w:rPr>
      </w:pPr>
    </w:p>
    <w:p w14:paraId="608104C7" w14:textId="77777777" w:rsidR="002D0FF9" w:rsidRPr="00A07BE9" w:rsidRDefault="002D0FF9" w:rsidP="002D0FF9">
      <w:pPr>
        <w:tabs>
          <w:tab w:val="left" w:pos="738"/>
        </w:tabs>
        <w:spacing w:after="0" w:line="276" w:lineRule="auto"/>
        <w:jc w:val="both"/>
        <w:rPr>
          <w:sz w:val="20"/>
          <w:szCs w:val="20"/>
        </w:rPr>
      </w:pPr>
      <w:r w:rsidRPr="00A07BE9">
        <w:rPr>
          <w:rFonts w:ascii="Open Sans" w:hAnsi="Open Sans" w:cs="Arial"/>
          <w:w w:val="105"/>
          <w:sz w:val="20"/>
          <w:szCs w:val="20"/>
        </w:rPr>
        <w:t xml:space="preserve">La alarmante consecuencia de mantenerse en el plano formal es que </w:t>
      </w:r>
      <w:r w:rsidRPr="00A07BE9">
        <w:rPr>
          <w:rFonts w:ascii="Open Sans" w:hAnsi="Open Sans" w:cs="Arial"/>
          <w:bCs/>
          <w:w w:val="105"/>
          <w:sz w:val="20"/>
          <w:szCs w:val="20"/>
        </w:rPr>
        <w:t>nadie vele por detectar y controlar si d</w:t>
      </w:r>
      <w:r w:rsidRPr="00A07BE9">
        <w:rPr>
          <w:rFonts w:ascii="Open Sans" w:hAnsi="Open Sans" w:cs="Arial"/>
          <w:w w:val="105"/>
          <w:sz w:val="20"/>
          <w:szCs w:val="20"/>
        </w:rPr>
        <w:t>ichas compatibilidades público-privadas incrementan las situaciones de</w:t>
      </w:r>
      <w:r w:rsidRPr="00A07BE9">
        <w:rPr>
          <w:rFonts w:ascii="Open Sans" w:hAnsi="Open Sans" w:cs="Arial"/>
          <w:bCs/>
          <w:w w:val="105"/>
          <w:sz w:val="20"/>
          <w:szCs w:val="20"/>
        </w:rPr>
        <w:t xml:space="preserve"> conflictos de interés</w:t>
      </w:r>
      <w:r w:rsidRPr="00A07BE9">
        <w:rPr>
          <w:rFonts w:ascii="Open Sans" w:hAnsi="Open Sans" w:cs="Arial"/>
          <w:w w:val="105"/>
          <w:sz w:val="20"/>
          <w:szCs w:val="20"/>
        </w:rPr>
        <w:t xml:space="preserve"> latentes en cualquier proceso de toma de decisiones (y su gestión pública), </w:t>
      </w:r>
      <w:r w:rsidRPr="00A07BE9">
        <w:rPr>
          <w:rFonts w:ascii="Open Sans" w:hAnsi="Open Sans" w:cs="Arial"/>
          <w:bCs/>
          <w:w w:val="105"/>
          <w:sz w:val="20"/>
          <w:szCs w:val="20"/>
        </w:rPr>
        <w:t>riesgos de fraude y corrupción</w:t>
      </w:r>
      <w:r w:rsidRPr="00A07BE9">
        <w:rPr>
          <w:rFonts w:ascii="Open Sans" w:hAnsi="Open Sans" w:cs="Arial"/>
          <w:w w:val="105"/>
          <w:sz w:val="20"/>
          <w:szCs w:val="20"/>
        </w:rPr>
        <w:t xml:space="preserve">. </w:t>
      </w:r>
    </w:p>
    <w:p w14:paraId="50A131D0" w14:textId="77777777" w:rsidR="002D0FF9" w:rsidRPr="00A07BE9" w:rsidRDefault="002D0FF9" w:rsidP="002D0FF9">
      <w:pPr>
        <w:tabs>
          <w:tab w:val="left" w:pos="738"/>
        </w:tabs>
        <w:spacing w:after="0" w:line="276" w:lineRule="auto"/>
        <w:jc w:val="both"/>
        <w:rPr>
          <w:rFonts w:ascii="Open Sans" w:hAnsi="Open Sans" w:cs="Arial"/>
          <w:w w:val="105"/>
          <w:sz w:val="20"/>
          <w:szCs w:val="20"/>
        </w:rPr>
      </w:pPr>
    </w:p>
    <w:p w14:paraId="5300EB80" w14:textId="77777777" w:rsidR="002D0FF9" w:rsidRPr="00A07BE9" w:rsidRDefault="002D0FF9" w:rsidP="002D0FF9">
      <w:pPr>
        <w:tabs>
          <w:tab w:val="left" w:pos="738"/>
        </w:tabs>
        <w:spacing w:after="0" w:line="276" w:lineRule="auto"/>
        <w:jc w:val="both"/>
        <w:rPr>
          <w:rFonts w:ascii="Open Sans" w:hAnsi="Open Sans" w:cs="Arial"/>
          <w:w w:val="105"/>
          <w:sz w:val="21"/>
          <w:szCs w:val="21"/>
        </w:rPr>
      </w:pPr>
      <w:r w:rsidRPr="00A07BE9">
        <w:rPr>
          <w:rFonts w:ascii="Open Sans" w:hAnsi="Open Sans" w:cs="Arial"/>
          <w:w w:val="105"/>
          <w:sz w:val="20"/>
          <w:szCs w:val="20"/>
        </w:rPr>
        <w:t>En efecto, todos los servidores públicos tienen intereses particulares legítimos que inevitablemente entrarán en conflicto con el deber público, de forma que su actuación se verá influida real, potencial o aparentemente por aquellos intereses. La situación no es un problema, hay que reconocerla y gestionarla</w:t>
      </w:r>
      <w:r w:rsidRPr="00A07BE9">
        <w:rPr>
          <w:rFonts w:ascii="Open Sans" w:hAnsi="Open Sans" w:cs="Arial"/>
          <w:w w:val="105"/>
          <w:sz w:val="21"/>
          <w:szCs w:val="21"/>
        </w:rPr>
        <w:t xml:space="preserve"> </w:t>
      </w:r>
      <w:r w:rsidRPr="00A07BE9">
        <w:rPr>
          <w:rFonts w:ascii="Open Sans" w:hAnsi="Open Sans" w:cs="Arial"/>
          <w:w w:val="105"/>
          <w:sz w:val="20"/>
          <w:szCs w:val="20"/>
        </w:rPr>
        <w:t xml:space="preserve">adecuadamente para no comprometer el ejercicio independiente, objetivo e imparcial del deber público. </w:t>
      </w:r>
    </w:p>
    <w:p w14:paraId="65577FC4" w14:textId="77777777" w:rsidR="002D0FF9" w:rsidRPr="00A07BE9" w:rsidRDefault="002D0FF9" w:rsidP="002D0FF9">
      <w:pPr>
        <w:tabs>
          <w:tab w:val="left" w:pos="738"/>
        </w:tabs>
        <w:spacing w:after="0" w:line="276" w:lineRule="auto"/>
        <w:jc w:val="both"/>
        <w:rPr>
          <w:rFonts w:ascii="Open Sans" w:hAnsi="Open Sans" w:cs="Arial"/>
          <w:w w:val="105"/>
          <w:sz w:val="20"/>
          <w:szCs w:val="20"/>
        </w:rPr>
      </w:pPr>
    </w:p>
    <w:p w14:paraId="68CD5C1D" w14:textId="77777777" w:rsidR="002D0FF9" w:rsidRPr="00A07BE9" w:rsidRDefault="002D0FF9" w:rsidP="002D0FF9">
      <w:pPr>
        <w:tabs>
          <w:tab w:val="left" w:pos="738"/>
        </w:tabs>
        <w:spacing w:after="0" w:line="276" w:lineRule="auto"/>
        <w:jc w:val="both"/>
        <w:rPr>
          <w:sz w:val="20"/>
          <w:szCs w:val="20"/>
        </w:rPr>
      </w:pPr>
      <w:r w:rsidRPr="00A07BE9">
        <w:rPr>
          <w:rFonts w:ascii="Open Sans" w:hAnsi="Open Sans" w:cs="Arial"/>
          <w:w w:val="105"/>
          <w:sz w:val="20"/>
          <w:szCs w:val="20"/>
        </w:rPr>
        <w:t xml:space="preserve">Reconocer una compatibilidad al técnico de contratación o de urbanismo (por ejemplo) para dedicarse al sector privado (vgr. consultoría jurídica o de arquitectura), en la </w:t>
      </w:r>
      <w:r w:rsidRPr="00A07BE9">
        <w:rPr>
          <w:rFonts w:ascii="Open Sans" w:hAnsi="Open Sans" w:cs="Arial"/>
          <w:w w:val="105"/>
          <w:sz w:val="20"/>
          <w:szCs w:val="20"/>
        </w:rPr>
        <w:lastRenderedPageBreak/>
        <w:t xml:space="preserve">medida en que puede incrementar situaciones de conflicto de interés y, en su caso, los riesgos de fraude y corrupción, demanda no solo un reconocimiento formal de la compatibilidad sino también un </w:t>
      </w:r>
      <w:r w:rsidRPr="00A07BE9">
        <w:rPr>
          <w:rFonts w:ascii="Open Sans" w:hAnsi="Open Sans" w:cs="Arial"/>
          <w:bCs/>
          <w:w w:val="105"/>
          <w:sz w:val="20"/>
          <w:szCs w:val="20"/>
        </w:rPr>
        <w:t>análisis exhaustivo, de fondo, tanto de las circunstancias</w:t>
      </w:r>
      <w:r w:rsidRPr="00A07BE9">
        <w:rPr>
          <w:rFonts w:ascii="Open Sans" w:hAnsi="Open Sans" w:cs="Arial"/>
          <w:w w:val="105"/>
          <w:sz w:val="20"/>
          <w:szCs w:val="20"/>
        </w:rPr>
        <w:t xml:space="preserve"> en que se podrá conceder, como de la actividad privada que realice de forma compatible con el ejercicio de las funciones públicas. No en vano, el artículo 64 de la vigente Ley de Contratos del Sector Público exige a los órganos de contratación que tomen medidas para impedir situaciones de conflicto de interés entre el personal a su servicio que participe en el desarrollo de una licitación de un contrato o pueda influir en el resultado del mismo, y pueda tener directa o indirectamente un interés financiero, económico o personal que pudiera parecer que compromete su imparcialidad e independencia en el contexto del procedimiento de licitación. </w:t>
      </w:r>
    </w:p>
    <w:p w14:paraId="2953C38A" w14:textId="77777777" w:rsidR="002D0FF9" w:rsidRPr="00A07BE9" w:rsidRDefault="002D0FF9" w:rsidP="002D0FF9">
      <w:pPr>
        <w:tabs>
          <w:tab w:val="left" w:pos="738"/>
        </w:tabs>
        <w:spacing w:after="0" w:line="276" w:lineRule="auto"/>
        <w:jc w:val="both"/>
        <w:rPr>
          <w:rFonts w:ascii="Open Sans" w:hAnsi="Open Sans" w:cs="Arial"/>
          <w:w w:val="105"/>
          <w:sz w:val="20"/>
          <w:szCs w:val="20"/>
        </w:rPr>
      </w:pPr>
    </w:p>
    <w:p w14:paraId="0D815A68" w14:textId="77777777" w:rsidR="002D0FF9" w:rsidRPr="00A07BE9" w:rsidRDefault="002D0FF9" w:rsidP="002D0FF9">
      <w:pPr>
        <w:tabs>
          <w:tab w:val="left" w:pos="738"/>
        </w:tabs>
        <w:spacing w:after="0" w:line="276" w:lineRule="auto"/>
        <w:jc w:val="both"/>
        <w:rPr>
          <w:sz w:val="20"/>
          <w:szCs w:val="20"/>
        </w:rPr>
      </w:pPr>
      <w:r w:rsidRPr="00A07BE9">
        <w:rPr>
          <w:rFonts w:ascii="Open Sans" w:hAnsi="Open Sans" w:cs="Arial"/>
          <w:w w:val="105"/>
          <w:sz w:val="20"/>
          <w:szCs w:val="20"/>
        </w:rPr>
        <w:t>A lo anterior, debemos añadir factores y riesgos de fraude y corrupción preocupantes en el panorama de la función pública valenciana, tales como:</w:t>
      </w:r>
      <w:r w:rsidRPr="00A07BE9">
        <w:rPr>
          <w:rFonts w:ascii="Open Sans" w:hAnsi="Open Sans" w:cs="Arial"/>
          <w:i/>
          <w:iCs/>
          <w:w w:val="105"/>
          <w:sz w:val="20"/>
          <w:szCs w:val="20"/>
        </w:rPr>
        <w:t xml:space="preserve"> i)</w:t>
      </w:r>
      <w:r w:rsidRPr="00A07BE9">
        <w:rPr>
          <w:rFonts w:ascii="Open Sans" w:hAnsi="Open Sans" w:cs="Arial"/>
          <w:w w:val="105"/>
          <w:sz w:val="20"/>
          <w:szCs w:val="20"/>
        </w:rPr>
        <w:t xml:space="preserve"> elevadas tasas de temporalidad y de</w:t>
      </w:r>
      <w:r w:rsidRPr="00A07BE9">
        <w:rPr>
          <w:rFonts w:ascii="Open Sans" w:hAnsi="Open Sans" w:cs="Arial"/>
          <w:b/>
          <w:bCs/>
          <w:w w:val="105"/>
          <w:sz w:val="20"/>
          <w:szCs w:val="20"/>
        </w:rPr>
        <w:t xml:space="preserve"> </w:t>
      </w:r>
      <w:r w:rsidRPr="00A07BE9">
        <w:rPr>
          <w:rFonts w:ascii="Open Sans" w:hAnsi="Open Sans" w:cs="Arial"/>
          <w:w w:val="105"/>
          <w:sz w:val="20"/>
          <w:szCs w:val="20"/>
        </w:rPr>
        <w:t xml:space="preserve">personal indefinido no fijo de plantilla; </w:t>
      </w:r>
      <w:r w:rsidRPr="00A07BE9">
        <w:rPr>
          <w:rFonts w:ascii="Open Sans" w:hAnsi="Open Sans" w:cs="Arial"/>
          <w:i/>
          <w:iCs/>
          <w:w w:val="105"/>
          <w:sz w:val="20"/>
          <w:szCs w:val="20"/>
        </w:rPr>
        <w:t>ii)</w:t>
      </w:r>
      <w:r w:rsidRPr="00A07BE9">
        <w:rPr>
          <w:rFonts w:ascii="Open Sans" w:hAnsi="Open Sans" w:cs="Arial"/>
          <w:w w:val="105"/>
          <w:sz w:val="20"/>
          <w:szCs w:val="20"/>
        </w:rPr>
        <w:t xml:space="preserve"> escasa planificación del relevo generacional; </w:t>
      </w:r>
      <w:r w:rsidRPr="00A07BE9">
        <w:rPr>
          <w:rFonts w:ascii="Open Sans" w:hAnsi="Open Sans" w:cs="Arial"/>
          <w:i/>
          <w:iCs/>
          <w:w w:val="105"/>
          <w:sz w:val="20"/>
          <w:szCs w:val="20"/>
        </w:rPr>
        <w:t xml:space="preserve">iii) </w:t>
      </w:r>
      <w:r w:rsidRPr="00A07BE9">
        <w:rPr>
          <w:rFonts w:ascii="Open Sans" w:hAnsi="Open Sans" w:cs="Arial"/>
          <w:w w:val="105"/>
          <w:sz w:val="20"/>
          <w:szCs w:val="20"/>
        </w:rPr>
        <w:t xml:space="preserve">ejercicio de funciones públicas por el sector privado vía contratos de servicios; </w:t>
      </w:r>
      <w:r w:rsidRPr="00A07BE9">
        <w:rPr>
          <w:rFonts w:ascii="Open Sans" w:hAnsi="Open Sans" w:cs="Arial"/>
          <w:i/>
          <w:iCs/>
          <w:w w:val="105"/>
          <w:sz w:val="20"/>
          <w:szCs w:val="20"/>
        </w:rPr>
        <w:t>iv)</w:t>
      </w:r>
      <w:r w:rsidRPr="00A07BE9">
        <w:rPr>
          <w:rFonts w:ascii="Open Sans" w:hAnsi="Open Sans" w:cs="Arial"/>
          <w:w w:val="105"/>
          <w:sz w:val="20"/>
          <w:szCs w:val="20"/>
        </w:rPr>
        <w:t xml:space="preserve"> confusión de funciones del personal de confianza con las reservadas al funcionariado; </w:t>
      </w:r>
      <w:r w:rsidRPr="00A07BE9">
        <w:rPr>
          <w:rFonts w:ascii="Open Sans" w:hAnsi="Open Sans" w:cs="Arial"/>
          <w:i/>
          <w:iCs/>
          <w:w w:val="105"/>
          <w:sz w:val="20"/>
          <w:szCs w:val="20"/>
        </w:rPr>
        <w:t xml:space="preserve">v) </w:t>
      </w:r>
      <w:r w:rsidRPr="00A07BE9">
        <w:rPr>
          <w:rFonts w:ascii="Open Sans" w:hAnsi="Open Sans" w:cs="Arial"/>
          <w:w w:val="105"/>
          <w:sz w:val="20"/>
          <w:szCs w:val="20"/>
        </w:rPr>
        <w:t xml:space="preserve">escasa planificación y provisión de nuevos perfiles profesionales impuestos por las nuevas leyes y los avances tecnológicos; </w:t>
      </w:r>
      <w:r w:rsidRPr="00A07BE9">
        <w:rPr>
          <w:rFonts w:ascii="Open Sans" w:hAnsi="Open Sans" w:cs="Arial"/>
          <w:i/>
          <w:iCs/>
          <w:w w:val="105"/>
          <w:sz w:val="20"/>
          <w:szCs w:val="20"/>
        </w:rPr>
        <w:t xml:space="preserve">vi) </w:t>
      </w:r>
      <w:r w:rsidRPr="00A07BE9">
        <w:rPr>
          <w:rFonts w:ascii="Open Sans" w:hAnsi="Open Sans" w:cs="Arial"/>
          <w:w w:val="105"/>
          <w:sz w:val="20"/>
          <w:szCs w:val="20"/>
        </w:rPr>
        <w:t>escaso control de incompatibilidades en sectores como el sanitario y de los lobbies en sectores como el urbanístico. En todos los casos, se pone en jaque la objetividad e imparcialidad inherente a los puestos reservados a funcionarios/as.</w:t>
      </w:r>
    </w:p>
    <w:p w14:paraId="3675F005" w14:textId="77777777" w:rsidR="002D0FF9" w:rsidRPr="00A07BE9" w:rsidRDefault="002D0FF9" w:rsidP="002D0FF9">
      <w:pPr>
        <w:tabs>
          <w:tab w:val="left" w:pos="738"/>
        </w:tabs>
        <w:spacing w:after="0" w:line="276" w:lineRule="auto"/>
        <w:jc w:val="both"/>
        <w:rPr>
          <w:rFonts w:ascii="Open Sans" w:hAnsi="Open Sans" w:cs="Arial"/>
          <w:w w:val="105"/>
          <w:sz w:val="20"/>
          <w:szCs w:val="20"/>
        </w:rPr>
      </w:pPr>
    </w:p>
    <w:p w14:paraId="6585B80C" w14:textId="77777777" w:rsidR="002D0FF9" w:rsidRPr="00A07BE9" w:rsidRDefault="002D0FF9" w:rsidP="002D0FF9">
      <w:pPr>
        <w:tabs>
          <w:tab w:val="left" w:pos="738"/>
        </w:tabs>
        <w:spacing w:after="0" w:line="276" w:lineRule="auto"/>
        <w:jc w:val="both"/>
        <w:rPr>
          <w:rFonts w:ascii="Open Sans" w:hAnsi="Open Sans" w:cs="Arial"/>
          <w:bCs/>
          <w:w w:val="105"/>
          <w:sz w:val="21"/>
          <w:szCs w:val="21"/>
        </w:rPr>
      </w:pPr>
      <w:r w:rsidRPr="00A07BE9">
        <w:rPr>
          <w:rFonts w:ascii="Open Sans" w:hAnsi="Open Sans" w:cs="Arial"/>
          <w:w w:val="105"/>
          <w:sz w:val="20"/>
          <w:szCs w:val="20"/>
        </w:rPr>
        <w:t xml:space="preserve">Desde la Agencia Valenciana Antifraude, como parte esencial del camino hacia la integridad pública, se propone adoptar los siguientes </w:t>
      </w:r>
      <w:r w:rsidRPr="00A07BE9">
        <w:rPr>
          <w:rFonts w:ascii="Open Sans" w:hAnsi="Open Sans" w:cs="Arial"/>
          <w:bCs/>
          <w:w w:val="105"/>
          <w:sz w:val="20"/>
          <w:szCs w:val="20"/>
        </w:rPr>
        <w:t xml:space="preserve">mecanismos preventivos, cuya eficacia depende de la suficiente dotación de medios humanos y materiales para llevarlos a cabo: </w:t>
      </w:r>
    </w:p>
    <w:p w14:paraId="3FB31129" w14:textId="77777777" w:rsidR="008C1E7A" w:rsidRPr="00A07BE9" w:rsidRDefault="008C1E7A" w:rsidP="008C1E7A">
      <w:pPr>
        <w:spacing w:after="0" w:line="276" w:lineRule="auto"/>
        <w:contextualSpacing/>
        <w:jc w:val="both"/>
        <w:rPr>
          <w:rFonts w:ascii="Open Sans" w:eastAsiaTheme="minorHAnsi" w:hAnsi="Open Sans" w:cs="Open Sans"/>
          <w:sz w:val="20"/>
          <w:szCs w:val="20"/>
        </w:rPr>
      </w:pPr>
    </w:p>
    <w:p w14:paraId="5375B579" w14:textId="0813EB26" w:rsidR="002D0FF9" w:rsidRPr="00A07BE9" w:rsidRDefault="002D0FF9" w:rsidP="008C1E7A">
      <w:pPr>
        <w:numPr>
          <w:ilvl w:val="0"/>
          <w:numId w:val="9"/>
        </w:numPr>
        <w:spacing w:after="0" w:line="276" w:lineRule="auto"/>
        <w:contextualSpacing/>
        <w:jc w:val="both"/>
        <w:rPr>
          <w:rFonts w:ascii="Open Sans" w:eastAsiaTheme="minorHAnsi" w:hAnsi="Open Sans" w:cs="Open Sans"/>
          <w:sz w:val="20"/>
          <w:szCs w:val="20"/>
        </w:rPr>
      </w:pPr>
      <w:r w:rsidRPr="00A07BE9">
        <w:rPr>
          <w:rFonts w:ascii="Open Sans" w:hAnsi="Open Sans" w:cs="Arial"/>
          <w:w w:val="105"/>
          <w:sz w:val="20"/>
          <w:szCs w:val="20"/>
        </w:rPr>
        <w:t>Informar y formar al personal sobre los conflictos de interés.</w:t>
      </w:r>
    </w:p>
    <w:p w14:paraId="65BFCC3B" w14:textId="01DD9996" w:rsidR="002D0FF9" w:rsidRPr="00A07BE9" w:rsidRDefault="002D0FF9" w:rsidP="008C1E7A">
      <w:pPr>
        <w:numPr>
          <w:ilvl w:val="0"/>
          <w:numId w:val="9"/>
        </w:numPr>
        <w:spacing w:after="0" w:line="276" w:lineRule="auto"/>
        <w:contextualSpacing/>
        <w:jc w:val="both"/>
        <w:rPr>
          <w:rFonts w:ascii="Open Sans" w:eastAsiaTheme="minorHAnsi" w:hAnsi="Open Sans" w:cs="Open Sans"/>
          <w:sz w:val="20"/>
          <w:szCs w:val="20"/>
        </w:rPr>
      </w:pPr>
      <w:r w:rsidRPr="00A07BE9">
        <w:rPr>
          <w:rFonts w:ascii="Open Sans" w:hAnsi="Open Sans" w:cs="Arial"/>
          <w:w w:val="105"/>
          <w:sz w:val="20"/>
          <w:szCs w:val="20"/>
        </w:rPr>
        <w:t>Estandarizar declaraciones responsables de ausencia de conflictos de intereses y analizar las circunstancias que envuelven los reconocimientos de compatibilidad.</w:t>
      </w:r>
    </w:p>
    <w:p w14:paraId="29CF7842" w14:textId="77777777" w:rsidR="008C1E7A" w:rsidRPr="00A07BE9" w:rsidRDefault="002D0FF9" w:rsidP="008C1E7A">
      <w:pPr>
        <w:numPr>
          <w:ilvl w:val="0"/>
          <w:numId w:val="9"/>
        </w:numPr>
        <w:spacing w:after="0" w:line="276" w:lineRule="auto"/>
        <w:contextualSpacing/>
        <w:jc w:val="both"/>
        <w:rPr>
          <w:rFonts w:ascii="Open Sans" w:eastAsiaTheme="minorHAnsi" w:hAnsi="Open Sans" w:cs="Open Sans"/>
          <w:sz w:val="20"/>
          <w:szCs w:val="20"/>
        </w:rPr>
      </w:pPr>
      <w:r w:rsidRPr="00A07BE9">
        <w:rPr>
          <w:rFonts w:ascii="Open Sans" w:hAnsi="Open Sans" w:cs="Arial"/>
          <w:w w:val="105"/>
          <w:sz w:val="20"/>
          <w:szCs w:val="20"/>
        </w:rPr>
        <w:t>Detectar y regularizar situaciones no autorizadas de compatibilidad, especialmente en sectores y áreas de riesgo (sanitario, urbanismo, contratación).</w:t>
      </w:r>
    </w:p>
    <w:p w14:paraId="208D908D" w14:textId="77777777" w:rsidR="008C1E7A" w:rsidRPr="00A07BE9" w:rsidRDefault="002D0FF9" w:rsidP="008C1E7A">
      <w:pPr>
        <w:numPr>
          <w:ilvl w:val="0"/>
          <w:numId w:val="9"/>
        </w:numPr>
        <w:spacing w:after="0" w:line="276" w:lineRule="auto"/>
        <w:contextualSpacing/>
        <w:jc w:val="both"/>
        <w:rPr>
          <w:rFonts w:ascii="Open Sans" w:eastAsiaTheme="minorHAnsi" w:hAnsi="Open Sans" w:cs="Open Sans"/>
          <w:sz w:val="20"/>
          <w:szCs w:val="20"/>
        </w:rPr>
      </w:pPr>
      <w:r w:rsidRPr="00A07BE9">
        <w:rPr>
          <w:rFonts w:ascii="Open Sans" w:hAnsi="Open Sans" w:cs="Arial"/>
          <w:w w:val="105"/>
          <w:sz w:val="20"/>
          <w:szCs w:val="20"/>
        </w:rPr>
        <w:t>Adaptar las Relaciones de Puestos de Trabajo a la nueva realidad y cubrir reglamentariamente los puestos vacantes de naturaleza funcionarial, vetando su externalización vía contratos de servicios.</w:t>
      </w:r>
    </w:p>
    <w:p w14:paraId="243B1DA8" w14:textId="77777777" w:rsidR="008C1E7A" w:rsidRPr="00A07BE9" w:rsidRDefault="002D0FF9" w:rsidP="008C1E7A">
      <w:pPr>
        <w:numPr>
          <w:ilvl w:val="0"/>
          <w:numId w:val="9"/>
        </w:numPr>
        <w:spacing w:after="0" w:line="276" w:lineRule="auto"/>
        <w:contextualSpacing/>
        <w:jc w:val="both"/>
        <w:rPr>
          <w:rFonts w:ascii="Open Sans" w:eastAsiaTheme="minorHAnsi" w:hAnsi="Open Sans" w:cs="Open Sans"/>
          <w:sz w:val="20"/>
          <w:szCs w:val="20"/>
        </w:rPr>
      </w:pPr>
      <w:r w:rsidRPr="00A07BE9">
        <w:rPr>
          <w:rFonts w:ascii="Open Sans" w:hAnsi="Open Sans" w:cs="Arial"/>
          <w:w w:val="105"/>
          <w:sz w:val="20"/>
          <w:szCs w:val="20"/>
        </w:rPr>
        <w:t>Prever y controlar las limitaciones al ejercicio de actividades privadas con posterioridad al cese en la función pública (puertas giratorias).</w:t>
      </w:r>
    </w:p>
    <w:p w14:paraId="08C745DD" w14:textId="77777777" w:rsidR="008C1E7A" w:rsidRPr="00A07BE9" w:rsidRDefault="002D0FF9" w:rsidP="008C1E7A">
      <w:pPr>
        <w:numPr>
          <w:ilvl w:val="0"/>
          <w:numId w:val="9"/>
        </w:numPr>
        <w:spacing w:after="0" w:line="276" w:lineRule="auto"/>
        <w:contextualSpacing/>
        <w:jc w:val="both"/>
        <w:rPr>
          <w:rFonts w:ascii="Open Sans" w:eastAsiaTheme="minorHAnsi" w:hAnsi="Open Sans" w:cs="Open Sans"/>
          <w:sz w:val="20"/>
          <w:szCs w:val="20"/>
        </w:rPr>
      </w:pPr>
      <w:r w:rsidRPr="00A07BE9">
        <w:rPr>
          <w:rFonts w:ascii="Open Sans" w:hAnsi="Open Sans" w:cs="Arial"/>
          <w:w w:val="105"/>
          <w:sz w:val="20"/>
          <w:szCs w:val="20"/>
        </w:rPr>
        <w:t>Estandarizar compromisos de confidencialidad y auditorias de acceso a determinada información y su difusión.</w:t>
      </w:r>
    </w:p>
    <w:p w14:paraId="44D12E31" w14:textId="20AD8336" w:rsidR="002D0FF9" w:rsidRPr="00C12B0A" w:rsidRDefault="002D0FF9" w:rsidP="002D0FF9">
      <w:pPr>
        <w:numPr>
          <w:ilvl w:val="0"/>
          <w:numId w:val="9"/>
        </w:numPr>
        <w:spacing w:after="0" w:line="276" w:lineRule="auto"/>
        <w:contextualSpacing/>
        <w:jc w:val="both"/>
        <w:rPr>
          <w:rFonts w:ascii="Open Sans" w:eastAsiaTheme="minorHAnsi" w:hAnsi="Open Sans" w:cs="Open Sans"/>
          <w:sz w:val="20"/>
          <w:szCs w:val="20"/>
        </w:rPr>
      </w:pPr>
      <w:r w:rsidRPr="00A07BE9">
        <w:rPr>
          <w:rFonts w:ascii="Open Sans" w:hAnsi="Open Sans" w:cs="Arial"/>
          <w:w w:val="105"/>
          <w:sz w:val="20"/>
          <w:szCs w:val="20"/>
        </w:rPr>
        <w:t>Elaborar e incluir en los códigos éticos consecuencias (reputacionales, económicas o disciplinarias) para quienes incumplan las garantías de objetividad e imparcialidad.</w:t>
      </w:r>
    </w:p>
    <w:p w14:paraId="27E5DB47" w14:textId="2B0A5008" w:rsidR="002D0FF9" w:rsidRPr="00A07BE9" w:rsidRDefault="002D0FF9" w:rsidP="002D0FF9">
      <w:pPr>
        <w:tabs>
          <w:tab w:val="left" w:pos="738"/>
        </w:tabs>
        <w:spacing w:after="0" w:line="276" w:lineRule="auto"/>
        <w:jc w:val="both"/>
        <w:rPr>
          <w:rFonts w:ascii="Open Sans" w:hAnsi="Open Sans" w:cs="Arial"/>
          <w:b/>
          <w:bCs/>
          <w:color w:val="9D2235"/>
          <w:w w:val="105"/>
          <w:sz w:val="32"/>
          <w:szCs w:val="32"/>
        </w:rPr>
      </w:pPr>
      <w:r w:rsidRPr="00A07BE9">
        <w:rPr>
          <w:rFonts w:ascii="Open Sans" w:hAnsi="Open Sans" w:cs="Arial"/>
          <w:b/>
          <w:bCs/>
          <w:color w:val="9D2235"/>
          <w:w w:val="105"/>
          <w:sz w:val="32"/>
          <w:szCs w:val="32"/>
        </w:rPr>
        <w:lastRenderedPageBreak/>
        <w:t>7.2</w:t>
      </w:r>
      <w:r w:rsidR="00575AA9" w:rsidRPr="00A07BE9">
        <w:rPr>
          <w:rFonts w:ascii="Open Sans" w:hAnsi="Open Sans" w:cs="Arial"/>
          <w:b/>
          <w:bCs/>
          <w:color w:val="9D2235"/>
          <w:w w:val="105"/>
          <w:sz w:val="32"/>
          <w:szCs w:val="32"/>
        </w:rPr>
        <w:t>.</w:t>
      </w:r>
      <w:r w:rsidRPr="00A07BE9">
        <w:rPr>
          <w:rFonts w:ascii="Open Sans" w:hAnsi="Open Sans" w:cs="Arial"/>
          <w:b/>
          <w:bCs/>
          <w:color w:val="9D2235"/>
          <w:w w:val="105"/>
          <w:sz w:val="32"/>
          <w:szCs w:val="32"/>
        </w:rPr>
        <w:t xml:space="preserve"> SOBRE LA NECESARIA PLANIFICACIÓN INSTITUCIONAL</w:t>
      </w:r>
    </w:p>
    <w:p w14:paraId="381A0597" w14:textId="77777777" w:rsidR="002D0FF9" w:rsidRPr="00A07BE9" w:rsidRDefault="002D0FF9" w:rsidP="002D0FF9">
      <w:pPr>
        <w:tabs>
          <w:tab w:val="left" w:pos="738"/>
        </w:tabs>
        <w:spacing w:after="0" w:line="276" w:lineRule="auto"/>
        <w:jc w:val="both"/>
        <w:rPr>
          <w:rFonts w:ascii="Open Sans" w:hAnsi="Open Sans" w:cs="Arial"/>
          <w:b/>
          <w:bCs/>
          <w:color w:val="BF0041"/>
          <w:w w:val="105"/>
          <w:sz w:val="20"/>
          <w:szCs w:val="20"/>
        </w:rPr>
      </w:pPr>
    </w:p>
    <w:p w14:paraId="595540AE" w14:textId="5FCFDF50" w:rsidR="002D0FF9" w:rsidRPr="00A07BE9" w:rsidRDefault="002D0FF9" w:rsidP="008C1E7A">
      <w:pPr>
        <w:tabs>
          <w:tab w:val="left" w:pos="738"/>
        </w:tabs>
        <w:spacing w:after="0" w:line="276" w:lineRule="auto"/>
        <w:jc w:val="both"/>
        <w:rPr>
          <w:rFonts w:ascii="Open Sans" w:hAnsi="Open Sans" w:cs="Arial"/>
          <w:w w:val="105"/>
          <w:sz w:val="20"/>
          <w:szCs w:val="20"/>
        </w:rPr>
      </w:pPr>
      <w:r w:rsidRPr="00A07BE9">
        <w:rPr>
          <w:rFonts w:ascii="Open Sans" w:hAnsi="Open Sans" w:cs="Open Sans"/>
          <w:sz w:val="20"/>
          <w:szCs w:val="20"/>
        </w:rPr>
        <w:t xml:space="preserve">De los estudios, análisis y denuncias con entrada en la Agencia durante el 2019, se ha identificado un denominador común a sendas irregularidades constitutivas de fraude y corrupción: la falta de planificación institucional, uno de los pilares fundamentales del buen </w:t>
      </w:r>
      <w:r w:rsidRPr="00A07BE9">
        <w:rPr>
          <w:rFonts w:ascii="Open Sans" w:hAnsi="Open Sans" w:cs="Arial"/>
          <w:w w:val="105"/>
          <w:sz w:val="20"/>
          <w:szCs w:val="20"/>
        </w:rPr>
        <w:t>gobierno y de la buena administración.</w:t>
      </w:r>
    </w:p>
    <w:p w14:paraId="44B6EA76" w14:textId="77777777" w:rsidR="008C1E7A" w:rsidRPr="00A07BE9" w:rsidRDefault="008C1E7A" w:rsidP="008C1E7A">
      <w:pPr>
        <w:tabs>
          <w:tab w:val="left" w:pos="738"/>
        </w:tabs>
        <w:spacing w:after="0" w:line="276" w:lineRule="auto"/>
        <w:jc w:val="both"/>
        <w:rPr>
          <w:rFonts w:ascii="Open Sans" w:hAnsi="Open Sans" w:cs="Arial"/>
          <w:w w:val="105"/>
          <w:sz w:val="20"/>
          <w:szCs w:val="20"/>
        </w:rPr>
      </w:pPr>
    </w:p>
    <w:p w14:paraId="369F3059" w14:textId="4E4231EC" w:rsidR="002D0FF9" w:rsidRPr="00A07BE9" w:rsidRDefault="002D0FF9" w:rsidP="008C1E7A">
      <w:pPr>
        <w:tabs>
          <w:tab w:val="left" w:pos="738"/>
        </w:tabs>
        <w:spacing w:after="0" w:line="276" w:lineRule="auto"/>
        <w:jc w:val="both"/>
        <w:rPr>
          <w:rFonts w:ascii="Open Sans" w:hAnsi="Open Sans" w:cs="Open Sans"/>
          <w:sz w:val="20"/>
          <w:szCs w:val="20"/>
        </w:rPr>
      </w:pPr>
      <w:r w:rsidRPr="00A07BE9">
        <w:rPr>
          <w:rFonts w:ascii="Open Sans" w:hAnsi="Open Sans" w:cs="Arial"/>
          <w:w w:val="105"/>
          <w:sz w:val="20"/>
          <w:szCs w:val="20"/>
        </w:rPr>
        <w:t xml:space="preserve">En efecto, en todo proceso de toma de decisiones, la ausencia de planificación constituye múltiples riesgos contrarios a la integridad pública. Con carácter general, los siguientes: </w:t>
      </w:r>
      <w:r w:rsidRPr="00A07BE9">
        <w:rPr>
          <w:rFonts w:ascii="Open Sans" w:hAnsi="Open Sans" w:cs="Arial"/>
          <w:i/>
          <w:w w:val="105"/>
          <w:sz w:val="20"/>
          <w:szCs w:val="20"/>
        </w:rPr>
        <w:t>i)</w:t>
      </w:r>
      <w:r w:rsidRPr="00A07BE9">
        <w:rPr>
          <w:rFonts w:ascii="Open Sans" w:hAnsi="Open Sans" w:cs="Arial"/>
          <w:w w:val="105"/>
          <w:sz w:val="20"/>
          <w:szCs w:val="20"/>
        </w:rPr>
        <w:t xml:space="preserve"> la falta de objetivos hace que lo urgente impida abordar lo importante para su misión de</w:t>
      </w:r>
      <w:r w:rsidRPr="00A07BE9">
        <w:rPr>
          <w:rFonts w:ascii="Open Sans" w:hAnsi="Open Sans" w:cs="Open Sans"/>
          <w:sz w:val="20"/>
          <w:szCs w:val="20"/>
        </w:rPr>
        <w:t xml:space="preserve"> servicio público así como la ulterior rendición de cuentas sobre su grado de cumplimiento; </w:t>
      </w:r>
      <w:r w:rsidRPr="00A07BE9">
        <w:rPr>
          <w:rFonts w:ascii="Open Sans" w:hAnsi="Open Sans" w:cs="Open Sans"/>
          <w:i/>
          <w:iCs/>
          <w:sz w:val="20"/>
          <w:szCs w:val="20"/>
        </w:rPr>
        <w:t xml:space="preserve">ii) </w:t>
      </w:r>
      <w:r w:rsidRPr="00A07BE9">
        <w:rPr>
          <w:rFonts w:ascii="Open Sans" w:hAnsi="Open Sans" w:cs="Open Sans"/>
          <w:sz w:val="20"/>
          <w:szCs w:val="20"/>
        </w:rPr>
        <w:t xml:space="preserve">riesgo de despilfarrar o malgastar dinero público por no gestionar el gasto en función de los recursos necesarios; </w:t>
      </w:r>
      <w:r w:rsidRPr="00A07BE9">
        <w:rPr>
          <w:rFonts w:ascii="Open Sans" w:hAnsi="Open Sans" w:cs="Open Sans"/>
          <w:i/>
          <w:iCs/>
          <w:sz w:val="20"/>
          <w:szCs w:val="20"/>
        </w:rPr>
        <w:t>iii)</w:t>
      </w:r>
      <w:r w:rsidRPr="00A07BE9">
        <w:rPr>
          <w:rFonts w:ascii="Open Sans" w:hAnsi="Open Sans" w:cs="Open Sans"/>
          <w:sz w:val="20"/>
          <w:szCs w:val="20"/>
        </w:rPr>
        <w:t xml:space="preserve"> riesgos sectoriales por áreas de práctica vinculados a la ausencia de planes o a su indebida ejecución, que les impiden priorizar o evaluar sus políticas públicas, y reaccionar ante las desviaciones detectadas entre lo pretendido y lo conseguido; </w:t>
      </w:r>
      <w:r w:rsidRPr="00A07BE9">
        <w:rPr>
          <w:rFonts w:ascii="Open Sans" w:hAnsi="Open Sans" w:cs="Open Sans"/>
          <w:i/>
          <w:iCs/>
          <w:sz w:val="20"/>
          <w:szCs w:val="20"/>
        </w:rPr>
        <w:t>iv)</w:t>
      </w:r>
      <w:r w:rsidRPr="00A07BE9">
        <w:rPr>
          <w:rFonts w:ascii="Open Sans" w:hAnsi="Open Sans" w:cs="Open Sans"/>
          <w:sz w:val="20"/>
          <w:szCs w:val="20"/>
        </w:rPr>
        <w:t xml:space="preserve"> riesgo de desinformación a la ciudadanía; </w:t>
      </w:r>
      <w:r w:rsidRPr="00A07BE9">
        <w:rPr>
          <w:rFonts w:ascii="Open Sans" w:hAnsi="Open Sans" w:cs="Open Sans"/>
          <w:i/>
          <w:iCs/>
          <w:sz w:val="20"/>
          <w:szCs w:val="20"/>
        </w:rPr>
        <w:t xml:space="preserve">v) </w:t>
      </w:r>
      <w:r w:rsidRPr="00A07BE9">
        <w:rPr>
          <w:rFonts w:ascii="Open Sans" w:hAnsi="Open Sans" w:cs="Open Sans"/>
          <w:sz w:val="20"/>
          <w:szCs w:val="20"/>
        </w:rPr>
        <w:t xml:space="preserve">riesgo de mermar la capacidad de control efectivo (interno y externo), con sendos incumplimientos legales; </w:t>
      </w:r>
      <w:r w:rsidRPr="00A07BE9">
        <w:rPr>
          <w:rFonts w:ascii="Open Sans" w:hAnsi="Open Sans" w:cs="Open Sans"/>
          <w:i/>
          <w:iCs/>
          <w:sz w:val="20"/>
          <w:szCs w:val="20"/>
        </w:rPr>
        <w:t xml:space="preserve">vi) </w:t>
      </w:r>
      <w:r w:rsidRPr="00A07BE9">
        <w:rPr>
          <w:rFonts w:ascii="Open Sans" w:hAnsi="Open Sans" w:cs="Open Sans"/>
          <w:sz w:val="20"/>
          <w:szCs w:val="20"/>
        </w:rPr>
        <w:t>riesgo de elevada litigiosidad y responsabilidad patrimonial por verse abocados a la reacción y cumplimiento tardío de normas.</w:t>
      </w:r>
    </w:p>
    <w:p w14:paraId="5C8211D6" w14:textId="77777777" w:rsidR="008C1E7A" w:rsidRPr="00A07BE9" w:rsidRDefault="008C1E7A" w:rsidP="008C1E7A">
      <w:pPr>
        <w:tabs>
          <w:tab w:val="left" w:pos="738"/>
        </w:tabs>
        <w:spacing w:after="0" w:line="276" w:lineRule="auto"/>
        <w:jc w:val="both"/>
        <w:rPr>
          <w:rFonts w:ascii="Open Sans" w:hAnsi="Open Sans" w:cs="Open Sans"/>
          <w:sz w:val="20"/>
          <w:szCs w:val="20"/>
        </w:rPr>
      </w:pPr>
    </w:p>
    <w:p w14:paraId="140E97B5" w14:textId="77777777" w:rsidR="002D0FF9" w:rsidRPr="00A07BE9" w:rsidRDefault="002D0FF9" w:rsidP="002D0FF9">
      <w:pPr>
        <w:spacing w:line="276" w:lineRule="auto"/>
        <w:jc w:val="both"/>
        <w:rPr>
          <w:sz w:val="20"/>
          <w:szCs w:val="20"/>
        </w:rPr>
      </w:pPr>
      <w:r w:rsidRPr="00A07BE9">
        <w:rPr>
          <w:rFonts w:ascii="Open Sans" w:hAnsi="Open Sans" w:cs="Open Sans"/>
          <w:sz w:val="20"/>
          <w:szCs w:val="20"/>
        </w:rPr>
        <w:t xml:space="preserve">Los planes </w:t>
      </w:r>
      <w:r w:rsidRPr="00A07BE9">
        <w:rPr>
          <w:rFonts w:ascii="Open Sans" w:hAnsi="Open Sans" w:cs="Open Sans"/>
          <w:bCs/>
          <w:sz w:val="20"/>
          <w:szCs w:val="20"/>
        </w:rPr>
        <w:t xml:space="preserve">no son solo un instrumento formal </w:t>
      </w:r>
      <w:r w:rsidRPr="00A07BE9">
        <w:rPr>
          <w:rFonts w:ascii="Open Sans" w:hAnsi="Open Sans" w:cs="Open Sans"/>
          <w:sz w:val="20"/>
          <w:szCs w:val="20"/>
        </w:rPr>
        <w:t>para reflejar una determinada estrategia en el ciclo de gestación de las políticas públicas. Aprobarlos y ejecutarlos también puede evitar</w:t>
      </w:r>
      <w:r w:rsidRPr="00A07BE9">
        <w:rPr>
          <w:rFonts w:ascii="Open Sans" w:hAnsi="Open Sans" w:cs="Open Sans"/>
          <w:bCs/>
          <w:sz w:val="20"/>
          <w:szCs w:val="20"/>
        </w:rPr>
        <w:t xml:space="preserve"> irregularidades </w:t>
      </w:r>
      <w:r w:rsidRPr="00A07BE9">
        <w:rPr>
          <w:rFonts w:ascii="Open Sans" w:hAnsi="Open Sans" w:cs="Open Sans"/>
          <w:sz w:val="20"/>
          <w:szCs w:val="20"/>
        </w:rPr>
        <w:t>constitutivas de responsabilidades por mala praxis o conductas dolosas, negligentes o faltas de pericia en diferentes órdenes: penal, administrativo, buen gobierno, laboral, civil, contable, etc.</w:t>
      </w:r>
    </w:p>
    <w:p w14:paraId="7CA6E1F0" w14:textId="643B2FD4" w:rsidR="008C1E7A" w:rsidRPr="00A07BE9" w:rsidRDefault="002D0FF9" w:rsidP="008C1E7A">
      <w:pPr>
        <w:tabs>
          <w:tab w:val="left" w:pos="738"/>
        </w:tabs>
        <w:spacing w:after="0" w:line="276" w:lineRule="auto"/>
        <w:jc w:val="both"/>
        <w:rPr>
          <w:rFonts w:ascii="Open Sans" w:hAnsi="Open Sans" w:cs="Open Sans"/>
          <w:sz w:val="20"/>
          <w:szCs w:val="20"/>
        </w:rPr>
      </w:pPr>
      <w:r w:rsidRPr="00A07BE9">
        <w:rPr>
          <w:rFonts w:ascii="Open Sans" w:hAnsi="Open Sans" w:cs="Open Sans"/>
          <w:sz w:val="20"/>
          <w:szCs w:val="20"/>
        </w:rPr>
        <w:t>En este sentido, no son pocas las denuncias que entran en la Agencia sobre situaciones que evidencian la ausencia de planificación institucional, tales como: enriquecimiento injusto, abuso de las adjudicaciones directas (contratos menores), extralimitación de la duración de los contratos (“prórrogas forzosas” carentes de cobertura legal) o sobre la concatenación de contratos laborales temporales en fraude de ley.</w:t>
      </w:r>
    </w:p>
    <w:p w14:paraId="4DA6CA22" w14:textId="77777777" w:rsidR="008C1E7A" w:rsidRPr="00A07BE9" w:rsidRDefault="008C1E7A" w:rsidP="008C1E7A">
      <w:pPr>
        <w:tabs>
          <w:tab w:val="left" w:pos="738"/>
        </w:tabs>
        <w:spacing w:after="0" w:line="276" w:lineRule="auto"/>
        <w:jc w:val="both"/>
        <w:rPr>
          <w:rFonts w:ascii="Open Sans" w:hAnsi="Open Sans" w:cs="Open Sans"/>
          <w:sz w:val="20"/>
          <w:szCs w:val="20"/>
        </w:rPr>
      </w:pPr>
    </w:p>
    <w:p w14:paraId="11500DC7" w14:textId="12A54655" w:rsidR="002D0FF9" w:rsidRPr="00A07BE9" w:rsidRDefault="002D0FF9" w:rsidP="008C1E7A">
      <w:pPr>
        <w:tabs>
          <w:tab w:val="left" w:pos="738"/>
        </w:tabs>
        <w:spacing w:after="0" w:line="276" w:lineRule="auto"/>
        <w:jc w:val="both"/>
        <w:rPr>
          <w:rFonts w:ascii="Open Sans" w:hAnsi="Open Sans" w:cs="Arial"/>
          <w:w w:val="105"/>
          <w:sz w:val="20"/>
          <w:szCs w:val="20"/>
        </w:rPr>
      </w:pPr>
      <w:r w:rsidRPr="00A07BE9">
        <w:rPr>
          <w:rFonts w:ascii="Open Sans" w:hAnsi="Open Sans" w:cs="Open Sans"/>
          <w:sz w:val="20"/>
          <w:szCs w:val="20"/>
        </w:rPr>
        <w:t>Desde la Agencia Valenciana Antifraude, como parte esencial del camino hacia la integridad pública de nuestras instituciones y servidores/as públicos/as, se recomienda la adopción de los siguientes</w:t>
      </w:r>
      <w:r w:rsidRPr="00A07BE9">
        <w:rPr>
          <w:rFonts w:ascii="Open Sans" w:hAnsi="Open Sans" w:cs="Arial"/>
          <w:w w:val="105"/>
          <w:sz w:val="20"/>
          <w:szCs w:val="20"/>
        </w:rPr>
        <w:t xml:space="preserve"> </w:t>
      </w:r>
      <w:r w:rsidRPr="00A07BE9">
        <w:rPr>
          <w:rFonts w:ascii="Open Sans" w:hAnsi="Open Sans" w:cs="Arial"/>
          <w:bCs/>
          <w:w w:val="105"/>
          <w:sz w:val="20"/>
          <w:szCs w:val="20"/>
        </w:rPr>
        <w:t xml:space="preserve">mecanismos preventivos </w:t>
      </w:r>
      <w:r w:rsidRPr="00A07BE9">
        <w:rPr>
          <w:rFonts w:ascii="Open Sans" w:hAnsi="Open Sans" w:cs="Arial"/>
          <w:w w:val="105"/>
          <w:sz w:val="20"/>
          <w:szCs w:val="20"/>
        </w:rPr>
        <w:t>(dotando los medios materiales y humanos necesarios para que sean efectivos):</w:t>
      </w:r>
    </w:p>
    <w:p w14:paraId="6987E565" w14:textId="62A688AD" w:rsidR="008C1E7A" w:rsidRPr="00A07BE9" w:rsidRDefault="008C1E7A" w:rsidP="008C1E7A">
      <w:pPr>
        <w:tabs>
          <w:tab w:val="left" w:pos="738"/>
        </w:tabs>
        <w:spacing w:after="0" w:line="276" w:lineRule="auto"/>
        <w:jc w:val="both"/>
        <w:rPr>
          <w:rFonts w:ascii="Open Sans" w:hAnsi="Open Sans" w:cs="Open Sans"/>
          <w:sz w:val="20"/>
          <w:szCs w:val="20"/>
        </w:rPr>
      </w:pPr>
    </w:p>
    <w:p w14:paraId="472D558C" w14:textId="4C4D9A98" w:rsidR="002D0FF9" w:rsidRPr="00A07BE9" w:rsidRDefault="002D0FF9" w:rsidP="009E6430">
      <w:pPr>
        <w:numPr>
          <w:ilvl w:val="0"/>
          <w:numId w:val="9"/>
        </w:numPr>
        <w:spacing w:after="0" w:line="276" w:lineRule="auto"/>
        <w:contextualSpacing/>
        <w:jc w:val="both"/>
        <w:rPr>
          <w:sz w:val="20"/>
          <w:szCs w:val="20"/>
        </w:rPr>
      </w:pPr>
      <w:r w:rsidRPr="00A07BE9">
        <w:rPr>
          <w:rFonts w:ascii="Open Sans" w:hAnsi="Open Sans" w:cs="Open Sans"/>
          <w:sz w:val="20"/>
          <w:szCs w:val="20"/>
        </w:rPr>
        <w:t>Actuar solo tras barajar las alternativas, costes y efectos;</w:t>
      </w:r>
    </w:p>
    <w:p w14:paraId="4343AF9E" w14:textId="77777777" w:rsidR="008C1E7A" w:rsidRPr="00A07BE9" w:rsidRDefault="002D0FF9" w:rsidP="002D0FF9">
      <w:pPr>
        <w:numPr>
          <w:ilvl w:val="0"/>
          <w:numId w:val="9"/>
        </w:numPr>
        <w:spacing w:after="0" w:line="276" w:lineRule="auto"/>
        <w:contextualSpacing/>
        <w:jc w:val="both"/>
        <w:rPr>
          <w:sz w:val="20"/>
          <w:szCs w:val="20"/>
        </w:rPr>
      </w:pPr>
      <w:r w:rsidRPr="00A07BE9">
        <w:rPr>
          <w:rFonts w:ascii="Open Sans" w:hAnsi="Open Sans" w:cs="Open Sans"/>
          <w:sz w:val="20"/>
          <w:szCs w:val="20"/>
        </w:rPr>
        <w:t xml:space="preserve">Planificar de forma coordinada las principales áreas de práctica de las instituciones, permitiendo alinear las políticas públicas con la gestión de las mismas: presupuesto; plan anual de contratación; plan estratégico de subvenciones; plan anual normativo; planificación urbanística; planificación de los recursos humanos, etc. </w:t>
      </w:r>
    </w:p>
    <w:p w14:paraId="20769AAB" w14:textId="77777777" w:rsidR="008C1E7A" w:rsidRPr="00A07BE9" w:rsidRDefault="002D0FF9" w:rsidP="002D0FF9">
      <w:pPr>
        <w:numPr>
          <w:ilvl w:val="0"/>
          <w:numId w:val="9"/>
        </w:numPr>
        <w:spacing w:after="0" w:line="276" w:lineRule="auto"/>
        <w:contextualSpacing/>
        <w:jc w:val="both"/>
        <w:rPr>
          <w:sz w:val="20"/>
          <w:szCs w:val="20"/>
        </w:rPr>
      </w:pPr>
      <w:r w:rsidRPr="00A07BE9">
        <w:rPr>
          <w:rFonts w:ascii="Open Sans" w:hAnsi="Open Sans" w:cs="Open Sans"/>
          <w:sz w:val="20"/>
          <w:szCs w:val="20"/>
        </w:rPr>
        <w:lastRenderedPageBreak/>
        <w:t>Definir objetivos claros, medir su grado de cumplimiento y rendir públicamente cuentas a la ciudadanía;</w:t>
      </w:r>
    </w:p>
    <w:p w14:paraId="116B3AE4" w14:textId="77777777" w:rsidR="008C1E7A" w:rsidRPr="00A07BE9" w:rsidRDefault="002D0FF9" w:rsidP="002D0FF9">
      <w:pPr>
        <w:numPr>
          <w:ilvl w:val="0"/>
          <w:numId w:val="9"/>
        </w:numPr>
        <w:spacing w:after="0" w:line="276" w:lineRule="auto"/>
        <w:contextualSpacing/>
        <w:jc w:val="both"/>
        <w:rPr>
          <w:sz w:val="20"/>
          <w:szCs w:val="20"/>
        </w:rPr>
      </w:pPr>
      <w:r w:rsidRPr="00A07BE9">
        <w:rPr>
          <w:rFonts w:ascii="Open Sans" w:hAnsi="Open Sans" w:cs="Open Sans"/>
          <w:sz w:val="20"/>
          <w:szCs w:val="20"/>
        </w:rPr>
        <w:t>Desplegar procesos de mejora continua que permitan el progreso de las Administraciones con inteligencia institucional.</w:t>
      </w:r>
    </w:p>
    <w:p w14:paraId="02A590B5" w14:textId="5DC2B373" w:rsidR="002D0FF9" w:rsidRPr="00A07BE9" w:rsidRDefault="002D0FF9" w:rsidP="002D0FF9">
      <w:pPr>
        <w:numPr>
          <w:ilvl w:val="0"/>
          <w:numId w:val="9"/>
        </w:numPr>
        <w:spacing w:after="0" w:line="276" w:lineRule="auto"/>
        <w:contextualSpacing/>
        <w:jc w:val="both"/>
        <w:rPr>
          <w:sz w:val="20"/>
          <w:szCs w:val="20"/>
        </w:rPr>
      </w:pPr>
      <w:r w:rsidRPr="00A07BE9">
        <w:rPr>
          <w:rFonts w:ascii="Open Sans" w:hAnsi="Open Sans" w:cs="Open Sans"/>
          <w:sz w:val="20"/>
          <w:szCs w:val="20"/>
        </w:rPr>
        <w:t>Ser transparentes con la planificación institucional, realizando las publicaciones adecuadas.</w:t>
      </w:r>
    </w:p>
    <w:p w14:paraId="24AD3105" w14:textId="77777777" w:rsidR="002D0FF9" w:rsidRPr="00A07BE9" w:rsidRDefault="002D0FF9" w:rsidP="002D0FF9">
      <w:pPr>
        <w:tabs>
          <w:tab w:val="left" w:pos="738"/>
        </w:tabs>
        <w:spacing w:after="0" w:line="276" w:lineRule="auto"/>
        <w:jc w:val="both"/>
        <w:rPr>
          <w:rFonts w:ascii="Open Sans" w:hAnsi="Open Sans" w:cs="Open Sans"/>
          <w:b/>
          <w:bCs/>
          <w:w w:val="105"/>
          <w:sz w:val="20"/>
          <w:szCs w:val="20"/>
        </w:rPr>
      </w:pPr>
    </w:p>
    <w:p w14:paraId="233E4850" w14:textId="77777777" w:rsidR="002D0FF9" w:rsidRPr="00A07BE9" w:rsidRDefault="002D0FF9" w:rsidP="002D0FF9">
      <w:pPr>
        <w:tabs>
          <w:tab w:val="left" w:pos="738"/>
        </w:tabs>
        <w:spacing w:after="0" w:line="276" w:lineRule="auto"/>
        <w:jc w:val="both"/>
        <w:rPr>
          <w:rFonts w:ascii="Open Sans" w:hAnsi="Open Sans" w:cs="Open Sans"/>
          <w:b/>
          <w:bCs/>
          <w:w w:val="105"/>
          <w:sz w:val="20"/>
          <w:szCs w:val="20"/>
        </w:rPr>
      </w:pPr>
    </w:p>
    <w:p w14:paraId="2768F816" w14:textId="6378C429" w:rsidR="002D0FF9" w:rsidRPr="00A07BE9" w:rsidRDefault="002D0FF9" w:rsidP="002D0FF9">
      <w:pPr>
        <w:tabs>
          <w:tab w:val="left" w:pos="738"/>
        </w:tabs>
        <w:spacing w:after="0" w:line="276" w:lineRule="auto"/>
        <w:jc w:val="both"/>
        <w:rPr>
          <w:rFonts w:ascii="Open Sans" w:hAnsi="Open Sans" w:cs="Arial"/>
          <w:b/>
          <w:bCs/>
          <w:color w:val="9D2235"/>
          <w:w w:val="105"/>
          <w:sz w:val="32"/>
          <w:szCs w:val="32"/>
        </w:rPr>
      </w:pPr>
      <w:r w:rsidRPr="00A07BE9">
        <w:rPr>
          <w:rFonts w:ascii="Open Sans" w:hAnsi="Open Sans" w:cs="Arial"/>
          <w:b/>
          <w:bCs/>
          <w:color w:val="9D2235"/>
          <w:w w:val="105"/>
          <w:sz w:val="32"/>
          <w:szCs w:val="32"/>
        </w:rPr>
        <w:t>7.3</w:t>
      </w:r>
      <w:r w:rsidR="00575AA9" w:rsidRPr="00A07BE9">
        <w:rPr>
          <w:rFonts w:ascii="Open Sans" w:hAnsi="Open Sans" w:cs="Arial"/>
          <w:b/>
          <w:bCs/>
          <w:color w:val="9D2235"/>
          <w:w w:val="105"/>
          <w:sz w:val="32"/>
          <w:szCs w:val="32"/>
        </w:rPr>
        <w:t>.</w:t>
      </w:r>
      <w:r w:rsidRPr="00A07BE9">
        <w:rPr>
          <w:rFonts w:ascii="Open Sans" w:hAnsi="Open Sans" w:cs="Arial"/>
          <w:b/>
          <w:bCs/>
          <w:color w:val="9D2235"/>
          <w:w w:val="105"/>
          <w:sz w:val="32"/>
          <w:szCs w:val="32"/>
        </w:rPr>
        <w:t xml:space="preserve"> SOBRE LA NECESARIA INTEGRIDAD EN TODO EL CICLO DE CONTRATACIÓN PÚBLICA</w:t>
      </w:r>
    </w:p>
    <w:p w14:paraId="0102215D" w14:textId="77777777" w:rsidR="002D0FF9" w:rsidRPr="00A07BE9" w:rsidRDefault="002D0FF9" w:rsidP="002D0FF9">
      <w:pPr>
        <w:tabs>
          <w:tab w:val="left" w:pos="738"/>
        </w:tabs>
        <w:spacing w:after="0" w:line="276" w:lineRule="auto"/>
        <w:jc w:val="both"/>
        <w:rPr>
          <w:rFonts w:ascii="Open Sans" w:hAnsi="Open Sans" w:cs="Arial"/>
          <w:w w:val="105"/>
          <w:sz w:val="20"/>
          <w:szCs w:val="20"/>
        </w:rPr>
      </w:pPr>
    </w:p>
    <w:p w14:paraId="49C69732" w14:textId="77777777" w:rsidR="002D0FF9" w:rsidRPr="00A07BE9" w:rsidRDefault="002D0FF9" w:rsidP="002D0FF9">
      <w:pPr>
        <w:tabs>
          <w:tab w:val="left" w:pos="738"/>
        </w:tabs>
        <w:spacing w:after="0" w:line="276" w:lineRule="auto"/>
        <w:jc w:val="both"/>
        <w:rPr>
          <w:rFonts w:ascii="Open Sans" w:hAnsi="Open Sans" w:cs="Arial"/>
          <w:w w:val="105"/>
          <w:sz w:val="21"/>
          <w:szCs w:val="21"/>
        </w:rPr>
      </w:pPr>
      <w:r w:rsidRPr="00A07BE9">
        <w:rPr>
          <w:rFonts w:ascii="Open Sans" w:hAnsi="Open Sans" w:cs="Arial"/>
          <w:w w:val="105"/>
          <w:sz w:val="20"/>
          <w:szCs w:val="20"/>
        </w:rPr>
        <w:t xml:space="preserve">Son numerosos los casos judicializados por corrupción en materia de contratación del sector público. Muchos de ellos por inobservancia de las normas de preparación y adjudicación de los contratos (“procedimientos de licitación”) y/o debido a la falta de planificación general de la contratación de la entidad pública y de la licitación en particular (incorrecta definición de las necesidades del contrato y, por ende, incorrecta calificación de su régimen jurídico). </w:t>
      </w:r>
    </w:p>
    <w:p w14:paraId="62A32BA9" w14:textId="77777777" w:rsidR="002D0FF9" w:rsidRPr="00A07BE9" w:rsidRDefault="002D0FF9" w:rsidP="002D0FF9">
      <w:pPr>
        <w:tabs>
          <w:tab w:val="left" w:pos="738"/>
        </w:tabs>
        <w:spacing w:after="0" w:line="276" w:lineRule="auto"/>
        <w:jc w:val="both"/>
        <w:rPr>
          <w:rFonts w:ascii="Open Sans" w:hAnsi="Open Sans" w:cs="Arial"/>
          <w:i/>
          <w:color w:val="000000"/>
          <w:w w:val="105"/>
          <w:kern w:val="2"/>
          <w:sz w:val="20"/>
          <w:szCs w:val="20"/>
        </w:rPr>
      </w:pPr>
    </w:p>
    <w:p w14:paraId="28CED72D" w14:textId="4A9CF3B3" w:rsidR="002D0FF9" w:rsidRPr="00A07BE9" w:rsidRDefault="002D0FF9" w:rsidP="002D0FF9">
      <w:pPr>
        <w:tabs>
          <w:tab w:val="left" w:pos="738"/>
        </w:tabs>
        <w:spacing w:after="0" w:line="276" w:lineRule="auto"/>
        <w:jc w:val="both"/>
        <w:rPr>
          <w:rFonts w:ascii="Open Sans" w:hAnsi="Open Sans"/>
          <w:kern w:val="2"/>
          <w:sz w:val="20"/>
          <w:szCs w:val="20"/>
        </w:rPr>
      </w:pPr>
      <w:r w:rsidRPr="00A07BE9">
        <w:rPr>
          <w:rFonts w:ascii="Open Sans" w:hAnsi="Open Sans" w:cs="Arial"/>
          <w:w w:val="105"/>
          <w:kern w:val="2"/>
          <w:sz w:val="20"/>
          <w:szCs w:val="20"/>
        </w:rPr>
        <w:t xml:space="preserve">Según el Parlamento Europeo, el sector de la contratación pública es el más expuesto a los riesgos de gestión irregular, fraude y corrupción (de ahí que por Resolución de 4 de octubre de 2018 aprobase un paquete de medidas centrada en una estrategia de contratación pública). La propia Comisión Europea ha estimado que </w:t>
      </w:r>
      <w:r w:rsidRPr="00A07BE9">
        <w:rPr>
          <w:rFonts w:ascii="Open Sans" w:hAnsi="Open Sans"/>
          <w:kern w:val="2"/>
          <w:sz w:val="20"/>
          <w:szCs w:val="20"/>
        </w:rPr>
        <w:t xml:space="preserve">el coste de la corrupción para la economía de la UE asciende a </w:t>
      </w:r>
      <w:r w:rsidRPr="00A07BE9">
        <w:rPr>
          <w:rFonts w:ascii="Open Sans" w:hAnsi="Open Sans"/>
          <w:bCs/>
          <w:kern w:val="2"/>
          <w:sz w:val="20"/>
          <w:szCs w:val="20"/>
        </w:rPr>
        <w:t xml:space="preserve">120.000 millones </w:t>
      </w:r>
      <w:r w:rsidR="00A55D42" w:rsidRPr="00A07BE9">
        <w:rPr>
          <w:rFonts w:ascii="Open Sans" w:hAnsi="Open Sans"/>
          <w:bCs/>
          <w:kern w:val="2"/>
          <w:sz w:val="20"/>
          <w:szCs w:val="20"/>
        </w:rPr>
        <w:t xml:space="preserve">de euros </w:t>
      </w:r>
      <w:r w:rsidRPr="00A07BE9">
        <w:rPr>
          <w:rFonts w:ascii="Open Sans" w:hAnsi="Open Sans"/>
          <w:bCs/>
          <w:kern w:val="2"/>
          <w:sz w:val="20"/>
          <w:szCs w:val="20"/>
        </w:rPr>
        <w:t>al año,</w:t>
      </w:r>
      <w:r w:rsidRPr="00A07BE9">
        <w:rPr>
          <w:rFonts w:ascii="Open Sans" w:hAnsi="Open Sans"/>
          <w:kern w:val="2"/>
          <w:sz w:val="20"/>
          <w:szCs w:val="20"/>
        </w:rPr>
        <w:t xml:space="preserve"> algo menos que el presupuesto anual de la Unión Europea.</w:t>
      </w:r>
    </w:p>
    <w:p w14:paraId="023E0794" w14:textId="77777777" w:rsidR="00291289" w:rsidRPr="00A07BE9" w:rsidRDefault="00291289" w:rsidP="002D0FF9">
      <w:pPr>
        <w:tabs>
          <w:tab w:val="left" w:pos="738"/>
        </w:tabs>
        <w:spacing w:after="0" w:line="276" w:lineRule="auto"/>
        <w:jc w:val="both"/>
        <w:rPr>
          <w:sz w:val="20"/>
          <w:szCs w:val="20"/>
        </w:rPr>
      </w:pPr>
    </w:p>
    <w:p w14:paraId="7DE79804" w14:textId="1B61DB24" w:rsidR="002D0FF9" w:rsidRPr="00A07BE9" w:rsidRDefault="002D0FF9" w:rsidP="002D0FF9">
      <w:pPr>
        <w:tabs>
          <w:tab w:val="left" w:pos="738"/>
        </w:tabs>
        <w:spacing w:after="0" w:line="276" w:lineRule="auto"/>
        <w:jc w:val="both"/>
        <w:rPr>
          <w:rFonts w:ascii="Open Sans" w:hAnsi="Open Sans"/>
          <w:sz w:val="21"/>
          <w:szCs w:val="21"/>
        </w:rPr>
      </w:pPr>
      <w:r w:rsidRPr="00A07BE9">
        <w:rPr>
          <w:rFonts w:ascii="Open Sans" w:hAnsi="Open Sans"/>
          <w:kern w:val="2"/>
          <w:sz w:val="20"/>
          <w:szCs w:val="20"/>
        </w:rPr>
        <w:t xml:space="preserve">A nivel nacional, la CNMC (Comisión Nacional de los Mercados y de la Competencia) afirma que </w:t>
      </w:r>
      <w:r w:rsidRPr="00A07BE9">
        <w:rPr>
          <w:rFonts w:ascii="Open Sans" w:hAnsi="Open Sans"/>
          <w:i/>
          <w:iCs/>
          <w:kern w:val="2"/>
          <w:sz w:val="20"/>
          <w:szCs w:val="20"/>
        </w:rPr>
        <w:t>la ausencia de presión concurrencial puede originar desviaciones medias, al alza, del 25% del presupuesto de la contratación pública. En España, a nivel agregado, esto podría implicar hasta un 4,6% del PIB anual, aproximadamente 47.500 millones de euros/año.</w:t>
      </w:r>
      <w:r w:rsidRPr="00A07BE9">
        <w:rPr>
          <w:rFonts w:ascii="Open Sans" w:hAnsi="Open Sans"/>
          <w:kern w:val="2"/>
          <w:sz w:val="20"/>
          <w:szCs w:val="20"/>
        </w:rPr>
        <w:t xml:space="preserve"> </w:t>
      </w:r>
    </w:p>
    <w:p w14:paraId="38BFD660" w14:textId="77777777" w:rsidR="002D0FF9" w:rsidRPr="00A07BE9" w:rsidRDefault="002D0FF9" w:rsidP="002D0FF9">
      <w:pPr>
        <w:tabs>
          <w:tab w:val="left" w:pos="738"/>
        </w:tabs>
        <w:spacing w:after="0" w:line="276" w:lineRule="auto"/>
        <w:jc w:val="both"/>
        <w:rPr>
          <w:rFonts w:ascii="Open Sans" w:hAnsi="Open Sans" w:cs="Arial"/>
          <w:w w:val="105"/>
          <w:sz w:val="20"/>
          <w:szCs w:val="20"/>
        </w:rPr>
      </w:pPr>
    </w:p>
    <w:p w14:paraId="329003B5" w14:textId="77777777" w:rsidR="002D0FF9" w:rsidRPr="00A07BE9" w:rsidRDefault="002D0FF9" w:rsidP="002D0FF9">
      <w:pPr>
        <w:tabs>
          <w:tab w:val="left" w:pos="738"/>
        </w:tabs>
        <w:spacing w:after="0" w:line="276" w:lineRule="auto"/>
        <w:jc w:val="both"/>
        <w:rPr>
          <w:sz w:val="20"/>
          <w:szCs w:val="20"/>
        </w:rPr>
      </w:pPr>
      <w:r w:rsidRPr="00A07BE9">
        <w:rPr>
          <w:rFonts w:ascii="Open Sans" w:hAnsi="Open Sans"/>
          <w:color w:val="000000"/>
          <w:kern w:val="2"/>
          <w:sz w:val="20"/>
          <w:szCs w:val="20"/>
        </w:rPr>
        <w:t>El sector público de la Generalitat Valenciana (Administraciones territoriales y su sector público instrumental) es noticia en ocasiones por sendas irregularidades en expedientes de contratación que finalizan con un fallo judicial.</w:t>
      </w:r>
    </w:p>
    <w:p w14:paraId="59EB00A2" w14:textId="77777777" w:rsidR="002D0FF9" w:rsidRPr="00A07BE9" w:rsidRDefault="002D0FF9" w:rsidP="002D0FF9">
      <w:pPr>
        <w:tabs>
          <w:tab w:val="left" w:pos="738"/>
        </w:tabs>
        <w:spacing w:after="0" w:line="276" w:lineRule="auto"/>
        <w:jc w:val="both"/>
        <w:rPr>
          <w:rFonts w:ascii="Open Sans" w:hAnsi="Open Sans"/>
          <w:color w:val="000000"/>
          <w:kern w:val="2"/>
          <w:sz w:val="20"/>
          <w:szCs w:val="20"/>
        </w:rPr>
      </w:pPr>
    </w:p>
    <w:p w14:paraId="27842470" w14:textId="08635A69" w:rsidR="002D0FF9" w:rsidRPr="00A07BE9" w:rsidRDefault="002D0FF9" w:rsidP="002D0FF9">
      <w:pPr>
        <w:tabs>
          <w:tab w:val="left" w:pos="738"/>
        </w:tabs>
        <w:spacing w:after="0" w:line="276" w:lineRule="auto"/>
        <w:jc w:val="both"/>
        <w:rPr>
          <w:sz w:val="20"/>
          <w:szCs w:val="20"/>
        </w:rPr>
      </w:pPr>
      <w:r w:rsidRPr="00A07BE9">
        <w:rPr>
          <w:rFonts w:ascii="Open Sans" w:hAnsi="Open Sans" w:cs="Arial"/>
          <w:w w:val="105"/>
          <w:sz w:val="20"/>
          <w:szCs w:val="20"/>
        </w:rPr>
        <w:t xml:space="preserve">Desde la Agencia Valenciana Antifraude, hemos detectado como las Administraciones ponen énfasis en la fase de nacimiento de la relación contractual (actuaciones preparatorias, licitación y adjudicación del contrato), olvidando que </w:t>
      </w:r>
      <w:r w:rsidRPr="00A07BE9">
        <w:rPr>
          <w:rFonts w:ascii="Open Sans" w:hAnsi="Open Sans" w:cs="Arial"/>
          <w:bCs/>
          <w:w w:val="105"/>
          <w:sz w:val="20"/>
          <w:szCs w:val="20"/>
        </w:rPr>
        <w:t>la meta no es firmar el contrato sino que éste es el medio formal para satisfacer una ne</w:t>
      </w:r>
      <w:r w:rsidR="00A55D42" w:rsidRPr="00A07BE9">
        <w:rPr>
          <w:rFonts w:ascii="Open Sans" w:hAnsi="Open Sans" w:cs="Arial"/>
          <w:bCs/>
          <w:w w:val="105"/>
          <w:sz w:val="20"/>
          <w:szCs w:val="20"/>
        </w:rPr>
        <w:t>ce</w:t>
      </w:r>
      <w:r w:rsidRPr="00A07BE9">
        <w:rPr>
          <w:rFonts w:ascii="Open Sans" w:hAnsi="Open Sans" w:cs="Arial"/>
          <w:bCs/>
          <w:w w:val="105"/>
          <w:sz w:val="20"/>
          <w:szCs w:val="20"/>
        </w:rPr>
        <w:t>sidad pública</w:t>
      </w:r>
      <w:r w:rsidRPr="00A07BE9">
        <w:rPr>
          <w:rFonts w:ascii="Open Sans" w:hAnsi="Open Sans" w:cs="Arial"/>
          <w:w w:val="105"/>
          <w:sz w:val="20"/>
          <w:szCs w:val="20"/>
        </w:rPr>
        <w:t xml:space="preserve"> (prestación). </w:t>
      </w:r>
    </w:p>
    <w:p w14:paraId="1376B182" w14:textId="77777777" w:rsidR="002D0FF9" w:rsidRPr="00A07BE9" w:rsidRDefault="002D0FF9" w:rsidP="002D0FF9">
      <w:pPr>
        <w:tabs>
          <w:tab w:val="left" w:pos="738"/>
        </w:tabs>
        <w:spacing w:after="0" w:line="276" w:lineRule="auto"/>
        <w:jc w:val="both"/>
        <w:rPr>
          <w:rFonts w:ascii="Open Sans" w:hAnsi="Open Sans" w:cs="Arial"/>
          <w:w w:val="105"/>
          <w:sz w:val="20"/>
          <w:szCs w:val="20"/>
        </w:rPr>
      </w:pPr>
    </w:p>
    <w:p w14:paraId="4B849361" w14:textId="4FF49816" w:rsidR="002D0FF9" w:rsidRPr="00A07BE9" w:rsidRDefault="002D0FF9" w:rsidP="002D0FF9">
      <w:pPr>
        <w:tabs>
          <w:tab w:val="left" w:pos="738"/>
        </w:tabs>
        <w:spacing w:after="0" w:line="276" w:lineRule="auto"/>
        <w:jc w:val="both"/>
        <w:rPr>
          <w:sz w:val="20"/>
          <w:szCs w:val="20"/>
        </w:rPr>
      </w:pPr>
      <w:r w:rsidRPr="00A07BE9">
        <w:rPr>
          <w:rFonts w:ascii="Open Sans" w:hAnsi="Open Sans" w:cs="Arial"/>
          <w:w w:val="105"/>
          <w:sz w:val="20"/>
          <w:szCs w:val="20"/>
        </w:rPr>
        <w:t xml:space="preserve">Sirvan de ejemplo los siguientes </w:t>
      </w:r>
      <w:r w:rsidRPr="00A07BE9">
        <w:rPr>
          <w:rFonts w:ascii="Open Sans" w:hAnsi="Open Sans" w:cs="Arial"/>
          <w:bCs/>
          <w:w w:val="105"/>
          <w:sz w:val="20"/>
          <w:szCs w:val="20"/>
        </w:rPr>
        <w:t>riesgos de fraude y corrupción durante la vida del contrato y tras su extinción</w:t>
      </w:r>
      <w:r w:rsidRPr="00A07BE9">
        <w:rPr>
          <w:rFonts w:ascii="Open Sans" w:hAnsi="Open Sans" w:cs="Arial"/>
          <w:w w:val="105"/>
          <w:sz w:val="20"/>
          <w:szCs w:val="20"/>
        </w:rPr>
        <w:t xml:space="preserve">: </w:t>
      </w:r>
      <w:r w:rsidRPr="00A07BE9">
        <w:rPr>
          <w:rFonts w:ascii="Open Sans" w:hAnsi="Open Sans" w:cs="Arial"/>
          <w:i/>
          <w:iCs/>
          <w:w w:val="105"/>
          <w:sz w:val="20"/>
          <w:szCs w:val="20"/>
        </w:rPr>
        <w:t xml:space="preserve">i) </w:t>
      </w:r>
      <w:r w:rsidRPr="00A07BE9">
        <w:rPr>
          <w:rFonts w:ascii="Open Sans" w:hAnsi="Open Sans" w:cs="Arial"/>
          <w:w w:val="105"/>
          <w:sz w:val="20"/>
          <w:szCs w:val="20"/>
        </w:rPr>
        <w:t xml:space="preserve">Obtener una prestación diferente a la contratada (vía modificados indebidos del contrato; inejecución de mejoras o variantes; no detección </w:t>
      </w:r>
      <w:r w:rsidRPr="00A07BE9">
        <w:rPr>
          <w:rFonts w:ascii="Open Sans" w:hAnsi="Open Sans" w:cs="Arial"/>
          <w:w w:val="105"/>
          <w:sz w:val="20"/>
          <w:szCs w:val="20"/>
        </w:rPr>
        <w:lastRenderedPageBreak/>
        <w:t xml:space="preserve">de incumplimientos ni exigencia de las responsabilidades correspondientes; </w:t>
      </w:r>
      <w:r w:rsidRPr="00A07BE9">
        <w:rPr>
          <w:rFonts w:ascii="Open Sans" w:hAnsi="Open Sans" w:cs="Arial"/>
          <w:i/>
          <w:iCs/>
          <w:w w:val="105"/>
          <w:sz w:val="20"/>
          <w:szCs w:val="20"/>
        </w:rPr>
        <w:t xml:space="preserve">ii) </w:t>
      </w:r>
      <w:r w:rsidRPr="00A07BE9">
        <w:rPr>
          <w:rFonts w:ascii="Open Sans" w:hAnsi="Open Sans" w:cs="Arial"/>
          <w:w w:val="105"/>
          <w:sz w:val="20"/>
          <w:szCs w:val="20"/>
        </w:rPr>
        <w:t xml:space="preserve">Ausencia de un responsable del contrato o inactividad del mismo; </w:t>
      </w:r>
      <w:r w:rsidRPr="00A07BE9">
        <w:rPr>
          <w:rFonts w:ascii="Open Sans" w:hAnsi="Open Sans" w:cs="Arial"/>
          <w:i/>
          <w:iCs/>
          <w:w w:val="105"/>
          <w:sz w:val="20"/>
          <w:szCs w:val="20"/>
        </w:rPr>
        <w:t>iii)</w:t>
      </w:r>
      <w:r w:rsidRPr="00A07BE9">
        <w:rPr>
          <w:rFonts w:ascii="Open Sans" w:hAnsi="Open Sans" w:cs="Arial"/>
          <w:w w:val="105"/>
          <w:sz w:val="20"/>
          <w:szCs w:val="20"/>
        </w:rPr>
        <w:t xml:space="preserve"> Inadvertencia o inactividad ante causa de resolución del contrato; </w:t>
      </w:r>
      <w:r w:rsidRPr="00A07BE9">
        <w:rPr>
          <w:rFonts w:ascii="Open Sans" w:hAnsi="Open Sans" w:cs="Arial"/>
          <w:i/>
          <w:iCs/>
          <w:w w:val="105"/>
          <w:sz w:val="20"/>
          <w:szCs w:val="20"/>
        </w:rPr>
        <w:t xml:space="preserve">iv) </w:t>
      </w:r>
      <w:r w:rsidRPr="00A07BE9">
        <w:rPr>
          <w:rFonts w:ascii="Open Sans" w:hAnsi="Open Sans" w:cs="Arial"/>
          <w:w w:val="105"/>
          <w:sz w:val="20"/>
          <w:szCs w:val="20"/>
        </w:rPr>
        <w:t xml:space="preserve">Prorrogar de facto la duración de los contratos sin previsión ni cobertura contractual; </w:t>
      </w:r>
      <w:r w:rsidRPr="00A07BE9">
        <w:rPr>
          <w:rFonts w:ascii="Open Sans" w:hAnsi="Open Sans" w:cs="Arial"/>
          <w:i/>
          <w:iCs/>
          <w:w w:val="105"/>
          <w:sz w:val="20"/>
          <w:szCs w:val="20"/>
        </w:rPr>
        <w:t>v</w:t>
      </w:r>
      <w:r w:rsidRPr="00A07BE9">
        <w:rPr>
          <w:rFonts w:ascii="Open Sans" w:hAnsi="Open Sans" w:cs="Arial"/>
          <w:w w:val="105"/>
          <w:sz w:val="20"/>
          <w:szCs w:val="20"/>
        </w:rPr>
        <w:t xml:space="preserve">) Insuficiente control interno: ausencia de comprobación material de la inversión; falta de control de eficacia; </w:t>
      </w:r>
      <w:r w:rsidRPr="00A07BE9">
        <w:rPr>
          <w:rFonts w:ascii="Open Sans" w:hAnsi="Open Sans" w:cs="Arial"/>
          <w:i/>
          <w:iCs/>
          <w:w w:val="105"/>
          <w:sz w:val="20"/>
          <w:szCs w:val="20"/>
        </w:rPr>
        <w:t xml:space="preserve">vi) </w:t>
      </w:r>
      <w:r w:rsidRPr="00A07BE9">
        <w:rPr>
          <w:rFonts w:ascii="Open Sans" w:hAnsi="Open Sans" w:cs="Arial"/>
          <w:w w:val="105"/>
          <w:sz w:val="20"/>
          <w:szCs w:val="20"/>
        </w:rPr>
        <w:t xml:space="preserve">ausencia de aprobación y control de un código ético y medidas anticorrupción de la organización (la propia Ley de Contratos del Sector Público obliga al órgano de contratación a adoptar medidas de detección, evitación y control de los conflictos de intereses así como de defensa de la libre competencia en las licitaciones- artículos 1.1, 28.2, 64, 69.2, 70); </w:t>
      </w:r>
      <w:r w:rsidRPr="00A07BE9">
        <w:rPr>
          <w:rFonts w:ascii="Open Sans" w:hAnsi="Open Sans" w:cs="Arial"/>
          <w:i/>
          <w:iCs/>
          <w:w w:val="105"/>
          <w:sz w:val="20"/>
          <w:szCs w:val="20"/>
        </w:rPr>
        <w:t>vii)</w:t>
      </w:r>
      <w:r w:rsidRPr="00A07BE9">
        <w:rPr>
          <w:rFonts w:ascii="Open Sans" w:hAnsi="Open Sans" w:cs="Arial"/>
          <w:w w:val="105"/>
          <w:sz w:val="20"/>
          <w:szCs w:val="20"/>
        </w:rPr>
        <w:t xml:space="preserve"> ausencia de canales de denuncias (en línea con la nueva Directiva</w:t>
      </w:r>
      <w:r w:rsidR="00E878CC">
        <w:rPr>
          <w:rFonts w:ascii="Open Sans" w:hAnsi="Open Sans" w:cs="Arial"/>
          <w:w w:val="105"/>
          <w:sz w:val="20"/>
          <w:szCs w:val="20"/>
        </w:rPr>
        <w:t xml:space="preserve"> </w:t>
      </w:r>
      <w:r w:rsidR="00814768" w:rsidRPr="00A07BE9">
        <w:rPr>
          <w:rFonts w:ascii="Open Sans" w:hAnsi="Open Sans" w:cs="Arial"/>
          <w:w w:val="105"/>
          <w:sz w:val="20"/>
          <w:szCs w:val="20"/>
        </w:rPr>
        <w:t>(UE)</w:t>
      </w:r>
      <w:r w:rsidRPr="00A07BE9">
        <w:rPr>
          <w:rFonts w:ascii="Open Sans" w:hAnsi="Open Sans" w:cs="Arial"/>
          <w:w w:val="105"/>
          <w:sz w:val="20"/>
          <w:szCs w:val="20"/>
        </w:rPr>
        <w:t xml:space="preserve"> 2019/1937, de 23 de octubre, del Parlamento Europeo y del Consejo, relativa a la protección de las personas que  informen sobre infracciones del Derecho de la Unión); </w:t>
      </w:r>
      <w:r w:rsidRPr="00A07BE9">
        <w:rPr>
          <w:rFonts w:ascii="Open Sans" w:hAnsi="Open Sans" w:cs="Arial"/>
          <w:i/>
          <w:iCs/>
          <w:w w:val="105"/>
          <w:sz w:val="20"/>
          <w:szCs w:val="20"/>
        </w:rPr>
        <w:t>viii)</w:t>
      </w:r>
      <w:r w:rsidRPr="00A07BE9">
        <w:rPr>
          <w:rFonts w:ascii="Open Sans" w:hAnsi="Open Sans" w:cs="Arial"/>
          <w:w w:val="105"/>
          <w:sz w:val="20"/>
          <w:szCs w:val="20"/>
        </w:rPr>
        <w:t xml:space="preserve"> ausencia de evaluación periódica, transparencia y publicidad.</w:t>
      </w:r>
    </w:p>
    <w:p w14:paraId="3816D132" w14:textId="77777777" w:rsidR="002D0FF9" w:rsidRPr="00A07BE9" w:rsidRDefault="002D0FF9" w:rsidP="002D0FF9">
      <w:pPr>
        <w:tabs>
          <w:tab w:val="left" w:pos="738"/>
        </w:tabs>
        <w:spacing w:after="0" w:line="276" w:lineRule="auto"/>
        <w:jc w:val="both"/>
        <w:rPr>
          <w:rFonts w:ascii="Open Sans" w:hAnsi="Open Sans" w:cs="Arial"/>
          <w:w w:val="105"/>
          <w:sz w:val="20"/>
          <w:szCs w:val="20"/>
        </w:rPr>
      </w:pPr>
    </w:p>
    <w:p w14:paraId="5E6446A6" w14:textId="77777777" w:rsidR="002D0FF9" w:rsidRPr="00A07BE9" w:rsidRDefault="002D0FF9" w:rsidP="002D0FF9">
      <w:pPr>
        <w:tabs>
          <w:tab w:val="left" w:pos="738"/>
        </w:tabs>
        <w:spacing w:after="0" w:line="276" w:lineRule="auto"/>
        <w:jc w:val="both"/>
        <w:rPr>
          <w:rFonts w:ascii="Open Sans" w:hAnsi="Open Sans" w:cs="Arial"/>
          <w:w w:val="105"/>
          <w:kern w:val="2"/>
          <w:sz w:val="20"/>
          <w:szCs w:val="20"/>
        </w:rPr>
      </w:pPr>
      <w:r w:rsidRPr="00A07BE9">
        <w:rPr>
          <w:rFonts w:ascii="Open Sans" w:hAnsi="Open Sans" w:cs="Arial"/>
          <w:w w:val="105"/>
          <w:kern w:val="2"/>
          <w:sz w:val="20"/>
          <w:szCs w:val="20"/>
        </w:rPr>
        <w:t xml:space="preserve">En suma, ha llegado la hora de </w:t>
      </w:r>
      <w:r w:rsidRPr="00A07BE9">
        <w:rPr>
          <w:rFonts w:ascii="Open Sans" w:hAnsi="Open Sans" w:cs="Arial"/>
          <w:bCs/>
          <w:w w:val="105"/>
          <w:kern w:val="2"/>
          <w:sz w:val="20"/>
          <w:szCs w:val="20"/>
        </w:rPr>
        <w:t>poner el acento al control de la ejecución de los contratos</w:t>
      </w:r>
      <w:r w:rsidRPr="00A07BE9">
        <w:rPr>
          <w:rFonts w:ascii="Open Sans" w:hAnsi="Open Sans" w:cs="Arial"/>
          <w:w w:val="105"/>
          <w:kern w:val="2"/>
          <w:sz w:val="20"/>
          <w:szCs w:val="20"/>
        </w:rPr>
        <w:t xml:space="preserve">, tanto por los órganos de control como por la novedosa e imperativa figura del “responsable del contrato”, que debe jugar un papel clave facilitador de dicha labor, pues, metafóricamente hablando: cuando firmamos un contrato nos ponen el dorsal para salir a correr, no hemos llegado a la meta. </w:t>
      </w:r>
    </w:p>
    <w:p w14:paraId="47F74631" w14:textId="77777777" w:rsidR="002D0FF9" w:rsidRPr="00A07BE9" w:rsidRDefault="002D0FF9" w:rsidP="002D0FF9">
      <w:pPr>
        <w:tabs>
          <w:tab w:val="left" w:pos="738"/>
        </w:tabs>
        <w:spacing w:after="0" w:line="276" w:lineRule="auto"/>
        <w:jc w:val="both"/>
        <w:rPr>
          <w:rFonts w:ascii="Open Sans" w:hAnsi="Open Sans" w:cs="Arial"/>
          <w:w w:val="105"/>
          <w:kern w:val="2"/>
          <w:sz w:val="20"/>
          <w:szCs w:val="20"/>
        </w:rPr>
      </w:pPr>
    </w:p>
    <w:p w14:paraId="2DCEBD92" w14:textId="77777777" w:rsidR="00610826" w:rsidRPr="00A07BE9" w:rsidRDefault="00610826" w:rsidP="002D0FF9">
      <w:pPr>
        <w:tabs>
          <w:tab w:val="left" w:pos="738"/>
        </w:tabs>
        <w:spacing w:after="0" w:line="276" w:lineRule="auto"/>
        <w:jc w:val="both"/>
        <w:rPr>
          <w:rFonts w:ascii="Open Sans" w:hAnsi="Open Sans" w:cs="Arial"/>
          <w:w w:val="105"/>
          <w:kern w:val="2"/>
          <w:sz w:val="20"/>
          <w:szCs w:val="20"/>
        </w:rPr>
      </w:pPr>
    </w:p>
    <w:p w14:paraId="72A4AC31" w14:textId="0839DBBF" w:rsidR="00610826" w:rsidRPr="00A07BE9" w:rsidRDefault="00610826" w:rsidP="00610826">
      <w:pPr>
        <w:pStyle w:val="Standard"/>
        <w:shd w:val="clear" w:color="auto" w:fill="FFFFFF"/>
        <w:jc w:val="both"/>
        <w:textAlignment w:val="auto"/>
        <w:rPr>
          <w:rFonts w:ascii="Open Sans" w:eastAsia="Times New Roman" w:hAnsi="Open Sans" w:cs="Open Sans"/>
          <w:b/>
          <w:bCs/>
          <w:smallCaps/>
          <w:color w:val="993333"/>
          <w:w w:val="105"/>
          <w:sz w:val="32"/>
          <w:szCs w:val="32"/>
          <w:shd w:val="clear" w:color="auto" w:fill="FFFFFF"/>
          <w:lang w:eastAsia="es-ES"/>
        </w:rPr>
      </w:pPr>
      <w:r w:rsidRPr="00A07BE9">
        <w:rPr>
          <w:rFonts w:ascii="Open Sans" w:eastAsia="Times New Roman" w:hAnsi="Open Sans" w:cs="Open Sans"/>
          <w:b/>
          <w:bCs/>
          <w:smallCaps/>
          <w:color w:val="993333"/>
          <w:w w:val="105"/>
          <w:sz w:val="32"/>
          <w:szCs w:val="32"/>
          <w:shd w:val="clear" w:color="auto" w:fill="FFFFFF"/>
          <w:lang w:eastAsia="es-ES"/>
        </w:rPr>
        <w:t>7.4. SOBRE LA ESTRATEGIA DE INTEGRIDAD PÚBLICA EN LAS EMPRESAS PÚBLICAS: EL CASO DE LA EMT</w:t>
      </w:r>
    </w:p>
    <w:p w14:paraId="326EBA61" w14:textId="77777777" w:rsidR="00610826" w:rsidRPr="00A07BE9" w:rsidRDefault="00610826" w:rsidP="00610826">
      <w:pPr>
        <w:pStyle w:val="Standard"/>
        <w:tabs>
          <w:tab w:val="left" w:pos="738"/>
        </w:tabs>
        <w:spacing w:line="276" w:lineRule="auto"/>
        <w:jc w:val="both"/>
        <w:rPr>
          <w:rFonts w:ascii="Open Sans" w:hAnsi="Open Sans" w:cs="Open Sans"/>
          <w:w w:val="105"/>
          <w:sz w:val="20"/>
          <w:szCs w:val="20"/>
          <w:shd w:val="clear" w:color="auto" w:fill="FFFFFF"/>
        </w:rPr>
      </w:pPr>
    </w:p>
    <w:p w14:paraId="5CF0E857" w14:textId="77777777" w:rsidR="00610826" w:rsidRPr="00A07BE9" w:rsidRDefault="00610826" w:rsidP="00610826">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r w:rsidRPr="00A07BE9">
        <w:rPr>
          <w:rFonts w:ascii="Open Sans" w:eastAsia="SimSun" w:hAnsi="Open Sans" w:cs="Open Sans"/>
          <w:bCs/>
          <w:color w:val="000000"/>
          <w:w w:val="105"/>
          <w:sz w:val="20"/>
          <w:szCs w:val="20"/>
          <w:shd w:val="clear" w:color="auto" w:fill="FFFFFF"/>
        </w:rPr>
        <w:t>Es necesario impulsar el marco de integridad de las empresas públicas que deberá incluir, en todo caso, protocolos de funcionamiento interno y actuaciones de control eficaces y eficientes para evitar malas praxis administrativas, fraude y/o corrupción.</w:t>
      </w:r>
    </w:p>
    <w:p w14:paraId="210E27ED" w14:textId="77777777" w:rsidR="00610826" w:rsidRPr="00A07BE9" w:rsidRDefault="00610826" w:rsidP="00610826">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p>
    <w:p w14:paraId="371E6C2A" w14:textId="77777777" w:rsidR="00610826" w:rsidRPr="00A07BE9" w:rsidRDefault="00610826" w:rsidP="00610826">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r w:rsidRPr="00A07BE9">
        <w:rPr>
          <w:rFonts w:ascii="Open Sans" w:eastAsia="SimSun" w:hAnsi="Open Sans" w:cs="Open Sans"/>
          <w:bCs/>
          <w:color w:val="000000"/>
          <w:w w:val="105"/>
          <w:sz w:val="20"/>
          <w:szCs w:val="20"/>
          <w:shd w:val="clear" w:color="auto" w:fill="FFFFFF"/>
        </w:rPr>
        <w:t>Casos tan mediáticos como el fraude de la EMT ponen en evidencia la ausencia de estos protocolos, así como del correcto funcionamiento de los sistemas de control. El fomento de una cultura de buenas prácticas y la construcción de sistemas o marcos sólidos de integridad pública, en línea con las recomendaciones de la OCDE, nos pueden dar la clave para mejorar y aminorar el riesgo de que se repitan hechos y comportamientos tan sangrantes para las arcas públicas y para la ciudadanía.</w:t>
      </w:r>
    </w:p>
    <w:p w14:paraId="25286286" w14:textId="77777777" w:rsidR="00610826" w:rsidRPr="00A07BE9" w:rsidRDefault="00610826" w:rsidP="00610826">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p>
    <w:p w14:paraId="19586B4D" w14:textId="20B55B4F" w:rsidR="00610826" w:rsidRPr="00A07BE9" w:rsidRDefault="00610826" w:rsidP="00610826">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r w:rsidRPr="00A07BE9">
        <w:rPr>
          <w:rFonts w:ascii="Open Sans" w:eastAsia="SimSun" w:hAnsi="Open Sans" w:cs="Open Sans"/>
          <w:bCs/>
          <w:color w:val="000000"/>
          <w:w w:val="105"/>
          <w:sz w:val="20"/>
          <w:szCs w:val="20"/>
          <w:shd w:val="clear" w:color="auto" w:fill="FFFFFF"/>
        </w:rPr>
        <w:t>La Empresa Municipal de Transportes, SAU, es una sociedad mercantil de capital 100% del Ayuntamiento de València, encargada del transporte colectivo urbano de viajeros, que gestiona un presupuesto de más de 100 millones de euros.</w:t>
      </w:r>
    </w:p>
    <w:p w14:paraId="687CB56C" w14:textId="77777777" w:rsidR="00291289" w:rsidRPr="00A07BE9" w:rsidRDefault="00291289" w:rsidP="00610826">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p>
    <w:p w14:paraId="70191A6C" w14:textId="77777777" w:rsidR="00610826" w:rsidRPr="00A07BE9" w:rsidRDefault="00610826" w:rsidP="00610826">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r w:rsidRPr="00A07BE9">
        <w:rPr>
          <w:rFonts w:ascii="Open Sans" w:eastAsia="SimSun" w:hAnsi="Open Sans" w:cs="Open Sans"/>
          <w:bCs/>
          <w:color w:val="000000"/>
          <w:w w:val="105"/>
          <w:sz w:val="20"/>
          <w:szCs w:val="20"/>
          <w:shd w:val="clear" w:color="auto" w:fill="FFFFFF"/>
        </w:rPr>
        <w:t>Entre las medidas con las que contaba la empresa municipal con anterioridad al fraude, existían algunas de carácter formal (acuerdos, protocolos y procedimientos básicos), se destacan:</w:t>
      </w:r>
    </w:p>
    <w:p w14:paraId="0E179CF2" w14:textId="77777777" w:rsidR="00610826" w:rsidRPr="00A07BE9" w:rsidRDefault="00610826" w:rsidP="00610826">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p>
    <w:p w14:paraId="3AEC9F32" w14:textId="77777777" w:rsidR="00610826" w:rsidRPr="00A07BE9" w:rsidRDefault="00610826" w:rsidP="00610826">
      <w:pPr>
        <w:numPr>
          <w:ilvl w:val="0"/>
          <w:numId w:val="9"/>
        </w:numPr>
        <w:spacing w:after="0" w:line="276" w:lineRule="auto"/>
        <w:contextualSpacing/>
        <w:jc w:val="both"/>
        <w:rPr>
          <w:rFonts w:ascii="Open Sans" w:eastAsia="SimSun" w:hAnsi="Open Sans" w:cs="Open Sans"/>
          <w:bCs/>
          <w:color w:val="000000"/>
          <w:w w:val="105"/>
          <w:sz w:val="20"/>
          <w:szCs w:val="20"/>
          <w:shd w:val="clear" w:color="auto" w:fill="FFFFFF"/>
        </w:rPr>
      </w:pPr>
      <w:r w:rsidRPr="00A07BE9">
        <w:rPr>
          <w:rFonts w:ascii="Open Sans" w:eastAsia="SimSun" w:hAnsi="Open Sans" w:cs="Open Sans"/>
          <w:bCs/>
          <w:color w:val="000000"/>
          <w:w w:val="105"/>
          <w:sz w:val="20"/>
          <w:szCs w:val="20"/>
          <w:shd w:val="clear" w:color="auto" w:fill="FFFFFF"/>
          <w:lang w:eastAsia="zh-CN"/>
        </w:rPr>
        <w:lastRenderedPageBreak/>
        <w:t>El “Plan</w:t>
      </w:r>
      <w:r w:rsidRPr="00A07BE9">
        <w:rPr>
          <w:rFonts w:ascii="Open Sans" w:eastAsia="Times New Roman" w:hAnsi="Open Sans" w:cs="Open Sans"/>
          <w:sz w:val="20"/>
          <w:szCs w:val="20"/>
          <w:shd w:val="clear" w:color="auto" w:fill="FFFFFF"/>
          <w:lang w:eastAsia="es-ES"/>
        </w:rPr>
        <w:t>-Programa de armonización y homologación de entidades del Sector Público”, aprobado por acuerdo del Pleno de enero 2017, con ciertos protocolos en relación al control económico-financiero y su fiscalización, aspectos presupuestarios y contables o evaluación de la eficacia de las entidades dependientes, obligando a las entidades sujetas a este efecto a contar con un plan de actuación.</w:t>
      </w:r>
    </w:p>
    <w:p w14:paraId="22A40C3F" w14:textId="77777777" w:rsidR="00610826" w:rsidRPr="00A07BE9" w:rsidRDefault="00610826" w:rsidP="00610826">
      <w:pPr>
        <w:spacing w:after="0" w:line="276" w:lineRule="auto"/>
        <w:ind w:left="720"/>
        <w:contextualSpacing/>
        <w:jc w:val="both"/>
        <w:rPr>
          <w:rFonts w:ascii="Open Sans" w:eastAsia="SimSun" w:hAnsi="Open Sans" w:cs="Open Sans"/>
          <w:bCs/>
          <w:color w:val="000000"/>
          <w:w w:val="105"/>
          <w:sz w:val="20"/>
          <w:szCs w:val="20"/>
          <w:shd w:val="clear" w:color="auto" w:fill="FFFFFF"/>
        </w:rPr>
      </w:pPr>
    </w:p>
    <w:p w14:paraId="0A768084" w14:textId="77777777" w:rsidR="00610826" w:rsidRPr="00A07BE9" w:rsidRDefault="00610826" w:rsidP="00610826">
      <w:pPr>
        <w:numPr>
          <w:ilvl w:val="0"/>
          <w:numId w:val="9"/>
        </w:numPr>
        <w:spacing w:after="0" w:line="276" w:lineRule="auto"/>
        <w:contextualSpacing/>
        <w:jc w:val="both"/>
        <w:rPr>
          <w:rFonts w:ascii="Open Sans" w:eastAsia="SimSun" w:hAnsi="Open Sans" w:cs="Open Sans"/>
          <w:bCs/>
          <w:color w:val="000000"/>
          <w:w w:val="105"/>
          <w:sz w:val="20"/>
          <w:szCs w:val="20"/>
          <w:shd w:val="clear" w:color="auto" w:fill="FFFFFF"/>
        </w:rPr>
      </w:pPr>
      <w:r w:rsidRPr="00A07BE9">
        <w:rPr>
          <w:rFonts w:ascii="Open Sans" w:eastAsia="Times New Roman" w:hAnsi="Open Sans" w:cs="Open Sans"/>
          <w:sz w:val="20"/>
          <w:szCs w:val="20"/>
          <w:shd w:val="clear" w:color="auto" w:fill="FFFFFF"/>
          <w:lang w:eastAsia="es-ES"/>
        </w:rPr>
        <w:t xml:space="preserve">El acuerdo de julio de 2018 del pleno municipal, adoptado por el Consejo de la EMT en marzo de 2019, para </w:t>
      </w:r>
      <w:r w:rsidRPr="00A07BE9">
        <w:rPr>
          <w:rFonts w:ascii="Open Sans" w:eastAsia="Times New Roman" w:hAnsi="Open Sans" w:cs="Open Sans"/>
          <w:sz w:val="20"/>
          <w:szCs w:val="20"/>
          <w:lang w:eastAsia="es-ES"/>
        </w:rPr>
        <w:t xml:space="preserve">implantar en esta entidad determinadas funcionalidades de la plataforma integrada de administración electrónica (PIAE). </w:t>
      </w:r>
    </w:p>
    <w:p w14:paraId="7F2D0132" w14:textId="77777777" w:rsidR="00610826" w:rsidRPr="00A07BE9" w:rsidRDefault="00610826" w:rsidP="00610826">
      <w:pPr>
        <w:spacing w:after="0" w:line="276" w:lineRule="auto"/>
        <w:contextualSpacing/>
        <w:jc w:val="both"/>
        <w:rPr>
          <w:rFonts w:ascii="Open Sans" w:eastAsia="SimSun" w:hAnsi="Open Sans" w:cs="Open Sans"/>
          <w:bCs/>
          <w:color w:val="000000"/>
          <w:w w:val="105"/>
          <w:sz w:val="20"/>
          <w:szCs w:val="20"/>
          <w:shd w:val="clear" w:color="auto" w:fill="FFFFFF"/>
        </w:rPr>
      </w:pPr>
    </w:p>
    <w:p w14:paraId="7C93D2AC" w14:textId="2E317A5B" w:rsidR="00610826" w:rsidRPr="00A07BE9" w:rsidRDefault="00610826" w:rsidP="00610826">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r w:rsidRPr="00A07BE9">
        <w:rPr>
          <w:rFonts w:ascii="Open Sans" w:eastAsia="SimSun" w:hAnsi="Open Sans" w:cs="Open Sans"/>
          <w:bCs/>
          <w:color w:val="000000"/>
          <w:w w:val="105"/>
          <w:sz w:val="20"/>
          <w:szCs w:val="20"/>
          <w:shd w:val="clear" w:color="auto" w:fill="FFFFFF"/>
        </w:rPr>
        <w:t>Protocolos y acuerdos que, a la vista del relato público de los hechos, en algunos casos no se llegaron a aprobar y en otros parece que resultaron ineficaces.</w:t>
      </w:r>
    </w:p>
    <w:p w14:paraId="3B2FCFCC" w14:textId="77777777" w:rsidR="00291289" w:rsidRPr="00A07BE9" w:rsidRDefault="00291289" w:rsidP="00610826">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p>
    <w:p w14:paraId="581D144E" w14:textId="1348EB45" w:rsidR="00610826" w:rsidRPr="00A07BE9" w:rsidRDefault="00610826" w:rsidP="00610826">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r w:rsidRPr="00A07BE9">
        <w:rPr>
          <w:rFonts w:ascii="Open Sans" w:eastAsia="SimSun" w:hAnsi="Open Sans" w:cs="Open Sans"/>
          <w:bCs/>
          <w:color w:val="000000"/>
          <w:w w:val="105"/>
          <w:sz w:val="20"/>
          <w:szCs w:val="20"/>
          <w:shd w:val="clear" w:color="auto" w:fill="FFFFFF"/>
        </w:rPr>
        <w:t>Asimismo, los informes de control posterior realizados por la Sindicatura de Comptes de la Generalitat Valenciana (en relación con el ejercicio 2016) y por la Intervención Municipal del Ayuntamiento de València (en relación con la auditoría de cumplimiento del ejercicio 2018), pusieron de manifiesto deficiencias que, de haberse corregido, podrían haber detectado o minimizado el incidente: ausencia de instrucciones internas de contratación, de procedimientos de aprobación de facturas, de evidencia documental en operativa contable, del cumplimiento del propio plan-programa de armonización, deficiencias en aspectos de la gestión del área de tesorería, entre otras.</w:t>
      </w:r>
    </w:p>
    <w:p w14:paraId="6F767348" w14:textId="77777777" w:rsidR="00291289" w:rsidRPr="00A07BE9" w:rsidRDefault="00291289" w:rsidP="00610826">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p>
    <w:p w14:paraId="6EA0E6AD" w14:textId="77777777" w:rsidR="00610826" w:rsidRPr="00A07BE9" w:rsidRDefault="00610826" w:rsidP="00610826">
      <w:pPr>
        <w:pStyle w:val="Standard"/>
        <w:shd w:val="clear" w:color="auto" w:fill="FFFFFF"/>
        <w:tabs>
          <w:tab w:val="left" w:pos="738"/>
        </w:tabs>
        <w:spacing w:line="276" w:lineRule="auto"/>
        <w:jc w:val="both"/>
        <w:textAlignment w:val="auto"/>
        <w:rPr>
          <w:rFonts w:ascii="Open Sans" w:eastAsia="Times New Roman" w:hAnsi="Open Sans" w:cs="Open Sans"/>
          <w:sz w:val="20"/>
          <w:szCs w:val="20"/>
          <w:lang w:eastAsia="es-ES"/>
        </w:rPr>
      </w:pPr>
      <w:r w:rsidRPr="00A07BE9">
        <w:rPr>
          <w:rFonts w:ascii="Open Sans" w:eastAsia="SimSun" w:hAnsi="Open Sans" w:cs="Open Sans"/>
          <w:bCs/>
          <w:color w:val="000000"/>
          <w:w w:val="105"/>
          <w:sz w:val="20"/>
          <w:szCs w:val="20"/>
          <w:shd w:val="clear" w:color="auto" w:fill="FFFFFF"/>
        </w:rPr>
        <w:t>En consecuencia, parece</w:t>
      </w:r>
      <w:r w:rsidRPr="00A07BE9">
        <w:rPr>
          <w:rFonts w:ascii="Open Sans" w:eastAsia="Times New Roman" w:hAnsi="Open Sans" w:cs="Open Sans"/>
          <w:sz w:val="20"/>
          <w:szCs w:val="20"/>
          <w:shd w:val="clear" w:color="auto" w:fill="FFFFFF"/>
          <w:lang w:eastAsia="es-ES"/>
        </w:rPr>
        <w:t xml:space="preserve"> plausible pensar que estos procedimientos internos concretos hubiesen dado la voz de alarma en alguno de los distintos niveles organizativos existentes, </w:t>
      </w:r>
      <w:r w:rsidRPr="00A07BE9">
        <w:rPr>
          <w:rFonts w:ascii="Open Sans" w:eastAsia="Times New Roman" w:hAnsi="Open Sans" w:cs="Open Sans"/>
          <w:sz w:val="20"/>
          <w:szCs w:val="20"/>
          <w:lang w:eastAsia="es-ES"/>
        </w:rPr>
        <w:t>antes de efectuar unos pagos por montante de 4 millones de euros, con las verificaciones por sus responsables y los acuerdos requeridos al efecto.</w:t>
      </w:r>
      <w:r w:rsidRPr="00A07BE9">
        <w:rPr>
          <w:rFonts w:ascii="Open Sans" w:eastAsia="Times New Roman" w:hAnsi="Open Sans" w:cs="Open Sans"/>
          <w:sz w:val="20"/>
          <w:szCs w:val="20"/>
          <w:shd w:val="clear" w:color="auto" w:fill="FFFFFF"/>
          <w:lang w:eastAsia="es-ES"/>
        </w:rPr>
        <w:t xml:space="preserve"> En este sentido cabe destacar que, con posterioridad al fraude, por acuerdo del Pleno de octubre de 2019, el Ayuntamiento de València incluyó, entre las medidas tendentes a evitar situaciones futuras similares, la adopción de cuantos protocolos propusiera la Mesa Técnica del Plan de Armonización como de obligado cumplimiento para todos los organismos municipales (relativos </w:t>
      </w:r>
      <w:r w:rsidRPr="00A07BE9">
        <w:rPr>
          <w:rFonts w:ascii="Open Sans" w:eastAsia="Times New Roman" w:hAnsi="Open Sans" w:cs="Open Sans"/>
          <w:sz w:val="20"/>
          <w:szCs w:val="20"/>
          <w:lang w:eastAsia="es-ES"/>
        </w:rPr>
        <w:t>a metodologías y responsabilidades sobre autorización de gastos, ordenación de pagos, firmas mancomunadas, arqueos de caja, conciliaciones bancarias, etc).</w:t>
      </w:r>
    </w:p>
    <w:p w14:paraId="2DBE5BBB" w14:textId="77777777" w:rsidR="00610826" w:rsidRPr="00A07BE9" w:rsidRDefault="00610826" w:rsidP="00610826">
      <w:pPr>
        <w:pStyle w:val="Standard"/>
        <w:shd w:val="clear" w:color="auto" w:fill="FFFFFF"/>
        <w:tabs>
          <w:tab w:val="left" w:pos="738"/>
        </w:tabs>
        <w:spacing w:line="276" w:lineRule="auto"/>
        <w:jc w:val="both"/>
        <w:textAlignment w:val="auto"/>
        <w:rPr>
          <w:rFonts w:ascii="Open Sans" w:eastAsia="Times New Roman" w:hAnsi="Open Sans" w:cs="Open Sans"/>
          <w:sz w:val="20"/>
          <w:szCs w:val="20"/>
          <w:lang w:eastAsia="es-ES"/>
        </w:rPr>
      </w:pPr>
    </w:p>
    <w:p w14:paraId="7AD1E986" w14:textId="77777777" w:rsidR="00610826" w:rsidRPr="00A07BE9" w:rsidRDefault="00610826" w:rsidP="00610826">
      <w:pPr>
        <w:pStyle w:val="Standard"/>
        <w:shd w:val="clear" w:color="auto" w:fill="FFFFFF"/>
        <w:tabs>
          <w:tab w:val="left" w:pos="738"/>
        </w:tabs>
        <w:spacing w:line="276" w:lineRule="auto"/>
        <w:jc w:val="both"/>
        <w:textAlignment w:val="auto"/>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Además del establecimiento de procedimientos y del fortalecimiento de los sistemas de control, el personal y los cargos responsables deberán conocerlos y aplicarlos, posibilitándose su revisión, control y evaluación para evitar la relajación en su cumplimiento interno.</w:t>
      </w:r>
    </w:p>
    <w:p w14:paraId="61F8BCA7" w14:textId="77777777" w:rsidR="00610826" w:rsidRPr="00A07BE9" w:rsidRDefault="00610826" w:rsidP="00610826">
      <w:pPr>
        <w:pStyle w:val="Standard"/>
        <w:shd w:val="clear" w:color="auto" w:fill="FFFFFF"/>
        <w:tabs>
          <w:tab w:val="left" w:pos="738"/>
        </w:tabs>
        <w:spacing w:line="276" w:lineRule="auto"/>
        <w:jc w:val="both"/>
        <w:textAlignment w:val="auto"/>
        <w:rPr>
          <w:rFonts w:ascii="Open Sans" w:eastAsia="Times New Roman" w:hAnsi="Open Sans" w:cs="Open Sans"/>
          <w:sz w:val="20"/>
          <w:szCs w:val="20"/>
          <w:shd w:val="clear" w:color="auto" w:fill="FFFFFF"/>
          <w:lang w:eastAsia="es-ES"/>
        </w:rPr>
      </w:pPr>
    </w:p>
    <w:p w14:paraId="1E6A3FFE" w14:textId="77777777" w:rsidR="00610826" w:rsidRPr="00A07BE9" w:rsidRDefault="00610826" w:rsidP="00610826">
      <w:pPr>
        <w:pStyle w:val="Standard"/>
        <w:shd w:val="clear" w:color="auto" w:fill="FFFFFF"/>
        <w:tabs>
          <w:tab w:val="left" w:pos="738"/>
        </w:tabs>
        <w:spacing w:line="276" w:lineRule="auto"/>
        <w:jc w:val="both"/>
        <w:textAlignment w:val="auto"/>
        <w:rPr>
          <w:rFonts w:ascii="Open Sans" w:eastAsia="Times New Roman" w:hAnsi="Open Sans" w:cs="Open Sans"/>
          <w:sz w:val="20"/>
          <w:szCs w:val="20"/>
          <w:shd w:val="clear" w:color="auto" w:fill="FFFFFF"/>
          <w:lang w:eastAsia="es-ES"/>
        </w:rPr>
      </w:pPr>
      <w:r w:rsidRPr="00A07BE9">
        <w:rPr>
          <w:rFonts w:ascii="Open Sans" w:eastAsia="Times New Roman" w:hAnsi="Open Sans" w:cs="Open Sans"/>
          <w:sz w:val="20"/>
          <w:szCs w:val="20"/>
          <w:shd w:val="clear" w:color="auto" w:fill="FFFFFF"/>
          <w:lang w:eastAsia="es-ES"/>
        </w:rPr>
        <w:t xml:space="preserve">A tal efecto, consideramos que es necesario invertir en un liderazgo que fomente la ejemplaridad de los directivos de las empresas públicas, permitiendo así el impulso de unos objetivos claros, políticas y procedimientos que aseguren el cumplimiento de directrices internas, y que soliciten y destinen medios humanos (con clara segregación de sus funciones) y materiales, para ser capaces de detectar vulnerabilidades y riesgos en los sistemas de trabajo de la empresa pública y permitir así su control. Un primer paso dado </w:t>
      </w:r>
      <w:r w:rsidRPr="00A07BE9">
        <w:rPr>
          <w:rFonts w:ascii="Open Sans" w:eastAsia="Times New Roman" w:hAnsi="Open Sans" w:cs="Open Sans"/>
          <w:sz w:val="20"/>
          <w:szCs w:val="20"/>
          <w:shd w:val="clear" w:color="auto" w:fill="FFFFFF"/>
          <w:lang w:eastAsia="es-ES"/>
        </w:rPr>
        <w:lastRenderedPageBreak/>
        <w:t>por la EMT fue su adhesión al Código ético de la Generalitat Valenciana, pero debe controlarse su comprensión, cumplimiento y seguimiento.</w:t>
      </w:r>
    </w:p>
    <w:p w14:paraId="6D25A745" w14:textId="77777777" w:rsidR="00610826" w:rsidRPr="00A07BE9" w:rsidRDefault="00610826" w:rsidP="00610826">
      <w:pPr>
        <w:pStyle w:val="Standard"/>
        <w:shd w:val="clear" w:color="auto" w:fill="FFFFFF"/>
        <w:tabs>
          <w:tab w:val="left" w:pos="738"/>
        </w:tabs>
        <w:spacing w:line="276" w:lineRule="auto"/>
        <w:jc w:val="both"/>
        <w:textAlignment w:val="auto"/>
        <w:rPr>
          <w:rFonts w:ascii="Open Sans" w:eastAsia="Times New Roman" w:hAnsi="Open Sans" w:cs="Open Sans"/>
          <w:sz w:val="20"/>
          <w:szCs w:val="20"/>
          <w:lang w:eastAsia="es-ES"/>
        </w:rPr>
      </w:pPr>
    </w:p>
    <w:p w14:paraId="588F0484" w14:textId="46B70281" w:rsidR="00610826" w:rsidRPr="00A07BE9" w:rsidRDefault="00610826" w:rsidP="00610826">
      <w:pPr>
        <w:pStyle w:val="Standard"/>
        <w:shd w:val="clear" w:color="auto" w:fill="FFFFFF"/>
        <w:tabs>
          <w:tab w:val="left" w:pos="738"/>
        </w:tabs>
        <w:spacing w:line="276" w:lineRule="auto"/>
        <w:jc w:val="both"/>
        <w:textAlignment w:val="auto"/>
        <w:rPr>
          <w:rFonts w:ascii="Open Sans" w:eastAsia="Times New Roman" w:hAnsi="Open Sans" w:cs="Open Sans"/>
          <w:i/>
          <w:iCs/>
          <w:sz w:val="20"/>
          <w:szCs w:val="20"/>
          <w:lang w:eastAsia="es-ES"/>
        </w:rPr>
      </w:pPr>
      <w:r w:rsidRPr="00A07BE9">
        <w:rPr>
          <w:rFonts w:ascii="Open Sans" w:eastAsia="Times New Roman" w:hAnsi="Open Sans" w:cs="Open Sans"/>
          <w:sz w:val="20"/>
          <w:szCs w:val="20"/>
          <w:lang w:eastAsia="es-ES"/>
        </w:rPr>
        <w:t xml:space="preserve">Las otras tres medidas adoptadas por el Ayuntamiento de València para evitar que se repitan nuevos fraudes similares al de la EMT fueron: i) la realización de una auditoría de seguridad sobre los sistemas informáticos y sus posibles vulnerabilidades; ii) que se implantaran programas de prevención de riesgos penales; iii) incluir en el Plan Anual de Control Financiero para el ejercicio 2020, además del control de calidad sobre las auditorías contratadas directamente con los auditores privado (operativa y de cumplimiento), </w:t>
      </w:r>
      <w:r w:rsidRPr="00A07BE9">
        <w:rPr>
          <w:rFonts w:ascii="Open Sans" w:eastAsia="Times New Roman" w:hAnsi="Open Sans" w:cs="Open Sans"/>
          <w:i/>
          <w:iCs/>
          <w:sz w:val="20"/>
          <w:szCs w:val="20"/>
          <w:lang w:eastAsia="es-ES"/>
        </w:rPr>
        <w:t>La emisión de un informe de control interno y procedimientos que revise con detalle los circuitos de compras y pagos a proveedores en la EMT.</w:t>
      </w:r>
    </w:p>
    <w:p w14:paraId="01AD1EF0" w14:textId="77777777" w:rsidR="00610826" w:rsidRPr="00A07BE9" w:rsidRDefault="00610826" w:rsidP="00610826">
      <w:pPr>
        <w:pStyle w:val="Standard"/>
        <w:shd w:val="clear" w:color="auto" w:fill="FFFFFF"/>
        <w:tabs>
          <w:tab w:val="left" w:pos="738"/>
        </w:tabs>
        <w:spacing w:line="276" w:lineRule="auto"/>
        <w:jc w:val="both"/>
        <w:textAlignment w:val="auto"/>
        <w:rPr>
          <w:rFonts w:ascii="Open Sans" w:eastAsia="Times New Roman" w:hAnsi="Open Sans" w:cs="Open Sans"/>
          <w:sz w:val="20"/>
          <w:szCs w:val="20"/>
          <w:shd w:val="clear" w:color="auto" w:fill="FFFFFF"/>
          <w:lang w:eastAsia="es-ES"/>
        </w:rPr>
      </w:pPr>
    </w:p>
    <w:p w14:paraId="69888EA3" w14:textId="77777777" w:rsidR="00610826" w:rsidRPr="00A07BE9" w:rsidRDefault="00610826" w:rsidP="00610826">
      <w:pPr>
        <w:pStyle w:val="Standard"/>
        <w:shd w:val="clear" w:color="auto" w:fill="FFFFFF"/>
        <w:tabs>
          <w:tab w:val="left" w:pos="738"/>
        </w:tabs>
        <w:spacing w:line="276" w:lineRule="auto"/>
        <w:jc w:val="both"/>
        <w:textAlignment w:val="auto"/>
        <w:rPr>
          <w:rFonts w:ascii="Open Sans" w:eastAsia="Times New Roman" w:hAnsi="Open Sans" w:cs="Open Sans"/>
          <w:sz w:val="20"/>
          <w:szCs w:val="20"/>
          <w:shd w:val="clear" w:color="auto" w:fill="FFFFFF"/>
          <w:lang w:eastAsia="es-ES"/>
        </w:rPr>
      </w:pPr>
      <w:r w:rsidRPr="00A07BE9">
        <w:rPr>
          <w:rFonts w:ascii="Open Sans" w:eastAsia="Times New Roman" w:hAnsi="Open Sans" w:cs="Open Sans"/>
          <w:sz w:val="20"/>
          <w:szCs w:val="20"/>
          <w:shd w:val="clear" w:color="auto" w:fill="FFFFFF"/>
          <w:lang w:eastAsia="es-ES"/>
        </w:rPr>
        <w:t>Asimismo sería recomendable que, además de auditar los sistemas informáticos (componentes físicos, software, procedimientos y datos), se evalúe el correcto tratamiento de la información que manejan, dando cumplimiento a las medidas de seguridad previstas en la normativa (en esencia, Esquema Nacional de Seguridad, Ley Orgánica de Protección de Datos Personales y Garantía de Derechos Digitales), y adoptando medidas efectivas que permitan canales controlados de acceso a dicha información y la adopción de medidas de emergencia en caso de posible fraude.</w:t>
      </w:r>
    </w:p>
    <w:p w14:paraId="36D4FEED" w14:textId="77777777" w:rsidR="00610826" w:rsidRPr="00A07BE9" w:rsidRDefault="00610826" w:rsidP="00610826">
      <w:pPr>
        <w:pStyle w:val="Standard"/>
        <w:shd w:val="clear" w:color="auto" w:fill="FFFFFF"/>
        <w:tabs>
          <w:tab w:val="left" w:pos="738"/>
        </w:tabs>
        <w:spacing w:line="276" w:lineRule="auto"/>
        <w:jc w:val="both"/>
        <w:textAlignment w:val="auto"/>
        <w:rPr>
          <w:rFonts w:ascii="Open Sans" w:eastAsia="Times New Roman" w:hAnsi="Open Sans" w:cs="Open Sans"/>
          <w:sz w:val="20"/>
          <w:szCs w:val="20"/>
          <w:lang w:eastAsia="es-ES"/>
        </w:rPr>
      </w:pPr>
    </w:p>
    <w:p w14:paraId="2444904F" w14:textId="75E7E6D3" w:rsidR="00610826" w:rsidRPr="00A07BE9" w:rsidRDefault="00610826" w:rsidP="00610826">
      <w:pPr>
        <w:pStyle w:val="Standard"/>
        <w:shd w:val="clear" w:color="auto" w:fill="FFFFFF"/>
        <w:tabs>
          <w:tab w:val="left" w:pos="738"/>
        </w:tabs>
        <w:spacing w:line="276" w:lineRule="auto"/>
        <w:jc w:val="both"/>
        <w:textAlignment w:val="auto"/>
        <w:rPr>
          <w:rFonts w:ascii="Open Sans" w:eastAsia="Times New Roman" w:hAnsi="Open Sans" w:cs="Open Sans"/>
          <w:sz w:val="20"/>
          <w:szCs w:val="20"/>
          <w:lang w:eastAsia="es-ES"/>
        </w:rPr>
      </w:pPr>
      <w:r w:rsidRPr="00A07BE9">
        <w:rPr>
          <w:rFonts w:ascii="Open Sans" w:eastAsia="Times New Roman" w:hAnsi="Open Sans" w:cs="Open Sans"/>
          <w:sz w:val="20"/>
          <w:szCs w:val="20"/>
          <w:lang w:eastAsia="es-ES"/>
        </w:rPr>
        <w:t xml:space="preserve">En relación con tales medidas, se pone de manifiesto la necesidad de activarlas construyendo sistemas o marcos sólidos de integridad globales y transversales, realizando un previo análisis de todos los riesgos inherentes a la entidad e implementando las medidas o instrumentos para minimizarlos, así como incorporando canales internos de denuncias, en sintonía con la reciente Directiva </w:t>
      </w:r>
      <w:r w:rsidR="00EA60A1" w:rsidRPr="00A07BE9">
        <w:rPr>
          <w:rFonts w:ascii="Open Sans" w:eastAsia="Times New Roman" w:hAnsi="Open Sans" w:cs="Open Sans"/>
          <w:sz w:val="20"/>
          <w:szCs w:val="20"/>
          <w:lang w:eastAsia="es-ES"/>
        </w:rPr>
        <w:t>(</w:t>
      </w:r>
      <w:r w:rsidRPr="00A07BE9">
        <w:rPr>
          <w:rFonts w:ascii="Open Sans" w:eastAsia="Times New Roman" w:hAnsi="Open Sans" w:cs="Open Sans"/>
          <w:sz w:val="20"/>
          <w:szCs w:val="20"/>
          <w:lang w:eastAsia="es-ES"/>
        </w:rPr>
        <w:t>UE</w:t>
      </w:r>
      <w:r w:rsidR="00EA60A1" w:rsidRPr="00A07BE9">
        <w:rPr>
          <w:rFonts w:ascii="Open Sans" w:eastAsia="Times New Roman" w:hAnsi="Open Sans" w:cs="Open Sans"/>
          <w:sz w:val="20"/>
          <w:szCs w:val="20"/>
          <w:lang w:eastAsia="es-ES"/>
        </w:rPr>
        <w:t>)</w:t>
      </w:r>
      <w:r w:rsidRPr="00A07BE9">
        <w:rPr>
          <w:rFonts w:ascii="Open Sans" w:eastAsia="Times New Roman" w:hAnsi="Open Sans" w:cs="Open Sans"/>
          <w:sz w:val="20"/>
          <w:szCs w:val="20"/>
          <w:lang w:eastAsia="es-ES"/>
        </w:rPr>
        <w:t xml:space="preserve"> 2</w:t>
      </w:r>
      <w:r w:rsidR="00EA60A1" w:rsidRPr="00A07BE9">
        <w:rPr>
          <w:rFonts w:ascii="Open Sans" w:eastAsia="Times New Roman" w:hAnsi="Open Sans" w:cs="Open Sans"/>
          <w:sz w:val="20"/>
          <w:szCs w:val="20"/>
          <w:lang w:eastAsia="es-ES"/>
        </w:rPr>
        <w:t>0</w:t>
      </w:r>
      <w:r w:rsidRPr="00A07BE9">
        <w:rPr>
          <w:rFonts w:ascii="Open Sans" w:eastAsia="Times New Roman" w:hAnsi="Open Sans" w:cs="Open Sans"/>
          <w:sz w:val="20"/>
          <w:szCs w:val="20"/>
          <w:lang w:eastAsia="es-ES"/>
        </w:rPr>
        <w:t>19/1937, y formalizando códigos éticos con comisiones de seguimiento que controlen su cumplimiento y que resuelvan dudas al personal gestor de fondos públicos, con carácter previo a que se produzcan malas praxis administrativas o incluso fraude o corrupción.</w:t>
      </w:r>
    </w:p>
    <w:p w14:paraId="5C8F364B" w14:textId="77777777" w:rsidR="0004391F" w:rsidRPr="00A07BE9" w:rsidRDefault="0004391F" w:rsidP="00610826">
      <w:pPr>
        <w:pStyle w:val="Standard"/>
        <w:shd w:val="clear" w:color="auto" w:fill="FFFFFF"/>
        <w:tabs>
          <w:tab w:val="left" w:pos="738"/>
        </w:tabs>
        <w:spacing w:line="276" w:lineRule="auto"/>
        <w:jc w:val="both"/>
        <w:textAlignment w:val="auto"/>
        <w:rPr>
          <w:rFonts w:ascii="Open Sans" w:eastAsia="Times New Roman" w:hAnsi="Open Sans" w:cs="Open Sans"/>
          <w:sz w:val="20"/>
          <w:szCs w:val="20"/>
          <w:lang w:eastAsia="es-ES"/>
        </w:rPr>
      </w:pPr>
    </w:p>
    <w:p w14:paraId="7560E1BD" w14:textId="77777777" w:rsidR="00610826" w:rsidRPr="00A07BE9" w:rsidRDefault="00610826" w:rsidP="00610826">
      <w:pPr>
        <w:pStyle w:val="Standard"/>
        <w:shd w:val="clear" w:color="auto" w:fill="FFFFFF"/>
        <w:tabs>
          <w:tab w:val="left" w:pos="738"/>
        </w:tabs>
        <w:spacing w:line="276" w:lineRule="auto"/>
        <w:jc w:val="both"/>
        <w:textAlignment w:val="auto"/>
        <w:rPr>
          <w:rFonts w:ascii="Open Sans" w:eastAsia="Times New Roman" w:hAnsi="Open Sans" w:cs="Open Sans"/>
          <w:sz w:val="20"/>
          <w:szCs w:val="20"/>
          <w:shd w:val="clear" w:color="auto" w:fill="FFFFFF"/>
          <w:lang w:eastAsia="es-ES"/>
        </w:rPr>
      </w:pPr>
      <w:r w:rsidRPr="00A07BE9">
        <w:rPr>
          <w:rFonts w:ascii="Open Sans" w:eastAsia="Times New Roman" w:hAnsi="Open Sans" w:cs="Open Sans"/>
          <w:sz w:val="20"/>
          <w:szCs w:val="20"/>
          <w:shd w:val="clear" w:color="auto" w:fill="FFFFFF"/>
          <w:lang w:eastAsia="es-ES"/>
        </w:rPr>
        <w:t xml:space="preserve">La adopción de los programas de cumplimiento es un elemento más </w:t>
      </w:r>
      <w:r w:rsidRPr="00A07BE9">
        <w:rPr>
          <w:rFonts w:ascii="Open Sans" w:eastAsia="Times New Roman" w:hAnsi="Open Sans" w:cs="Open Sans"/>
          <w:sz w:val="20"/>
          <w:szCs w:val="20"/>
          <w:lang w:eastAsia="es-ES"/>
        </w:rPr>
        <w:t xml:space="preserve">de los sistemas de integridad pública, cuyo objetivo final y sus herramientas se orientan al servicio de los intereses generales de la ciudadanía, tal y como ya recomendó esta Agencia en su conclusión </w:t>
      </w:r>
      <w:r w:rsidRPr="00A07BE9">
        <w:rPr>
          <w:rFonts w:ascii="Open Sans" w:eastAsia="Times New Roman" w:hAnsi="Open Sans" w:cs="Open Sans"/>
          <w:sz w:val="20"/>
          <w:szCs w:val="20"/>
          <w:shd w:val="clear" w:color="auto" w:fill="FFFFFF"/>
          <w:lang w:eastAsia="es-ES"/>
        </w:rPr>
        <w:t xml:space="preserve">7.6 de la Memoria del ejercicio 2018 “sobre sistemas de integridad y controles de cumplimiento. Compliance”. </w:t>
      </w:r>
    </w:p>
    <w:p w14:paraId="20C114F6" w14:textId="77777777" w:rsidR="00610826" w:rsidRPr="00A07BE9" w:rsidRDefault="00610826" w:rsidP="00610826">
      <w:pPr>
        <w:pStyle w:val="Standard"/>
        <w:shd w:val="clear" w:color="auto" w:fill="FFFFFF"/>
        <w:tabs>
          <w:tab w:val="left" w:pos="738"/>
        </w:tabs>
        <w:spacing w:line="276" w:lineRule="auto"/>
        <w:jc w:val="both"/>
        <w:textAlignment w:val="auto"/>
        <w:rPr>
          <w:rFonts w:ascii="Open Sans" w:eastAsia="Times New Roman" w:hAnsi="Open Sans" w:cs="Open Sans"/>
          <w:sz w:val="20"/>
          <w:szCs w:val="20"/>
          <w:shd w:val="clear" w:color="auto" w:fill="FFFFFF"/>
          <w:lang w:eastAsia="es-ES"/>
        </w:rPr>
      </w:pPr>
    </w:p>
    <w:p w14:paraId="2A4DDA3D" w14:textId="77777777" w:rsidR="00610826" w:rsidRPr="00A07BE9" w:rsidRDefault="00610826" w:rsidP="00610826">
      <w:pPr>
        <w:pStyle w:val="Standard"/>
        <w:shd w:val="clear" w:color="auto" w:fill="FFFFFF"/>
        <w:tabs>
          <w:tab w:val="left" w:pos="738"/>
        </w:tabs>
        <w:spacing w:line="276" w:lineRule="auto"/>
        <w:jc w:val="both"/>
        <w:textAlignment w:val="auto"/>
        <w:rPr>
          <w:rFonts w:ascii="Open Sans" w:eastAsia="Times New Roman" w:hAnsi="Open Sans" w:cs="Open Sans"/>
          <w:sz w:val="20"/>
          <w:szCs w:val="20"/>
          <w:shd w:val="clear" w:color="auto" w:fill="FFFFFF"/>
          <w:lang w:eastAsia="es-ES"/>
        </w:rPr>
      </w:pPr>
      <w:r w:rsidRPr="00A07BE9">
        <w:rPr>
          <w:rFonts w:ascii="Open Sans" w:eastAsia="Times New Roman" w:hAnsi="Open Sans" w:cs="Open Sans"/>
          <w:sz w:val="20"/>
          <w:szCs w:val="20"/>
          <w:shd w:val="clear" w:color="auto" w:fill="FFFFFF"/>
          <w:lang w:eastAsia="es-ES"/>
        </w:rPr>
        <w:t>Todo ello contribuiría sobremanera a evitar desviaciones de poder o vías de hecho y despilfarro de dinero público y, en cualquier caso, a minorar el coste reputacional que fraudes tan mediáticos provocan en las instituciones y la propia sociedad valenciana.</w:t>
      </w:r>
    </w:p>
    <w:p w14:paraId="07BA2AD5" w14:textId="77777777" w:rsidR="00610826" w:rsidRPr="00A07BE9" w:rsidRDefault="00610826" w:rsidP="00610826">
      <w:pPr>
        <w:pStyle w:val="Standard"/>
        <w:shd w:val="clear" w:color="auto" w:fill="FFFFFF"/>
        <w:tabs>
          <w:tab w:val="left" w:pos="738"/>
        </w:tabs>
        <w:spacing w:line="276" w:lineRule="auto"/>
        <w:jc w:val="both"/>
        <w:textAlignment w:val="auto"/>
        <w:rPr>
          <w:rFonts w:ascii="Open Sans" w:eastAsia="Times New Roman" w:hAnsi="Open Sans" w:cs="Open Sans"/>
          <w:sz w:val="20"/>
          <w:szCs w:val="20"/>
          <w:shd w:val="clear" w:color="auto" w:fill="FFFFFF"/>
          <w:lang w:eastAsia="es-ES"/>
        </w:rPr>
      </w:pPr>
    </w:p>
    <w:p w14:paraId="7379B26A" w14:textId="0B138A6E" w:rsidR="00610826" w:rsidRPr="00A07BE9" w:rsidRDefault="00610826" w:rsidP="00610826">
      <w:pPr>
        <w:pStyle w:val="Standard"/>
        <w:shd w:val="clear" w:color="auto" w:fill="FFFFFF"/>
        <w:tabs>
          <w:tab w:val="left" w:pos="738"/>
        </w:tabs>
        <w:spacing w:line="276" w:lineRule="auto"/>
        <w:jc w:val="both"/>
        <w:textAlignment w:val="auto"/>
        <w:rPr>
          <w:rFonts w:ascii="Open Sans" w:eastAsia="Times New Roman" w:hAnsi="Open Sans" w:cs="Open Sans"/>
          <w:sz w:val="20"/>
          <w:szCs w:val="20"/>
          <w:shd w:val="clear" w:color="auto" w:fill="FFFFFF"/>
          <w:lang w:eastAsia="es-ES"/>
        </w:rPr>
      </w:pPr>
      <w:r w:rsidRPr="00A07BE9">
        <w:rPr>
          <w:rFonts w:ascii="Open Sans" w:eastAsia="Times New Roman" w:hAnsi="Open Sans" w:cs="Open Sans"/>
          <w:sz w:val="20"/>
          <w:szCs w:val="20"/>
          <w:shd w:val="clear" w:color="auto" w:fill="FFFFFF"/>
          <w:lang w:eastAsia="es-ES"/>
        </w:rPr>
        <w:t>Todo ello, sin perjuicio del análisis de la depuración de las responsabilidades pertinentes dentro y fuera de la EMT, ni de la calificación de la participación de la entidad financiera que operó materialmente las transacciones al extranjero, sin que se frenasen por la aparición de alguna alerta del sistema (documentos no originales, firmas falsas, transferencias a cuentas extranjeras,etc).</w:t>
      </w:r>
    </w:p>
    <w:p w14:paraId="462C276C" w14:textId="07AFF904" w:rsidR="002B6FB5" w:rsidRDefault="00610826" w:rsidP="00112709">
      <w:pPr>
        <w:pStyle w:val="Standard"/>
        <w:shd w:val="clear" w:color="auto" w:fill="FFFFFF"/>
        <w:tabs>
          <w:tab w:val="left" w:pos="738"/>
        </w:tabs>
        <w:spacing w:line="276" w:lineRule="auto"/>
        <w:jc w:val="both"/>
        <w:textAlignment w:val="auto"/>
        <w:rPr>
          <w:rFonts w:ascii="Open Sans" w:eastAsia="Times New Roman" w:hAnsi="Open Sans" w:cs="Open Sans"/>
          <w:sz w:val="20"/>
          <w:szCs w:val="20"/>
          <w:shd w:val="clear" w:color="auto" w:fill="FFFFFF"/>
          <w:lang w:eastAsia="es-ES"/>
        </w:rPr>
      </w:pPr>
      <w:r w:rsidRPr="00A07BE9">
        <w:rPr>
          <w:rFonts w:ascii="Open Sans" w:eastAsia="Times New Roman" w:hAnsi="Open Sans" w:cs="Open Sans"/>
          <w:sz w:val="20"/>
          <w:szCs w:val="20"/>
          <w:shd w:val="clear" w:color="auto" w:fill="FFFFFF"/>
          <w:lang w:eastAsia="es-ES"/>
        </w:rPr>
        <w:lastRenderedPageBreak/>
        <w:t>En suma, el impulso de los marcos de integridad en el sector público instrumental continúa siendo una asignatura pendiente y es necesario activar las correspondientes estrategias para su implementación.</w:t>
      </w:r>
    </w:p>
    <w:p w14:paraId="04F0B01A" w14:textId="20A077EA" w:rsidR="00C12B0A" w:rsidRDefault="00C12B0A" w:rsidP="00112709">
      <w:pPr>
        <w:pStyle w:val="Standard"/>
        <w:shd w:val="clear" w:color="auto" w:fill="FFFFFF"/>
        <w:tabs>
          <w:tab w:val="left" w:pos="738"/>
        </w:tabs>
        <w:spacing w:line="276" w:lineRule="auto"/>
        <w:jc w:val="both"/>
        <w:textAlignment w:val="auto"/>
        <w:rPr>
          <w:rFonts w:ascii="Open Sans" w:eastAsia="Times New Roman" w:hAnsi="Open Sans" w:cs="Open Sans"/>
          <w:sz w:val="20"/>
          <w:szCs w:val="20"/>
          <w:shd w:val="clear" w:color="auto" w:fill="FFFFFF"/>
          <w:lang w:eastAsia="es-ES"/>
        </w:rPr>
      </w:pPr>
    </w:p>
    <w:p w14:paraId="472514C3" w14:textId="77777777" w:rsidR="00C12B0A" w:rsidRPr="00A07BE9" w:rsidRDefault="00C12B0A" w:rsidP="00112709">
      <w:pPr>
        <w:pStyle w:val="Standard"/>
        <w:shd w:val="clear" w:color="auto" w:fill="FFFFFF"/>
        <w:tabs>
          <w:tab w:val="left" w:pos="738"/>
        </w:tabs>
        <w:spacing w:line="276" w:lineRule="auto"/>
        <w:jc w:val="both"/>
        <w:textAlignment w:val="auto"/>
        <w:rPr>
          <w:rFonts w:ascii="Open Sans" w:eastAsia="Times New Roman" w:hAnsi="Open Sans" w:cs="Open Sans"/>
          <w:sz w:val="20"/>
          <w:szCs w:val="20"/>
          <w:shd w:val="clear" w:color="auto" w:fill="FFFFFF"/>
          <w:lang w:eastAsia="es-ES"/>
        </w:rPr>
      </w:pPr>
    </w:p>
    <w:p w14:paraId="15356890" w14:textId="78479114" w:rsidR="00E1011A" w:rsidRPr="00A07BE9" w:rsidRDefault="00E1011A" w:rsidP="002B6FB5">
      <w:pPr>
        <w:pStyle w:val="Standard"/>
        <w:jc w:val="both"/>
        <w:textAlignment w:val="auto"/>
        <w:rPr>
          <w:rFonts w:ascii="Open Sans" w:eastAsia="Times New Roman" w:hAnsi="Open Sans" w:cs="Open Sans"/>
          <w:b/>
          <w:bCs/>
          <w:smallCaps/>
          <w:color w:val="993333"/>
          <w:w w:val="105"/>
          <w:sz w:val="32"/>
          <w:szCs w:val="32"/>
          <w:shd w:val="clear" w:color="auto" w:fill="FFFFFF"/>
          <w:lang w:eastAsia="es-ES"/>
        </w:rPr>
      </w:pPr>
      <w:r w:rsidRPr="00A07BE9">
        <w:rPr>
          <w:rFonts w:ascii="Open Sans" w:eastAsia="Times New Roman" w:hAnsi="Open Sans" w:cs="Open Sans"/>
          <w:b/>
          <w:bCs/>
          <w:smallCaps/>
          <w:color w:val="993333"/>
          <w:w w:val="105"/>
          <w:sz w:val="32"/>
          <w:szCs w:val="32"/>
          <w:shd w:val="clear" w:color="auto" w:fill="FFFFFF"/>
          <w:lang w:eastAsia="es-ES"/>
        </w:rPr>
        <w:t>7.5.</w:t>
      </w:r>
      <w:r w:rsidR="00D72B72" w:rsidRPr="00A07BE9">
        <w:rPr>
          <w:rFonts w:ascii="Open Sans" w:eastAsia="Times New Roman" w:hAnsi="Open Sans" w:cs="Open Sans"/>
          <w:b/>
          <w:bCs/>
          <w:smallCaps/>
          <w:color w:val="993333"/>
          <w:w w:val="105"/>
          <w:sz w:val="32"/>
          <w:szCs w:val="32"/>
          <w:shd w:val="clear" w:color="auto" w:fill="FFFFFF"/>
          <w:lang w:eastAsia="es-ES"/>
        </w:rPr>
        <w:t xml:space="preserve"> </w:t>
      </w:r>
      <w:r w:rsidRPr="00A07BE9">
        <w:rPr>
          <w:rFonts w:ascii="Open Sans" w:eastAsia="Times New Roman" w:hAnsi="Open Sans" w:cs="Open Sans"/>
          <w:b/>
          <w:bCs/>
          <w:smallCaps/>
          <w:color w:val="993333"/>
          <w:w w:val="105"/>
          <w:sz w:val="32"/>
          <w:szCs w:val="32"/>
          <w:shd w:val="clear" w:color="auto" w:fill="FFFFFF"/>
          <w:lang w:eastAsia="es-ES"/>
        </w:rPr>
        <w:tab/>
        <w:t>SOBRE LOS RECURSOS HUMANOS DE LAS ADMINISTRACIONES PÚBLICAS Y SU SECTOR PÚBLICO</w:t>
      </w:r>
    </w:p>
    <w:p w14:paraId="52668DC8" w14:textId="77777777" w:rsidR="002D0FF9" w:rsidRPr="00A07BE9" w:rsidRDefault="002D0FF9" w:rsidP="002D0FF9">
      <w:pPr>
        <w:pStyle w:val="Standard"/>
        <w:spacing w:line="276" w:lineRule="auto"/>
        <w:jc w:val="both"/>
        <w:textAlignment w:val="auto"/>
        <w:rPr>
          <w:rFonts w:ascii="Open Sans" w:eastAsia="SimSun" w:hAnsi="Open Sans" w:cs="Lucida Sans"/>
          <w:b/>
          <w:color w:val="C00000"/>
          <w:sz w:val="20"/>
          <w:szCs w:val="20"/>
        </w:rPr>
      </w:pPr>
    </w:p>
    <w:p w14:paraId="435A129D" w14:textId="77777777" w:rsidR="002D0FF9" w:rsidRPr="00A07BE9" w:rsidRDefault="002D0FF9" w:rsidP="009F4323">
      <w:pPr>
        <w:pStyle w:val="Standard"/>
        <w:spacing w:line="276" w:lineRule="auto"/>
        <w:jc w:val="both"/>
        <w:textAlignment w:val="auto"/>
      </w:pPr>
      <w:r w:rsidRPr="00A07BE9">
        <w:rPr>
          <w:rFonts w:ascii="Open Sans" w:eastAsia="SimSun" w:hAnsi="Open Sans" w:cs="Lucida Sans"/>
          <w:color w:val="000000"/>
          <w:sz w:val="20"/>
          <w:szCs w:val="20"/>
        </w:rPr>
        <w:t xml:space="preserve">Por segundo año consecutivo, las denuncias presentadas en la Agencia referidas a </w:t>
      </w:r>
      <w:r w:rsidRPr="00A07BE9">
        <w:rPr>
          <w:rFonts w:ascii="Open Sans" w:eastAsia="SimSun" w:hAnsi="Open Sans" w:cs="Open Sans"/>
          <w:color w:val="000000"/>
          <w:sz w:val="20"/>
          <w:szCs w:val="20"/>
        </w:rPr>
        <w:t>gestión de los recursos humanos ocupan el primer puesto en la clasificación que de las mismas realiza la Agencia en función del ámbito material de la actuación administrativa objeto de análisis.</w:t>
      </w:r>
    </w:p>
    <w:p w14:paraId="7188EC85" w14:textId="77777777" w:rsidR="002D0FF9" w:rsidRPr="00A07BE9" w:rsidRDefault="002D0FF9" w:rsidP="009F4323">
      <w:pPr>
        <w:pStyle w:val="Standard"/>
        <w:spacing w:line="276" w:lineRule="auto"/>
        <w:jc w:val="both"/>
        <w:textAlignment w:val="auto"/>
        <w:rPr>
          <w:rFonts w:ascii="Open Sans" w:hAnsi="Open Sans" w:cs="Open Sans"/>
          <w:sz w:val="20"/>
          <w:szCs w:val="20"/>
        </w:rPr>
      </w:pPr>
    </w:p>
    <w:p w14:paraId="2CE6A234" w14:textId="77777777" w:rsidR="002D0FF9" w:rsidRPr="00A07BE9" w:rsidRDefault="002D0FF9" w:rsidP="009F4323">
      <w:pPr>
        <w:pStyle w:val="Standard"/>
        <w:spacing w:line="276" w:lineRule="auto"/>
        <w:jc w:val="both"/>
        <w:textAlignment w:val="auto"/>
      </w:pPr>
      <w:r w:rsidRPr="00A07BE9">
        <w:rPr>
          <w:rFonts w:ascii="Open Sans" w:eastAsia="SimSun" w:hAnsi="Open Sans" w:cs="Open Sans"/>
          <w:color w:val="000000"/>
          <w:sz w:val="20"/>
          <w:szCs w:val="20"/>
        </w:rPr>
        <w:t>En concreto, en 2019 las denuncias presentadas ante la Agencia por este tipo de asuntos</w:t>
      </w:r>
      <w:r w:rsidRPr="00A07BE9">
        <w:rPr>
          <w:rFonts w:ascii="Open Sans" w:eastAsia="SimSun" w:hAnsi="Open Sans" w:cs="Open Sans"/>
          <w:color w:val="729FCF"/>
          <w:sz w:val="20"/>
          <w:szCs w:val="20"/>
        </w:rPr>
        <w:t xml:space="preserve"> </w:t>
      </w:r>
      <w:r w:rsidRPr="00A07BE9">
        <w:rPr>
          <w:rFonts w:ascii="Open Sans" w:eastAsia="SimSun" w:hAnsi="Open Sans" w:cs="Open Sans"/>
          <w:color w:val="000000"/>
          <w:sz w:val="20"/>
          <w:szCs w:val="20"/>
        </w:rPr>
        <w:t>alcanzaron el 40% del total. De dicho total, el 28% se refieren a cuestiones sobre procedimientos selectivos, el 4% a procedimientos de provisión de puestos, y el resto, un 9%, se relacionan con derechos, deberes e incompatibilidades de las empleadas y los empleados públicos.</w:t>
      </w:r>
    </w:p>
    <w:p w14:paraId="2104C426" w14:textId="77777777" w:rsidR="00291289" w:rsidRPr="00A07BE9" w:rsidRDefault="00291289" w:rsidP="009F4323">
      <w:pPr>
        <w:pStyle w:val="Standard"/>
        <w:spacing w:line="276" w:lineRule="auto"/>
        <w:jc w:val="both"/>
        <w:textAlignment w:val="auto"/>
        <w:rPr>
          <w:rFonts w:ascii="Open Sans" w:eastAsia="SimSun" w:hAnsi="Open Sans" w:cs="Lucida Sans"/>
          <w:b/>
          <w:color w:val="000000"/>
          <w:sz w:val="20"/>
          <w:szCs w:val="20"/>
        </w:rPr>
      </w:pPr>
    </w:p>
    <w:p w14:paraId="6487B66F" w14:textId="77777777" w:rsidR="002D0FF9" w:rsidRPr="00A07BE9" w:rsidRDefault="002D0FF9" w:rsidP="009F4323">
      <w:pPr>
        <w:pStyle w:val="Standard"/>
        <w:spacing w:line="276" w:lineRule="auto"/>
        <w:jc w:val="both"/>
        <w:textAlignment w:val="auto"/>
        <w:rPr>
          <w:rFonts w:ascii="Open Sans" w:hAnsi="Open Sans"/>
          <w:color w:val="000000"/>
          <w:sz w:val="20"/>
          <w:szCs w:val="20"/>
        </w:rPr>
      </w:pPr>
      <w:r w:rsidRPr="00A07BE9">
        <w:rPr>
          <w:rFonts w:ascii="Open Sans" w:eastAsia="SimSun" w:hAnsi="Open Sans" w:cs="Open Sans"/>
          <w:color w:val="000000"/>
          <w:sz w:val="20"/>
          <w:szCs w:val="20"/>
        </w:rPr>
        <w:t>El elevado número de denuncias presentadas en esta área hace necesaria una profunda reflexión sobre la gestión de los recursos humanos llevada a cabo en el sector público, pues evidencia dudas acerca de la adecuada aplicación y respeto de los principios constitucionales inherentes al acceso al empleo público, así como otros derechos-deberes recogidos en las leyes de función pública: formación continua, actualización permanente de conocimientos y capacidades o progresión profesional.</w:t>
      </w:r>
    </w:p>
    <w:p w14:paraId="456EB1B1" w14:textId="77777777" w:rsidR="002D0FF9" w:rsidRPr="00A07BE9" w:rsidRDefault="002D0FF9" w:rsidP="009F4323">
      <w:pPr>
        <w:pStyle w:val="Standard"/>
        <w:spacing w:line="276" w:lineRule="auto"/>
        <w:jc w:val="both"/>
        <w:textAlignment w:val="auto"/>
        <w:rPr>
          <w:rFonts w:ascii="Open Sans" w:eastAsia="SimSun" w:hAnsi="Open Sans" w:cs="Open Sans"/>
          <w:color w:val="729FCF"/>
          <w:sz w:val="20"/>
          <w:szCs w:val="20"/>
        </w:rPr>
      </w:pPr>
    </w:p>
    <w:p w14:paraId="42A3A652" w14:textId="77777777" w:rsidR="002D0FF9" w:rsidRPr="00A07BE9" w:rsidRDefault="002D0FF9" w:rsidP="009F4323">
      <w:pPr>
        <w:pStyle w:val="Standard"/>
        <w:spacing w:line="276" w:lineRule="auto"/>
        <w:jc w:val="both"/>
        <w:textAlignment w:val="auto"/>
        <w:rPr>
          <w:rFonts w:ascii="Open Sans" w:hAnsi="Open Sans"/>
          <w:sz w:val="20"/>
          <w:szCs w:val="20"/>
        </w:rPr>
      </w:pPr>
      <w:r w:rsidRPr="00A07BE9">
        <w:rPr>
          <w:rFonts w:ascii="Open Sans" w:eastAsia="SimSun" w:hAnsi="Open Sans" w:cs="Open Sans"/>
          <w:color w:val="000000"/>
          <w:sz w:val="20"/>
          <w:szCs w:val="20"/>
        </w:rPr>
        <w:t>En este sentido, no puede olvidarse que el recurso de mayor valor en cualquier organización es su capital humano, y que por lo que se refiere al sector público valenciano, nos encontramos en un momento decisivo debido a la necesidad de resolver el problema del envejecimiento de las plantillas, incrementado por la aplicación de las últimas limitaciones impuestas en las tasas de reposición de efectivos.</w:t>
      </w:r>
    </w:p>
    <w:p w14:paraId="1B307B85" w14:textId="77777777" w:rsidR="002D0FF9" w:rsidRPr="00A07BE9" w:rsidRDefault="002D0FF9" w:rsidP="009F4323">
      <w:pPr>
        <w:pStyle w:val="Standard"/>
        <w:spacing w:line="276" w:lineRule="auto"/>
        <w:jc w:val="both"/>
        <w:textAlignment w:val="auto"/>
        <w:rPr>
          <w:rFonts w:ascii="Open Sans" w:hAnsi="Open Sans" w:cs="Open Sans"/>
          <w:sz w:val="20"/>
          <w:szCs w:val="20"/>
        </w:rPr>
      </w:pPr>
    </w:p>
    <w:p w14:paraId="2DFF6E17" w14:textId="77777777" w:rsidR="002D0FF9" w:rsidRPr="00A07BE9" w:rsidRDefault="002D0FF9" w:rsidP="009F4323">
      <w:pPr>
        <w:pStyle w:val="Standarduser"/>
        <w:spacing w:line="276" w:lineRule="auto"/>
        <w:jc w:val="both"/>
      </w:pPr>
      <w:r w:rsidRPr="00A07BE9">
        <w:rPr>
          <w:rFonts w:ascii="Open Sans" w:hAnsi="Open Sans"/>
          <w:color w:val="000000"/>
          <w:sz w:val="20"/>
          <w:szCs w:val="20"/>
        </w:rPr>
        <w:t>Ello exige tener presentes más que nunca los principios de</w:t>
      </w:r>
      <w:r w:rsidRPr="00A07BE9">
        <w:rPr>
          <w:rFonts w:ascii="Open Sans" w:eastAsia="Droid Sans Fallback" w:hAnsi="Open Sans"/>
          <w:iCs/>
          <w:color w:val="000000"/>
          <w:sz w:val="20"/>
          <w:szCs w:val="20"/>
        </w:rPr>
        <w:t xml:space="preserve"> igualdad, publicidad, mérito y capacidad (a</w:t>
      </w:r>
      <w:r w:rsidRPr="00A07BE9">
        <w:rPr>
          <w:rFonts w:ascii="Open Sans" w:eastAsia="Droid Sans Fallback" w:hAnsi="Open Sans"/>
          <w:color w:val="000000"/>
          <w:sz w:val="20"/>
          <w:szCs w:val="20"/>
        </w:rPr>
        <w:t>rtículos 14, 23.2 y 103.3 de la CE)</w:t>
      </w:r>
      <w:r w:rsidRPr="00A07BE9">
        <w:rPr>
          <w:rFonts w:ascii="Open Sans" w:hAnsi="Open Sans"/>
          <w:color w:val="000000"/>
          <w:sz w:val="20"/>
          <w:szCs w:val="20"/>
        </w:rPr>
        <w:t>, que deben inspirar todos los procesos de selección y provisión de los puestos de trabajo de las administraciones públicas y de su sector público vinculado, y que</w:t>
      </w:r>
      <w:r w:rsidRPr="00A07BE9">
        <w:rPr>
          <w:rFonts w:ascii="Open Sans" w:eastAsia="Droid Sans Fallback" w:hAnsi="Open Sans"/>
          <w:color w:val="000000"/>
          <w:sz w:val="20"/>
          <w:szCs w:val="20"/>
        </w:rPr>
        <w:t xml:space="preserve"> conforman el contenido esencial del derecho fundamental de acceso propio de cualquier sistema democrático consolidado.</w:t>
      </w:r>
    </w:p>
    <w:p w14:paraId="3B2F3ADA" w14:textId="77777777" w:rsidR="002D0FF9" w:rsidRPr="00A07BE9" w:rsidRDefault="002D0FF9" w:rsidP="009F4323">
      <w:pPr>
        <w:pStyle w:val="Standarduser"/>
        <w:spacing w:line="276" w:lineRule="auto"/>
        <w:jc w:val="both"/>
        <w:rPr>
          <w:rFonts w:ascii="Open Sans" w:hAnsi="Open Sans" w:cs="Open Sans"/>
          <w:sz w:val="20"/>
          <w:szCs w:val="20"/>
        </w:rPr>
      </w:pPr>
    </w:p>
    <w:p w14:paraId="1DF19683" w14:textId="77777777" w:rsidR="002D0FF9" w:rsidRPr="00A07BE9" w:rsidRDefault="002D0FF9" w:rsidP="009F4323">
      <w:pPr>
        <w:pStyle w:val="Standard"/>
        <w:spacing w:line="276" w:lineRule="auto"/>
        <w:jc w:val="both"/>
        <w:textAlignment w:val="auto"/>
      </w:pPr>
      <w:r w:rsidRPr="00A07BE9">
        <w:rPr>
          <w:rFonts w:ascii="Open Sans" w:eastAsia="SimSun" w:hAnsi="Open Sans" w:cs="Open Sans"/>
          <w:color w:val="000000"/>
          <w:sz w:val="20"/>
          <w:szCs w:val="20"/>
        </w:rPr>
        <w:t xml:space="preserve">La Constitución reconoce a todos los ciudadanos el derecho a acceder en condiciones de </w:t>
      </w:r>
      <w:r w:rsidRPr="00A07BE9">
        <w:rPr>
          <w:rFonts w:ascii="Open Sans" w:eastAsia="SimSun" w:hAnsi="Open Sans" w:cs="Open Sans"/>
          <w:bCs/>
          <w:color w:val="000000"/>
          <w:sz w:val="20"/>
          <w:szCs w:val="20"/>
        </w:rPr>
        <w:t>igualdad</w:t>
      </w:r>
      <w:r w:rsidRPr="00A07BE9">
        <w:rPr>
          <w:rFonts w:ascii="Open Sans" w:eastAsia="SimSun" w:hAnsi="Open Sans" w:cs="Open Sans"/>
          <w:color w:val="000000"/>
          <w:sz w:val="20"/>
          <w:szCs w:val="20"/>
        </w:rPr>
        <w:t xml:space="preserve"> a las funciones y cargos públicos con los requisitos que señalen las leyes, lo cual comporta que no pueda existir ningún tipo de privilegio, asegurando para ello la imparcialidad, independencia y confidencialidad de los órganos encargados de su selección, </w:t>
      </w:r>
      <w:r w:rsidRPr="00A07BE9">
        <w:rPr>
          <w:rFonts w:ascii="Open Sans" w:eastAsia="SimSun" w:hAnsi="Open Sans" w:cs="Open Sans"/>
          <w:color w:val="000000"/>
          <w:sz w:val="20"/>
          <w:szCs w:val="20"/>
        </w:rPr>
        <w:lastRenderedPageBreak/>
        <w:t>con estricta observancia de la legalidad.</w:t>
      </w:r>
    </w:p>
    <w:p w14:paraId="5827E6D8" w14:textId="77777777" w:rsidR="002D0FF9" w:rsidRPr="00A07BE9" w:rsidRDefault="002D0FF9" w:rsidP="009F4323">
      <w:pPr>
        <w:pStyle w:val="Standard"/>
        <w:spacing w:line="276" w:lineRule="auto"/>
        <w:jc w:val="both"/>
        <w:textAlignment w:val="auto"/>
        <w:rPr>
          <w:rFonts w:ascii="Open Sans" w:eastAsia="SimSun" w:hAnsi="Open Sans" w:cs="Open Sans"/>
          <w:color w:val="000000"/>
          <w:sz w:val="20"/>
          <w:szCs w:val="20"/>
        </w:rPr>
      </w:pPr>
    </w:p>
    <w:p w14:paraId="0DCFE2B5" w14:textId="77777777" w:rsidR="002D0FF9" w:rsidRPr="00A07BE9" w:rsidRDefault="002D0FF9" w:rsidP="009F4323">
      <w:pPr>
        <w:pStyle w:val="Standarduser"/>
        <w:spacing w:line="276" w:lineRule="auto"/>
        <w:jc w:val="both"/>
        <w:textAlignment w:val="auto"/>
      </w:pPr>
      <w:r w:rsidRPr="00A07BE9">
        <w:rPr>
          <w:rFonts w:ascii="Open Sans" w:eastAsia="SimSun" w:hAnsi="Open Sans" w:cs="Open Sans"/>
          <w:iCs/>
          <w:color w:val="000000"/>
          <w:sz w:val="20"/>
          <w:szCs w:val="20"/>
        </w:rPr>
        <w:t>Este principio de</w:t>
      </w:r>
      <w:r w:rsidRPr="00A07BE9">
        <w:rPr>
          <w:rFonts w:ascii="Open Sans" w:eastAsia="SimSun" w:hAnsi="Open Sans" w:cs="Open Sans"/>
          <w:b/>
          <w:iCs/>
          <w:color w:val="000000"/>
          <w:sz w:val="20"/>
          <w:szCs w:val="20"/>
        </w:rPr>
        <w:t xml:space="preserve"> </w:t>
      </w:r>
      <w:r w:rsidRPr="00A07BE9">
        <w:rPr>
          <w:rFonts w:ascii="Open Sans" w:eastAsia="SimSun" w:hAnsi="Open Sans" w:cs="Open Sans"/>
          <w:iCs/>
          <w:color w:val="000000"/>
          <w:sz w:val="20"/>
          <w:szCs w:val="20"/>
        </w:rPr>
        <w:t>igualdad quiebra cuando, tal y como se ha denunciado ante la Agencia, se llevan a cabo actuaciones que impiden o limitan gravemente su aplicación: filtrar respuestas de exámenes de oposiciones, disfrutar de información privilegiada o exigir elevadas tasas para participar en las pruebas selectivas, no tanto para cubrir el coste efectivo del servicio que se presta, sino con ánimo entorpecer el libre acceso al empleo público al que debe poder optar cualquier persona.</w:t>
      </w:r>
    </w:p>
    <w:p w14:paraId="7B39055A" w14:textId="77777777" w:rsidR="002D0FF9" w:rsidRPr="00A07BE9" w:rsidRDefault="002D0FF9" w:rsidP="009F4323">
      <w:pPr>
        <w:pStyle w:val="Standarduser"/>
        <w:spacing w:line="276" w:lineRule="auto"/>
        <w:jc w:val="both"/>
        <w:textAlignment w:val="auto"/>
        <w:rPr>
          <w:rFonts w:ascii="Open Sans" w:eastAsia="Droid Sans Fallback" w:hAnsi="Open Sans" w:cs="Times New Roman"/>
          <w:b/>
          <w:bCs/>
          <w:color w:val="FF0000"/>
          <w:kern w:val="0"/>
          <w:sz w:val="20"/>
          <w:szCs w:val="20"/>
          <w:lang w:bidi="ar-SA"/>
        </w:rPr>
      </w:pPr>
    </w:p>
    <w:p w14:paraId="558F5876" w14:textId="77777777" w:rsidR="002D0FF9" w:rsidRPr="00A07BE9" w:rsidRDefault="002D0FF9" w:rsidP="009F4323">
      <w:pPr>
        <w:pStyle w:val="Standarduser"/>
        <w:spacing w:line="276" w:lineRule="auto"/>
        <w:jc w:val="both"/>
        <w:textAlignment w:val="auto"/>
      </w:pPr>
      <w:r w:rsidRPr="00A07BE9">
        <w:rPr>
          <w:rFonts w:ascii="Open Sans" w:eastAsia="SimSun" w:hAnsi="Open Sans" w:cs="Open Sans"/>
          <w:iCs/>
          <w:color w:val="000000"/>
          <w:sz w:val="20"/>
          <w:szCs w:val="20"/>
        </w:rPr>
        <w:t>Dentro de este contexto, se aconseja extremar los mecanismos de confidencialidad y objetividad en la práctica de las pruebas selectivas, revisar las normas reguladoras de las tasas a abonar para concurrir a los procesos, asegurando la posibilidad de participar a todas las personas interesadas con independencia de su capacidad económica, y reducir el excesivo recurso a la cobertura provisional de puestos, limitando tal mecanismo excepcional a razones de urgencia y por breves lapsos de tiempo.</w:t>
      </w:r>
    </w:p>
    <w:p w14:paraId="77418FFD" w14:textId="77777777" w:rsidR="002D0FF9" w:rsidRPr="00A07BE9" w:rsidRDefault="002D0FF9" w:rsidP="009F4323">
      <w:pPr>
        <w:pStyle w:val="Standarduser"/>
        <w:spacing w:line="276" w:lineRule="auto"/>
        <w:jc w:val="both"/>
        <w:textAlignment w:val="auto"/>
        <w:rPr>
          <w:rFonts w:ascii="Open Sans" w:hAnsi="Open Sans" w:cs="Open Sans"/>
          <w:sz w:val="20"/>
          <w:szCs w:val="20"/>
        </w:rPr>
      </w:pPr>
    </w:p>
    <w:p w14:paraId="293DD70C" w14:textId="77777777" w:rsidR="002D0FF9" w:rsidRPr="00A07BE9" w:rsidRDefault="002D0FF9" w:rsidP="009F4323">
      <w:pPr>
        <w:pStyle w:val="Standarduser"/>
        <w:spacing w:line="276" w:lineRule="auto"/>
        <w:jc w:val="both"/>
        <w:textAlignment w:val="auto"/>
      </w:pPr>
      <w:r w:rsidRPr="00A07BE9">
        <w:rPr>
          <w:rFonts w:ascii="Open Sans" w:eastAsia="SimSun" w:hAnsi="Open Sans" w:cs="Open Sans"/>
          <w:iCs/>
          <w:color w:val="000000"/>
          <w:sz w:val="20"/>
          <w:szCs w:val="20"/>
        </w:rPr>
        <w:t xml:space="preserve">Si el respeto a los anteriores principios y adecuación de los procesos es importante, tanto o más lo es aún valorar el </w:t>
      </w:r>
      <w:r w:rsidRPr="00A07BE9">
        <w:rPr>
          <w:rFonts w:ascii="Open Sans" w:hAnsi="Open Sans"/>
          <w:bCs/>
          <w:color w:val="333333"/>
          <w:sz w:val="20"/>
          <w:szCs w:val="20"/>
        </w:rPr>
        <w:t>mérito y capacidad</w:t>
      </w:r>
      <w:r w:rsidRPr="00A07BE9">
        <w:rPr>
          <w:rFonts w:ascii="Open Sans" w:hAnsi="Open Sans"/>
          <w:color w:val="333333"/>
          <w:sz w:val="20"/>
          <w:szCs w:val="20"/>
        </w:rPr>
        <w:t xml:space="preserve"> de los candidatos</w:t>
      </w:r>
      <w:r w:rsidRPr="00A07BE9">
        <w:rPr>
          <w:rFonts w:ascii="Open Sans" w:hAnsi="Open Sans"/>
          <w:bCs/>
          <w:color w:val="333333"/>
          <w:sz w:val="20"/>
          <w:szCs w:val="20"/>
        </w:rPr>
        <w:t xml:space="preserve"> </w:t>
      </w:r>
      <w:r w:rsidRPr="00A07BE9">
        <w:rPr>
          <w:rFonts w:ascii="Open Sans" w:hAnsi="Open Sans"/>
          <w:color w:val="333333"/>
          <w:sz w:val="20"/>
          <w:szCs w:val="20"/>
        </w:rPr>
        <w:t>(artículo 103.3 CE),</w:t>
      </w:r>
      <w:r w:rsidRPr="00A07BE9">
        <w:rPr>
          <w:rFonts w:ascii="Open Sans" w:hAnsi="Open Sans"/>
          <w:iCs/>
          <w:sz w:val="20"/>
          <w:szCs w:val="20"/>
        </w:rPr>
        <w:t xml:space="preserve"> lo que </w:t>
      </w:r>
      <w:r w:rsidRPr="00A07BE9">
        <w:rPr>
          <w:rFonts w:ascii="Open Sans" w:eastAsia="Droid Sans Fallback" w:hAnsi="Open Sans"/>
          <w:sz w:val="20"/>
          <w:szCs w:val="20"/>
        </w:rPr>
        <w:t xml:space="preserve">implica la necesidad de acreditar actitudes y aptitudes para el desempeño de las funciones inherentes al puesto a ocupar, es decir, la idoneidad como condición indispensable que avale la adecuación de la persona al perfil requerido y el alineamiento con los fines y funciones de la institución; algo común y natural en el mundo empresarial, pero que las inercias en las que se mueven las administraciones públicas y su sector público se resisten a cambiar. Ello, a fin de </w:t>
      </w:r>
      <w:r w:rsidRPr="00A07BE9">
        <w:rPr>
          <w:rFonts w:ascii="Open Sans" w:hAnsi="Open Sans"/>
          <w:sz w:val="20"/>
          <w:szCs w:val="20"/>
        </w:rPr>
        <w:t>asegurar que las funciones, dentro del ámbito de la organización, ya sea de carácter público o financiada con fondos de procedencia pública</w:t>
      </w:r>
      <w:r w:rsidRPr="00A07BE9">
        <w:rPr>
          <w:rFonts w:ascii="Open Sans" w:hAnsi="Open Sans"/>
          <w:color w:val="000000"/>
          <w:sz w:val="20"/>
          <w:szCs w:val="20"/>
        </w:rPr>
        <w:t>, se van a desarrollan de la forma más eficaz y eficiente posible, y con la máxima profesionalidad.</w:t>
      </w:r>
    </w:p>
    <w:p w14:paraId="446F9DD5" w14:textId="77777777" w:rsidR="002D0FF9" w:rsidRPr="00A07BE9" w:rsidRDefault="002D0FF9" w:rsidP="009F4323">
      <w:pPr>
        <w:pStyle w:val="Standarduser"/>
        <w:spacing w:line="276" w:lineRule="auto"/>
        <w:jc w:val="both"/>
        <w:textAlignment w:val="auto"/>
        <w:rPr>
          <w:rFonts w:ascii="Open Sans" w:hAnsi="Open Sans" w:cs="Open Sans"/>
          <w:sz w:val="20"/>
          <w:szCs w:val="20"/>
        </w:rPr>
      </w:pPr>
    </w:p>
    <w:p w14:paraId="0906D03F" w14:textId="77777777" w:rsidR="002D0FF9" w:rsidRPr="00A07BE9" w:rsidRDefault="002D0FF9" w:rsidP="009F4323">
      <w:pPr>
        <w:pStyle w:val="Standard"/>
        <w:spacing w:line="276" w:lineRule="auto"/>
        <w:jc w:val="both"/>
        <w:textAlignment w:val="auto"/>
      </w:pPr>
      <w:r w:rsidRPr="00A07BE9">
        <w:rPr>
          <w:rFonts w:ascii="Open Sans" w:eastAsia="Droid Sans Fallback" w:hAnsi="Open Sans" w:cs="Times New Roman"/>
          <w:color w:val="000000"/>
          <w:sz w:val="20"/>
          <w:szCs w:val="20"/>
          <w:lang w:bidi="ar-SA"/>
        </w:rPr>
        <w:t>Si e</w:t>
      </w:r>
      <w:r w:rsidRPr="00A07BE9">
        <w:rPr>
          <w:rFonts w:ascii="Open Sans" w:eastAsia="Droid Sans Fallback" w:hAnsi="Open Sans" w:cs="Times New Roman"/>
          <w:color w:val="222222"/>
          <w:sz w:val="20"/>
          <w:szCs w:val="20"/>
          <w:lang w:bidi="ar-SA"/>
        </w:rPr>
        <w:t>ficacia es la capacidad de realizar un efecto deseado, esperado o anhelado, la eficiencia es la capacidad de lograr ese efecto con el mínimo de recursos y en el menor tiempo posible.</w:t>
      </w:r>
    </w:p>
    <w:p w14:paraId="656FA886" w14:textId="77777777" w:rsidR="002D0FF9" w:rsidRPr="00A07BE9" w:rsidRDefault="002D0FF9" w:rsidP="009F4323">
      <w:pPr>
        <w:pStyle w:val="Standarduser"/>
        <w:spacing w:line="276" w:lineRule="auto"/>
        <w:jc w:val="both"/>
        <w:textAlignment w:val="auto"/>
        <w:rPr>
          <w:rFonts w:ascii="Open Sans" w:hAnsi="Open Sans" w:cs="Open Sans"/>
          <w:sz w:val="20"/>
          <w:szCs w:val="20"/>
        </w:rPr>
      </w:pPr>
    </w:p>
    <w:p w14:paraId="07A0F9E5" w14:textId="77777777" w:rsidR="002D0FF9" w:rsidRPr="00A07BE9" w:rsidRDefault="002D0FF9" w:rsidP="009F4323">
      <w:pPr>
        <w:pStyle w:val="Standarduser"/>
        <w:spacing w:line="276" w:lineRule="auto"/>
        <w:jc w:val="both"/>
        <w:textAlignment w:val="auto"/>
      </w:pPr>
      <w:r w:rsidRPr="00A07BE9">
        <w:rPr>
          <w:rFonts w:ascii="Open Sans" w:hAnsi="Open Sans"/>
          <w:color w:val="000000"/>
          <w:sz w:val="20"/>
          <w:szCs w:val="20"/>
        </w:rPr>
        <w:t xml:space="preserve">En otras palabras, que sean </w:t>
      </w:r>
      <w:r w:rsidRPr="00A07BE9">
        <w:rPr>
          <w:rFonts w:ascii="Open Sans" w:hAnsi="Open Sans"/>
          <w:iCs/>
          <w:color w:val="000000"/>
          <w:sz w:val="20"/>
          <w:szCs w:val="20"/>
        </w:rPr>
        <w:t>“los mejores”</w:t>
      </w:r>
      <w:r w:rsidRPr="00A07BE9">
        <w:rPr>
          <w:rFonts w:ascii="Open Sans" w:hAnsi="Open Sans"/>
          <w:i/>
          <w:iCs/>
          <w:color w:val="000000"/>
          <w:sz w:val="20"/>
          <w:szCs w:val="20"/>
        </w:rPr>
        <w:t xml:space="preserve"> </w:t>
      </w:r>
      <w:r w:rsidRPr="00A07BE9">
        <w:rPr>
          <w:rFonts w:ascii="Open Sans" w:hAnsi="Open Sans"/>
          <w:color w:val="000000"/>
          <w:sz w:val="20"/>
          <w:szCs w:val="20"/>
        </w:rPr>
        <w:t xml:space="preserve">quienes accedan al servicio público (servicios administrativos, seguridad ciudadana, ordenación del territorio y medio ambiente, sanidad, educación, servicios sociales, etc.), pues es al capital </w:t>
      </w:r>
      <w:r w:rsidRPr="00A07BE9">
        <w:rPr>
          <w:rFonts w:ascii="Open Sans" w:eastAsia="Droid Sans Fallback" w:hAnsi="Open Sans"/>
          <w:color w:val="000000"/>
          <w:sz w:val="20"/>
          <w:szCs w:val="20"/>
        </w:rPr>
        <w:t>humano que se integra en nuestro E</w:t>
      </w:r>
      <w:r w:rsidRPr="00A07BE9">
        <w:rPr>
          <w:rFonts w:ascii="Open Sans" w:hAnsi="Open Sans"/>
          <w:color w:val="000000"/>
          <w:sz w:val="20"/>
          <w:szCs w:val="20"/>
        </w:rPr>
        <w:t>stado de Derecho a quien se le encomienda la alta misión de servir los intereses públicos y generales y cumplir y hacer cumplir la ley.</w:t>
      </w:r>
    </w:p>
    <w:p w14:paraId="459F782B" w14:textId="77777777" w:rsidR="002D0FF9" w:rsidRPr="00A07BE9" w:rsidRDefault="002D0FF9" w:rsidP="009F4323">
      <w:pPr>
        <w:pStyle w:val="Standarduser"/>
        <w:spacing w:line="276" w:lineRule="auto"/>
        <w:jc w:val="both"/>
        <w:textAlignment w:val="auto"/>
        <w:rPr>
          <w:rFonts w:ascii="Open Sans" w:hAnsi="Open Sans" w:cs="Open Sans"/>
          <w:sz w:val="20"/>
          <w:szCs w:val="20"/>
        </w:rPr>
      </w:pPr>
    </w:p>
    <w:p w14:paraId="11D1E962" w14:textId="77777777" w:rsidR="002D0FF9" w:rsidRPr="00A07BE9" w:rsidRDefault="002D0FF9" w:rsidP="009F4323">
      <w:pPr>
        <w:pStyle w:val="Standard"/>
        <w:spacing w:line="276" w:lineRule="auto"/>
        <w:jc w:val="both"/>
      </w:pPr>
      <w:r w:rsidRPr="00A07BE9">
        <w:rPr>
          <w:rFonts w:ascii="Open Sans" w:eastAsia="SimSun" w:hAnsi="Open Sans" w:cs="Open Sans"/>
          <w:iCs/>
          <w:color w:val="000000"/>
          <w:sz w:val="20"/>
          <w:szCs w:val="20"/>
          <w:lang w:bidi="ar-SA"/>
        </w:rPr>
        <w:t xml:space="preserve">Así, la correcta fijación de temarios y méritos, la </w:t>
      </w:r>
      <w:r w:rsidRPr="00A07BE9">
        <w:rPr>
          <w:rFonts w:ascii="Open Sans" w:eastAsia="SimSun" w:hAnsi="Open Sans" w:cs="Open Sans"/>
          <w:bCs/>
          <w:iCs/>
          <w:color w:val="000000"/>
          <w:sz w:val="20"/>
          <w:szCs w:val="20"/>
          <w:lang w:bidi="ar-SA"/>
        </w:rPr>
        <w:t xml:space="preserve">transparencia y publicidad </w:t>
      </w:r>
      <w:r w:rsidRPr="00A07BE9">
        <w:rPr>
          <w:rFonts w:ascii="Open Sans" w:eastAsia="SimSun" w:hAnsi="Open Sans" w:cs="Open Sans"/>
          <w:iCs/>
          <w:color w:val="000000"/>
          <w:sz w:val="20"/>
          <w:szCs w:val="20"/>
          <w:lang w:bidi="ar-SA"/>
        </w:rPr>
        <w:t>de las calificaciones y los procesos,</w:t>
      </w:r>
      <w:r w:rsidRPr="00A07BE9">
        <w:rPr>
          <w:rFonts w:ascii="Open Sans" w:eastAsia="Droid Sans Fallback" w:hAnsi="Open Sans" w:cs="Times New Roman"/>
          <w:iCs/>
          <w:color w:val="000000"/>
          <w:sz w:val="20"/>
          <w:szCs w:val="20"/>
          <w:lang w:bidi="ar-SA"/>
        </w:rPr>
        <w:t xml:space="preserve"> la correcta planificación del desarrollo de las pruebas, conjugando celeridad con respeto a los derechos de todos los aspirantes, la profesionalidad y especialización de los órganos de selección encargados de resolver estos procesos, con garantías de independencia e imparcialidad, son claves a fin de evitar favoritismos y desigualdades.</w:t>
      </w:r>
    </w:p>
    <w:p w14:paraId="3CF30D53" w14:textId="07B25DA7" w:rsidR="002D0FF9" w:rsidRDefault="002D0FF9" w:rsidP="009F4323">
      <w:pPr>
        <w:pStyle w:val="Standard"/>
        <w:spacing w:line="276" w:lineRule="auto"/>
        <w:jc w:val="both"/>
        <w:rPr>
          <w:rFonts w:ascii="Open Sans" w:hAnsi="Open Sans" w:cs="Open Sans"/>
          <w:sz w:val="20"/>
          <w:szCs w:val="20"/>
        </w:rPr>
      </w:pPr>
    </w:p>
    <w:p w14:paraId="60BF9247" w14:textId="77777777" w:rsidR="007E2F3E" w:rsidRPr="00A07BE9" w:rsidRDefault="007E2F3E" w:rsidP="009F4323">
      <w:pPr>
        <w:pStyle w:val="Standard"/>
        <w:spacing w:line="276" w:lineRule="auto"/>
        <w:jc w:val="both"/>
        <w:rPr>
          <w:rFonts w:ascii="Open Sans" w:hAnsi="Open Sans" w:cs="Open Sans"/>
          <w:sz w:val="20"/>
          <w:szCs w:val="20"/>
        </w:rPr>
      </w:pPr>
    </w:p>
    <w:p w14:paraId="2FC99CED" w14:textId="1CAF01F2" w:rsidR="002D0FF9" w:rsidRDefault="002D0FF9" w:rsidP="009F4323">
      <w:pPr>
        <w:pStyle w:val="Standard"/>
        <w:spacing w:line="276" w:lineRule="auto"/>
        <w:jc w:val="both"/>
        <w:rPr>
          <w:rFonts w:ascii="Open Sans" w:eastAsia="Droid Sans Fallback" w:hAnsi="Open Sans" w:cs="Times New Roman"/>
          <w:sz w:val="20"/>
          <w:szCs w:val="20"/>
          <w:lang w:bidi="ar-SA"/>
        </w:rPr>
      </w:pPr>
      <w:r w:rsidRPr="00A07BE9">
        <w:rPr>
          <w:rFonts w:ascii="Open Sans" w:eastAsia="Droid Sans Fallback" w:hAnsi="Open Sans" w:cs="Times New Roman"/>
          <w:color w:val="000000"/>
          <w:sz w:val="20"/>
          <w:szCs w:val="20"/>
          <w:lang w:bidi="ar-SA"/>
        </w:rPr>
        <w:lastRenderedPageBreak/>
        <w:t>Parafraseando el preámbulo de la Ley 19/2013 de  9 de diciembre, de transparencia, acceso a la información pública y buen gobierno, s</w:t>
      </w:r>
      <w:r w:rsidR="006B2FEC" w:rsidRPr="00A07BE9">
        <w:rPr>
          <w:rFonts w:ascii="Open Sans" w:eastAsia="Droid Sans Fallback" w:hAnsi="Open Sans" w:cs="Times New Roman"/>
          <w:color w:val="000000"/>
          <w:sz w:val="20"/>
          <w:szCs w:val="20"/>
          <w:lang w:bidi="ar-SA"/>
        </w:rPr>
        <w:t>o</w:t>
      </w:r>
      <w:r w:rsidRPr="00A07BE9">
        <w:rPr>
          <w:rFonts w:ascii="Open Sans" w:eastAsia="Droid Sans Fallback" w:hAnsi="Open Sans" w:cs="Times New Roman"/>
          <w:color w:val="000000"/>
          <w:sz w:val="20"/>
          <w:szCs w:val="20"/>
          <w:lang w:bidi="ar-SA"/>
        </w:rPr>
        <w:t>lo cuando la acción de los órganos de selección de las administraciones y entes públicos se somete a escrutinio, cuando los ciudadanos pueden conocer cómo se toman las decisiones en dichos procesos, cómo se emplean las potestades públicas o bajo qué criterios se actúa en estos, podremos hablar del inicio de un proceso en el que los</w:t>
      </w:r>
      <w:r w:rsidRPr="00A07BE9">
        <w:rPr>
          <w:rFonts w:ascii="Open Sans" w:eastAsia="Droid Sans Fallback" w:hAnsi="Open Sans" w:cs="Times New Roman"/>
          <w:color w:val="000000"/>
          <w:sz w:val="21"/>
          <w:szCs w:val="21"/>
          <w:lang w:bidi="ar-SA"/>
        </w:rPr>
        <w:t xml:space="preserve"> </w:t>
      </w:r>
      <w:r w:rsidRPr="00A07BE9">
        <w:rPr>
          <w:rFonts w:ascii="Open Sans" w:eastAsia="Droid Sans Fallback" w:hAnsi="Open Sans" w:cs="Times New Roman"/>
          <w:color w:val="000000"/>
          <w:sz w:val="20"/>
          <w:szCs w:val="20"/>
          <w:lang w:bidi="ar-SA"/>
        </w:rPr>
        <w:t>poderes públicos comienzan a responder a una sociedad que es crítica, exigente y que demanda participación pública</w:t>
      </w:r>
      <w:r w:rsidRPr="00A07BE9">
        <w:rPr>
          <w:rFonts w:ascii="Open Sans" w:eastAsia="Droid Sans Fallback" w:hAnsi="Open Sans" w:cs="Times New Roman"/>
          <w:sz w:val="20"/>
          <w:szCs w:val="20"/>
          <w:lang w:bidi="ar-SA"/>
        </w:rPr>
        <w:t xml:space="preserve"> en todas sus fases y decisiones.</w:t>
      </w:r>
    </w:p>
    <w:p w14:paraId="00EA5152" w14:textId="77777777" w:rsidR="003B10CC" w:rsidRPr="006806FB" w:rsidRDefault="003B10CC" w:rsidP="009F4323">
      <w:pPr>
        <w:pStyle w:val="Standard"/>
        <w:spacing w:line="276" w:lineRule="auto"/>
        <w:jc w:val="both"/>
      </w:pPr>
    </w:p>
    <w:p w14:paraId="6495F22F" w14:textId="37579890" w:rsidR="002D0FF9" w:rsidRPr="00A07BE9" w:rsidRDefault="002D0FF9" w:rsidP="009F4323">
      <w:pPr>
        <w:pStyle w:val="Standard"/>
        <w:shd w:val="clear" w:color="auto" w:fill="FFFFFF"/>
        <w:spacing w:line="276" w:lineRule="auto"/>
        <w:jc w:val="both"/>
        <w:textAlignment w:val="auto"/>
        <w:rPr>
          <w:sz w:val="20"/>
          <w:szCs w:val="20"/>
        </w:rPr>
      </w:pPr>
      <w:r w:rsidRPr="00A07BE9">
        <w:rPr>
          <w:rFonts w:ascii="Open Sans" w:eastAsia="SimSun" w:hAnsi="Open Sans" w:cs="Open Sans"/>
          <w:color w:val="000000"/>
          <w:sz w:val="20"/>
          <w:szCs w:val="20"/>
        </w:rPr>
        <w:t xml:space="preserve">Añadido a todo lo anterior, </w:t>
      </w:r>
      <w:r w:rsidRPr="00A07BE9">
        <w:rPr>
          <w:rFonts w:ascii="Open Sans" w:eastAsia="SimSun" w:hAnsi="Open Sans" w:cs="Open Sans"/>
          <w:sz w:val="20"/>
          <w:szCs w:val="20"/>
        </w:rPr>
        <w:t xml:space="preserve">la </w:t>
      </w:r>
      <w:r w:rsidRPr="00A07BE9">
        <w:rPr>
          <w:rFonts w:ascii="Open Sans" w:eastAsia="SimSun" w:hAnsi="Open Sans" w:cs="Open Sans"/>
          <w:bCs/>
          <w:sz w:val="20"/>
          <w:szCs w:val="20"/>
        </w:rPr>
        <w:t>formación</w:t>
      </w:r>
      <w:r w:rsidRPr="00A07BE9">
        <w:rPr>
          <w:rFonts w:ascii="Open Sans" w:eastAsia="SimSun" w:hAnsi="Open Sans" w:cs="Open Sans"/>
          <w:b/>
          <w:bCs/>
          <w:sz w:val="20"/>
          <w:szCs w:val="20"/>
        </w:rPr>
        <w:t xml:space="preserve"> </w:t>
      </w:r>
      <w:r w:rsidRPr="00A07BE9">
        <w:rPr>
          <w:rFonts w:ascii="Open Sans" w:eastAsia="SimSun" w:hAnsi="Open Sans" w:cs="Open Sans"/>
          <w:sz w:val="20"/>
          <w:szCs w:val="20"/>
        </w:rPr>
        <w:t>y el reciclaje del personal, fomentando la capacidad constante de aprendizaje y motivación, y no s</w:t>
      </w:r>
      <w:r w:rsidR="00270BC0" w:rsidRPr="00A07BE9">
        <w:rPr>
          <w:rFonts w:ascii="Open Sans" w:eastAsia="SimSun" w:hAnsi="Open Sans" w:cs="Open Sans"/>
          <w:sz w:val="20"/>
          <w:szCs w:val="20"/>
        </w:rPr>
        <w:t>o</w:t>
      </w:r>
      <w:r w:rsidRPr="00A07BE9">
        <w:rPr>
          <w:rFonts w:ascii="Open Sans" w:eastAsia="SimSun" w:hAnsi="Open Sans" w:cs="Open Sans"/>
          <w:sz w:val="20"/>
          <w:szCs w:val="20"/>
        </w:rPr>
        <w:t>lo la adquisición de conocimientos sino también la recuperación de los valores de lo públi</w:t>
      </w:r>
      <w:r w:rsidRPr="00A07BE9">
        <w:rPr>
          <w:rFonts w:ascii="Open Sans" w:eastAsia="SimSun" w:hAnsi="Open Sans" w:cs="Open Sans"/>
          <w:color w:val="000000"/>
          <w:sz w:val="20"/>
          <w:szCs w:val="20"/>
        </w:rPr>
        <w:t>co, permitirán seleccionar al mejor talento profesional en nuestras administraciones y su sector público, mantenerlo, potenciarlo y hacerle sentir útil y valioso en su función.</w:t>
      </w:r>
    </w:p>
    <w:p w14:paraId="6778D6DB" w14:textId="77777777" w:rsidR="002D0FF9" w:rsidRPr="00A07BE9" w:rsidRDefault="002D0FF9" w:rsidP="009F4323">
      <w:pPr>
        <w:pStyle w:val="Standard"/>
        <w:shd w:val="clear" w:color="auto" w:fill="FFFFFF"/>
        <w:spacing w:line="276" w:lineRule="auto"/>
        <w:jc w:val="both"/>
        <w:textAlignment w:val="auto"/>
        <w:rPr>
          <w:rFonts w:ascii="Open Sans" w:eastAsia="SimSun" w:hAnsi="Open Sans" w:cs="Open Sans"/>
          <w:color w:val="000000"/>
          <w:sz w:val="20"/>
          <w:szCs w:val="20"/>
        </w:rPr>
      </w:pPr>
    </w:p>
    <w:p w14:paraId="468751DE" w14:textId="4EE5B886" w:rsidR="009743A6" w:rsidRPr="00A07BE9" w:rsidRDefault="002D0FF9" w:rsidP="009F4323">
      <w:pPr>
        <w:pStyle w:val="Standard"/>
        <w:shd w:val="clear" w:color="auto" w:fill="FFFFFF"/>
        <w:spacing w:line="276" w:lineRule="auto"/>
        <w:jc w:val="both"/>
        <w:textAlignment w:val="auto"/>
        <w:rPr>
          <w:sz w:val="20"/>
          <w:szCs w:val="20"/>
        </w:rPr>
      </w:pPr>
      <w:r w:rsidRPr="00A07BE9">
        <w:rPr>
          <w:rFonts w:ascii="Open Sans" w:eastAsia="SimSun" w:hAnsi="Open Sans" w:cs="Open Sans"/>
          <w:color w:val="000000"/>
          <w:sz w:val="20"/>
          <w:szCs w:val="20"/>
        </w:rPr>
        <w:t>En definitiva, un cambio de cultura administrativa en el modelo de gestión de recursos humanos, que permita el rechazo colectivo a quienes quiebren estas reglas, y se reoriente hacia el respeto a los citados principios como primera medida para asegurar el ejercicio de una buena administración y mejorar la calidad de nuestros servicios públicos.</w:t>
      </w:r>
    </w:p>
    <w:p w14:paraId="0F426664" w14:textId="77777777" w:rsidR="00112709" w:rsidRPr="00A07BE9" w:rsidRDefault="00112709" w:rsidP="00E1011A">
      <w:pPr>
        <w:pStyle w:val="Standard"/>
        <w:shd w:val="clear" w:color="auto" w:fill="FFFFFF"/>
        <w:jc w:val="both"/>
        <w:rPr>
          <w:rFonts w:ascii="Open Sans" w:eastAsia="Times New Roman" w:hAnsi="Open Sans" w:cs="Open Sans"/>
          <w:b/>
          <w:bCs/>
          <w:smallCaps/>
          <w:color w:val="993333"/>
          <w:w w:val="105"/>
          <w:sz w:val="20"/>
          <w:szCs w:val="20"/>
          <w:shd w:val="clear" w:color="auto" w:fill="FFFFFF"/>
          <w:lang w:eastAsia="es-ES"/>
        </w:rPr>
      </w:pPr>
    </w:p>
    <w:p w14:paraId="2C78E46E" w14:textId="77777777" w:rsidR="00112709" w:rsidRPr="00A07BE9" w:rsidRDefault="00112709" w:rsidP="00E1011A">
      <w:pPr>
        <w:pStyle w:val="Standard"/>
        <w:shd w:val="clear" w:color="auto" w:fill="FFFFFF"/>
        <w:jc w:val="both"/>
        <w:rPr>
          <w:rFonts w:ascii="Open Sans" w:eastAsia="Times New Roman" w:hAnsi="Open Sans" w:cs="Open Sans"/>
          <w:b/>
          <w:bCs/>
          <w:smallCaps/>
          <w:color w:val="993333"/>
          <w:w w:val="105"/>
          <w:sz w:val="20"/>
          <w:szCs w:val="20"/>
          <w:shd w:val="clear" w:color="auto" w:fill="FFFFFF"/>
          <w:lang w:eastAsia="es-ES"/>
        </w:rPr>
      </w:pPr>
    </w:p>
    <w:p w14:paraId="55E29745" w14:textId="015ECA05" w:rsidR="00E1011A" w:rsidRPr="00A07BE9" w:rsidRDefault="0062720F" w:rsidP="00E1011A">
      <w:pPr>
        <w:pStyle w:val="Standard"/>
        <w:shd w:val="clear" w:color="auto" w:fill="FFFFFF"/>
        <w:jc w:val="both"/>
        <w:rPr>
          <w:rFonts w:ascii="Open Sans" w:eastAsia="Times New Roman" w:hAnsi="Open Sans" w:cs="Open Sans"/>
          <w:b/>
          <w:bCs/>
          <w:smallCaps/>
          <w:color w:val="993333"/>
          <w:w w:val="105"/>
          <w:sz w:val="32"/>
          <w:szCs w:val="32"/>
          <w:shd w:val="clear" w:color="auto" w:fill="FFFFFF"/>
          <w:lang w:eastAsia="es-ES"/>
        </w:rPr>
      </w:pPr>
      <w:r w:rsidRPr="00A07BE9">
        <w:rPr>
          <w:rFonts w:ascii="Open Sans" w:eastAsia="Times New Roman" w:hAnsi="Open Sans" w:cs="Open Sans"/>
          <w:b/>
          <w:bCs/>
          <w:smallCaps/>
          <w:color w:val="993333"/>
          <w:w w:val="105"/>
          <w:sz w:val="32"/>
          <w:szCs w:val="32"/>
          <w:shd w:val="clear" w:color="auto" w:fill="FFFFFF"/>
          <w:lang w:eastAsia="es-ES"/>
        </w:rPr>
        <w:t xml:space="preserve">7.6. </w:t>
      </w:r>
      <w:r w:rsidR="00E1011A" w:rsidRPr="00A07BE9">
        <w:rPr>
          <w:rFonts w:ascii="Open Sans" w:eastAsia="Times New Roman" w:hAnsi="Open Sans" w:cs="Open Sans"/>
          <w:b/>
          <w:bCs/>
          <w:smallCaps/>
          <w:color w:val="993333"/>
          <w:w w:val="105"/>
          <w:sz w:val="32"/>
          <w:szCs w:val="32"/>
          <w:shd w:val="clear" w:color="auto" w:fill="FFFFFF"/>
          <w:lang w:eastAsia="es-ES"/>
        </w:rPr>
        <w:tab/>
        <w:t>SOBRE MEDIDAS PARA EL RESARCIMIENTO DE DAÑOS Y PERJUICIOS CAUSADOS AL BIEN COMÚN</w:t>
      </w:r>
      <w:r w:rsidR="00E1011A" w:rsidRPr="00A07BE9">
        <w:rPr>
          <w:rFonts w:ascii="Open Sans" w:eastAsia="Times New Roman" w:hAnsi="Open Sans" w:cs="Open Sans"/>
          <w:b/>
          <w:bCs/>
          <w:smallCaps/>
          <w:color w:val="993333"/>
          <w:w w:val="105"/>
          <w:sz w:val="32"/>
          <w:szCs w:val="32"/>
          <w:shd w:val="clear" w:color="auto" w:fill="FFFFFF"/>
          <w:lang w:eastAsia="es-ES"/>
        </w:rPr>
        <w:tab/>
      </w:r>
    </w:p>
    <w:p w14:paraId="55CB2177" w14:textId="77777777" w:rsidR="002D0FF9" w:rsidRPr="00A07BE9" w:rsidRDefault="002D0FF9" w:rsidP="002D0FF9">
      <w:pPr>
        <w:pStyle w:val="Standard"/>
        <w:jc w:val="both"/>
        <w:rPr>
          <w:rFonts w:ascii="Open Sans" w:hAnsi="Open Sans"/>
          <w:sz w:val="20"/>
          <w:szCs w:val="20"/>
        </w:rPr>
      </w:pPr>
    </w:p>
    <w:p w14:paraId="6CCFA4E0" w14:textId="31761604" w:rsidR="002D0FF9" w:rsidRPr="00A07BE9" w:rsidRDefault="002D0FF9" w:rsidP="009F4323">
      <w:pPr>
        <w:pStyle w:val="Standard"/>
        <w:spacing w:line="276" w:lineRule="auto"/>
        <w:jc w:val="both"/>
        <w:rPr>
          <w:rFonts w:ascii="Open Sans" w:hAnsi="Open Sans"/>
          <w:sz w:val="20"/>
          <w:szCs w:val="20"/>
        </w:rPr>
      </w:pPr>
      <w:r w:rsidRPr="00A07BE9">
        <w:rPr>
          <w:rFonts w:ascii="Open Sans" w:hAnsi="Open Sans"/>
          <w:sz w:val="20"/>
          <w:szCs w:val="20"/>
        </w:rPr>
        <w:t>La Ley 40/2015 de 1 de octubre, de Régimen Jurídico del Sector Público, regula en su título preliminar, entre otros aspectos, la responsabilidad de las autoridades y personal al servicio de las administraciones públicas, reflejo del deseo colectivo de que las personas que integran los órganos administrativos (que a la postre</w:t>
      </w:r>
      <w:r w:rsidR="00187762" w:rsidRPr="00A07BE9">
        <w:rPr>
          <w:rFonts w:ascii="Open Sans" w:hAnsi="Open Sans"/>
          <w:sz w:val="20"/>
          <w:szCs w:val="20"/>
        </w:rPr>
        <w:t>,</w:t>
      </w:r>
      <w:r w:rsidRPr="00A07BE9">
        <w:rPr>
          <w:rFonts w:ascii="Open Sans" w:hAnsi="Open Sans"/>
          <w:sz w:val="20"/>
          <w:szCs w:val="20"/>
        </w:rPr>
        <w:t xml:space="preserve"> son las que con sus decisiones y actos producen la actividad de aquéllas), sean las que asuman las consecuencias negativas que puedan colegirse de actuaciones lesivas de bienes y derechos de terceros o de la propia administración, evitando que el </w:t>
      </w:r>
      <w:r w:rsidRPr="00A07BE9">
        <w:rPr>
          <w:rFonts w:ascii="Open Sans" w:hAnsi="Open Sans"/>
          <w:iCs/>
          <w:sz w:val="20"/>
          <w:szCs w:val="20"/>
        </w:rPr>
        <w:t>“auténtico”</w:t>
      </w:r>
      <w:r w:rsidRPr="00A07BE9">
        <w:rPr>
          <w:rFonts w:ascii="Open Sans" w:hAnsi="Open Sans"/>
          <w:sz w:val="20"/>
          <w:szCs w:val="20"/>
        </w:rPr>
        <w:t xml:space="preserve"> sujeto causante de estas quede impune al no resultar afectado por los efectos negativos de sus actos y decisiones, y perpetuando así las condiciones que dieron lugar al daño y al subsiguiente gasto público.</w:t>
      </w:r>
    </w:p>
    <w:p w14:paraId="74F50CA0" w14:textId="77777777" w:rsidR="002D0FF9" w:rsidRPr="00A07BE9" w:rsidRDefault="002D0FF9" w:rsidP="009F4323">
      <w:pPr>
        <w:pStyle w:val="Standard"/>
        <w:spacing w:line="276" w:lineRule="auto"/>
        <w:jc w:val="both"/>
        <w:rPr>
          <w:rFonts w:ascii="Open Sans" w:hAnsi="Open Sans"/>
          <w:sz w:val="20"/>
          <w:szCs w:val="20"/>
        </w:rPr>
      </w:pPr>
    </w:p>
    <w:p w14:paraId="77F23BA6" w14:textId="77777777" w:rsidR="002D0FF9" w:rsidRPr="00A07BE9" w:rsidRDefault="002D0FF9" w:rsidP="009F4323">
      <w:pPr>
        <w:pStyle w:val="Standard"/>
        <w:spacing w:line="276" w:lineRule="auto"/>
        <w:jc w:val="both"/>
        <w:rPr>
          <w:rFonts w:ascii="Open Sans" w:hAnsi="Open Sans"/>
          <w:sz w:val="20"/>
          <w:szCs w:val="20"/>
        </w:rPr>
      </w:pPr>
      <w:r w:rsidRPr="00A07BE9">
        <w:rPr>
          <w:rFonts w:ascii="Open Sans" w:hAnsi="Open Sans"/>
          <w:sz w:val="20"/>
          <w:szCs w:val="20"/>
        </w:rPr>
        <w:t>En este contexto, no parece lógico (ni aconsejable) que estos posibles efectos negativos, siempre que tales actuaciones se hayan producido como consecuencia de una conducta dolosa, culposa o negligente graves del personal o autoridad correspondiente, acaben siendo resarcidos íntegramente por la propia administración y, por ende, por los ciudadanos.</w:t>
      </w:r>
    </w:p>
    <w:p w14:paraId="22E7544E" w14:textId="77777777" w:rsidR="002D0FF9" w:rsidRPr="00A07BE9" w:rsidRDefault="002D0FF9" w:rsidP="009F4323">
      <w:pPr>
        <w:pStyle w:val="Standard"/>
        <w:spacing w:line="276" w:lineRule="auto"/>
        <w:jc w:val="both"/>
        <w:rPr>
          <w:rFonts w:ascii="Open Sans" w:hAnsi="Open Sans"/>
          <w:sz w:val="20"/>
          <w:szCs w:val="20"/>
        </w:rPr>
      </w:pPr>
    </w:p>
    <w:p w14:paraId="1F99F7B3" w14:textId="77777777" w:rsidR="002D0FF9" w:rsidRPr="00A07BE9" w:rsidRDefault="002D0FF9" w:rsidP="009F4323">
      <w:pPr>
        <w:pStyle w:val="Standard"/>
        <w:spacing w:line="276" w:lineRule="auto"/>
        <w:jc w:val="both"/>
        <w:rPr>
          <w:rFonts w:ascii="Open Sans" w:hAnsi="Open Sans"/>
          <w:sz w:val="20"/>
          <w:szCs w:val="20"/>
        </w:rPr>
      </w:pPr>
      <w:r w:rsidRPr="00A07BE9">
        <w:rPr>
          <w:rFonts w:ascii="Open Sans" w:hAnsi="Open Sans"/>
          <w:sz w:val="20"/>
          <w:szCs w:val="20"/>
        </w:rPr>
        <w:t>En esta línea, el artículo 36 de la citada Ley 40/2015 recoge, sin ningún género de dudas, el carácter imperativo de la reclamación patrimonial por los daños y perjuicios causados, tanto económicos o materiales, como también los de índole personal o moral. Es lo que se ha venido en llamar la acción resarcitoria o de regreso contra el funcionario, autoridad o agente causante del daño y en favor del lesionado.</w:t>
      </w:r>
    </w:p>
    <w:p w14:paraId="70C04CD1" w14:textId="77777777" w:rsidR="002D0FF9" w:rsidRPr="00A07BE9" w:rsidRDefault="002D0FF9" w:rsidP="009F4323">
      <w:pPr>
        <w:pStyle w:val="Standard"/>
        <w:spacing w:line="276" w:lineRule="auto"/>
        <w:jc w:val="both"/>
        <w:rPr>
          <w:rFonts w:ascii="Open Sans" w:hAnsi="Open Sans"/>
          <w:sz w:val="20"/>
          <w:szCs w:val="20"/>
        </w:rPr>
      </w:pPr>
    </w:p>
    <w:p w14:paraId="1C4FD002" w14:textId="247FC2F9" w:rsidR="002D0FF9" w:rsidRDefault="002D0FF9" w:rsidP="009F4323">
      <w:pPr>
        <w:pStyle w:val="Standard"/>
        <w:spacing w:line="276" w:lineRule="auto"/>
        <w:jc w:val="both"/>
        <w:rPr>
          <w:rFonts w:ascii="Open Sans" w:hAnsi="Open Sans"/>
          <w:sz w:val="20"/>
          <w:szCs w:val="20"/>
        </w:rPr>
      </w:pPr>
      <w:r w:rsidRPr="00A07BE9">
        <w:rPr>
          <w:rFonts w:ascii="Open Sans" w:hAnsi="Open Sans"/>
          <w:sz w:val="20"/>
          <w:szCs w:val="20"/>
        </w:rPr>
        <w:lastRenderedPageBreak/>
        <w:t>Dicha acción, señala el referido precepto, se exigirá de oficio en vía administrativa, previa instrucción del correspondiente procedimiento, y es distinta e independiente de la que también puede ser exigida por la comisión de un delito (responsabilidad penal y civil derivada de esta) o por la comisión de infracciones disciplinarias (responsabilidad disciplinaria), siendo todas ellas perfectamente compatibles.</w:t>
      </w:r>
    </w:p>
    <w:p w14:paraId="54678FEA" w14:textId="77777777" w:rsidR="009F4323" w:rsidRPr="00A07BE9" w:rsidRDefault="009F4323" w:rsidP="009F4323">
      <w:pPr>
        <w:pStyle w:val="Standard"/>
        <w:spacing w:line="276" w:lineRule="auto"/>
        <w:jc w:val="both"/>
        <w:rPr>
          <w:rFonts w:ascii="Open Sans" w:hAnsi="Open Sans"/>
          <w:sz w:val="20"/>
          <w:szCs w:val="20"/>
        </w:rPr>
      </w:pPr>
    </w:p>
    <w:p w14:paraId="3CEBADB9" w14:textId="1710D3A1" w:rsidR="002D0FF9" w:rsidRDefault="002D0FF9" w:rsidP="009F4323">
      <w:pPr>
        <w:pStyle w:val="Standard"/>
        <w:spacing w:line="276" w:lineRule="auto"/>
        <w:jc w:val="both"/>
        <w:rPr>
          <w:rFonts w:ascii="Open Sans" w:hAnsi="Open Sans" w:cs="Open Sans"/>
          <w:w w:val="105"/>
          <w:sz w:val="20"/>
          <w:szCs w:val="20"/>
        </w:rPr>
      </w:pPr>
      <w:r w:rsidRPr="00A07BE9">
        <w:rPr>
          <w:rFonts w:ascii="Open Sans" w:hAnsi="Open Sans" w:cs="Open Sans"/>
          <w:w w:val="105"/>
          <w:sz w:val="20"/>
          <w:szCs w:val="20"/>
        </w:rPr>
        <w:t>Directamente de la Ley 40/2015 se deriva, pues, el carácter obligatorio de tal medida, al especificar la exigencia de iniciación de oficio del procedimiento, bien por propia iniciativa o como consecuencia de orden superior, a petición razonada de otros órganos o por denuncia, habiendo incluso propugnado la doctrina la conveniencia del reconocimiento de la acción pública dentro de este ámbito.</w:t>
      </w:r>
    </w:p>
    <w:p w14:paraId="7B937E68" w14:textId="77777777" w:rsidR="009F4323" w:rsidRPr="00A07BE9" w:rsidRDefault="009F4323" w:rsidP="009F4323">
      <w:pPr>
        <w:pStyle w:val="Standard"/>
        <w:spacing w:line="276" w:lineRule="auto"/>
        <w:jc w:val="both"/>
        <w:rPr>
          <w:rFonts w:ascii="Open Sans" w:hAnsi="Open Sans" w:cs="Open Sans"/>
          <w:w w:val="105"/>
          <w:sz w:val="20"/>
          <w:szCs w:val="20"/>
        </w:rPr>
      </w:pPr>
    </w:p>
    <w:p w14:paraId="04FB1914" w14:textId="2408EC76" w:rsidR="00291289" w:rsidRDefault="002D0FF9" w:rsidP="009F4323">
      <w:pPr>
        <w:pStyle w:val="Standard"/>
        <w:spacing w:line="276" w:lineRule="auto"/>
        <w:jc w:val="both"/>
        <w:rPr>
          <w:rFonts w:ascii="Open Sans" w:hAnsi="Open Sans" w:cs="Open Sans"/>
          <w:w w:val="105"/>
          <w:sz w:val="20"/>
          <w:szCs w:val="20"/>
        </w:rPr>
      </w:pPr>
      <w:r w:rsidRPr="00A07BE9">
        <w:rPr>
          <w:rFonts w:ascii="Open Sans" w:hAnsi="Open Sans" w:cs="Open Sans"/>
          <w:w w:val="105"/>
          <w:sz w:val="20"/>
          <w:szCs w:val="20"/>
        </w:rPr>
        <w:t xml:space="preserve">Sin embargo, sea por la dificultad de determinar el sujeto autor del daño o por otras múltiples causas, lo cierto es que, de hecho, esa exigencia de responsabilidad patrimonial ha sido una especie de </w:t>
      </w:r>
      <w:r w:rsidRPr="009F4323">
        <w:rPr>
          <w:rFonts w:ascii="Open Sans" w:hAnsi="Open Sans" w:cs="Open Sans"/>
          <w:w w:val="105"/>
          <w:sz w:val="20"/>
          <w:szCs w:val="20"/>
        </w:rPr>
        <w:t>“realidad virtual”,</w:t>
      </w:r>
      <w:r w:rsidRPr="00A07BE9">
        <w:rPr>
          <w:rFonts w:ascii="Open Sans" w:hAnsi="Open Sans" w:cs="Open Sans"/>
          <w:w w:val="105"/>
          <w:sz w:val="20"/>
          <w:szCs w:val="20"/>
        </w:rPr>
        <w:t xml:space="preserve"> existente en nuestro ordenamiento jurídico pero inoperante en la práctica.</w:t>
      </w:r>
    </w:p>
    <w:p w14:paraId="0564264A" w14:textId="77777777" w:rsidR="009F4323" w:rsidRPr="006806FB" w:rsidRDefault="009F4323" w:rsidP="009F4323">
      <w:pPr>
        <w:pStyle w:val="Standard"/>
        <w:spacing w:line="276" w:lineRule="auto"/>
        <w:jc w:val="both"/>
        <w:rPr>
          <w:rFonts w:ascii="Open Sans" w:hAnsi="Open Sans" w:cs="Open Sans"/>
          <w:w w:val="105"/>
          <w:sz w:val="20"/>
          <w:szCs w:val="20"/>
        </w:rPr>
      </w:pPr>
    </w:p>
    <w:p w14:paraId="0D7BC654" w14:textId="6E1D99EE" w:rsidR="009F4323" w:rsidRDefault="002D0FF9" w:rsidP="009F4323">
      <w:pPr>
        <w:pStyle w:val="Standard"/>
        <w:spacing w:line="276" w:lineRule="auto"/>
        <w:jc w:val="both"/>
        <w:rPr>
          <w:rFonts w:ascii="Open Sans" w:hAnsi="Open Sans" w:cs="Open Sans"/>
          <w:w w:val="105"/>
          <w:sz w:val="20"/>
          <w:szCs w:val="20"/>
        </w:rPr>
      </w:pPr>
      <w:r w:rsidRPr="00A07BE9">
        <w:rPr>
          <w:rFonts w:ascii="Open Sans" w:hAnsi="Open Sans" w:cs="Open Sans"/>
          <w:w w:val="105"/>
          <w:sz w:val="20"/>
          <w:szCs w:val="20"/>
        </w:rPr>
        <w:t>Resulta necesario acudir a cada caso concreto para analizar, si en la actuación de la autoridad o del empleado público, se da el elemento intencional y volitivo de producir el daño (propio del dolo), la inobservancia de las normas elementales propias del puesto o cargo (característica de la imprudencia), o la infracción del deber o diligencia debida (típica de la negligencia).</w:t>
      </w:r>
    </w:p>
    <w:p w14:paraId="00A73062" w14:textId="77777777" w:rsidR="009F4323" w:rsidRPr="00A07BE9" w:rsidRDefault="009F4323" w:rsidP="009F4323">
      <w:pPr>
        <w:pStyle w:val="Standard"/>
        <w:spacing w:line="276" w:lineRule="auto"/>
        <w:jc w:val="both"/>
        <w:rPr>
          <w:rFonts w:ascii="Open Sans" w:hAnsi="Open Sans" w:cs="Open Sans"/>
          <w:w w:val="105"/>
          <w:sz w:val="20"/>
          <w:szCs w:val="20"/>
        </w:rPr>
      </w:pPr>
    </w:p>
    <w:p w14:paraId="6DBF1C81" w14:textId="77777777" w:rsidR="002D0FF9" w:rsidRPr="009F4323" w:rsidRDefault="002D0FF9" w:rsidP="009F4323">
      <w:pPr>
        <w:pStyle w:val="Standard"/>
        <w:spacing w:line="276" w:lineRule="auto"/>
        <w:jc w:val="both"/>
        <w:rPr>
          <w:rFonts w:ascii="Open Sans" w:hAnsi="Open Sans" w:cs="Open Sans"/>
          <w:w w:val="105"/>
          <w:sz w:val="20"/>
          <w:szCs w:val="20"/>
        </w:rPr>
      </w:pPr>
      <w:r w:rsidRPr="00A07BE9">
        <w:rPr>
          <w:rFonts w:ascii="Open Sans" w:hAnsi="Open Sans" w:cs="Open Sans"/>
          <w:w w:val="105"/>
          <w:sz w:val="20"/>
          <w:szCs w:val="20"/>
        </w:rPr>
        <w:t xml:space="preserve">La aplicación y efectos de esta regulación encuentra un punto de conexión con uno de los objetivos esenciales de la Agencia, como es la prevención y erradicación del fraude y de la corrupción, y por extensión, con una de las medidas básicas para ello: </w:t>
      </w:r>
      <w:r w:rsidRPr="009F4323">
        <w:rPr>
          <w:rFonts w:ascii="Open Sans" w:hAnsi="Open Sans" w:cs="Open Sans"/>
          <w:w w:val="105"/>
          <w:sz w:val="20"/>
          <w:szCs w:val="20"/>
        </w:rPr>
        <w:t>la protección de las personas denunciantes.</w:t>
      </w:r>
    </w:p>
    <w:p w14:paraId="57B56C89" w14:textId="77777777" w:rsidR="002D0FF9" w:rsidRPr="00A07BE9" w:rsidRDefault="002D0FF9" w:rsidP="009F4323">
      <w:pPr>
        <w:pStyle w:val="Standard"/>
        <w:spacing w:line="276" w:lineRule="auto"/>
        <w:jc w:val="both"/>
        <w:rPr>
          <w:rFonts w:ascii="Open Sans" w:hAnsi="Open Sans" w:cs="Open Sans"/>
          <w:w w:val="105"/>
          <w:sz w:val="20"/>
          <w:szCs w:val="20"/>
        </w:rPr>
      </w:pPr>
    </w:p>
    <w:p w14:paraId="66119E5B" w14:textId="77777777" w:rsidR="002D0FF9" w:rsidRPr="00A07BE9" w:rsidRDefault="002D0FF9" w:rsidP="009F4323">
      <w:pPr>
        <w:pStyle w:val="Standard"/>
        <w:spacing w:line="276" w:lineRule="auto"/>
        <w:jc w:val="both"/>
        <w:rPr>
          <w:rFonts w:ascii="Open Sans" w:hAnsi="Open Sans"/>
          <w:sz w:val="20"/>
          <w:szCs w:val="20"/>
        </w:rPr>
      </w:pPr>
      <w:r w:rsidRPr="00A07BE9">
        <w:rPr>
          <w:rFonts w:ascii="Open Sans" w:hAnsi="Open Sans" w:cs="Open Sans"/>
          <w:w w:val="105"/>
          <w:sz w:val="20"/>
          <w:szCs w:val="20"/>
        </w:rPr>
        <w:t>La Agencia otorga el estatuto de protección a personas que denuncian, informan o alertan de hechos o conductas que pueden ser susceptibles de ser calificados de fraude o corrupción, lo que conlleva</w:t>
      </w:r>
      <w:r w:rsidRPr="00A07BE9">
        <w:rPr>
          <w:rFonts w:ascii="Open Sans" w:hAnsi="Open Sans" w:cs="Open Sans"/>
          <w:bCs/>
          <w:w w:val="105"/>
          <w:sz w:val="20"/>
          <w:szCs w:val="20"/>
          <w:shd w:val="clear" w:color="auto" w:fill="FFFFFF"/>
        </w:rPr>
        <w:t>, conforme al artículo 14 de la Ley 11/2016, de 28 de noviembre, de la Generalitat, que deba velar para que estas personas no sufran, durante la investigación ni después de ella, ningún tipo de aislamiento, persecución o empeoramiento de las condiciones laborales o profesionales, ni ningún tipo de medida que implique cualquier forma de perjuicio o discriminación. Si la Agencia es sabedora de que la persona denunciante ha sido objeto, directa o indirectamente, de actos de intimidación o de represalias por haber presentado la denuncia, puede ejercer las acciones correctoras o de restablecimiento que considere, de las cuales deja constancia en su memoria anual.</w:t>
      </w:r>
    </w:p>
    <w:p w14:paraId="4CF4FA0D" w14:textId="77777777" w:rsidR="002D0FF9" w:rsidRPr="00A07BE9" w:rsidRDefault="002D0FF9" w:rsidP="009F4323">
      <w:pPr>
        <w:pStyle w:val="Standard"/>
        <w:spacing w:line="276" w:lineRule="auto"/>
        <w:jc w:val="both"/>
        <w:rPr>
          <w:rFonts w:ascii="Open Sans" w:hAnsi="Open Sans"/>
          <w:sz w:val="20"/>
          <w:szCs w:val="20"/>
        </w:rPr>
      </w:pPr>
    </w:p>
    <w:p w14:paraId="6D299B43" w14:textId="2EDC31FF" w:rsidR="002D0FF9" w:rsidRDefault="002D0FF9" w:rsidP="009F4323">
      <w:pPr>
        <w:pStyle w:val="Standard"/>
        <w:spacing w:line="276" w:lineRule="auto"/>
        <w:jc w:val="both"/>
        <w:rPr>
          <w:rFonts w:ascii="Open Sans" w:hAnsi="Open Sans" w:cs="Open Sans"/>
          <w:bCs/>
          <w:w w:val="105"/>
          <w:sz w:val="20"/>
          <w:szCs w:val="20"/>
          <w:shd w:val="clear" w:color="auto" w:fill="FFFFFF"/>
        </w:rPr>
      </w:pPr>
      <w:r w:rsidRPr="00A07BE9">
        <w:rPr>
          <w:rFonts w:ascii="Open Sans" w:hAnsi="Open Sans" w:cs="Open Sans"/>
          <w:bCs/>
          <w:w w:val="105"/>
          <w:sz w:val="20"/>
          <w:szCs w:val="20"/>
          <w:shd w:val="clear" w:color="auto" w:fill="FFFFFF"/>
        </w:rPr>
        <w:t xml:space="preserve">En demasiadas ocasiones, dicho estatuto de protección es combatido, negado o rechazado por los órganos o autoridades de los que depende el denunciante dentro del contexto laboral. Ello comporta la adopción de acuerdos y decisiones, por parte de la propia entidad denunciada o investigada, que, por una parte, implican la generación de </w:t>
      </w:r>
      <w:r w:rsidRPr="00A07BE9">
        <w:rPr>
          <w:rFonts w:ascii="Open Sans" w:hAnsi="Open Sans" w:cs="Open Sans"/>
          <w:bCs/>
          <w:w w:val="105"/>
          <w:sz w:val="20"/>
          <w:szCs w:val="20"/>
          <w:shd w:val="clear" w:color="auto" w:fill="FFFFFF"/>
        </w:rPr>
        <w:lastRenderedPageBreak/>
        <w:t>gastos directos o indirectos para el erario público (gastos en servicios, medios y personal, indemnizaciones, etc.), y por otra parte, la realización por el denunciante de importantes desembolsos, pues se ve obligado a asumir, a su costa, los gastos que conlleva garantizar la defensa de sus derechos, frecuentemente en vía judicial.</w:t>
      </w:r>
    </w:p>
    <w:p w14:paraId="5076CF50" w14:textId="77777777" w:rsidR="009F4323" w:rsidRPr="00A07BE9" w:rsidRDefault="009F4323" w:rsidP="009F4323">
      <w:pPr>
        <w:pStyle w:val="Standard"/>
        <w:spacing w:line="276" w:lineRule="auto"/>
        <w:jc w:val="both"/>
        <w:rPr>
          <w:rFonts w:ascii="Open Sans" w:hAnsi="Open Sans" w:cs="Open Sans"/>
          <w:bCs/>
          <w:w w:val="105"/>
          <w:sz w:val="20"/>
          <w:szCs w:val="20"/>
          <w:shd w:val="clear" w:color="auto" w:fill="FFFFFF"/>
        </w:rPr>
      </w:pPr>
    </w:p>
    <w:p w14:paraId="6D91C2D0" w14:textId="78FC1B6E" w:rsidR="00291289" w:rsidRDefault="002D0FF9" w:rsidP="009F4323">
      <w:pPr>
        <w:pStyle w:val="Standard"/>
        <w:spacing w:line="276" w:lineRule="auto"/>
        <w:jc w:val="both"/>
        <w:rPr>
          <w:rFonts w:ascii="Open Sans" w:hAnsi="Open Sans" w:cs="Open Sans"/>
          <w:bCs/>
          <w:w w:val="105"/>
          <w:sz w:val="20"/>
          <w:szCs w:val="20"/>
          <w:shd w:val="clear" w:color="auto" w:fill="FFFFFF"/>
        </w:rPr>
      </w:pPr>
      <w:r w:rsidRPr="00A07BE9">
        <w:rPr>
          <w:rFonts w:ascii="Open Sans" w:hAnsi="Open Sans" w:cs="Open Sans"/>
          <w:bCs/>
          <w:w w:val="105"/>
          <w:sz w:val="20"/>
          <w:szCs w:val="20"/>
          <w:shd w:val="clear" w:color="auto" w:fill="FFFFFF"/>
        </w:rPr>
        <w:t>Además, por daño o perjuicio debe entenderse todo resultado negativo para las arcas públicas, tales como los gastos derivados de los procesos judiciales, entablados por los responsables de las administraciones públicas o sector público afectados por la denuncia o investigados, que se instruyen con motivo de la misma, o mediante los cuales se ataca al denunciante o se impugna su estatuto de protección, así como también las indemnizaciones por despidos indebidos adoptados como represalia y las posibles sanciones administrativas por incumplimiento de dicho estatuto.</w:t>
      </w:r>
    </w:p>
    <w:p w14:paraId="7AB55653" w14:textId="77777777" w:rsidR="009F4323" w:rsidRPr="00A07BE9" w:rsidRDefault="009F4323" w:rsidP="009F4323">
      <w:pPr>
        <w:pStyle w:val="Standard"/>
        <w:spacing w:line="276" w:lineRule="auto"/>
        <w:jc w:val="both"/>
        <w:rPr>
          <w:rFonts w:ascii="Open Sans" w:hAnsi="Open Sans" w:cs="Open Sans"/>
          <w:bCs/>
          <w:w w:val="105"/>
          <w:sz w:val="20"/>
          <w:szCs w:val="20"/>
          <w:shd w:val="clear" w:color="auto" w:fill="FFFFFF"/>
        </w:rPr>
      </w:pPr>
    </w:p>
    <w:p w14:paraId="4ED0FC99" w14:textId="19BDA8AA" w:rsidR="00291289" w:rsidRDefault="002D0FF9" w:rsidP="009F4323">
      <w:pPr>
        <w:pStyle w:val="Standard"/>
        <w:spacing w:line="276" w:lineRule="auto"/>
        <w:jc w:val="both"/>
        <w:rPr>
          <w:rFonts w:ascii="Open Sans" w:hAnsi="Open Sans" w:cs="Open Sans"/>
          <w:bCs/>
          <w:w w:val="105"/>
          <w:sz w:val="20"/>
          <w:szCs w:val="20"/>
          <w:shd w:val="clear" w:color="auto" w:fill="FFFFFF"/>
        </w:rPr>
      </w:pPr>
      <w:r w:rsidRPr="00A07BE9">
        <w:rPr>
          <w:rFonts w:ascii="Open Sans" w:hAnsi="Open Sans" w:cs="Open Sans"/>
          <w:bCs/>
          <w:w w:val="105"/>
          <w:sz w:val="20"/>
          <w:szCs w:val="20"/>
          <w:shd w:val="clear" w:color="auto" w:fill="FFFFFF"/>
        </w:rPr>
        <w:t>Por todo ello, se recomienda a las diferentes administraciones y a todas las entidades del sector público instrumental, vinculado o fundacional, incluidas corporaciones de derecho público y las personas físicas y jurídicas a que se refiere el artículo 3 de la Ley 11/2016, de 28 de noviembre, de la Generalitat, como elemento indispensable para la eficacia de las medidas que se adopten en el marco del estatuto de protección de l</w:t>
      </w:r>
      <w:r w:rsidRPr="00A07BE9">
        <w:rPr>
          <w:rFonts w:ascii="Open Sans" w:hAnsi="Open Sans" w:cs="Open Sans"/>
          <w:w w:val="105"/>
          <w:sz w:val="20"/>
          <w:szCs w:val="20"/>
        </w:rPr>
        <w:t>a persona denunciante (reforzado tras la Directiva</w:t>
      </w:r>
      <w:r w:rsidR="00EA60A1" w:rsidRPr="00A07BE9">
        <w:rPr>
          <w:rFonts w:ascii="Open Sans" w:hAnsi="Open Sans" w:cs="Open Sans"/>
          <w:w w:val="105"/>
          <w:sz w:val="20"/>
          <w:szCs w:val="20"/>
        </w:rPr>
        <w:t xml:space="preserve"> (UE)</w:t>
      </w:r>
      <w:r w:rsidRPr="00A07BE9">
        <w:rPr>
          <w:rFonts w:ascii="Open Sans" w:hAnsi="Open Sans" w:cs="Open Sans"/>
          <w:w w:val="105"/>
          <w:sz w:val="20"/>
          <w:szCs w:val="20"/>
        </w:rPr>
        <w:t xml:space="preserve"> 2019/1937), el establecimiento de </w:t>
      </w:r>
      <w:r w:rsidRPr="00A07BE9">
        <w:rPr>
          <w:rFonts w:ascii="Open Sans" w:hAnsi="Open Sans" w:cs="Open Sans"/>
          <w:bCs/>
          <w:w w:val="105"/>
          <w:sz w:val="20"/>
          <w:szCs w:val="20"/>
          <w:shd w:val="clear" w:color="auto" w:fill="FFFFFF"/>
        </w:rPr>
        <w:t>mecanismos y procedimientos internos que posibiliten la exigencia de esta responsabilidad patrimonial, administrativa o civil, disciplinaria o laboral, e incluso contable, a las autoridades y personal a su servicio que incurran en estos hechos o conductas.</w:t>
      </w:r>
    </w:p>
    <w:p w14:paraId="1BFC34A3" w14:textId="77777777" w:rsidR="009F4323" w:rsidRPr="00A07BE9" w:rsidRDefault="009F4323" w:rsidP="009F4323">
      <w:pPr>
        <w:pStyle w:val="Standard"/>
        <w:spacing w:line="276" w:lineRule="auto"/>
        <w:jc w:val="both"/>
        <w:rPr>
          <w:rFonts w:ascii="Open Sans" w:hAnsi="Open Sans" w:cs="Open Sans"/>
          <w:bCs/>
          <w:w w:val="105"/>
          <w:sz w:val="20"/>
          <w:szCs w:val="20"/>
          <w:shd w:val="clear" w:color="auto" w:fill="FFFFFF"/>
        </w:rPr>
      </w:pPr>
    </w:p>
    <w:p w14:paraId="5B75CB4E" w14:textId="77777777" w:rsidR="002D0FF9" w:rsidRPr="00A07BE9" w:rsidRDefault="002D0FF9" w:rsidP="009F4323">
      <w:pPr>
        <w:pStyle w:val="Standard"/>
        <w:spacing w:line="276" w:lineRule="auto"/>
        <w:jc w:val="both"/>
        <w:rPr>
          <w:rFonts w:ascii="Open Sans" w:hAnsi="Open Sans" w:cs="Open Sans"/>
          <w:bCs/>
          <w:w w:val="105"/>
          <w:sz w:val="20"/>
          <w:szCs w:val="20"/>
          <w:shd w:val="clear" w:color="auto" w:fill="FFFFFF"/>
        </w:rPr>
      </w:pPr>
      <w:r w:rsidRPr="00A07BE9">
        <w:rPr>
          <w:rFonts w:ascii="Open Sans" w:hAnsi="Open Sans" w:cs="Open Sans"/>
          <w:bCs/>
          <w:w w:val="105"/>
          <w:sz w:val="20"/>
          <w:szCs w:val="20"/>
          <w:shd w:val="clear" w:color="auto" w:fill="FFFFFF"/>
        </w:rPr>
        <w:t>En relación con determinadas entidades del sector público instrumental, vinculado y fundacional, corporaciones de derecho público y otras personas jurídicas se recomienda que la exigencia de la correspondiente responsabilidad de las autoridades y personal a su servicio, se articule a través de los mecanismos previstos en el Derecho del Trabajo, dado el carácter supletorio del artículo 1.101 del Código Civil (</w:t>
      </w:r>
      <w:r w:rsidRPr="00A07BE9">
        <w:rPr>
          <w:rFonts w:ascii="Open Sans" w:hAnsi="Open Sans" w:cs="Open Sans"/>
          <w:bCs/>
          <w:i/>
          <w:iCs/>
          <w:w w:val="105"/>
          <w:sz w:val="20"/>
          <w:szCs w:val="20"/>
          <w:shd w:val="clear" w:color="auto" w:fill="FFFFFF"/>
        </w:rPr>
        <w:t>quedan sujetos a la indemnización de los daños y perjuicios causados los que en el cumplimiento de sus obligaciones incurrieren en dolo, negligencia o morosidad y los que de cualquier modo contravinieren al tenor de aquéllas</w:t>
      </w:r>
      <w:r w:rsidRPr="00A07BE9">
        <w:rPr>
          <w:rFonts w:ascii="Open Sans" w:hAnsi="Open Sans" w:cs="Open Sans"/>
          <w:bCs/>
          <w:w w:val="105"/>
          <w:sz w:val="20"/>
          <w:szCs w:val="20"/>
          <w:shd w:val="clear" w:color="auto" w:fill="FFFFFF"/>
        </w:rPr>
        <w:t>), en una primera instancia, dentro de la propia entidad, empresa pública o fundación y, si no es posible, ante la jurisdicción social, competente para conocer de las cuestiones litigiosas que se promuevan entre empresarios y trabajadores como consecuencia del contrato de trabajo y en el ejercicio de los demás derechos y obligaciones en el ámbito de la relación laboral.</w:t>
      </w:r>
    </w:p>
    <w:p w14:paraId="510561C0" w14:textId="77777777" w:rsidR="002D0FF9" w:rsidRPr="00A07BE9" w:rsidRDefault="002D0FF9" w:rsidP="009F4323">
      <w:pPr>
        <w:pStyle w:val="Standard"/>
        <w:tabs>
          <w:tab w:val="left" w:pos="738"/>
        </w:tabs>
        <w:spacing w:line="276" w:lineRule="auto"/>
        <w:jc w:val="both"/>
        <w:rPr>
          <w:rFonts w:ascii="Open Sans" w:hAnsi="Open Sans" w:cs="Open Sans"/>
          <w:sz w:val="20"/>
          <w:szCs w:val="20"/>
        </w:rPr>
      </w:pPr>
    </w:p>
    <w:p w14:paraId="5683EA99" w14:textId="1A6B4048" w:rsidR="002D0FF9" w:rsidRPr="00A07BE9" w:rsidRDefault="002D0FF9" w:rsidP="009F4323">
      <w:pPr>
        <w:pStyle w:val="Standard"/>
        <w:tabs>
          <w:tab w:val="left" w:pos="738"/>
        </w:tabs>
        <w:spacing w:line="276" w:lineRule="auto"/>
        <w:jc w:val="both"/>
        <w:rPr>
          <w:rFonts w:ascii="Open Sans" w:hAnsi="Open Sans" w:cs="Open Sans"/>
          <w:bCs/>
          <w:w w:val="105"/>
          <w:sz w:val="20"/>
          <w:szCs w:val="20"/>
          <w:shd w:val="clear" w:color="auto" w:fill="FFFFFF"/>
        </w:rPr>
      </w:pPr>
      <w:r w:rsidRPr="00A07BE9">
        <w:rPr>
          <w:rFonts w:ascii="Open Sans" w:hAnsi="Open Sans" w:cs="Open Sans"/>
          <w:bCs/>
          <w:w w:val="105"/>
          <w:sz w:val="20"/>
          <w:szCs w:val="20"/>
          <w:shd w:val="clear" w:color="auto" w:fill="FFFFFF"/>
        </w:rPr>
        <w:t>En la medida en que este tipo de procedimientos se afiancen en las diferentes organizaciones, y concluyan con medidas efectivas que consigan el deseado retorno a la comunidad de los gastos ocasionados por el actuar doloso, culposo o negligente de su personal y autoridades, se producirá no s</w:t>
      </w:r>
      <w:r w:rsidR="00270BC0" w:rsidRPr="00A07BE9">
        <w:rPr>
          <w:rFonts w:ascii="Open Sans" w:hAnsi="Open Sans" w:cs="Open Sans"/>
          <w:bCs/>
          <w:w w:val="105"/>
          <w:sz w:val="20"/>
          <w:szCs w:val="20"/>
          <w:shd w:val="clear" w:color="auto" w:fill="FFFFFF"/>
        </w:rPr>
        <w:t>o</w:t>
      </w:r>
      <w:r w:rsidRPr="00A07BE9">
        <w:rPr>
          <w:rFonts w:ascii="Open Sans" w:hAnsi="Open Sans" w:cs="Open Sans"/>
          <w:bCs/>
          <w:w w:val="105"/>
          <w:sz w:val="20"/>
          <w:szCs w:val="20"/>
          <w:shd w:val="clear" w:color="auto" w:fill="FFFFFF"/>
        </w:rPr>
        <w:t xml:space="preserve">lo un cumplimiento de la normativa aquí expresada, sino también un efecto indirecto pero igual o más valioso, cual es la implantación progresiva de una cultura social de erradicación del fraude y la corrupción y la correcta y rigurosa gestión de los fondos públicos aplicados a la satisfacción de los </w:t>
      </w:r>
      <w:r w:rsidRPr="00A07BE9">
        <w:rPr>
          <w:rFonts w:ascii="Open Sans" w:hAnsi="Open Sans" w:cs="Open Sans"/>
          <w:bCs/>
          <w:w w:val="105"/>
          <w:sz w:val="20"/>
          <w:szCs w:val="20"/>
          <w:shd w:val="clear" w:color="auto" w:fill="FFFFFF"/>
        </w:rPr>
        <w:lastRenderedPageBreak/>
        <w:t>intereses generales.</w:t>
      </w:r>
    </w:p>
    <w:p w14:paraId="1DCBE659" w14:textId="6DDAC6DF" w:rsidR="002D0FF9" w:rsidRPr="00A07BE9" w:rsidRDefault="002D0FF9" w:rsidP="002D0FF9">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p>
    <w:p w14:paraId="5CB48EDF" w14:textId="15D9F23B" w:rsidR="00112709" w:rsidRPr="00A07BE9" w:rsidRDefault="00112709" w:rsidP="002D0FF9">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p>
    <w:p w14:paraId="225D1EFA" w14:textId="13DE93AE" w:rsidR="00610826" w:rsidRPr="00A07BE9" w:rsidRDefault="00610826" w:rsidP="002D0FF9">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r w:rsidRPr="00A07BE9">
        <w:rPr>
          <w:rFonts w:ascii="Open Sans" w:eastAsia="Times New Roman" w:hAnsi="Open Sans" w:cs="Open Sans"/>
          <w:b/>
          <w:bCs/>
          <w:smallCaps/>
          <w:color w:val="993333"/>
          <w:w w:val="105"/>
          <w:sz w:val="32"/>
          <w:szCs w:val="32"/>
          <w:shd w:val="clear" w:color="auto" w:fill="FFFFFF"/>
          <w:lang w:eastAsia="es-ES"/>
        </w:rPr>
        <w:t xml:space="preserve">7.7. SOBRE </w:t>
      </w:r>
      <w:r w:rsidR="00FE41A1" w:rsidRPr="00A07BE9">
        <w:rPr>
          <w:rFonts w:ascii="Open Sans" w:eastAsia="Times New Roman" w:hAnsi="Open Sans" w:cs="Open Sans"/>
          <w:b/>
          <w:bCs/>
          <w:smallCaps/>
          <w:color w:val="993333"/>
          <w:w w:val="105"/>
          <w:sz w:val="32"/>
          <w:szCs w:val="32"/>
          <w:shd w:val="clear" w:color="auto" w:fill="FFFFFF"/>
          <w:lang w:eastAsia="es-ES"/>
        </w:rPr>
        <w:t>LA TRANSPARENCIA DE LOS GASTOS DE GRUPOS PARLAMENTARIOS Y SUBVENCIONES A PARTIDOS POLÍTICOS</w:t>
      </w:r>
    </w:p>
    <w:p w14:paraId="0F4AF1AF" w14:textId="4282DD9C" w:rsidR="00610826" w:rsidRPr="00A07BE9" w:rsidRDefault="00610826" w:rsidP="002D0FF9">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p>
    <w:p w14:paraId="12B99426" w14:textId="77777777" w:rsidR="004613C8" w:rsidRPr="00A07BE9" w:rsidRDefault="004613C8" w:rsidP="009F4323">
      <w:pPr>
        <w:pStyle w:val="Standard"/>
        <w:spacing w:line="276" w:lineRule="auto"/>
        <w:jc w:val="both"/>
        <w:textAlignment w:val="auto"/>
      </w:pPr>
      <w:r w:rsidRPr="00A07BE9">
        <w:rPr>
          <w:rStyle w:val="nfasis"/>
          <w:rFonts w:ascii="Open Sans" w:eastAsia="SimSun" w:hAnsi="Open Sans" w:cs="Lucida Sans"/>
          <w:i w:val="0"/>
          <w:color w:val="000000"/>
          <w:sz w:val="20"/>
          <w:szCs w:val="20"/>
        </w:rPr>
        <w:t>En la Memoria de esta Agencia del año 2018 se recogió, dentro de este mismo apartado dedicado a efectuar algunas reflexiones, la recomendación de dotar de publicidad el destino detallado de las subvenciones percibidas por los diferentes grupos políticos para su sostenimiento, en el ámbito de las Corporaciones Locales y de las Corts Valencianes, toda vez que se trata de recursos públicos sobre los que debe recaer igual tratamiento de transparencia y acceso a la información que respecto del resto de las administraciones públicas.</w:t>
      </w:r>
    </w:p>
    <w:p w14:paraId="74754108" w14:textId="77777777" w:rsidR="004613C8" w:rsidRPr="00A07BE9" w:rsidRDefault="004613C8" w:rsidP="009F4323">
      <w:pPr>
        <w:pStyle w:val="Standard"/>
        <w:spacing w:line="276" w:lineRule="auto"/>
        <w:jc w:val="both"/>
        <w:textAlignment w:val="auto"/>
      </w:pPr>
    </w:p>
    <w:p w14:paraId="514CB7D5" w14:textId="77777777" w:rsidR="004613C8" w:rsidRPr="00A07BE9" w:rsidRDefault="004613C8" w:rsidP="009F4323">
      <w:pPr>
        <w:pStyle w:val="Standard"/>
        <w:spacing w:line="276" w:lineRule="auto"/>
        <w:jc w:val="both"/>
        <w:textAlignment w:val="auto"/>
      </w:pPr>
      <w:r w:rsidRPr="00A07BE9">
        <w:rPr>
          <w:rStyle w:val="nfasis"/>
          <w:rFonts w:ascii="Open Sans" w:eastAsia="SimSun" w:hAnsi="Open Sans" w:cs="Lucida Sans"/>
          <w:i w:val="0"/>
          <w:color w:val="000000"/>
          <w:sz w:val="20"/>
          <w:szCs w:val="20"/>
        </w:rPr>
        <w:t>No obstante, durante este año 2019, no se han observado avances significativos sobre las asignaciones por subvenciones que tienen carácter finalista, ni sobre la justificación o detalle de los gastos anuales en que incurren estos grupos (personal, contratos, servicios, proveedores, etc.), a salvo en el ámbito de les Corts, la iniciativa por parte de un grupo parlamentario de incorporar en su web esta información con carácter mensual, aun sin alcanzar las exigencias actuales que contempla la legislación vigente sobre transparencia (entre otros, artículo 9 de la Ley 2/2015, de 2 de abril, de la Generalitat, de Transparencia, Buen Gobierno y Participación Ciudadana de la Comunitat Valenciana).</w:t>
      </w:r>
    </w:p>
    <w:p w14:paraId="07353DD3" w14:textId="77777777" w:rsidR="004613C8" w:rsidRPr="00A07BE9" w:rsidRDefault="004613C8" w:rsidP="009F4323">
      <w:pPr>
        <w:pStyle w:val="Standard"/>
        <w:spacing w:line="276" w:lineRule="auto"/>
        <w:jc w:val="both"/>
        <w:textAlignment w:val="auto"/>
      </w:pPr>
    </w:p>
    <w:p w14:paraId="20917A28" w14:textId="77777777" w:rsidR="004613C8" w:rsidRPr="00A07BE9" w:rsidRDefault="004613C8" w:rsidP="009F4323">
      <w:pPr>
        <w:pStyle w:val="Standard"/>
        <w:spacing w:line="276" w:lineRule="auto"/>
        <w:jc w:val="both"/>
        <w:textAlignment w:val="auto"/>
      </w:pPr>
      <w:r w:rsidRPr="00A07BE9">
        <w:rPr>
          <w:rStyle w:val="nfasis"/>
          <w:rFonts w:ascii="Open Sans" w:eastAsia="SimSun" w:hAnsi="Open Sans" w:cs="Lucida Sans"/>
          <w:i w:val="0"/>
          <w:color w:val="000000"/>
          <w:sz w:val="20"/>
          <w:szCs w:val="20"/>
        </w:rPr>
        <w:t>Según los últimos informes del Centro de Investigaciones Sociológicas (CIS), si bien la situación de desempleo sigue siendo el primer problema para los españoles, la corrupción ha sido desplazada del segundo al tercer lugar, siendo la segunda preocupación en España “los políticos y los partidos políticos”.</w:t>
      </w:r>
    </w:p>
    <w:p w14:paraId="08081458" w14:textId="77777777" w:rsidR="004613C8" w:rsidRPr="00A07BE9" w:rsidRDefault="004613C8" w:rsidP="009F4323">
      <w:pPr>
        <w:pStyle w:val="Standard"/>
        <w:spacing w:line="276" w:lineRule="auto"/>
        <w:jc w:val="both"/>
        <w:textAlignment w:val="auto"/>
      </w:pPr>
    </w:p>
    <w:p w14:paraId="39013635" w14:textId="77777777" w:rsidR="004613C8" w:rsidRPr="00A07BE9" w:rsidRDefault="004613C8" w:rsidP="009F4323">
      <w:pPr>
        <w:pStyle w:val="Standard"/>
        <w:spacing w:line="276" w:lineRule="auto"/>
        <w:jc w:val="both"/>
        <w:textAlignment w:val="auto"/>
      </w:pPr>
      <w:r w:rsidRPr="00A07BE9">
        <w:rPr>
          <w:rStyle w:val="nfasis"/>
          <w:rFonts w:ascii="Open Sans" w:eastAsia="SimSun" w:hAnsi="Open Sans" w:cs="Lucida Sans"/>
          <w:i w:val="0"/>
          <w:color w:val="000000"/>
          <w:sz w:val="20"/>
          <w:szCs w:val="20"/>
        </w:rPr>
        <w:t>Expone Manuel Villoria, Catedrático de Ciencia Política y de la Administración, que el régimen de los partidos políticos es la raíz de muchos de los problemas con los que se encuentra la democracia española, y sugiere que todo partido político, para ser plenamente democrático ha de contar con tres poderes claramente diferenciados: un poder legislativo, que tendría forma de asamblea; un poder ejecutivo, formado por su cúpula dirigente; y un poder judicial, integrado por los miembros de la comisión ética o la comisión de garantías, que siempre ha de gozar de plena independencia.</w:t>
      </w:r>
    </w:p>
    <w:p w14:paraId="7E89589B" w14:textId="77777777" w:rsidR="004613C8" w:rsidRPr="00A07BE9" w:rsidRDefault="004613C8" w:rsidP="009F4323">
      <w:pPr>
        <w:pStyle w:val="Standard"/>
        <w:spacing w:line="276" w:lineRule="auto"/>
        <w:jc w:val="both"/>
        <w:textAlignment w:val="auto"/>
      </w:pPr>
    </w:p>
    <w:p w14:paraId="76192BD7" w14:textId="77777777" w:rsidR="004613C8" w:rsidRPr="00A07BE9" w:rsidRDefault="004613C8" w:rsidP="009F4323">
      <w:pPr>
        <w:pStyle w:val="Standard"/>
        <w:spacing w:line="276" w:lineRule="auto"/>
        <w:jc w:val="both"/>
        <w:textAlignment w:val="auto"/>
      </w:pPr>
      <w:r w:rsidRPr="00A07BE9">
        <w:rPr>
          <w:rStyle w:val="nfasis"/>
          <w:rFonts w:ascii="Open Sans" w:eastAsia="SimSun" w:hAnsi="Open Sans" w:cs="Lucida Sans"/>
          <w:i w:val="0"/>
          <w:color w:val="000000"/>
          <w:sz w:val="20"/>
          <w:szCs w:val="20"/>
        </w:rPr>
        <w:t xml:space="preserve">Dispone el artículo 2 de la Ley Orgánica 8/2007, de 4 de julio, sobre financiación de los partidos políticos, que entre los recursos económicos de estos de procedencia pública (subvenciones para gastos electorales, subvenciones estatales y autonómicas anuales para gastos de funcionamiento y subvenciones extraordinarias para realizar campañas de propaganda), se encuentran las aportaciones que los partidos políticos puedan recibir de los </w:t>
      </w:r>
      <w:r w:rsidRPr="00A07BE9">
        <w:rPr>
          <w:rStyle w:val="nfasis"/>
          <w:rFonts w:ascii="Open Sans" w:eastAsia="SimSun" w:hAnsi="Open Sans" w:cs="Lucida Sans"/>
          <w:i w:val="0"/>
          <w:color w:val="000000"/>
          <w:sz w:val="20"/>
          <w:szCs w:val="20"/>
        </w:rPr>
        <w:lastRenderedPageBreak/>
        <w:t>grupos parlamentarios, estatales y autonómicos, y de los grupos de representantes de los órganos de las Administraciones Locales.</w:t>
      </w:r>
    </w:p>
    <w:p w14:paraId="3EB3C8EC" w14:textId="77777777" w:rsidR="004613C8" w:rsidRPr="00A07BE9" w:rsidRDefault="004613C8" w:rsidP="009F4323">
      <w:pPr>
        <w:pStyle w:val="Standard"/>
        <w:spacing w:line="276" w:lineRule="auto"/>
        <w:jc w:val="both"/>
        <w:textAlignment w:val="auto"/>
      </w:pPr>
    </w:p>
    <w:p w14:paraId="122FDC48" w14:textId="77777777" w:rsidR="004613C8" w:rsidRPr="00A07BE9" w:rsidRDefault="004613C8" w:rsidP="009F4323">
      <w:pPr>
        <w:pStyle w:val="Standard"/>
        <w:spacing w:line="276" w:lineRule="auto"/>
        <w:jc w:val="both"/>
        <w:textAlignment w:val="auto"/>
      </w:pPr>
      <w:r w:rsidRPr="00A07BE9">
        <w:rPr>
          <w:rStyle w:val="nfasis"/>
          <w:rFonts w:ascii="Open Sans" w:eastAsia="SimSun" w:hAnsi="Open Sans" w:cs="Lucida Sans"/>
          <w:i w:val="0"/>
          <w:color w:val="000000"/>
          <w:sz w:val="20"/>
          <w:szCs w:val="20"/>
        </w:rPr>
        <w:t>Pero más allá de lo dispuesto en el artículo 14, apartados uno a tres, de dicha Ley Orgánica 8/2007, relativo a las obligaciones contables y gestión económico-financiera de los partidos políticos (llevar libros de tesorería, inventarios y balances, cuentas anuales que comprenden el balance, la cuenta de resultados y una memoria explicativa de ambas, con inclusión de las subvenciones públicas y las donaciones privadas y especificación del donante y el importe recibido), son los respectivos Reglamentos de las asambleas legislativas de las Comunidades Autónomas o su legislación específica los que deben incorporar la forma en que los grupos políticos rinden cuentas de las aportaciones efectuadas a sus respectivos partidos.</w:t>
      </w:r>
    </w:p>
    <w:p w14:paraId="2F0D6B1B" w14:textId="77777777" w:rsidR="004613C8" w:rsidRPr="00A07BE9" w:rsidRDefault="004613C8" w:rsidP="009F4323">
      <w:pPr>
        <w:pStyle w:val="Standard"/>
        <w:spacing w:line="276" w:lineRule="auto"/>
        <w:jc w:val="both"/>
        <w:textAlignment w:val="auto"/>
      </w:pPr>
    </w:p>
    <w:p w14:paraId="36ED09CC" w14:textId="77777777" w:rsidR="00291289" w:rsidRPr="00A07BE9" w:rsidRDefault="004613C8" w:rsidP="009F4323">
      <w:pPr>
        <w:pStyle w:val="Standard"/>
        <w:spacing w:line="276" w:lineRule="auto"/>
        <w:jc w:val="both"/>
        <w:textAlignment w:val="auto"/>
        <w:rPr>
          <w:rStyle w:val="nfasis"/>
          <w:rFonts w:ascii="Open Sans" w:eastAsia="SimSun" w:hAnsi="Open Sans" w:cs="Lucida Sans"/>
          <w:i w:val="0"/>
          <w:color w:val="000000"/>
          <w:sz w:val="20"/>
          <w:szCs w:val="20"/>
        </w:rPr>
      </w:pPr>
      <w:r w:rsidRPr="00A07BE9">
        <w:rPr>
          <w:rStyle w:val="nfasis"/>
          <w:rFonts w:ascii="Open Sans" w:eastAsia="SimSun" w:hAnsi="Open Sans" w:cs="Lucida Sans"/>
          <w:i w:val="0"/>
          <w:color w:val="000000"/>
          <w:sz w:val="20"/>
          <w:szCs w:val="20"/>
        </w:rPr>
        <w:t xml:space="preserve">En atención a ello, establece el artículo 28 del Reglamento de las Corts Valencianes que estas, por acuerdo de la Mesa y la Junta de Síndics, pondrán a disposición de los grupos parlamentarios los espacios físicos y medios humanos y materiales suficientes para que puedan cumplir su función parlamentaria, y se les asignará, con cargo a los presupuestos, una subvención fija, idéntica para todos, suficiente para cubrir las necesidades de funcionamiento, y otra variable en función del número de diputados de cada uno de ellos. </w:t>
      </w:r>
    </w:p>
    <w:p w14:paraId="433564F7" w14:textId="77777777" w:rsidR="00291289" w:rsidRPr="00A07BE9" w:rsidRDefault="00291289" w:rsidP="009F4323">
      <w:pPr>
        <w:pStyle w:val="Standard"/>
        <w:spacing w:line="276" w:lineRule="auto"/>
        <w:jc w:val="both"/>
        <w:textAlignment w:val="auto"/>
        <w:rPr>
          <w:rStyle w:val="nfasis"/>
          <w:rFonts w:ascii="Open Sans" w:eastAsia="SimSun" w:hAnsi="Open Sans" w:cs="Lucida Sans"/>
          <w:i w:val="0"/>
          <w:color w:val="000000"/>
          <w:sz w:val="20"/>
          <w:szCs w:val="20"/>
        </w:rPr>
      </w:pPr>
    </w:p>
    <w:p w14:paraId="30D2A88D" w14:textId="3E9DB4FF" w:rsidR="004613C8" w:rsidRPr="00A07BE9" w:rsidRDefault="004613C8" w:rsidP="009F4323">
      <w:pPr>
        <w:pStyle w:val="Standard"/>
        <w:spacing w:line="276" w:lineRule="auto"/>
        <w:jc w:val="both"/>
        <w:textAlignment w:val="auto"/>
      </w:pPr>
      <w:r w:rsidRPr="00A07BE9">
        <w:rPr>
          <w:rStyle w:val="nfasis"/>
          <w:rFonts w:ascii="Open Sans" w:eastAsia="SimSun" w:hAnsi="Open Sans" w:cs="Lucida Sans"/>
          <w:i w:val="0"/>
          <w:color w:val="000000"/>
          <w:sz w:val="20"/>
          <w:szCs w:val="20"/>
        </w:rPr>
        <w:t>Las cuantías se fijarán por la Mesa de la cámara, oída la Comisión de Gobierno Interior, dentro de los límites de la correspondiente consignación presupuestaria.</w:t>
      </w:r>
    </w:p>
    <w:p w14:paraId="1C98F67A" w14:textId="77777777" w:rsidR="004613C8" w:rsidRPr="00A07BE9" w:rsidRDefault="004613C8" w:rsidP="009F4323">
      <w:pPr>
        <w:pStyle w:val="Standard"/>
        <w:spacing w:line="276" w:lineRule="auto"/>
        <w:jc w:val="both"/>
        <w:textAlignment w:val="auto"/>
      </w:pPr>
    </w:p>
    <w:p w14:paraId="33346436" w14:textId="77777777" w:rsidR="004613C8" w:rsidRPr="00A07BE9" w:rsidRDefault="004613C8" w:rsidP="009F4323">
      <w:pPr>
        <w:pStyle w:val="Standard"/>
        <w:spacing w:line="276" w:lineRule="auto"/>
        <w:jc w:val="both"/>
        <w:textAlignment w:val="auto"/>
      </w:pPr>
      <w:r w:rsidRPr="00A07BE9">
        <w:rPr>
          <w:rStyle w:val="nfasis"/>
          <w:rFonts w:ascii="Open Sans" w:eastAsia="SimSun" w:hAnsi="Open Sans" w:cs="Lucida Sans"/>
          <w:i w:val="0"/>
          <w:color w:val="000000"/>
          <w:sz w:val="20"/>
          <w:szCs w:val="20"/>
        </w:rPr>
        <w:t>Del Portal de Transparencia de las Corts Valencianes se ocupa el artículo 113 de dicho Reglamento, y mediante Resolución de Presidencia de carácter general 3/IX se desarrolla dicho precepto y se establece el procedimiento de acceso a la información de las Corts Valencianes (BOCV núm. 81, de 27 de mayo de 2016). Dicha regulación se limita a requerir, en relación con la información presupuestaria, económica y financiera a consignar en su web, que se incluya un apartado referido a “contratación, convenios y subvenciones, presupuestos y su ejecución y asignaciones a los grupos parlamentarios”.</w:t>
      </w:r>
    </w:p>
    <w:p w14:paraId="7BF546CD" w14:textId="77777777" w:rsidR="004613C8" w:rsidRPr="00A07BE9" w:rsidRDefault="004613C8" w:rsidP="009F4323">
      <w:pPr>
        <w:pStyle w:val="Standard"/>
        <w:spacing w:line="276" w:lineRule="auto"/>
        <w:jc w:val="both"/>
        <w:textAlignment w:val="auto"/>
      </w:pPr>
    </w:p>
    <w:p w14:paraId="0BAA28DA" w14:textId="77777777" w:rsidR="004613C8" w:rsidRPr="00A07BE9" w:rsidRDefault="004613C8" w:rsidP="009F4323">
      <w:pPr>
        <w:pStyle w:val="Standard"/>
        <w:spacing w:line="276" w:lineRule="auto"/>
        <w:jc w:val="both"/>
        <w:textAlignment w:val="auto"/>
      </w:pPr>
      <w:r w:rsidRPr="00A07BE9">
        <w:rPr>
          <w:rStyle w:val="nfasis"/>
          <w:rFonts w:ascii="Open Sans" w:eastAsia="SimSun" w:hAnsi="Open Sans" w:cs="Lucida Sans"/>
          <w:i w:val="0"/>
          <w:color w:val="000000"/>
          <w:sz w:val="20"/>
          <w:szCs w:val="20"/>
        </w:rPr>
        <w:t>Y en similares términos se pronuncia el artículo 73.3 de la Ley 7/1985, de 2 de abril, Reguladora de las Bases del Régimen Local, respecto de las asignaciones a los grupos políticos de las Corporaciones Locales.</w:t>
      </w:r>
    </w:p>
    <w:p w14:paraId="19EDE8C6" w14:textId="77777777" w:rsidR="004613C8" w:rsidRPr="00A07BE9" w:rsidRDefault="004613C8" w:rsidP="009F4323">
      <w:pPr>
        <w:pStyle w:val="Standard"/>
        <w:spacing w:line="276" w:lineRule="auto"/>
        <w:jc w:val="both"/>
        <w:textAlignment w:val="auto"/>
      </w:pPr>
    </w:p>
    <w:p w14:paraId="5707A289" w14:textId="77777777" w:rsidR="004613C8" w:rsidRPr="00A07BE9" w:rsidRDefault="004613C8" w:rsidP="009F4323">
      <w:pPr>
        <w:pStyle w:val="Standard"/>
        <w:spacing w:line="276" w:lineRule="auto"/>
        <w:jc w:val="both"/>
        <w:textAlignment w:val="auto"/>
      </w:pPr>
      <w:r w:rsidRPr="00A07BE9">
        <w:rPr>
          <w:rStyle w:val="nfasis"/>
          <w:rFonts w:ascii="Open Sans" w:eastAsia="SimSun" w:hAnsi="Open Sans" w:cs="Lucida Sans"/>
          <w:i w:val="0"/>
          <w:color w:val="000000"/>
          <w:sz w:val="20"/>
          <w:szCs w:val="20"/>
        </w:rPr>
        <w:t xml:space="preserve">Así, en el ámbito autonómico, la información reflejada en el Portal de Transparencia de las Corts se ha reducido, en la mayoría de las ocasiones, a indicar el importe total de los ingresos de origen público, la cantidad percibida en concepto de subvenciones anuales para gastos de funcionamiento y los gastos totales de personal y otros derivados de la actividad ordinaria, pero sin desglosar con mayor grado de detalle tales partidas, aun cuando la citada Ley 2/2015 exige hacer figurar, por ejemplo, en el terreno contractual, todos los contratos y los encargos a medios propios, con indicación del objeto, tipo, duración, importe de licitación y de adjudicación, procedimiento utilizado para su celebración, instrumentos a través de los que, en su caso, se ha publicitado, número de licitadores participantes en el procedimiento e identidad de la persona o entidad adjudicataria, modificaciones, desistimientos, renuncias </w:t>
      </w:r>
      <w:r w:rsidRPr="00A07BE9">
        <w:rPr>
          <w:rStyle w:val="nfasis"/>
          <w:rFonts w:ascii="Open Sans" w:eastAsia="SimSun" w:hAnsi="Open Sans" w:cs="Lucida Sans"/>
          <w:i w:val="0"/>
          <w:color w:val="000000"/>
          <w:sz w:val="20"/>
          <w:szCs w:val="20"/>
        </w:rPr>
        <w:lastRenderedPageBreak/>
        <w:t>y prórrogas, procedimientos que han quedado desiertos, resoluciones de contratos o declaraciones de nulidad, así como los casos de posibles revisiones de precios, cesión de contratos y subcontratación, indicando la identidad de los subcontratistas, su importe y porcentaje respecto de la cuantía del contrato. Cuanto menos, que pudiera comprobarse que las contrataciones se han producido en condiciones normales del mercado y no se han producido tratamientos privilegiados, a cuyo efecto proporcionar además información patrimonial y profesional puede ser útil para prevenir la aparición de conflictos de intereses o incompatibilidades.</w:t>
      </w:r>
    </w:p>
    <w:p w14:paraId="2FE1734C" w14:textId="77777777" w:rsidR="00291289" w:rsidRPr="00A07BE9" w:rsidRDefault="00291289" w:rsidP="009F4323">
      <w:pPr>
        <w:pStyle w:val="Standard"/>
        <w:spacing w:line="276" w:lineRule="auto"/>
        <w:jc w:val="both"/>
        <w:textAlignment w:val="auto"/>
      </w:pPr>
    </w:p>
    <w:p w14:paraId="4025E2A3" w14:textId="77777777" w:rsidR="004613C8" w:rsidRPr="00A07BE9" w:rsidRDefault="004613C8" w:rsidP="009F4323">
      <w:pPr>
        <w:pStyle w:val="Standard"/>
        <w:spacing w:line="276" w:lineRule="auto"/>
        <w:jc w:val="both"/>
        <w:textAlignment w:val="auto"/>
      </w:pPr>
      <w:r w:rsidRPr="00A07BE9">
        <w:rPr>
          <w:rStyle w:val="nfasis"/>
          <w:rFonts w:ascii="Open Sans" w:eastAsia="SimSun" w:hAnsi="Open Sans" w:cs="Lucida Sans"/>
          <w:i w:val="0"/>
          <w:color w:val="000000"/>
          <w:sz w:val="20"/>
          <w:szCs w:val="20"/>
        </w:rPr>
        <w:t>Tampoco, en el ámbito local, se ha podido constatar que la obligación de los grupos políticos municipales de dar publicidad activa a las dotaciones económicas concedidas para su funcionamiento, haya tenido un seguimiento generalizado, siendo poco común que se ofrezca en los portales de transparencia de las entidades de la Administración Local dicha información, y todavía más ocasional el desglose o individualización de los gastos satisfechos con las mencionadas aportaciones públicas.</w:t>
      </w:r>
    </w:p>
    <w:p w14:paraId="08746375" w14:textId="77777777" w:rsidR="004613C8" w:rsidRPr="00A07BE9" w:rsidRDefault="004613C8" w:rsidP="009F4323">
      <w:pPr>
        <w:pStyle w:val="Standard"/>
        <w:spacing w:line="276" w:lineRule="auto"/>
        <w:jc w:val="both"/>
        <w:textAlignment w:val="auto"/>
      </w:pPr>
    </w:p>
    <w:p w14:paraId="7418239E" w14:textId="77777777" w:rsidR="004613C8" w:rsidRPr="00A07BE9" w:rsidRDefault="004613C8" w:rsidP="009F4323">
      <w:pPr>
        <w:pStyle w:val="Standard"/>
        <w:spacing w:line="276" w:lineRule="auto"/>
        <w:jc w:val="both"/>
        <w:textAlignment w:val="auto"/>
      </w:pPr>
      <w:r w:rsidRPr="00A07BE9">
        <w:rPr>
          <w:rStyle w:val="nfasis"/>
          <w:rFonts w:ascii="Open Sans" w:eastAsia="SimSun" w:hAnsi="Open Sans" w:cs="Lucida Sans"/>
          <w:i w:val="0"/>
          <w:color w:val="000000"/>
          <w:sz w:val="20"/>
          <w:szCs w:val="20"/>
        </w:rPr>
        <w:t>Sin embargo, pronunciamientos recientes, como el realizado por el Consejo de Transparencia, Acceso a la Información Pública y Buen Gobierno de la Comunitat Valenciana, mediante Resolución núm. 21/2018, de 1 de marzo de 2018, concluyen que los grupos políticos en los que se hallan encuadrados los integrantes de la Diputación Provincial de Valencia están sujetos a las obligaciones de transparencia previstas en la Ley 2/2015 en la medida en que lo está la propia corporación provincial; se hallan obligados a llevar una contabilidad de los fondos recibidos de esta para su sostenimiento; y el Pleno es competente para solicitar que la misma le sea puesta a su disposición, encontrándonos ante un supuesto de información pública perfectamente accesible por parte de los ciudadanos.</w:t>
      </w:r>
    </w:p>
    <w:p w14:paraId="5D1B535E" w14:textId="77777777" w:rsidR="004613C8" w:rsidRPr="00A07BE9" w:rsidRDefault="004613C8" w:rsidP="009F4323">
      <w:pPr>
        <w:pStyle w:val="Standard"/>
        <w:spacing w:line="276" w:lineRule="auto"/>
        <w:jc w:val="both"/>
        <w:textAlignment w:val="auto"/>
      </w:pPr>
    </w:p>
    <w:p w14:paraId="7C5A176F" w14:textId="77777777" w:rsidR="004613C8" w:rsidRPr="00A07BE9" w:rsidRDefault="004613C8" w:rsidP="009F4323">
      <w:pPr>
        <w:pStyle w:val="Standard"/>
        <w:spacing w:line="276" w:lineRule="auto"/>
        <w:jc w:val="both"/>
        <w:textAlignment w:val="auto"/>
      </w:pPr>
      <w:r w:rsidRPr="00A07BE9">
        <w:rPr>
          <w:rStyle w:val="nfasis"/>
          <w:rFonts w:ascii="Open Sans" w:eastAsia="SimSun" w:hAnsi="Open Sans" w:cs="Lucida Sans"/>
          <w:i w:val="0"/>
          <w:color w:val="000000"/>
          <w:sz w:val="20"/>
          <w:szCs w:val="20"/>
        </w:rPr>
        <w:t>Desde esta óptica, la información relacionada con estas asignaciones a favor de los grupos políticos perceptores pondría al alcance de la ciudadanía los datos necesarios para efectuar los pertinentes controles de legalidad y oportunidad del destino dado a estos recursos finalistas y de los gastos realizados con cargo a estos recursos públicos, permitiendo formar una opinión crítica y constructiva de la actuación de sus representantes políticos que podría influir incluso en la determinación de su voto.</w:t>
      </w:r>
    </w:p>
    <w:p w14:paraId="2741F8CF" w14:textId="77777777" w:rsidR="004613C8" w:rsidRPr="00A07BE9" w:rsidRDefault="004613C8" w:rsidP="009F4323">
      <w:pPr>
        <w:pStyle w:val="Standard"/>
        <w:spacing w:line="276" w:lineRule="auto"/>
        <w:jc w:val="both"/>
        <w:textAlignment w:val="auto"/>
      </w:pPr>
    </w:p>
    <w:p w14:paraId="28F2DDDD" w14:textId="77777777" w:rsidR="004613C8" w:rsidRPr="00A07BE9" w:rsidRDefault="004613C8" w:rsidP="009F4323">
      <w:pPr>
        <w:pStyle w:val="Standard"/>
        <w:spacing w:line="276" w:lineRule="auto"/>
        <w:jc w:val="both"/>
        <w:textAlignment w:val="auto"/>
      </w:pPr>
      <w:r w:rsidRPr="00A07BE9">
        <w:rPr>
          <w:rStyle w:val="nfasis"/>
          <w:rFonts w:ascii="Open Sans" w:eastAsia="SimSun" w:hAnsi="Open Sans" w:cs="Lucida Sans"/>
          <w:i w:val="0"/>
          <w:color w:val="000000"/>
          <w:sz w:val="20"/>
          <w:szCs w:val="20"/>
        </w:rPr>
        <w:t>Sin duda, el principio de publicidad activa constituye un elemento esencial en la generación de confianza entre los ciudadanos, aunque no es el único, pues más allá de la presentación de cuentas o la conservación de facturas, que no suponen la existencia de una auditoría, dichos gastos y subvenciones deberían ser objeto de una fiscalización independiente.</w:t>
      </w:r>
    </w:p>
    <w:p w14:paraId="083637C3" w14:textId="77777777" w:rsidR="004613C8" w:rsidRPr="00A07BE9" w:rsidRDefault="004613C8" w:rsidP="009F4323">
      <w:pPr>
        <w:pStyle w:val="Standard"/>
        <w:spacing w:line="276" w:lineRule="auto"/>
        <w:jc w:val="both"/>
        <w:textAlignment w:val="auto"/>
      </w:pPr>
    </w:p>
    <w:p w14:paraId="2305EA77" w14:textId="77777777" w:rsidR="004613C8" w:rsidRPr="00A07BE9" w:rsidRDefault="004613C8" w:rsidP="009F4323">
      <w:pPr>
        <w:pStyle w:val="Standard"/>
        <w:spacing w:line="276" w:lineRule="auto"/>
        <w:jc w:val="both"/>
        <w:textAlignment w:val="auto"/>
      </w:pPr>
      <w:r w:rsidRPr="00A07BE9">
        <w:rPr>
          <w:rStyle w:val="nfasis"/>
          <w:rFonts w:ascii="Open Sans" w:eastAsia="SimSun" w:hAnsi="Open Sans" w:cs="Lucida Sans"/>
          <w:i w:val="0"/>
          <w:color w:val="000000"/>
          <w:sz w:val="20"/>
          <w:szCs w:val="20"/>
        </w:rPr>
        <w:t>En concreto, en relación con las subvenciones a partidos políticos, aunque estas sean de hecho su fuente pública de ingresos más importante, siguen las mismas siendo excluidas del ámbito de aplicación de la Ley 38/2003, de 17 de noviembre, General de Subvenciones, y por tanto, sin regulación sobre en qué se pueden gastar o cómo justificar, ni sujetas a fiscalización.</w:t>
      </w:r>
    </w:p>
    <w:p w14:paraId="35009AAB" w14:textId="77777777" w:rsidR="004613C8" w:rsidRPr="00A07BE9" w:rsidRDefault="004613C8" w:rsidP="009F4323">
      <w:pPr>
        <w:pStyle w:val="Standard"/>
        <w:spacing w:line="276" w:lineRule="auto"/>
        <w:jc w:val="both"/>
        <w:textAlignment w:val="auto"/>
      </w:pPr>
    </w:p>
    <w:p w14:paraId="733A57E0" w14:textId="77777777" w:rsidR="004613C8" w:rsidRPr="00A07BE9" w:rsidRDefault="004613C8" w:rsidP="009F4323">
      <w:pPr>
        <w:pStyle w:val="Standard"/>
        <w:spacing w:line="276" w:lineRule="auto"/>
        <w:jc w:val="both"/>
        <w:textAlignment w:val="auto"/>
      </w:pPr>
      <w:r w:rsidRPr="00A07BE9">
        <w:rPr>
          <w:rStyle w:val="nfasis"/>
          <w:rFonts w:ascii="Open Sans" w:eastAsia="SimSun" w:hAnsi="Open Sans" w:cs="Lucida Sans"/>
          <w:i w:val="0"/>
          <w:color w:val="000000"/>
          <w:sz w:val="20"/>
          <w:szCs w:val="20"/>
        </w:rPr>
        <w:lastRenderedPageBreak/>
        <w:t>Según diversos estudios, este vacío ha permitido a los partidos recurrir a una práctica común: una parte importante de las subvenciones que reciben sus grupos en parlamentos, diputaciones o ayuntamientos son trasladadas a las cuentas de la organización central, derivando fondos que deberían emplearse en apoyar la actividad legislativa o reglamentaria del propio territorio y ámbito de actuación.</w:t>
      </w:r>
    </w:p>
    <w:p w14:paraId="610D16A8" w14:textId="77777777" w:rsidR="00291289" w:rsidRPr="00A07BE9" w:rsidRDefault="00291289" w:rsidP="009F4323">
      <w:pPr>
        <w:pStyle w:val="Standard"/>
        <w:spacing w:line="276" w:lineRule="auto"/>
        <w:jc w:val="both"/>
        <w:textAlignment w:val="auto"/>
      </w:pPr>
    </w:p>
    <w:p w14:paraId="4A8D50CE" w14:textId="749A64FD" w:rsidR="004613C8" w:rsidRDefault="004613C8" w:rsidP="009F4323">
      <w:pPr>
        <w:pStyle w:val="Standard"/>
        <w:spacing w:line="276" w:lineRule="auto"/>
        <w:jc w:val="both"/>
        <w:textAlignment w:val="auto"/>
        <w:rPr>
          <w:rStyle w:val="nfasis"/>
          <w:rFonts w:ascii="Open Sans" w:eastAsia="SimSun" w:hAnsi="Open Sans" w:cs="Lucida Sans"/>
          <w:i w:val="0"/>
          <w:color w:val="000000"/>
          <w:sz w:val="20"/>
          <w:szCs w:val="20"/>
        </w:rPr>
      </w:pPr>
      <w:r w:rsidRPr="00A07BE9">
        <w:rPr>
          <w:rStyle w:val="nfasis"/>
          <w:rFonts w:ascii="Open Sans" w:eastAsia="SimSun" w:hAnsi="Open Sans" w:cs="Lucida Sans"/>
          <w:i w:val="0"/>
          <w:color w:val="000000"/>
          <w:sz w:val="20"/>
          <w:szCs w:val="20"/>
        </w:rPr>
        <w:t>Si bien en los últimos años se aprecia una mayor conciencia en la lucha contra la opacidad, desde la Agencia se insta de nuevo a la posibilidad de que cada partido político o grupo se autorregule dentro de este ámbito, al tiempo que pueden impulsarse nuevas iniciativas normativas mediante alianzas, pues a todos interesa suprimir posibles dinámicas clientelares y fomentar la profesionalización en la gestión. Dentro de este contexto, la transparencia es el mejor instrumento para garantizar conductas éticas y prevenir episodios de corrupción, pero la transparencia implica disponer de una información completa, de fácil acceso, comprensible y en tiempo útil.</w:t>
      </w:r>
    </w:p>
    <w:p w14:paraId="62212A2E" w14:textId="77777777" w:rsidR="00C12B0A" w:rsidRPr="00A07BE9" w:rsidRDefault="00C12B0A" w:rsidP="009F4323">
      <w:pPr>
        <w:pStyle w:val="Standard"/>
        <w:spacing w:line="276" w:lineRule="auto"/>
        <w:jc w:val="both"/>
        <w:textAlignment w:val="auto"/>
      </w:pPr>
    </w:p>
    <w:p w14:paraId="2A61C96D" w14:textId="77777777" w:rsidR="004613C8" w:rsidRPr="00A07BE9" w:rsidRDefault="004613C8" w:rsidP="009F4323">
      <w:pPr>
        <w:pStyle w:val="Standard"/>
        <w:spacing w:line="276" w:lineRule="auto"/>
        <w:jc w:val="both"/>
        <w:textAlignment w:val="auto"/>
      </w:pPr>
      <w:r w:rsidRPr="00A07BE9">
        <w:rPr>
          <w:rStyle w:val="nfasis"/>
          <w:rFonts w:ascii="Open Sans" w:eastAsia="SimSun" w:hAnsi="Open Sans" w:cs="Lucida Sans"/>
          <w:i w:val="0"/>
          <w:color w:val="000000"/>
          <w:sz w:val="20"/>
          <w:szCs w:val="20"/>
        </w:rPr>
        <w:t xml:space="preserve">Siguiendo a Victoria Camps, filósofa y Consejera Permanente del Consejo de Estado, los protagonistas visibles de la vida pública tienen un deber de ejemplaridad, coherente con los valores que dan sentido a las sociedades democráticas. A través del ejemplo, se enseña cómo vivir bien desde un punto de vista ético: </w:t>
      </w:r>
      <w:r w:rsidRPr="00A07BE9">
        <w:rPr>
          <w:rFonts w:ascii="Open Sans" w:hAnsi="Open Sans"/>
          <w:color w:val="000000"/>
          <w:sz w:val="20"/>
          <w:szCs w:val="20"/>
        </w:rPr>
        <w:t>no se trata solo de los contenidos de las propuestas políticas, sino que también cuenta la forma de hacerlo, y ahí es donde se da la ejemplaridad.</w:t>
      </w:r>
    </w:p>
    <w:p w14:paraId="317C9053" w14:textId="77777777" w:rsidR="004613C8" w:rsidRPr="00A07BE9" w:rsidRDefault="004613C8" w:rsidP="002D0FF9">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p>
    <w:p w14:paraId="325093FD" w14:textId="77777777" w:rsidR="002D0FF9" w:rsidRPr="00A07BE9" w:rsidRDefault="002D0FF9" w:rsidP="002D0FF9">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p>
    <w:p w14:paraId="584A1877" w14:textId="61CFBA6A" w:rsidR="002D0FF9" w:rsidRPr="00A07BE9" w:rsidRDefault="002D0FF9" w:rsidP="002D0FF9">
      <w:pPr>
        <w:pStyle w:val="Standard"/>
        <w:shd w:val="clear" w:color="auto" w:fill="FFFFFF"/>
        <w:jc w:val="both"/>
        <w:textAlignment w:val="auto"/>
        <w:rPr>
          <w:rFonts w:ascii="Open Sans" w:eastAsia="Times New Roman" w:hAnsi="Open Sans" w:cs="Open Sans"/>
          <w:b/>
          <w:bCs/>
          <w:smallCaps/>
          <w:color w:val="993333"/>
          <w:w w:val="105"/>
          <w:sz w:val="32"/>
          <w:szCs w:val="32"/>
          <w:shd w:val="clear" w:color="auto" w:fill="FFFFFF"/>
          <w:lang w:eastAsia="es-ES"/>
        </w:rPr>
      </w:pPr>
      <w:r w:rsidRPr="00A07BE9">
        <w:rPr>
          <w:rFonts w:ascii="Open Sans" w:eastAsia="Times New Roman" w:hAnsi="Open Sans" w:cs="Open Sans"/>
          <w:b/>
          <w:bCs/>
          <w:smallCaps/>
          <w:color w:val="993333"/>
          <w:w w:val="105"/>
          <w:sz w:val="32"/>
          <w:szCs w:val="32"/>
          <w:shd w:val="clear" w:color="auto" w:fill="FFFFFF"/>
          <w:lang w:eastAsia="es-ES"/>
        </w:rPr>
        <w:t>7.</w:t>
      </w:r>
      <w:r w:rsidR="00610826" w:rsidRPr="00A07BE9">
        <w:rPr>
          <w:rFonts w:ascii="Open Sans" w:eastAsia="Times New Roman" w:hAnsi="Open Sans" w:cs="Open Sans"/>
          <w:b/>
          <w:bCs/>
          <w:smallCaps/>
          <w:color w:val="993333"/>
          <w:w w:val="105"/>
          <w:sz w:val="32"/>
          <w:szCs w:val="32"/>
          <w:shd w:val="clear" w:color="auto" w:fill="FFFFFF"/>
          <w:lang w:eastAsia="es-ES"/>
        </w:rPr>
        <w:t>8</w:t>
      </w:r>
      <w:r w:rsidRPr="00A07BE9">
        <w:rPr>
          <w:rFonts w:ascii="Open Sans" w:eastAsia="Times New Roman" w:hAnsi="Open Sans" w:cs="Open Sans"/>
          <w:b/>
          <w:bCs/>
          <w:smallCaps/>
          <w:color w:val="993333"/>
          <w:w w:val="105"/>
          <w:sz w:val="32"/>
          <w:szCs w:val="32"/>
          <w:shd w:val="clear" w:color="auto" w:fill="FFFFFF"/>
          <w:lang w:eastAsia="es-ES"/>
        </w:rPr>
        <w:t>. SOBRE LA NECESIDAD DE TRANSPONER LA DIRECTIVA (UE) 2019/1937 DEL PARLAMENTO EUROPEO Y DEL CONSEJO, DE 23 DE OCTUBRE DE 2019</w:t>
      </w:r>
    </w:p>
    <w:p w14:paraId="2D9978FB" w14:textId="77777777" w:rsidR="002D0FF9" w:rsidRPr="00A07BE9" w:rsidRDefault="002D0FF9" w:rsidP="002D0FF9">
      <w:pPr>
        <w:pStyle w:val="Standard"/>
        <w:shd w:val="clear" w:color="auto" w:fill="FFFFFF"/>
        <w:tabs>
          <w:tab w:val="left" w:pos="738"/>
        </w:tabs>
        <w:spacing w:line="276" w:lineRule="auto"/>
        <w:jc w:val="both"/>
        <w:textAlignment w:val="auto"/>
        <w:rPr>
          <w:rFonts w:ascii="Open Sans" w:eastAsia="SimSun" w:hAnsi="Open Sans" w:cs="Open Sans"/>
          <w:b/>
          <w:bCs/>
          <w:color w:val="C9211E"/>
          <w:w w:val="105"/>
          <w:sz w:val="20"/>
          <w:szCs w:val="20"/>
          <w:shd w:val="clear" w:color="auto" w:fill="FFFFFF"/>
        </w:rPr>
      </w:pPr>
    </w:p>
    <w:p w14:paraId="73C2F04D" w14:textId="77777777" w:rsidR="002D0FF9" w:rsidRPr="00A07BE9" w:rsidRDefault="002D0FF9" w:rsidP="009F4323">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r w:rsidRPr="00A07BE9">
        <w:rPr>
          <w:rFonts w:ascii="Open Sans" w:eastAsia="SimSun" w:hAnsi="Open Sans" w:cs="Open Sans"/>
          <w:bCs/>
          <w:color w:val="000000"/>
          <w:w w:val="105"/>
          <w:sz w:val="20"/>
          <w:szCs w:val="20"/>
          <w:shd w:val="clear" w:color="auto" w:fill="FFFFFF"/>
        </w:rPr>
        <w:t xml:space="preserve">En la Memoria de la Agencia de 2018, en su último epígrafe, el 7.10, dentro de las </w:t>
      </w:r>
      <w:r w:rsidRPr="00A07BE9">
        <w:rPr>
          <w:rFonts w:ascii="Open Sans" w:eastAsia="SimSun" w:hAnsi="Open Sans" w:cs="Open Sans"/>
          <w:bCs/>
          <w:i/>
          <w:iCs/>
          <w:color w:val="000000"/>
          <w:w w:val="105"/>
          <w:sz w:val="20"/>
          <w:szCs w:val="20"/>
          <w:shd w:val="clear" w:color="auto" w:fill="FFFFFF"/>
        </w:rPr>
        <w:t xml:space="preserve">Conclusiones y reflexiones, </w:t>
      </w:r>
      <w:r w:rsidRPr="00A07BE9">
        <w:rPr>
          <w:rFonts w:ascii="Open Sans" w:eastAsia="SimSun" w:hAnsi="Open Sans" w:cs="Open Sans"/>
          <w:bCs/>
          <w:color w:val="000000"/>
          <w:w w:val="105"/>
          <w:sz w:val="20"/>
          <w:szCs w:val="20"/>
          <w:shd w:val="clear" w:color="auto" w:fill="FFFFFF"/>
        </w:rPr>
        <w:t>se exponía que España carece de una estrategia nacional de prevención y lucha contra la corrupción acorde con lo dispuesto en la Convención de Naciones Unidas contra la Corrupción, aprobada por su Asamblea General en 2003 y ratificada por las Cortes Generales en 2006, y se relacionaban una serie de medidas concretas a abordar que todavía se encuentran pendientes de desarrollo. Dichas demandas se reiteran en la presente Memoria, correspondiente al ejercicio 2019.</w:t>
      </w:r>
    </w:p>
    <w:p w14:paraId="18899FE1" w14:textId="77777777" w:rsidR="002D0FF9" w:rsidRPr="00A07BE9" w:rsidRDefault="002D0FF9" w:rsidP="009F4323">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p>
    <w:p w14:paraId="72C72F69" w14:textId="6EFF3F78" w:rsidR="002D0FF9" w:rsidRDefault="002D0FF9" w:rsidP="009F4323">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r w:rsidRPr="00A07BE9">
        <w:rPr>
          <w:rFonts w:ascii="Open Sans" w:eastAsia="SimSun" w:hAnsi="Open Sans" w:cs="Open Sans"/>
          <w:bCs/>
          <w:color w:val="000000"/>
          <w:w w:val="105"/>
          <w:sz w:val="20"/>
          <w:szCs w:val="20"/>
          <w:shd w:val="clear" w:color="auto" w:fill="FFFFFF"/>
        </w:rPr>
        <w:t>La Directiva (UE) 2019/1937 del Parlamento Europeo y del Consejo, conocida comúnmente como</w:t>
      </w:r>
      <w:r w:rsidRPr="00A07BE9">
        <w:rPr>
          <w:rFonts w:ascii="Open Sans" w:eastAsia="SimSun" w:hAnsi="Open Sans" w:cs="Open Sans"/>
          <w:bCs/>
          <w:i/>
          <w:iCs/>
          <w:color w:val="000000"/>
          <w:w w:val="105"/>
          <w:sz w:val="20"/>
          <w:szCs w:val="20"/>
          <w:shd w:val="clear" w:color="auto" w:fill="FFFFFF"/>
        </w:rPr>
        <w:t xml:space="preserve"> Directiva sobre protección de alertadores o denunciantes (whistleblowers), </w:t>
      </w:r>
      <w:r w:rsidRPr="00A07BE9">
        <w:rPr>
          <w:rFonts w:ascii="Open Sans" w:eastAsia="SimSun" w:hAnsi="Open Sans" w:cs="Open Sans"/>
          <w:bCs/>
          <w:color w:val="000000"/>
          <w:w w:val="105"/>
          <w:sz w:val="20"/>
          <w:szCs w:val="20"/>
          <w:shd w:val="clear" w:color="auto" w:fill="FFFFFF"/>
        </w:rPr>
        <w:t xml:space="preserve">a la que se refiere en numerosas ocasiones el apartado 4 de esta Memoria, debe ser transpuesta al ordenamiento jurídico español antes de 17 de diciembre de 2021. Como se menciona en dicho apartado, incluso existen ya algunos pronunciamientos judiciales que invocan esta Directiva entre sus fundamentos de </w:t>
      </w:r>
      <w:r w:rsidRPr="00A07BE9">
        <w:rPr>
          <w:rFonts w:ascii="Open Sans" w:eastAsia="SimSun" w:hAnsi="Open Sans" w:cs="Open Sans"/>
          <w:bCs/>
          <w:color w:val="000000"/>
          <w:w w:val="105"/>
          <w:sz w:val="20"/>
          <w:szCs w:val="20"/>
          <w:shd w:val="clear" w:color="auto" w:fill="FFFFFF"/>
        </w:rPr>
        <w:lastRenderedPageBreak/>
        <w:t>derecho previos a la adopción de los correspondientes fallos.</w:t>
      </w:r>
    </w:p>
    <w:p w14:paraId="5132D1D5" w14:textId="77777777" w:rsidR="0032279D" w:rsidRPr="00A07BE9" w:rsidRDefault="0032279D" w:rsidP="009F4323">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p>
    <w:p w14:paraId="73C60F74" w14:textId="14CBFB59" w:rsidR="002D0FF9" w:rsidRPr="00A07BE9" w:rsidRDefault="002D0FF9" w:rsidP="009F4323">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r w:rsidRPr="00A07BE9">
        <w:rPr>
          <w:rFonts w:ascii="Open Sans" w:eastAsia="SimSun" w:hAnsi="Open Sans" w:cs="Open Sans"/>
          <w:bCs/>
          <w:color w:val="000000"/>
          <w:w w:val="105"/>
          <w:sz w:val="20"/>
          <w:szCs w:val="20"/>
          <w:shd w:val="clear" w:color="auto" w:fill="FFFFFF"/>
        </w:rPr>
        <w:t>Además de las leyes ya vigentes en algunas Comunidades Autónomas, entre las que destaca dentro de este ámbito la Ley 11/2016, de 28 de noviembre,</w:t>
      </w:r>
      <w:r w:rsidR="00BE3839" w:rsidRPr="00A07BE9">
        <w:rPr>
          <w:rFonts w:ascii="Open Sans" w:eastAsia="SimSun" w:hAnsi="Open Sans" w:cs="Open Sans"/>
          <w:bCs/>
          <w:color w:val="000000"/>
          <w:w w:val="105"/>
          <w:sz w:val="20"/>
          <w:szCs w:val="20"/>
          <w:shd w:val="clear" w:color="auto" w:fill="FFFFFF"/>
        </w:rPr>
        <w:t xml:space="preserve"> de la Generalitat,</w:t>
      </w:r>
      <w:r w:rsidRPr="00A07BE9">
        <w:rPr>
          <w:rFonts w:ascii="Open Sans" w:eastAsia="SimSun" w:hAnsi="Open Sans" w:cs="Open Sans"/>
          <w:bCs/>
          <w:color w:val="000000"/>
          <w:w w:val="105"/>
          <w:sz w:val="20"/>
          <w:szCs w:val="20"/>
          <w:shd w:val="clear" w:color="auto" w:fill="FFFFFF"/>
        </w:rPr>
        <w:t xml:space="preserve"> de la Agencia de Prevención y Lucha contra el Fraude y la Corrupción de la Comunitat Valenciana, han sido muchas las iniciativas legislativas en el contexto nacional propuestas desde diferentes partidos políticos y grupos de acción ciudadana durante 2019, y también en 2020 a fecha de redacción de esta Memoria.</w:t>
      </w:r>
    </w:p>
    <w:p w14:paraId="104BDDAA" w14:textId="77777777" w:rsidR="002D0FF9" w:rsidRPr="00A07BE9" w:rsidRDefault="002D0FF9" w:rsidP="009F4323">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p>
    <w:p w14:paraId="4983746F" w14:textId="77777777" w:rsidR="002D0FF9" w:rsidRPr="00A07BE9" w:rsidRDefault="002D0FF9" w:rsidP="009F4323">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r w:rsidRPr="00A07BE9">
        <w:rPr>
          <w:rFonts w:ascii="Open Sans" w:eastAsia="SimSun" w:hAnsi="Open Sans" w:cs="Open Sans"/>
          <w:bCs/>
          <w:color w:val="000000"/>
          <w:w w:val="105"/>
          <w:sz w:val="20"/>
          <w:szCs w:val="20"/>
          <w:shd w:val="clear" w:color="auto" w:fill="FFFFFF"/>
        </w:rPr>
        <w:t>No cabe duda que la necesidad de transponer esta Directiva debe aprovecharse como una oportunidad única de introducir en nuestro Derecho positivo medidas de lucha contra la corrupción y de protección de las personas que la denuncian, así como de delimitar nuevos marcos de integridad y ética pública.</w:t>
      </w:r>
    </w:p>
    <w:p w14:paraId="5316B092" w14:textId="77777777" w:rsidR="002D0FF9" w:rsidRPr="00A07BE9" w:rsidRDefault="002D0FF9" w:rsidP="009F4323">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p>
    <w:p w14:paraId="2880C09C" w14:textId="77777777" w:rsidR="002D0FF9" w:rsidRPr="00A07BE9" w:rsidRDefault="002D0FF9" w:rsidP="009F4323">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r w:rsidRPr="00A07BE9">
        <w:rPr>
          <w:rFonts w:ascii="Open Sans" w:eastAsia="SimSun" w:hAnsi="Open Sans" w:cs="Open Sans"/>
          <w:bCs/>
          <w:color w:val="000000"/>
          <w:w w:val="105"/>
          <w:sz w:val="20"/>
          <w:szCs w:val="20"/>
          <w:shd w:val="clear" w:color="auto" w:fill="FFFFFF"/>
        </w:rPr>
        <w:t>Como consecuencia de ello, serán precisas importantes reformas en nuestro ordenamiento jurídico estatal, que en opinión de esta Agencia, deben pasar por la aprobación de una Ley específica e integral de lucha contra la corrupción, así como por la revisión de otras muchas leyes reguladoras del sector privado y otras del sector público, entre las que debe tener cabida también la modificación de algunas procesales o del propio Código Penal.</w:t>
      </w:r>
    </w:p>
    <w:p w14:paraId="6E69E5E7" w14:textId="77777777" w:rsidR="002D0FF9" w:rsidRPr="00A07BE9" w:rsidRDefault="002D0FF9" w:rsidP="009F4323">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p>
    <w:p w14:paraId="6FA5C8D3" w14:textId="77777777" w:rsidR="002D0FF9" w:rsidRPr="00A07BE9" w:rsidRDefault="002D0FF9" w:rsidP="009F4323">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r w:rsidRPr="00A07BE9">
        <w:rPr>
          <w:rFonts w:ascii="Open Sans" w:eastAsia="SimSun" w:hAnsi="Open Sans" w:cs="Open Sans"/>
          <w:bCs/>
          <w:color w:val="000000"/>
          <w:w w:val="105"/>
          <w:sz w:val="20"/>
          <w:szCs w:val="20"/>
          <w:shd w:val="clear" w:color="auto" w:fill="FFFFFF"/>
        </w:rPr>
        <w:t>Entre las líneas básicas para efectuar una adecuada transposición de la citada Directiva en España, consideramos oportuno citar las siguientes:</w:t>
      </w:r>
    </w:p>
    <w:p w14:paraId="461634DF" w14:textId="5C977DB0" w:rsidR="002D0FF9" w:rsidRPr="00A07BE9" w:rsidRDefault="002D0FF9" w:rsidP="002D0FF9">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p>
    <w:p w14:paraId="5CF73058" w14:textId="56FC2673" w:rsidR="002D0FF9" w:rsidRPr="00A07BE9" w:rsidRDefault="002D0FF9" w:rsidP="002B6FB5">
      <w:pPr>
        <w:numPr>
          <w:ilvl w:val="0"/>
          <w:numId w:val="9"/>
        </w:numPr>
        <w:spacing w:after="0" w:line="276" w:lineRule="auto"/>
        <w:contextualSpacing/>
        <w:jc w:val="both"/>
        <w:rPr>
          <w:rFonts w:ascii="Open Sans" w:eastAsia="SimSun" w:hAnsi="Open Sans" w:cs="Open Sans"/>
          <w:bCs/>
          <w:color w:val="000000"/>
          <w:w w:val="105"/>
          <w:sz w:val="20"/>
          <w:szCs w:val="20"/>
          <w:shd w:val="clear" w:color="auto" w:fill="FFFFFF"/>
        </w:rPr>
      </w:pPr>
      <w:r w:rsidRPr="00A07BE9">
        <w:rPr>
          <w:rFonts w:ascii="Open Sans" w:eastAsia="SimSun" w:hAnsi="Open Sans" w:cs="Open Sans"/>
          <w:bCs/>
          <w:color w:val="000000"/>
          <w:w w:val="105"/>
          <w:sz w:val="20"/>
          <w:szCs w:val="20"/>
          <w:shd w:val="clear" w:color="auto" w:fill="FFFFFF"/>
        </w:rPr>
        <w:t>La nueva regulación ha de ser integral, pues la Directiva presenta como objetivo combatir las actividades ilegales y los abusos que se producen tanto en el sector público como en el sector privado, y luchar contra el fraude y la corrupción en todas las materias a que se refiere el artículo 2 de aquélla.</w:t>
      </w:r>
    </w:p>
    <w:p w14:paraId="225BFB39" w14:textId="77777777" w:rsidR="002B6FB5" w:rsidRPr="00A07BE9" w:rsidRDefault="002B6FB5" w:rsidP="002B6FB5">
      <w:pPr>
        <w:spacing w:after="0" w:line="276" w:lineRule="auto"/>
        <w:ind w:left="720"/>
        <w:contextualSpacing/>
        <w:jc w:val="both"/>
        <w:rPr>
          <w:rFonts w:ascii="Open Sans" w:eastAsia="SimSun" w:hAnsi="Open Sans" w:cs="Open Sans"/>
          <w:bCs/>
          <w:color w:val="000000"/>
          <w:w w:val="105"/>
          <w:sz w:val="20"/>
          <w:szCs w:val="20"/>
          <w:shd w:val="clear" w:color="auto" w:fill="FFFFFF"/>
        </w:rPr>
      </w:pPr>
    </w:p>
    <w:p w14:paraId="501EFD1B" w14:textId="77777777" w:rsidR="002B6FB5" w:rsidRPr="00A07BE9" w:rsidRDefault="002D0FF9" w:rsidP="002B6FB5">
      <w:pPr>
        <w:numPr>
          <w:ilvl w:val="0"/>
          <w:numId w:val="9"/>
        </w:numPr>
        <w:spacing w:after="0" w:line="276" w:lineRule="auto"/>
        <w:contextualSpacing/>
        <w:jc w:val="both"/>
        <w:rPr>
          <w:rFonts w:ascii="Open Sans" w:eastAsia="SimSun" w:hAnsi="Open Sans" w:cs="Open Sans"/>
          <w:bCs/>
          <w:color w:val="000000"/>
          <w:w w:val="105"/>
          <w:sz w:val="20"/>
          <w:szCs w:val="20"/>
          <w:shd w:val="clear" w:color="auto" w:fill="FFFFFF"/>
        </w:rPr>
      </w:pPr>
      <w:r w:rsidRPr="00A07BE9">
        <w:rPr>
          <w:rFonts w:ascii="Open Sans" w:eastAsia="SimSun" w:hAnsi="Open Sans" w:cs="Open Sans"/>
          <w:bCs/>
          <w:color w:val="000000"/>
          <w:w w:val="105"/>
          <w:sz w:val="20"/>
          <w:szCs w:val="20"/>
          <w:shd w:val="clear" w:color="auto" w:fill="FFFFFF"/>
        </w:rPr>
        <w:t>Al igual que ya ha hecho Italia o Francia, debe crearse una Autoridad Nacional de Lucha contra la Corrupción, con personalidad jurídica propia y plena capacidad de obrar para el cumplimiento de sus fines, independiente de las administraciones públicas y de su sector público, y adscrita al Congreso de los Diputados, debiendo rendir cuentas tanto al órgano de poder legislativo como a la ciudadanía.</w:t>
      </w:r>
    </w:p>
    <w:p w14:paraId="4FE0E294" w14:textId="77777777" w:rsidR="002B6FB5" w:rsidRPr="00A07BE9" w:rsidRDefault="002B6FB5" w:rsidP="002B6FB5">
      <w:pPr>
        <w:pStyle w:val="Prrafodelista"/>
        <w:rPr>
          <w:rFonts w:ascii="Open Sans" w:eastAsia="SimSun" w:hAnsi="Open Sans" w:cs="Open Sans"/>
          <w:bCs/>
          <w:color w:val="000000"/>
          <w:w w:val="105"/>
          <w:sz w:val="20"/>
          <w:szCs w:val="20"/>
          <w:shd w:val="clear" w:color="auto" w:fill="FFFFFF"/>
        </w:rPr>
      </w:pPr>
    </w:p>
    <w:p w14:paraId="112482DD" w14:textId="77777777" w:rsidR="002B6FB5" w:rsidRPr="00A07BE9" w:rsidRDefault="002D0FF9" w:rsidP="009F4323">
      <w:pPr>
        <w:numPr>
          <w:ilvl w:val="0"/>
          <w:numId w:val="9"/>
        </w:numPr>
        <w:spacing w:after="0" w:line="276" w:lineRule="auto"/>
        <w:ind w:left="714" w:hanging="357"/>
        <w:contextualSpacing/>
        <w:jc w:val="both"/>
        <w:rPr>
          <w:rFonts w:ascii="Open Sans" w:eastAsia="SimSun" w:hAnsi="Open Sans" w:cs="Open Sans"/>
          <w:bCs/>
          <w:color w:val="000000"/>
          <w:w w:val="105"/>
          <w:sz w:val="20"/>
          <w:szCs w:val="20"/>
          <w:shd w:val="clear" w:color="auto" w:fill="FFFFFF"/>
        </w:rPr>
      </w:pPr>
      <w:r w:rsidRPr="00A07BE9">
        <w:rPr>
          <w:rFonts w:ascii="Open Sans" w:eastAsia="SimSun" w:hAnsi="Open Sans" w:cs="Open Sans"/>
          <w:bCs/>
          <w:color w:val="000000"/>
          <w:w w:val="105"/>
          <w:sz w:val="20"/>
          <w:szCs w:val="20"/>
          <w:shd w:val="clear" w:color="auto" w:fill="FFFFFF"/>
        </w:rPr>
        <w:t>Es necesario igualmente delimitar el ámbito de actuación de dicha Autoridad: ámbito material (conceptos de fraude y corrupción), ámbito subjetivo (sujetos sobre los que la Autoridad despliega sus funciones) y ámbito territorial (con respeto a la organización territorial del Estado y a las competencias de las Comunidades Autónomas sin perjuicio de las procedentes armonizaciones).</w:t>
      </w:r>
    </w:p>
    <w:p w14:paraId="40BD053E" w14:textId="77777777" w:rsidR="002B6FB5" w:rsidRPr="00A07BE9" w:rsidRDefault="002B6FB5" w:rsidP="002B6FB5">
      <w:pPr>
        <w:pStyle w:val="Prrafodelista"/>
        <w:rPr>
          <w:rFonts w:ascii="Open Sans" w:eastAsia="SimSun" w:hAnsi="Open Sans" w:cs="Open Sans"/>
          <w:bCs/>
          <w:color w:val="000000"/>
          <w:w w:val="105"/>
          <w:sz w:val="20"/>
          <w:szCs w:val="20"/>
          <w:shd w:val="clear" w:color="auto" w:fill="FFFFFF"/>
        </w:rPr>
      </w:pPr>
    </w:p>
    <w:p w14:paraId="51859615" w14:textId="77777777" w:rsidR="002B6FB5" w:rsidRPr="00A07BE9" w:rsidRDefault="002D0FF9" w:rsidP="002B6FB5">
      <w:pPr>
        <w:numPr>
          <w:ilvl w:val="0"/>
          <w:numId w:val="9"/>
        </w:numPr>
        <w:spacing w:after="0" w:line="276" w:lineRule="auto"/>
        <w:contextualSpacing/>
        <w:jc w:val="both"/>
        <w:rPr>
          <w:rFonts w:ascii="Open Sans" w:eastAsia="SimSun" w:hAnsi="Open Sans" w:cs="Open Sans"/>
          <w:bCs/>
          <w:color w:val="000000"/>
          <w:w w:val="105"/>
          <w:sz w:val="20"/>
          <w:szCs w:val="20"/>
          <w:shd w:val="clear" w:color="auto" w:fill="FFFFFF"/>
        </w:rPr>
      </w:pPr>
      <w:r w:rsidRPr="00A07BE9">
        <w:rPr>
          <w:rFonts w:ascii="Open Sans" w:eastAsia="SimSun" w:hAnsi="Open Sans" w:cs="Open Sans"/>
          <w:bCs/>
          <w:color w:val="000000"/>
          <w:w w:val="105"/>
          <w:sz w:val="20"/>
          <w:szCs w:val="20"/>
          <w:shd w:val="clear" w:color="auto" w:fill="FFFFFF"/>
        </w:rPr>
        <w:lastRenderedPageBreak/>
        <w:t>Han de especificarse sus funciones: protección a las personas que denuncian, informan o alertan, potestad sancionadora, investigación de denuncias y actuaciones de oficio, prevención, formación y sensibilización en este ámbito, realización de informes y recomendaciones, elaboración de planes nacionales y de una memoria anual, entre otras.</w:t>
      </w:r>
    </w:p>
    <w:p w14:paraId="0CDB8BC8" w14:textId="77777777" w:rsidR="002B6FB5" w:rsidRPr="00A07BE9" w:rsidRDefault="002B6FB5" w:rsidP="002B6FB5">
      <w:pPr>
        <w:pStyle w:val="Prrafodelista"/>
        <w:rPr>
          <w:rFonts w:ascii="Open Sans" w:eastAsia="SimSun" w:hAnsi="Open Sans" w:cs="Open Sans"/>
          <w:bCs/>
          <w:color w:val="000000"/>
          <w:w w:val="105"/>
          <w:sz w:val="20"/>
          <w:szCs w:val="20"/>
          <w:shd w:val="clear" w:color="auto" w:fill="FFFFFF"/>
        </w:rPr>
      </w:pPr>
    </w:p>
    <w:p w14:paraId="09F96048" w14:textId="77777777" w:rsidR="002B6FB5" w:rsidRPr="00A07BE9" w:rsidRDefault="002D0FF9" w:rsidP="002B6FB5">
      <w:pPr>
        <w:numPr>
          <w:ilvl w:val="0"/>
          <w:numId w:val="9"/>
        </w:numPr>
        <w:spacing w:after="0" w:line="276" w:lineRule="auto"/>
        <w:contextualSpacing/>
        <w:jc w:val="both"/>
        <w:rPr>
          <w:rFonts w:ascii="Open Sans" w:eastAsia="SimSun" w:hAnsi="Open Sans" w:cs="Open Sans"/>
          <w:bCs/>
          <w:color w:val="000000"/>
          <w:w w:val="105"/>
          <w:sz w:val="20"/>
          <w:szCs w:val="20"/>
          <w:shd w:val="clear" w:color="auto" w:fill="FFFFFF"/>
        </w:rPr>
      </w:pPr>
      <w:r w:rsidRPr="00A07BE9">
        <w:rPr>
          <w:rFonts w:ascii="Open Sans" w:eastAsia="SimSun" w:hAnsi="Open Sans" w:cs="Open Sans"/>
          <w:bCs/>
          <w:color w:val="000000"/>
          <w:w w:val="105"/>
          <w:sz w:val="20"/>
          <w:szCs w:val="20"/>
          <w:shd w:val="clear" w:color="auto" w:fill="FFFFFF"/>
        </w:rPr>
        <w:t>En virtud de dichas funciones, deberá valorarse la integración en la Autoridad Nacional de Lucha contra la Corrupción de algunas estructuras estatales ya existentes, como la Oficina Independiente de Regulación y Supervisión de la Contratación y la Oficina de Evaluación, el Servicio Nacional de Coordinación Antifraude, la Oficina de Conflictos de Intereses o el Consejo de Transparencia y Buen Gobierno.</w:t>
      </w:r>
    </w:p>
    <w:p w14:paraId="3EEF6713" w14:textId="77777777" w:rsidR="002B6FB5" w:rsidRPr="00A07BE9" w:rsidRDefault="002B6FB5" w:rsidP="002B6FB5">
      <w:pPr>
        <w:pStyle w:val="Prrafodelista"/>
        <w:rPr>
          <w:rFonts w:ascii="Open Sans" w:eastAsia="SimSun" w:hAnsi="Open Sans" w:cs="Open Sans"/>
          <w:bCs/>
          <w:color w:val="000000"/>
          <w:w w:val="105"/>
          <w:sz w:val="20"/>
          <w:szCs w:val="20"/>
          <w:shd w:val="clear" w:color="auto" w:fill="FFFFFF"/>
        </w:rPr>
      </w:pPr>
    </w:p>
    <w:p w14:paraId="345AA480" w14:textId="77777777" w:rsidR="002B6FB5" w:rsidRPr="00A07BE9" w:rsidRDefault="002D0FF9" w:rsidP="002B6FB5">
      <w:pPr>
        <w:numPr>
          <w:ilvl w:val="0"/>
          <w:numId w:val="9"/>
        </w:numPr>
        <w:spacing w:after="0" w:line="276" w:lineRule="auto"/>
        <w:contextualSpacing/>
        <w:jc w:val="both"/>
        <w:rPr>
          <w:rFonts w:ascii="Open Sans" w:eastAsia="SimSun" w:hAnsi="Open Sans" w:cs="Open Sans"/>
          <w:bCs/>
          <w:color w:val="000000"/>
          <w:w w:val="105"/>
          <w:sz w:val="20"/>
          <w:szCs w:val="20"/>
          <w:shd w:val="clear" w:color="auto" w:fill="FFFFFF"/>
        </w:rPr>
      </w:pPr>
      <w:r w:rsidRPr="00A07BE9">
        <w:rPr>
          <w:rFonts w:ascii="Open Sans" w:eastAsia="SimSun" w:hAnsi="Open Sans" w:cs="Open Sans"/>
          <w:bCs/>
          <w:color w:val="000000"/>
          <w:w w:val="105"/>
          <w:sz w:val="20"/>
          <w:szCs w:val="20"/>
          <w:shd w:val="clear" w:color="auto" w:fill="FFFFFF"/>
        </w:rPr>
        <w:t>En relación con las personas denunciantes, deberán especificarse sus derechos y deberes (estatuto de protección), y el concepto de denunciante de buena fe.</w:t>
      </w:r>
    </w:p>
    <w:p w14:paraId="1465A14A" w14:textId="77777777" w:rsidR="002B6FB5" w:rsidRPr="00A07BE9" w:rsidRDefault="002B6FB5" w:rsidP="002B6FB5">
      <w:pPr>
        <w:pStyle w:val="Prrafodelista"/>
        <w:rPr>
          <w:rFonts w:ascii="Open Sans" w:eastAsia="SimSun" w:hAnsi="Open Sans" w:cs="Open Sans"/>
          <w:bCs/>
          <w:color w:val="000000"/>
          <w:w w:val="105"/>
          <w:sz w:val="20"/>
          <w:szCs w:val="20"/>
          <w:shd w:val="clear" w:color="auto" w:fill="FFFFFF"/>
        </w:rPr>
      </w:pPr>
    </w:p>
    <w:p w14:paraId="290DBDCC" w14:textId="77777777" w:rsidR="002B6FB5" w:rsidRPr="00A07BE9" w:rsidRDefault="002D0FF9" w:rsidP="002B6FB5">
      <w:pPr>
        <w:numPr>
          <w:ilvl w:val="0"/>
          <w:numId w:val="9"/>
        </w:numPr>
        <w:spacing w:after="0" w:line="276" w:lineRule="auto"/>
        <w:contextualSpacing/>
        <w:jc w:val="both"/>
        <w:rPr>
          <w:rFonts w:ascii="Open Sans" w:eastAsia="SimSun" w:hAnsi="Open Sans" w:cs="Open Sans"/>
          <w:bCs/>
          <w:color w:val="000000"/>
          <w:w w:val="105"/>
          <w:sz w:val="20"/>
          <w:szCs w:val="20"/>
          <w:shd w:val="clear" w:color="auto" w:fill="FFFFFF"/>
        </w:rPr>
      </w:pPr>
      <w:r w:rsidRPr="00A07BE9">
        <w:rPr>
          <w:rFonts w:ascii="Open Sans" w:eastAsia="SimSun" w:hAnsi="Open Sans" w:cs="Open Sans"/>
          <w:bCs/>
          <w:color w:val="000000"/>
          <w:w w:val="105"/>
          <w:sz w:val="20"/>
          <w:szCs w:val="20"/>
          <w:shd w:val="clear" w:color="auto" w:fill="FFFFFF"/>
        </w:rPr>
        <w:t>Se deberán prohibir las represalias como consecuencia de haber presentado una denuncia, con inversión de la carga de la prueba para aquéllos que lesionen los derechos o ataquen la esfera profesional o personal de los denunciantes, así como la reparación integral del daño y el reconocimiento a la ejemplaridad de quienes denuncian en aras al bien común.</w:t>
      </w:r>
    </w:p>
    <w:p w14:paraId="0F371600" w14:textId="77777777" w:rsidR="002B6FB5" w:rsidRPr="00A07BE9" w:rsidRDefault="002B6FB5" w:rsidP="002B6FB5">
      <w:pPr>
        <w:pStyle w:val="Prrafodelista"/>
        <w:rPr>
          <w:rFonts w:ascii="Open Sans" w:eastAsia="SimSun" w:hAnsi="Open Sans" w:cs="Open Sans"/>
          <w:bCs/>
          <w:color w:val="000000"/>
          <w:w w:val="105"/>
          <w:sz w:val="20"/>
          <w:szCs w:val="20"/>
          <w:shd w:val="clear" w:color="auto" w:fill="FFFFFF"/>
        </w:rPr>
      </w:pPr>
    </w:p>
    <w:p w14:paraId="5A473D94" w14:textId="77777777" w:rsidR="002B6FB5" w:rsidRPr="00A07BE9" w:rsidRDefault="002D0FF9" w:rsidP="002B6FB5">
      <w:pPr>
        <w:numPr>
          <w:ilvl w:val="0"/>
          <w:numId w:val="9"/>
        </w:numPr>
        <w:spacing w:after="0" w:line="276" w:lineRule="auto"/>
        <w:contextualSpacing/>
        <w:jc w:val="both"/>
        <w:rPr>
          <w:rFonts w:ascii="Open Sans" w:eastAsia="SimSun" w:hAnsi="Open Sans" w:cs="Open Sans"/>
          <w:bCs/>
          <w:color w:val="000000"/>
          <w:w w:val="105"/>
          <w:sz w:val="20"/>
          <w:szCs w:val="20"/>
          <w:shd w:val="clear" w:color="auto" w:fill="FFFFFF"/>
        </w:rPr>
      </w:pPr>
      <w:r w:rsidRPr="00A07BE9">
        <w:rPr>
          <w:rFonts w:ascii="Open Sans" w:eastAsia="SimSun" w:hAnsi="Open Sans" w:cs="Open Sans"/>
          <w:bCs/>
          <w:color w:val="000000"/>
          <w:w w:val="105"/>
          <w:sz w:val="20"/>
          <w:szCs w:val="20"/>
          <w:shd w:val="clear" w:color="auto" w:fill="FFFFFF"/>
        </w:rPr>
        <w:t>Se implantarán canales obligatorios de denuncias, internos y externos, en el sector público y en el privado, con exigencias de su establecimiento por debajo de los mínimos planteados en la Directiva, dada la configuración de nuestros ayuntamientos y pequeñas y medianas empresas.</w:t>
      </w:r>
    </w:p>
    <w:p w14:paraId="7A124535" w14:textId="77777777" w:rsidR="002B6FB5" w:rsidRPr="00A07BE9" w:rsidRDefault="002B6FB5" w:rsidP="002B6FB5">
      <w:pPr>
        <w:pStyle w:val="Prrafodelista"/>
        <w:rPr>
          <w:rFonts w:ascii="Open Sans" w:eastAsia="SimSun" w:hAnsi="Open Sans" w:cs="Open Sans"/>
          <w:bCs/>
          <w:color w:val="000000"/>
          <w:w w:val="105"/>
          <w:sz w:val="20"/>
          <w:szCs w:val="20"/>
          <w:shd w:val="clear" w:color="auto" w:fill="FFFFFF"/>
        </w:rPr>
      </w:pPr>
    </w:p>
    <w:p w14:paraId="7152BAF6" w14:textId="1A020359" w:rsidR="002D0FF9" w:rsidRPr="00A07BE9" w:rsidRDefault="002D0FF9" w:rsidP="002B6FB5">
      <w:pPr>
        <w:numPr>
          <w:ilvl w:val="0"/>
          <w:numId w:val="9"/>
        </w:numPr>
        <w:spacing w:after="0" w:line="276" w:lineRule="auto"/>
        <w:contextualSpacing/>
        <w:jc w:val="both"/>
        <w:rPr>
          <w:rFonts w:ascii="Open Sans" w:eastAsia="SimSun" w:hAnsi="Open Sans" w:cs="Open Sans"/>
          <w:bCs/>
          <w:color w:val="000000"/>
          <w:w w:val="105"/>
          <w:sz w:val="20"/>
          <w:szCs w:val="20"/>
          <w:shd w:val="clear" w:color="auto" w:fill="FFFFFF"/>
        </w:rPr>
      </w:pPr>
      <w:r w:rsidRPr="00A07BE9">
        <w:rPr>
          <w:rFonts w:ascii="Open Sans" w:eastAsia="SimSun" w:hAnsi="Open Sans" w:cs="Open Sans"/>
          <w:bCs/>
          <w:color w:val="000000"/>
          <w:w w:val="105"/>
          <w:sz w:val="20"/>
          <w:szCs w:val="20"/>
          <w:shd w:val="clear" w:color="auto" w:fill="FFFFFF"/>
        </w:rPr>
        <w:t>Será imprescindible determinar y asegurar la confidencialidad de todos los datos, documentos e informaciones que se manejen, así como admitir el anonimato de las denuncias o alertas.</w:t>
      </w:r>
    </w:p>
    <w:p w14:paraId="0DDB6FF3" w14:textId="77777777" w:rsidR="002D0FF9" w:rsidRPr="00A07BE9" w:rsidRDefault="002D0FF9" w:rsidP="002D0FF9">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p>
    <w:p w14:paraId="36626511" w14:textId="77777777" w:rsidR="002D0FF9" w:rsidRPr="00A07BE9" w:rsidRDefault="002D0FF9" w:rsidP="002D0FF9">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r w:rsidRPr="00A07BE9">
        <w:rPr>
          <w:rFonts w:ascii="Open Sans" w:eastAsia="SimSun" w:hAnsi="Open Sans" w:cs="Open Sans"/>
          <w:bCs/>
          <w:color w:val="000000"/>
          <w:w w:val="105"/>
          <w:sz w:val="20"/>
          <w:szCs w:val="20"/>
          <w:shd w:val="clear" w:color="auto" w:fill="FFFFFF"/>
        </w:rPr>
        <w:t xml:space="preserve">Una vez más, en fecha 11 de octubre de 2019, la Comisión Europea indica al Parlamento Europeo y al Consejo, en su </w:t>
      </w:r>
      <w:r w:rsidRPr="00A07BE9">
        <w:rPr>
          <w:rFonts w:ascii="Open Sans" w:eastAsia="SimSun" w:hAnsi="Open Sans" w:cs="Open Sans"/>
          <w:bCs/>
          <w:i/>
          <w:iCs/>
          <w:color w:val="000000"/>
          <w:w w:val="105"/>
          <w:sz w:val="20"/>
          <w:szCs w:val="20"/>
          <w:shd w:val="clear" w:color="auto" w:fill="FFFFFF"/>
        </w:rPr>
        <w:t xml:space="preserve">30ª Informe anual sobre la protección de los intereses financieros de la Unión Europea y la lucha contra el fraude </w:t>
      </w:r>
      <w:r w:rsidRPr="00A07BE9">
        <w:rPr>
          <w:rFonts w:ascii="Open Sans" w:eastAsia="SimSun" w:hAnsi="Open Sans" w:cs="Open Sans"/>
          <w:bCs/>
          <w:color w:val="000000"/>
          <w:w w:val="105"/>
          <w:sz w:val="20"/>
          <w:szCs w:val="20"/>
          <w:shd w:val="clear" w:color="auto" w:fill="FFFFFF"/>
        </w:rPr>
        <w:t xml:space="preserve">que el Estado español (junto con algunos otros Estados miembros) sigue </w:t>
      </w:r>
      <w:r w:rsidRPr="00A07BE9">
        <w:rPr>
          <w:rFonts w:ascii="Open Sans" w:eastAsia="SimSun" w:hAnsi="Open Sans" w:cs="Open Sans"/>
          <w:color w:val="000000"/>
          <w:w w:val="105"/>
          <w:sz w:val="20"/>
          <w:szCs w:val="20"/>
          <w:shd w:val="clear" w:color="auto" w:fill="FFFFFF"/>
        </w:rPr>
        <w:t>careciendo de</w:t>
      </w:r>
      <w:r w:rsidRPr="00A07BE9">
        <w:rPr>
          <w:rFonts w:ascii="Open Sans" w:eastAsia="SimSun" w:hAnsi="Open Sans" w:cs="Open Sans"/>
          <w:bCs/>
          <w:color w:val="000000"/>
          <w:w w:val="105"/>
          <w:sz w:val="20"/>
          <w:szCs w:val="20"/>
          <w:shd w:val="clear" w:color="auto" w:fill="FFFFFF"/>
        </w:rPr>
        <w:t xml:space="preserve"> una estrategia nacional de lucha contra el fraude.</w:t>
      </w:r>
    </w:p>
    <w:p w14:paraId="77CC01F5" w14:textId="77777777" w:rsidR="002D0FF9" w:rsidRPr="00A07BE9" w:rsidRDefault="002D0FF9" w:rsidP="002D0FF9">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p>
    <w:p w14:paraId="68740A77" w14:textId="77777777" w:rsidR="002D0FF9" w:rsidRPr="00A07BE9" w:rsidRDefault="002D0FF9" w:rsidP="002D0FF9">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r w:rsidRPr="00A07BE9">
        <w:rPr>
          <w:rFonts w:ascii="Open Sans" w:eastAsia="SimSun" w:hAnsi="Open Sans" w:cs="Open Sans"/>
          <w:bCs/>
          <w:color w:val="000000"/>
          <w:w w:val="105"/>
          <w:sz w:val="20"/>
          <w:szCs w:val="20"/>
          <w:shd w:val="clear" w:color="auto" w:fill="FFFFFF"/>
        </w:rPr>
        <w:t xml:space="preserve">En dicho Informe la Comisión hace un llamamiento para que esta estrategia nacional se elabore con arreglo a las conclusiones del Tribunal de Cuentas Europeo, recogidas en su </w:t>
      </w:r>
      <w:r w:rsidRPr="00A07BE9">
        <w:rPr>
          <w:rFonts w:ascii="Open Sans" w:eastAsia="SimSun" w:hAnsi="Open Sans" w:cs="Open Sans"/>
          <w:bCs/>
          <w:i/>
          <w:iCs/>
          <w:color w:val="000000"/>
          <w:w w:val="105"/>
          <w:sz w:val="20"/>
          <w:szCs w:val="20"/>
          <w:shd w:val="clear" w:color="auto" w:fill="FFFFFF"/>
        </w:rPr>
        <w:t>Informe Especial núm. 06/2019</w:t>
      </w:r>
      <w:r w:rsidRPr="00A07BE9">
        <w:rPr>
          <w:rFonts w:ascii="Open Sans" w:eastAsia="SimSun" w:hAnsi="Open Sans" w:cs="Open Sans"/>
          <w:bCs/>
          <w:color w:val="000000"/>
          <w:w w:val="105"/>
          <w:sz w:val="20"/>
          <w:szCs w:val="20"/>
          <w:shd w:val="clear" w:color="auto" w:fill="FFFFFF"/>
        </w:rPr>
        <w:t xml:space="preserve"> sobre la necesidad de que las autoridades de gestión refuercen la detección y respuesta ante estos hechos y conductas.</w:t>
      </w:r>
    </w:p>
    <w:p w14:paraId="46C257D0" w14:textId="77777777" w:rsidR="002D0FF9" w:rsidRPr="00A07BE9" w:rsidRDefault="002D0FF9" w:rsidP="002D0FF9">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p>
    <w:p w14:paraId="28AFA593" w14:textId="4F62DFDD" w:rsidR="002D0FF9" w:rsidRDefault="002D0FF9" w:rsidP="002D0FF9">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r w:rsidRPr="00A07BE9">
        <w:rPr>
          <w:rFonts w:ascii="Open Sans" w:eastAsia="SimSun" w:hAnsi="Open Sans" w:cs="Open Sans"/>
          <w:bCs/>
          <w:color w:val="000000"/>
          <w:w w:val="105"/>
          <w:sz w:val="20"/>
          <w:szCs w:val="20"/>
          <w:shd w:val="clear" w:color="auto" w:fill="FFFFFF"/>
        </w:rPr>
        <w:lastRenderedPageBreak/>
        <w:t>De este modo, en 2019 tanto la Comisión Europea como el Tribunal de Cuentas Europeo inciden en que las autoridades de gestión deben tener en cuenta al establecer sus correspondientes estrategias los siguientes aspectos:</w:t>
      </w:r>
    </w:p>
    <w:p w14:paraId="1F330026" w14:textId="77777777" w:rsidR="00AB1C62" w:rsidRPr="00A07BE9" w:rsidRDefault="00AB1C62" w:rsidP="002D0FF9">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p>
    <w:p w14:paraId="663E99E2" w14:textId="77777777" w:rsidR="002B6FB5" w:rsidRPr="00A07BE9" w:rsidRDefault="002D0FF9" w:rsidP="002B6FB5">
      <w:pPr>
        <w:numPr>
          <w:ilvl w:val="0"/>
          <w:numId w:val="9"/>
        </w:numPr>
        <w:spacing w:after="0" w:line="276" w:lineRule="auto"/>
        <w:contextualSpacing/>
        <w:jc w:val="both"/>
        <w:rPr>
          <w:rFonts w:ascii="Open Sans" w:eastAsia="SimSun" w:hAnsi="Open Sans" w:cs="Open Sans"/>
          <w:bCs/>
          <w:color w:val="000000"/>
          <w:w w:val="105"/>
          <w:sz w:val="20"/>
          <w:szCs w:val="20"/>
          <w:shd w:val="clear" w:color="auto" w:fill="FFFFFF"/>
        </w:rPr>
      </w:pPr>
      <w:r w:rsidRPr="00A07BE9">
        <w:rPr>
          <w:rFonts w:ascii="Open Sans" w:eastAsia="SimSun" w:hAnsi="Open Sans" w:cs="Open Sans"/>
          <w:bCs/>
          <w:color w:val="000000"/>
          <w:w w:val="105"/>
          <w:sz w:val="20"/>
          <w:szCs w:val="20"/>
          <w:shd w:val="clear" w:color="auto" w:fill="FFFFFF"/>
        </w:rPr>
        <w:t>La necesidad de articular la coordinación entre los controles e investigaciones administrativos y penales.</w:t>
      </w:r>
    </w:p>
    <w:p w14:paraId="1A2B4A55" w14:textId="77777777" w:rsidR="002B6FB5" w:rsidRPr="00A07BE9" w:rsidRDefault="002D0FF9" w:rsidP="002B6FB5">
      <w:pPr>
        <w:numPr>
          <w:ilvl w:val="0"/>
          <w:numId w:val="9"/>
        </w:numPr>
        <w:spacing w:after="0" w:line="276" w:lineRule="auto"/>
        <w:contextualSpacing/>
        <w:jc w:val="both"/>
        <w:rPr>
          <w:rFonts w:ascii="Open Sans" w:eastAsia="SimSun" w:hAnsi="Open Sans" w:cs="Open Sans"/>
          <w:bCs/>
          <w:color w:val="000000"/>
          <w:w w:val="105"/>
          <w:sz w:val="20"/>
          <w:szCs w:val="20"/>
          <w:shd w:val="clear" w:color="auto" w:fill="FFFFFF"/>
        </w:rPr>
      </w:pPr>
      <w:r w:rsidRPr="00A07BE9">
        <w:rPr>
          <w:rFonts w:ascii="Open Sans" w:eastAsia="SimSun" w:hAnsi="Open Sans" w:cs="Open Sans"/>
          <w:bCs/>
          <w:color w:val="000000"/>
          <w:w w:val="105"/>
          <w:sz w:val="20"/>
          <w:szCs w:val="20"/>
          <w:shd w:val="clear" w:color="auto" w:fill="FFFFFF"/>
        </w:rPr>
        <w:t>La manera de integrar en el sistema de control la información procedente de medios de comunicación y de los denunciantes.</w:t>
      </w:r>
    </w:p>
    <w:p w14:paraId="32FF7FFE" w14:textId="63499D7A" w:rsidR="002D0FF9" w:rsidRPr="00A07BE9" w:rsidRDefault="002D0FF9" w:rsidP="002B6FB5">
      <w:pPr>
        <w:numPr>
          <w:ilvl w:val="0"/>
          <w:numId w:val="9"/>
        </w:numPr>
        <w:spacing w:after="0" w:line="276" w:lineRule="auto"/>
        <w:contextualSpacing/>
        <w:jc w:val="both"/>
        <w:rPr>
          <w:rFonts w:ascii="Open Sans" w:eastAsia="SimSun" w:hAnsi="Open Sans" w:cs="Open Sans"/>
          <w:bCs/>
          <w:color w:val="000000"/>
          <w:w w:val="105"/>
          <w:sz w:val="20"/>
          <w:szCs w:val="20"/>
          <w:shd w:val="clear" w:color="auto" w:fill="FFFFFF"/>
        </w:rPr>
      </w:pPr>
      <w:r w:rsidRPr="00A07BE9">
        <w:rPr>
          <w:rFonts w:ascii="Open Sans" w:eastAsia="SimSun" w:hAnsi="Open Sans" w:cs="Open Sans"/>
          <w:bCs/>
          <w:color w:val="000000"/>
          <w:w w:val="105"/>
          <w:sz w:val="20"/>
          <w:szCs w:val="20"/>
          <w:shd w:val="clear" w:color="auto" w:fill="FFFFFF"/>
        </w:rPr>
        <w:t>La posibilidad de reforzar el enfoque basado en el análisis de riesgos para detectar las irregularidades y el fraude, incluido el uso de herramientas informáticas.</w:t>
      </w:r>
    </w:p>
    <w:p w14:paraId="0EDDF4B0" w14:textId="77777777" w:rsidR="002D0FF9" w:rsidRPr="00A07BE9" w:rsidRDefault="002D0FF9" w:rsidP="002D0FF9">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p>
    <w:p w14:paraId="7400CD5D" w14:textId="77777777" w:rsidR="002D0FF9" w:rsidRPr="00A07BE9" w:rsidRDefault="002D0FF9" w:rsidP="002D0FF9">
      <w:pPr>
        <w:pStyle w:val="Standard"/>
        <w:shd w:val="clear" w:color="auto" w:fill="FFFFFF"/>
        <w:tabs>
          <w:tab w:val="left" w:pos="738"/>
        </w:tabs>
        <w:spacing w:line="276" w:lineRule="auto"/>
        <w:jc w:val="both"/>
        <w:textAlignment w:val="auto"/>
        <w:rPr>
          <w:rFonts w:ascii="Open Sans" w:eastAsia="SimSun" w:hAnsi="Open Sans" w:cs="Open Sans"/>
          <w:bCs/>
          <w:color w:val="000000"/>
          <w:w w:val="105"/>
          <w:sz w:val="20"/>
          <w:szCs w:val="20"/>
          <w:shd w:val="clear" w:color="auto" w:fill="FFFFFF"/>
        </w:rPr>
      </w:pPr>
      <w:r w:rsidRPr="00A07BE9">
        <w:rPr>
          <w:rFonts w:ascii="Open Sans" w:eastAsia="SimSun" w:hAnsi="Open Sans" w:cs="Open Sans"/>
          <w:bCs/>
          <w:color w:val="000000"/>
          <w:w w:val="105"/>
          <w:sz w:val="20"/>
          <w:szCs w:val="20"/>
          <w:shd w:val="clear" w:color="auto" w:fill="FFFFFF"/>
        </w:rPr>
        <w:t>Cualquier avance en la lucha contra el fraude y la corrupción en España, combatiendo tanto desde el sector privado como especialmente desde el público, los abusos y la desviación de poder para la obtención de ventajas o beneficios ilegítimos, fomentará la economía y la competitividad de nuestras empresas, aumentará la capacidad y confianza de la ciudadanía en nuestras instituciones públicas para resolver los problemas que a todos afectan, y fortalecerá el principio constitucional de igualdad y los pilares mismos de la democracia.</w:t>
      </w:r>
    </w:p>
    <w:p w14:paraId="493FC900" w14:textId="77777777" w:rsidR="004E3452" w:rsidRPr="00A07BE9" w:rsidRDefault="004E3452">
      <w:pPr>
        <w:rPr>
          <w:rFonts w:ascii="Open Sans" w:hAnsi="Open Sans" w:cs="Open Sans"/>
          <w:color w:val="000000" w:themeColor="text1"/>
          <w:sz w:val="21"/>
          <w:szCs w:val="21"/>
        </w:rPr>
      </w:pPr>
    </w:p>
    <w:p w14:paraId="67FEE0E0" w14:textId="77777777" w:rsidR="00610826" w:rsidRPr="00A07BE9" w:rsidRDefault="00417226" w:rsidP="003504BA">
      <w:pPr>
        <w:spacing w:before="2000"/>
        <w:rPr>
          <w:rFonts w:ascii="Open Sans" w:hAnsi="Open Sans" w:cs="Open Sans"/>
          <w:b/>
          <w:color w:val="9D2235"/>
          <w:sz w:val="90"/>
          <w:szCs w:val="90"/>
        </w:rPr>
      </w:pPr>
      <w:r w:rsidRPr="00A07BE9">
        <w:rPr>
          <w:rFonts w:ascii="Open Sans" w:hAnsi="Open Sans" w:cs="Open Sans"/>
          <w:b/>
          <w:color w:val="9D2235"/>
          <w:sz w:val="90"/>
          <w:szCs w:val="90"/>
        </w:rPr>
        <w:br w:type="page"/>
      </w:r>
    </w:p>
    <w:p w14:paraId="55488100" w14:textId="77777777" w:rsidR="00610826" w:rsidRPr="00A07BE9" w:rsidRDefault="00610826" w:rsidP="00C84C47">
      <w:pPr>
        <w:spacing w:before="2000"/>
        <w:jc w:val="right"/>
        <w:rPr>
          <w:rFonts w:ascii="Open Sans" w:hAnsi="Open Sans" w:cs="Open Sans"/>
          <w:b/>
          <w:color w:val="9D2235"/>
          <w:sz w:val="80"/>
          <w:szCs w:val="80"/>
        </w:rPr>
      </w:pPr>
    </w:p>
    <w:p w14:paraId="2F0EE117" w14:textId="3805E5AA" w:rsidR="00C84C47" w:rsidRPr="00A07BE9" w:rsidRDefault="00C84C47" w:rsidP="00C84C47">
      <w:pPr>
        <w:spacing w:before="2000"/>
        <w:jc w:val="right"/>
        <w:rPr>
          <w:rFonts w:ascii="Open Sans" w:hAnsi="Open Sans" w:cs="Open Sans"/>
          <w:b/>
          <w:color w:val="FFFFFF" w:themeColor="background1"/>
          <w:sz w:val="90"/>
          <w:szCs w:val="90"/>
        </w:rPr>
      </w:pPr>
      <w:r w:rsidRPr="00A07BE9">
        <w:rPr>
          <w:rFonts w:ascii="Open Sans" w:hAnsi="Open Sans" w:cs="Open Sans"/>
          <w:b/>
          <w:color w:val="9D2235"/>
          <w:sz w:val="80"/>
          <w:szCs w:val="80"/>
        </w:rPr>
        <w:t>Anexo I</w:t>
      </w:r>
      <w:r w:rsidRPr="00A07BE9">
        <w:rPr>
          <w:rFonts w:ascii="Open Sans" w:hAnsi="Open Sans" w:cs="Open Sans"/>
          <w:b/>
          <w:color w:val="FFFFFF" w:themeColor="background1"/>
          <w:sz w:val="90"/>
          <w:szCs w:val="90"/>
        </w:rPr>
        <w:t>I</w:t>
      </w:r>
    </w:p>
    <w:p w14:paraId="68DDEBE5" w14:textId="08FE6AA1" w:rsidR="00C84C47" w:rsidRPr="00A07BE9" w:rsidRDefault="00C84C47" w:rsidP="00C84C47">
      <w:pPr>
        <w:jc w:val="right"/>
        <w:rPr>
          <w:rFonts w:ascii="Open Sans" w:hAnsi="Open Sans" w:cs="Open Sans"/>
          <w:color w:val="9D2235"/>
          <w:sz w:val="60"/>
          <w:szCs w:val="60"/>
        </w:rPr>
      </w:pPr>
      <w:r w:rsidRPr="00A07BE9">
        <w:rPr>
          <w:rFonts w:ascii="Open Sans" w:hAnsi="Open Sans" w:cs="Open Sans"/>
          <w:color w:val="9D2235"/>
          <w:sz w:val="60"/>
          <w:szCs w:val="60"/>
        </w:rPr>
        <w:t>Reglamento de funcionamiento y régimen interior de la Agencia de Prevención y Lucha contra el Fraude y la Corrupción de la Comunitat Valenciana</w:t>
      </w:r>
    </w:p>
    <w:p w14:paraId="24AFA768" w14:textId="77777777" w:rsidR="00417226" w:rsidRPr="00A07BE9" w:rsidRDefault="00417226">
      <w:pPr>
        <w:rPr>
          <w:rFonts w:ascii="Open Sans" w:hAnsi="Open Sans" w:cs="Open Sans"/>
          <w:b/>
          <w:color w:val="9D2235"/>
          <w:sz w:val="90"/>
          <w:szCs w:val="90"/>
        </w:rPr>
      </w:pPr>
    </w:p>
    <w:p w14:paraId="01B5F3E3" w14:textId="77777777" w:rsidR="00C84C47" w:rsidRPr="00A07BE9" w:rsidRDefault="00C84C47">
      <w:pPr>
        <w:rPr>
          <w:rFonts w:ascii="Open Sans" w:hAnsi="Open Sans" w:cs="Open Sans"/>
          <w:b/>
          <w:color w:val="9D2235"/>
          <w:sz w:val="90"/>
          <w:szCs w:val="90"/>
        </w:rPr>
      </w:pPr>
      <w:r w:rsidRPr="00A07BE9">
        <w:rPr>
          <w:rFonts w:ascii="Open Sans" w:hAnsi="Open Sans" w:cs="Open Sans"/>
          <w:b/>
          <w:color w:val="9D2235"/>
          <w:sz w:val="90"/>
          <w:szCs w:val="90"/>
        </w:rPr>
        <w:br w:type="page"/>
      </w:r>
    </w:p>
    <w:p w14:paraId="3C59FA4C" w14:textId="77777777" w:rsidR="00C84C47" w:rsidRPr="00A07BE9" w:rsidRDefault="00C84C47">
      <w:pPr>
        <w:rPr>
          <w:rFonts w:ascii="Open Sans" w:hAnsi="Open Sans" w:cs="Open Sans"/>
          <w:b/>
          <w:sz w:val="20"/>
          <w:szCs w:val="20"/>
        </w:rPr>
      </w:pPr>
      <w:r w:rsidRPr="00A07BE9">
        <w:rPr>
          <w:rFonts w:ascii="Open Sans" w:hAnsi="Open Sans" w:cs="Open Sans"/>
          <w:b/>
          <w:noProof/>
          <w:sz w:val="20"/>
          <w:szCs w:val="20"/>
        </w:rPr>
        <w:lastRenderedPageBreak/>
        <w:drawing>
          <wp:inline distT="0" distB="0" distL="0" distR="0" wp14:anchorId="44158794" wp14:editId="08FF03C6">
            <wp:extent cx="5400040" cy="84672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ag1.png"/>
                    <pic:cNvPicPr/>
                  </pic:nvPicPr>
                  <pic:blipFill rotWithShape="1">
                    <a:blip r:embed="rId436" cstate="screen">
                      <a:extLst>
                        <a:ext uri="{BEBA8EAE-BF5A-486C-A8C5-ECC9F3942E4B}">
                          <a14:imgProps xmlns:a14="http://schemas.microsoft.com/office/drawing/2010/main">
                            <a14:imgLayer r:embed="rId437">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lastRenderedPageBreak/>
        <w:drawing>
          <wp:inline distT="0" distB="0" distL="0" distR="0" wp14:anchorId="3A406F96" wp14:editId="5505B139">
            <wp:extent cx="5400040" cy="84672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g2.png"/>
                    <pic:cNvPicPr/>
                  </pic:nvPicPr>
                  <pic:blipFill rotWithShape="1">
                    <a:blip r:embed="rId438" cstate="screen">
                      <a:extLst>
                        <a:ext uri="{BEBA8EAE-BF5A-486C-A8C5-ECC9F3942E4B}">
                          <a14:imgProps xmlns:a14="http://schemas.microsoft.com/office/drawing/2010/main">
                            <a14:imgLayer r:embed="rId439">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lastRenderedPageBreak/>
        <w:drawing>
          <wp:inline distT="0" distB="0" distL="0" distR="0" wp14:anchorId="566CA87B" wp14:editId="2188492F">
            <wp:extent cx="5400040" cy="84672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ag3.png"/>
                    <pic:cNvPicPr/>
                  </pic:nvPicPr>
                  <pic:blipFill rotWithShape="1">
                    <a:blip r:embed="rId440" cstate="screen">
                      <a:extLst>
                        <a:ext uri="{BEBA8EAE-BF5A-486C-A8C5-ECC9F3942E4B}">
                          <a14:imgProps xmlns:a14="http://schemas.microsoft.com/office/drawing/2010/main">
                            <a14:imgLayer r:embed="rId441">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lastRenderedPageBreak/>
        <w:drawing>
          <wp:inline distT="0" distB="0" distL="0" distR="0" wp14:anchorId="046C4308" wp14:editId="48542ACD">
            <wp:extent cx="5400040" cy="84672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ag4.png"/>
                    <pic:cNvPicPr/>
                  </pic:nvPicPr>
                  <pic:blipFill rotWithShape="1">
                    <a:blip r:embed="rId442" cstate="screen">
                      <a:extLst>
                        <a:ext uri="{BEBA8EAE-BF5A-486C-A8C5-ECC9F3942E4B}">
                          <a14:imgProps xmlns:a14="http://schemas.microsoft.com/office/drawing/2010/main">
                            <a14:imgLayer r:embed="rId443">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lastRenderedPageBreak/>
        <w:drawing>
          <wp:inline distT="0" distB="0" distL="0" distR="0" wp14:anchorId="5FFACA58" wp14:editId="333183F0">
            <wp:extent cx="5400040" cy="84672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ag5.png"/>
                    <pic:cNvPicPr/>
                  </pic:nvPicPr>
                  <pic:blipFill rotWithShape="1">
                    <a:blip r:embed="rId444" cstate="screen">
                      <a:extLst>
                        <a:ext uri="{BEBA8EAE-BF5A-486C-A8C5-ECC9F3942E4B}">
                          <a14:imgProps xmlns:a14="http://schemas.microsoft.com/office/drawing/2010/main">
                            <a14:imgLayer r:embed="rId445">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lastRenderedPageBreak/>
        <w:drawing>
          <wp:inline distT="0" distB="0" distL="0" distR="0" wp14:anchorId="0D9F4C3B" wp14:editId="333C3632">
            <wp:extent cx="5400040" cy="84672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ag6.png"/>
                    <pic:cNvPicPr/>
                  </pic:nvPicPr>
                  <pic:blipFill rotWithShape="1">
                    <a:blip r:embed="rId446" cstate="screen">
                      <a:extLst>
                        <a:ext uri="{BEBA8EAE-BF5A-486C-A8C5-ECC9F3942E4B}">
                          <a14:imgProps xmlns:a14="http://schemas.microsoft.com/office/drawing/2010/main">
                            <a14:imgLayer r:embed="rId447">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lastRenderedPageBreak/>
        <w:drawing>
          <wp:inline distT="0" distB="0" distL="0" distR="0" wp14:anchorId="27F7EFF0" wp14:editId="6DBC8082">
            <wp:extent cx="5400040" cy="84672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ag7.png"/>
                    <pic:cNvPicPr/>
                  </pic:nvPicPr>
                  <pic:blipFill rotWithShape="1">
                    <a:blip r:embed="rId448" cstate="screen">
                      <a:extLst>
                        <a:ext uri="{BEBA8EAE-BF5A-486C-A8C5-ECC9F3942E4B}">
                          <a14:imgProps xmlns:a14="http://schemas.microsoft.com/office/drawing/2010/main">
                            <a14:imgLayer r:embed="rId449">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lastRenderedPageBreak/>
        <w:drawing>
          <wp:inline distT="0" distB="0" distL="0" distR="0" wp14:anchorId="739AEF83" wp14:editId="19E37133">
            <wp:extent cx="5400040" cy="84672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ag8.png"/>
                    <pic:cNvPicPr/>
                  </pic:nvPicPr>
                  <pic:blipFill rotWithShape="1">
                    <a:blip r:embed="rId450" cstate="screen">
                      <a:extLst>
                        <a:ext uri="{BEBA8EAE-BF5A-486C-A8C5-ECC9F3942E4B}">
                          <a14:imgProps xmlns:a14="http://schemas.microsoft.com/office/drawing/2010/main">
                            <a14:imgLayer r:embed="rId451">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lastRenderedPageBreak/>
        <w:drawing>
          <wp:inline distT="0" distB="0" distL="0" distR="0" wp14:anchorId="457A67B3" wp14:editId="03E92462">
            <wp:extent cx="5400040" cy="84672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ag9.png"/>
                    <pic:cNvPicPr/>
                  </pic:nvPicPr>
                  <pic:blipFill rotWithShape="1">
                    <a:blip r:embed="rId452" cstate="screen">
                      <a:extLst>
                        <a:ext uri="{BEBA8EAE-BF5A-486C-A8C5-ECC9F3942E4B}">
                          <a14:imgProps xmlns:a14="http://schemas.microsoft.com/office/drawing/2010/main">
                            <a14:imgLayer r:embed="rId453">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lastRenderedPageBreak/>
        <w:drawing>
          <wp:inline distT="0" distB="0" distL="0" distR="0" wp14:anchorId="22257BBA" wp14:editId="130843EC">
            <wp:extent cx="5400040" cy="84672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ag10.png"/>
                    <pic:cNvPicPr/>
                  </pic:nvPicPr>
                  <pic:blipFill rotWithShape="1">
                    <a:blip r:embed="rId454" cstate="screen">
                      <a:extLst>
                        <a:ext uri="{BEBA8EAE-BF5A-486C-A8C5-ECC9F3942E4B}">
                          <a14:imgProps xmlns:a14="http://schemas.microsoft.com/office/drawing/2010/main">
                            <a14:imgLayer r:embed="rId455">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lastRenderedPageBreak/>
        <w:drawing>
          <wp:inline distT="0" distB="0" distL="0" distR="0" wp14:anchorId="3F2274CC" wp14:editId="27E79B90">
            <wp:extent cx="5400040" cy="84672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ag11.png"/>
                    <pic:cNvPicPr/>
                  </pic:nvPicPr>
                  <pic:blipFill rotWithShape="1">
                    <a:blip r:embed="rId456" cstate="screen">
                      <a:extLst>
                        <a:ext uri="{BEBA8EAE-BF5A-486C-A8C5-ECC9F3942E4B}">
                          <a14:imgProps xmlns:a14="http://schemas.microsoft.com/office/drawing/2010/main">
                            <a14:imgLayer r:embed="rId457">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lastRenderedPageBreak/>
        <w:drawing>
          <wp:inline distT="0" distB="0" distL="0" distR="0" wp14:anchorId="7B47BAE6" wp14:editId="09DA16B9">
            <wp:extent cx="5400040" cy="84672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ag12.png"/>
                    <pic:cNvPicPr/>
                  </pic:nvPicPr>
                  <pic:blipFill rotWithShape="1">
                    <a:blip r:embed="rId458" cstate="screen">
                      <a:extLst>
                        <a:ext uri="{BEBA8EAE-BF5A-486C-A8C5-ECC9F3942E4B}">
                          <a14:imgProps xmlns:a14="http://schemas.microsoft.com/office/drawing/2010/main">
                            <a14:imgLayer r:embed="rId459">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lastRenderedPageBreak/>
        <w:drawing>
          <wp:inline distT="0" distB="0" distL="0" distR="0" wp14:anchorId="0EA672C7" wp14:editId="228DFF48">
            <wp:extent cx="5400040" cy="84672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ag13.png"/>
                    <pic:cNvPicPr/>
                  </pic:nvPicPr>
                  <pic:blipFill rotWithShape="1">
                    <a:blip r:embed="rId460" cstate="screen">
                      <a:extLst>
                        <a:ext uri="{BEBA8EAE-BF5A-486C-A8C5-ECC9F3942E4B}">
                          <a14:imgProps xmlns:a14="http://schemas.microsoft.com/office/drawing/2010/main">
                            <a14:imgLayer r:embed="rId461">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lastRenderedPageBreak/>
        <w:drawing>
          <wp:inline distT="0" distB="0" distL="0" distR="0" wp14:anchorId="3C872F78" wp14:editId="2934DEEB">
            <wp:extent cx="5400040" cy="84672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ag14.png"/>
                    <pic:cNvPicPr/>
                  </pic:nvPicPr>
                  <pic:blipFill rotWithShape="1">
                    <a:blip r:embed="rId462" cstate="screen">
                      <a:extLst>
                        <a:ext uri="{BEBA8EAE-BF5A-486C-A8C5-ECC9F3942E4B}">
                          <a14:imgProps xmlns:a14="http://schemas.microsoft.com/office/drawing/2010/main">
                            <a14:imgLayer r:embed="rId463">
                              <a14:imgEffect>
                                <a14:sharpenSoften amount="45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lastRenderedPageBreak/>
        <w:drawing>
          <wp:inline distT="0" distB="0" distL="0" distR="0" wp14:anchorId="6C58AC6B" wp14:editId="20DB76EA">
            <wp:extent cx="5400040" cy="84672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ag15.png"/>
                    <pic:cNvPicPr/>
                  </pic:nvPicPr>
                  <pic:blipFill rotWithShape="1">
                    <a:blip r:embed="rId464" cstate="screen">
                      <a:extLst>
                        <a:ext uri="{BEBA8EAE-BF5A-486C-A8C5-ECC9F3942E4B}">
                          <a14:imgProps xmlns:a14="http://schemas.microsoft.com/office/drawing/2010/main">
                            <a14:imgLayer r:embed="rId465">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lastRenderedPageBreak/>
        <w:drawing>
          <wp:inline distT="0" distB="0" distL="0" distR="0" wp14:anchorId="1E6DB42B" wp14:editId="71A5A232">
            <wp:extent cx="5400040" cy="84672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ag16.png"/>
                    <pic:cNvPicPr/>
                  </pic:nvPicPr>
                  <pic:blipFill rotWithShape="1">
                    <a:blip r:embed="rId466" cstate="screen">
                      <a:extLst>
                        <a:ext uri="{BEBA8EAE-BF5A-486C-A8C5-ECC9F3942E4B}">
                          <a14:imgProps xmlns:a14="http://schemas.microsoft.com/office/drawing/2010/main">
                            <a14:imgLayer r:embed="rId467">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lastRenderedPageBreak/>
        <w:drawing>
          <wp:inline distT="0" distB="0" distL="0" distR="0" wp14:anchorId="7A4C4A6D" wp14:editId="5BD037F3">
            <wp:extent cx="5400040" cy="84672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ag17.png"/>
                    <pic:cNvPicPr/>
                  </pic:nvPicPr>
                  <pic:blipFill rotWithShape="1">
                    <a:blip r:embed="rId468" cstate="screen">
                      <a:extLst>
                        <a:ext uri="{BEBA8EAE-BF5A-486C-A8C5-ECC9F3942E4B}">
                          <a14:imgProps xmlns:a14="http://schemas.microsoft.com/office/drawing/2010/main">
                            <a14:imgLayer r:embed="rId469">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lastRenderedPageBreak/>
        <w:drawing>
          <wp:inline distT="0" distB="0" distL="0" distR="0" wp14:anchorId="5DFF44F6" wp14:editId="2505697C">
            <wp:extent cx="5400040" cy="84672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g18.png"/>
                    <pic:cNvPicPr/>
                  </pic:nvPicPr>
                  <pic:blipFill rotWithShape="1">
                    <a:blip r:embed="rId470" cstate="screen">
                      <a:extLst>
                        <a:ext uri="{BEBA8EAE-BF5A-486C-A8C5-ECC9F3942E4B}">
                          <a14:imgProps xmlns:a14="http://schemas.microsoft.com/office/drawing/2010/main">
                            <a14:imgLayer r:embed="rId471">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lastRenderedPageBreak/>
        <w:drawing>
          <wp:inline distT="0" distB="0" distL="0" distR="0" wp14:anchorId="5BAC84E6" wp14:editId="04735701">
            <wp:extent cx="5400040" cy="84672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ag19.png"/>
                    <pic:cNvPicPr/>
                  </pic:nvPicPr>
                  <pic:blipFill rotWithShape="1">
                    <a:blip r:embed="rId472" cstate="screen">
                      <a:extLst>
                        <a:ext uri="{BEBA8EAE-BF5A-486C-A8C5-ECC9F3942E4B}">
                          <a14:imgProps xmlns:a14="http://schemas.microsoft.com/office/drawing/2010/main">
                            <a14:imgLayer r:embed="rId473">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lastRenderedPageBreak/>
        <w:drawing>
          <wp:inline distT="0" distB="0" distL="0" distR="0" wp14:anchorId="57DD86F8" wp14:editId="688FCE7A">
            <wp:extent cx="5400040" cy="84672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ag20.png"/>
                    <pic:cNvPicPr/>
                  </pic:nvPicPr>
                  <pic:blipFill rotWithShape="1">
                    <a:blip r:embed="rId474" cstate="screen">
                      <a:extLst>
                        <a:ext uri="{BEBA8EAE-BF5A-486C-A8C5-ECC9F3942E4B}">
                          <a14:imgProps xmlns:a14="http://schemas.microsoft.com/office/drawing/2010/main">
                            <a14:imgLayer r:embed="rId475">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lastRenderedPageBreak/>
        <w:drawing>
          <wp:inline distT="0" distB="0" distL="0" distR="0" wp14:anchorId="6FF11E38" wp14:editId="10214CDF">
            <wp:extent cx="5400040" cy="84672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ag21.png"/>
                    <pic:cNvPicPr/>
                  </pic:nvPicPr>
                  <pic:blipFill rotWithShape="1">
                    <a:blip r:embed="rId476" cstate="screen">
                      <a:extLst>
                        <a:ext uri="{BEBA8EAE-BF5A-486C-A8C5-ECC9F3942E4B}">
                          <a14:imgProps xmlns:a14="http://schemas.microsoft.com/office/drawing/2010/main">
                            <a14:imgLayer r:embed="rId477">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lastRenderedPageBreak/>
        <w:drawing>
          <wp:inline distT="0" distB="0" distL="0" distR="0" wp14:anchorId="688ECAAB" wp14:editId="49020326">
            <wp:extent cx="5400040" cy="846720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ag22.png"/>
                    <pic:cNvPicPr/>
                  </pic:nvPicPr>
                  <pic:blipFill rotWithShape="1">
                    <a:blip r:embed="rId478" cstate="screen">
                      <a:extLst>
                        <a:ext uri="{BEBA8EAE-BF5A-486C-A8C5-ECC9F3942E4B}">
                          <a14:imgProps xmlns:a14="http://schemas.microsoft.com/office/drawing/2010/main">
                            <a14:imgLayer r:embed="rId479">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lastRenderedPageBreak/>
        <w:drawing>
          <wp:inline distT="0" distB="0" distL="0" distR="0" wp14:anchorId="6D3F9A66" wp14:editId="3C1333D7">
            <wp:extent cx="5400040" cy="84672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ag23.png"/>
                    <pic:cNvPicPr/>
                  </pic:nvPicPr>
                  <pic:blipFill rotWithShape="1">
                    <a:blip r:embed="rId480" cstate="screen">
                      <a:extLst>
                        <a:ext uri="{BEBA8EAE-BF5A-486C-A8C5-ECC9F3942E4B}">
                          <a14:imgProps xmlns:a14="http://schemas.microsoft.com/office/drawing/2010/main">
                            <a14:imgLayer r:embed="rId481">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lastRenderedPageBreak/>
        <w:drawing>
          <wp:inline distT="0" distB="0" distL="0" distR="0" wp14:anchorId="47B89174" wp14:editId="0EB0DA86">
            <wp:extent cx="5399405" cy="84672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ag24.png"/>
                    <pic:cNvPicPr/>
                  </pic:nvPicPr>
                  <pic:blipFill rotWithShape="1">
                    <a:blip r:embed="rId482" cstate="screen">
                      <a:extLst>
                        <a:ext uri="{BEBA8EAE-BF5A-486C-A8C5-ECC9F3942E4B}">
                          <a14:imgProps xmlns:a14="http://schemas.microsoft.com/office/drawing/2010/main">
                            <a14:imgLayer r:embed="rId483">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00" cy="8468133"/>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lastRenderedPageBreak/>
        <w:drawing>
          <wp:inline distT="0" distB="0" distL="0" distR="0" wp14:anchorId="31BBEFD1" wp14:editId="11EBF40E">
            <wp:extent cx="5400040" cy="846720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ag25.png"/>
                    <pic:cNvPicPr/>
                  </pic:nvPicPr>
                  <pic:blipFill rotWithShape="1">
                    <a:blip r:embed="rId484" cstate="screen">
                      <a:extLst>
                        <a:ext uri="{BEBA8EAE-BF5A-486C-A8C5-ECC9F3942E4B}">
                          <a14:imgProps xmlns:a14="http://schemas.microsoft.com/office/drawing/2010/main">
                            <a14:imgLayer r:embed="rId485">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drawing>
          <wp:inline distT="0" distB="0" distL="0" distR="0" wp14:anchorId="23FE695F" wp14:editId="721D2266">
            <wp:extent cx="5400040" cy="84672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ag26.png"/>
                    <pic:cNvPicPr/>
                  </pic:nvPicPr>
                  <pic:blipFill rotWithShape="1">
                    <a:blip r:embed="rId486" cstate="screen">
                      <a:extLst>
                        <a:ext uri="{BEBA8EAE-BF5A-486C-A8C5-ECC9F3942E4B}">
                          <a14:imgProps xmlns:a14="http://schemas.microsoft.com/office/drawing/2010/main">
                            <a14:imgLayer r:embed="rId487">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drawing>
          <wp:inline distT="0" distB="0" distL="0" distR="0" wp14:anchorId="62BD886E" wp14:editId="1C27DB06">
            <wp:extent cx="5400040" cy="846720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ag27.png"/>
                    <pic:cNvPicPr/>
                  </pic:nvPicPr>
                  <pic:blipFill rotWithShape="1">
                    <a:blip r:embed="rId488" cstate="screen">
                      <a:extLst>
                        <a:ext uri="{BEBA8EAE-BF5A-486C-A8C5-ECC9F3942E4B}">
                          <a14:imgProps xmlns:a14="http://schemas.microsoft.com/office/drawing/2010/main">
                            <a14:imgLayer r:embed="rId489">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drawing>
          <wp:inline distT="0" distB="0" distL="0" distR="0" wp14:anchorId="400A40B5" wp14:editId="64613D30">
            <wp:extent cx="5400040" cy="846720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ag28.png"/>
                    <pic:cNvPicPr/>
                  </pic:nvPicPr>
                  <pic:blipFill rotWithShape="1">
                    <a:blip r:embed="rId490" cstate="screen">
                      <a:extLst>
                        <a:ext uri="{BEBA8EAE-BF5A-486C-A8C5-ECC9F3942E4B}">
                          <a14:imgProps xmlns:a14="http://schemas.microsoft.com/office/drawing/2010/main">
                            <a14:imgLayer r:embed="rId491">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drawing>
          <wp:inline distT="0" distB="0" distL="0" distR="0" wp14:anchorId="017547B0" wp14:editId="0B4BD7F9">
            <wp:extent cx="5400040" cy="846720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ag29.png"/>
                    <pic:cNvPicPr/>
                  </pic:nvPicPr>
                  <pic:blipFill rotWithShape="1">
                    <a:blip r:embed="rId492" cstate="screen">
                      <a:extLst>
                        <a:ext uri="{BEBA8EAE-BF5A-486C-A8C5-ECC9F3942E4B}">
                          <a14:imgProps xmlns:a14="http://schemas.microsoft.com/office/drawing/2010/main">
                            <a14:imgLayer r:embed="rId493">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drawing>
          <wp:inline distT="0" distB="0" distL="0" distR="0" wp14:anchorId="77A9254D" wp14:editId="2F08E902">
            <wp:extent cx="5400040" cy="84672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ag30.png"/>
                    <pic:cNvPicPr/>
                  </pic:nvPicPr>
                  <pic:blipFill rotWithShape="1">
                    <a:blip r:embed="rId494" cstate="screen">
                      <a:extLst>
                        <a:ext uri="{BEBA8EAE-BF5A-486C-A8C5-ECC9F3942E4B}">
                          <a14:imgProps xmlns:a14="http://schemas.microsoft.com/office/drawing/2010/main">
                            <a14:imgLayer r:embed="rId495">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drawing>
          <wp:inline distT="0" distB="0" distL="0" distR="0" wp14:anchorId="03DFAE7F" wp14:editId="3735FD87">
            <wp:extent cx="5400040" cy="846720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ag31.png"/>
                    <pic:cNvPicPr/>
                  </pic:nvPicPr>
                  <pic:blipFill rotWithShape="1">
                    <a:blip r:embed="rId496" cstate="screen">
                      <a:extLst>
                        <a:ext uri="{BEBA8EAE-BF5A-486C-A8C5-ECC9F3942E4B}">
                          <a14:imgProps xmlns:a14="http://schemas.microsoft.com/office/drawing/2010/main">
                            <a14:imgLayer r:embed="rId497">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drawing>
          <wp:inline distT="0" distB="0" distL="0" distR="0" wp14:anchorId="2D4BF125" wp14:editId="556EEEC2">
            <wp:extent cx="5400040" cy="846720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ag32.png"/>
                    <pic:cNvPicPr/>
                  </pic:nvPicPr>
                  <pic:blipFill rotWithShape="1">
                    <a:blip r:embed="rId498" cstate="screen">
                      <a:extLst>
                        <a:ext uri="{BEBA8EAE-BF5A-486C-A8C5-ECC9F3942E4B}">
                          <a14:imgProps xmlns:a14="http://schemas.microsoft.com/office/drawing/2010/main">
                            <a14:imgLayer r:embed="rId499">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drawing>
          <wp:inline distT="0" distB="0" distL="0" distR="0" wp14:anchorId="1BCA6BE9" wp14:editId="3F9A7E8B">
            <wp:extent cx="5400040" cy="846720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ag33.png"/>
                    <pic:cNvPicPr/>
                  </pic:nvPicPr>
                  <pic:blipFill rotWithShape="1">
                    <a:blip r:embed="rId500" cstate="screen">
                      <a:extLst>
                        <a:ext uri="{BEBA8EAE-BF5A-486C-A8C5-ECC9F3942E4B}">
                          <a14:imgProps xmlns:a14="http://schemas.microsoft.com/office/drawing/2010/main">
                            <a14:imgLayer r:embed="rId501">
                              <a14:imgEffect>
                                <a14:sharpenSoften amount="49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drawing>
          <wp:inline distT="0" distB="0" distL="0" distR="0" wp14:anchorId="24F57D7A" wp14:editId="78DB8922">
            <wp:extent cx="5400040" cy="84672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ag34.png"/>
                    <pic:cNvPicPr/>
                  </pic:nvPicPr>
                  <pic:blipFill rotWithShape="1">
                    <a:blip r:embed="rId502" cstate="screen">
                      <a:extLst>
                        <a:ext uri="{BEBA8EAE-BF5A-486C-A8C5-ECC9F3942E4B}">
                          <a14:imgProps xmlns:a14="http://schemas.microsoft.com/office/drawing/2010/main">
                            <a14:imgLayer r:embed="rId503">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drawing>
          <wp:inline distT="0" distB="0" distL="0" distR="0" wp14:anchorId="1928D910" wp14:editId="4F1BEA17">
            <wp:extent cx="5400040" cy="84672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g35.png"/>
                    <pic:cNvPicPr/>
                  </pic:nvPicPr>
                  <pic:blipFill rotWithShape="1">
                    <a:blip r:embed="rId504" cstate="screen">
                      <a:extLst>
                        <a:ext uri="{BEBA8EAE-BF5A-486C-A8C5-ECC9F3942E4B}">
                          <a14:imgProps xmlns:a14="http://schemas.microsoft.com/office/drawing/2010/main">
                            <a14:imgLayer r:embed="rId505">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b/>
          <w:noProof/>
          <w:sz w:val="20"/>
          <w:szCs w:val="20"/>
        </w:rPr>
        <w:drawing>
          <wp:inline distT="0" distB="0" distL="0" distR="0" wp14:anchorId="7CF065CB" wp14:editId="2D7E1D1A">
            <wp:extent cx="5400040" cy="84672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ag36.png"/>
                    <pic:cNvPicPr/>
                  </pic:nvPicPr>
                  <pic:blipFill rotWithShape="1">
                    <a:blip r:embed="rId506" cstate="screen">
                      <a:extLst>
                        <a:ext uri="{BEBA8EAE-BF5A-486C-A8C5-ECC9F3942E4B}">
                          <a14:imgProps xmlns:a14="http://schemas.microsoft.com/office/drawing/2010/main">
                            <a14:imgLayer r:embed="rId507">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p>
    <w:p w14:paraId="62E3FD3E" w14:textId="77777777" w:rsidR="00C84C47" w:rsidRPr="00A07BE9" w:rsidRDefault="00C84C47">
      <w:pPr>
        <w:rPr>
          <w:rFonts w:ascii="Open Sans" w:hAnsi="Open Sans" w:cs="Open Sans"/>
          <w:b/>
          <w:sz w:val="20"/>
          <w:szCs w:val="20"/>
        </w:rPr>
      </w:pPr>
    </w:p>
    <w:p w14:paraId="7F0657DA" w14:textId="77777777" w:rsidR="00512A03" w:rsidRPr="00A07BE9" w:rsidRDefault="00512A03" w:rsidP="00316401">
      <w:pPr>
        <w:spacing w:before="2000"/>
        <w:jc w:val="right"/>
        <w:rPr>
          <w:rFonts w:ascii="Open Sans" w:hAnsi="Open Sans" w:cs="Open Sans"/>
          <w:b/>
          <w:color w:val="9D2235"/>
          <w:sz w:val="80"/>
          <w:szCs w:val="80"/>
        </w:rPr>
      </w:pPr>
    </w:p>
    <w:p w14:paraId="5F7716E0" w14:textId="0B380437" w:rsidR="00316401" w:rsidRPr="00A07BE9" w:rsidRDefault="00316401" w:rsidP="00316401">
      <w:pPr>
        <w:spacing w:before="2000"/>
        <w:jc w:val="right"/>
        <w:rPr>
          <w:rFonts w:ascii="Open Sans" w:hAnsi="Open Sans" w:cs="Open Sans"/>
          <w:b/>
          <w:color w:val="9D2235"/>
          <w:sz w:val="80"/>
          <w:szCs w:val="80"/>
        </w:rPr>
      </w:pPr>
      <w:r w:rsidRPr="00A07BE9">
        <w:rPr>
          <w:rFonts w:ascii="Open Sans" w:hAnsi="Open Sans" w:cs="Open Sans"/>
          <w:b/>
          <w:color w:val="9D2235"/>
          <w:sz w:val="80"/>
          <w:szCs w:val="80"/>
        </w:rPr>
        <w:t>Anexo II</w:t>
      </w:r>
    </w:p>
    <w:p w14:paraId="76B58A08" w14:textId="77777777" w:rsidR="00316401" w:rsidRPr="00A07BE9" w:rsidRDefault="00316401" w:rsidP="00316401">
      <w:pPr>
        <w:jc w:val="right"/>
        <w:rPr>
          <w:rFonts w:ascii="Open Sans" w:hAnsi="Open Sans" w:cs="Open Sans"/>
          <w:color w:val="9D2235"/>
          <w:sz w:val="60"/>
          <w:szCs w:val="60"/>
        </w:rPr>
      </w:pPr>
      <w:r w:rsidRPr="00A07BE9">
        <w:rPr>
          <w:rFonts w:ascii="Open Sans" w:hAnsi="Open Sans" w:cs="Open Sans"/>
          <w:color w:val="9D2235"/>
          <w:sz w:val="60"/>
          <w:szCs w:val="60"/>
        </w:rPr>
        <w:t xml:space="preserve">Directiva (UE) 2019/1937 del Parlamento Europeo y del Consejo, de 23 de octubre de 2019, </w:t>
      </w:r>
      <w:bookmarkStart w:id="46" w:name="_Hlk36208642"/>
      <w:r w:rsidRPr="00A07BE9">
        <w:rPr>
          <w:rFonts w:ascii="Open Sans" w:hAnsi="Open Sans" w:cs="Open Sans"/>
          <w:color w:val="9D2235"/>
          <w:sz w:val="60"/>
          <w:szCs w:val="60"/>
        </w:rPr>
        <w:t>relativa a la protección de las personas que informen sobre infracciones del Derecho de la Unión</w:t>
      </w:r>
      <w:bookmarkEnd w:id="46"/>
    </w:p>
    <w:p w14:paraId="2D7D3C02" w14:textId="77777777" w:rsidR="00296BB3" w:rsidRPr="00A07BE9" w:rsidRDefault="00296BB3" w:rsidP="00296BB3">
      <w:pPr>
        <w:jc w:val="right"/>
        <w:rPr>
          <w:rFonts w:ascii="Open Sans" w:hAnsi="Open Sans" w:cs="Open Sans"/>
          <w:color w:val="9D2235"/>
          <w:sz w:val="60"/>
          <w:szCs w:val="60"/>
        </w:rPr>
      </w:pPr>
    </w:p>
    <w:p w14:paraId="3873F02B" w14:textId="77777777" w:rsidR="00296BB3" w:rsidRPr="00A07BE9" w:rsidRDefault="00296BB3" w:rsidP="00296BB3">
      <w:pPr>
        <w:jc w:val="right"/>
        <w:rPr>
          <w:rFonts w:ascii="Open Sans" w:hAnsi="Open Sans" w:cs="Open Sans"/>
          <w:color w:val="9D2235"/>
          <w:sz w:val="21"/>
          <w:szCs w:val="21"/>
        </w:rPr>
      </w:pPr>
    </w:p>
    <w:p w14:paraId="52D17A7C" w14:textId="77777777" w:rsidR="00316401" w:rsidRPr="00A07BE9" w:rsidRDefault="00316401" w:rsidP="00296BB3">
      <w:pPr>
        <w:jc w:val="right"/>
        <w:rPr>
          <w:rFonts w:ascii="Open Sans" w:hAnsi="Open Sans" w:cs="Open Sans"/>
          <w:color w:val="9D2235"/>
          <w:sz w:val="21"/>
          <w:szCs w:val="21"/>
        </w:rPr>
      </w:pPr>
    </w:p>
    <w:p w14:paraId="4954D138" w14:textId="77777777" w:rsidR="001B7D0D" w:rsidRPr="00A07BE9" w:rsidRDefault="001B7D0D" w:rsidP="00296BB3">
      <w:pPr>
        <w:jc w:val="right"/>
        <w:rPr>
          <w:rFonts w:ascii="Open Sans" w:hAnsi="Open Sans" w:cs="Open Sans"/>
          <w:color w:val="9D2235"/>
          <w:sz w:val="21"/>
          <w:szCs w:val="21"/>
        </w:rPr>
        <w:sectPr w:rsidR="001B7D0D" w:rsidRPr="00A07BE9" w:rsidSect="00512A03">
          <w:headerReference w:type="first" r:id="rId508"/>
          <w:footerReference w:type="first" r:id="rId509"/>
          <w:pgSz w:w="11906" w:h="16838"/>
          <w:pgMar w:top="1134" w:right="1701" w:bottom="1134" w:left="1701" w:header="567" w:footer="227" w:gutter="0"/>
          <w:cols w:space="708"/>
          <w:titlePg/>
          <w:docGrid w:linePitch="360"/>
        </w:sectPr>
      </w:pPr>
    </w:p>
    <w:p w14:paraId="55EB39F1" w14:textId="77777777" w:rsidR="00316401" w:rsidRPr="00A07BE9" w:rsidRDefault="00316401" w:rsidP="00296BB3">
      <w:pPr>
        <w:jc w:val="right"/>
        <w:rPr>
          <w:rFonts w:ascii="Open Sans" w:hAnsi="Open Sans" w:cs="Open Sans"/>
          <w:color w:val="9D2235"/>
          <w:sz w:val="21"/>
          <w:szCs w:val="21"/>
        </w:rPr>
      </w:pPr>
    </w:p>
    <w:p w14:paraId="3C1AC245" w14:textId="77777777" w:rsidR="00FA46E6" w:rsidRPr="00A07BE9" w:rsidRDefault="001B7D0D" w:rsidP="00B2706D">
      <w:pPr>
        <w:jc w:val="right"/>
        <w:rPr>
          <w:rFonts w:ascii="Open Sans" w:hAnsi="Open Sans" w:cs="Open Sans"/>
          <w:color w:val="000000" w:themeColor="text1"/>
          <w:sz w:val="21"/>
          <w:szCs w:val="21"/>
        </w:rPr>
      </w:pPr>
      <w:r w:rsidRPr="00A07BE9">
        <w:rPr>
          <w:rFonts w:ascii="Open Sans" w:hAnsi="Open Sans" w:cs="Open Sans"/>
          <w:noProof/>
          <w:color w:val="000000" w:themeColor="text1"/>
          <w:sz w:val="21"/>
          <w:szCs w:val="21"/>
        </w:rPr>
        <w:drawing>
          <wp:inline distT="0" distB="0" distL="0" distR="0" wp14:anchorId="5A2F27C4" wp14:editId="15293A2F">
            <wp:extent cx="5400040" cy="8467200"/>
            <wp:effectExtent l="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ag1.png"/>
                    <pic:cNvPicPr/>
                  </pic:nvPicPr>
                  <pic:blipFill rotWithShape="1">
                    <a:blip r:embed="rId510" cstate="screen">
                      <a:extLst>
                        <a:ext uri="{BEBA8EAE-BF5A-486C-A8C5-ECC9F3942E4B}">
                          <a14:imgProps xmlns:a14="http://schemas.microsoft.com/office/drawing/2010/main">
                            <a14:imgLayer r:embed="rId511">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7569AEA4" wp14:editId="38DFE70C">
            <wp:extent cx="5400040" cy="8467200"/>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ag2.png"/>
                    <pic:cNvPicPr/>
                  </pic:nvPicPr>
                  <pic:blipFill rotWithShape="1">
                    <a:blip r:embed="rId512" cstate="screen">
                      <a:extLst>
                        <a:ext uri="{BEBA8EAE-BF5A-486C-A8C5-ECC9F3942E4B}">
                          <a14:imgProps xmlns:a14="http://schemas.microsoft.com/office/drawing/2010/main">
                            <a14:imgLayer r:embed="rId513">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0FF6934E" wp14:editId="6A062756">
            <wp:extent cx="5400040" cy="8467200"/>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ag3.png"/>
                    <pic:cNvPicPr/>
                  </pic:nvPicPr>
                  <pic:blipFill rotWithShape="1">
                    <a:blip r:embed="rId514" cstate="screen">
                      <a:extLst>
                        <a:ext uri="{BEBA8EAE-BF5A-486C-A8C5-ECC9F3942E4B}">
                          <a14:imgProps xmlns:a14="http://schemas.microsoft.com/office/drawing/2010/main">
                            <a14:imgLayer r:embed="rId515">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527B57FE" wp14:editId="2A89EE93">
            <wp:extent cx="5400040" cy="8467200"/>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ag4.png"/>
                    <pic:cNvPicPr/>
                  </pic:nvPicPr>
                  <pic:blipFill rotWithShape="1">
                    <a:blip r:embed="rId516" cstate="screen">
                      <a:extLst>
                        <a:ext uri="{BEBA8EAE-BF5A-486C-A8C5-ECC9F3942E4B}">
                          <a14:imgProps xmlns:a14="http://schemas.microsoft.com/office/drawing/2010/main">
                            <a14:imgLayer r:embed="rId517">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4636487B" wp14:editId="7352DAF0">
            <wp:extent cx="5399405" cy="8463600"/>
            <wp:effectExtent l="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ag5.png"/>
                    <pic:cNvPicPr/>
                  </pic:nvPicPr>
                  <pic:blipFill rotWithShape="1">
                    <a:blip r:embed="rId518" cstate="screen">
                      <a:extLst>
                        <a:ext uri="{BEBA8EAE-BF5A-486C-A8C5-ECC9F3942E4B}">
                          <a14:imgProps xmlns:a14="http://schemas.microsoft.com/office/drawing/2010/main">
                            <a14:imgLayer r:embed="rId519">
                              <a14:imgEffect>
                                <a14:sharpenSoften amount="50000"/>
                              </a14:imgEffect>
                            </a14:imgLayer>
                          </a14:imgProps>
                        </a:ext>
                        <a:ext uri="{28A0092B-C50C-407E-A947-70E740481C1C}">
                          <a14:useLocalDpi xmlns:a14="http://schemas.microsoft.com/office/drawing/2010/main"/>
                        </a:ext>
                      </a:extLst>
                    </a:blip>
                    <a:srcRect l="8233" t="6354" r="8233" b="6354"/>
                    <a:stretch/>
                  </pic:blipFill>
                  <pic:spPr bwMode="auto">
                    <a:xfrm>
                      <a:off x="0" y="0"/>
                      <a:ext cx="5413050" cy="8484989"/>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0795639A" wp14:editId="1AF990D3">
            <wp:extent cx="5400040" cy="8467200"/>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ag6.png"/>
                    <pic:cNvPicPr/>
                  </pic:nvPicPr>
                  <pic:blipFill rotWithShape="1">
                    <a:blip r:embed="rId520" cstate="screen">
                      <a:extLst>
                        <a:ext uri="{BEBA8EAE-BF5A-486C-A8C5-ECC9F3942E4B}">
                          <a14:imgProps xmlns:a14="http://schemas.microsoft.com/office/drawing/2010/main">
                            <a14:imgLayer r:embed="rId521">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64668B9E" wp14:editId="6AE485CE">
            <wp:extent cx="5400040" cy="8467200"/>
            <wp:effectExtent l="0" t="0" r="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ag7.png"/>
                    <pic:cNvPicPr/>
                  </pic:nvPicPr>
                  <pic:blipFill rotWithShape="1">
                    <a:blip r:embed="rId522" cstate="screen">
                      <a:extLst>
                        <a:ext uri="{BEBA8EAE-BF5A-486C-A8C5-ECC9F3942E4B}">
                          <a14:imgProps xmlns:a14="http://schemas.microsoft.com/office/drawing/2010/main">
                            <a14:imgLayer r:embed="rId523">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23616E7F" wp14:editId="5A51516A">
            <wp:extent cx="5400040" cy="8467200"/>
            <wp:effectExtent l="0" t="0" r="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ag8.png"/>
                    <pic:cNvPicPr/>
                  </pic:nvPicPr>
                  <pic:blipFill rotWithShape="1">
                    <a:blip r:embed="rId524" cstate="screen">
                      <a:extLst>
                        <a:ext uri="{BEBA8EAE-BF5A-486C-A8C5-ECC9F3942E4B}">
                          <a14:imgProps xmlns:a14="http://schemas.microsoft.com/office/drawing/2010/main">
                            <a14:imgLayer r:embed="rId525">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74A6B43F" wp14:editId="1CE98C8C">
            <wp:extent cx="5400040" cy="8467200"/>
            <wp:effectExtent l="0" t="0" r="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ag9.png"/>
                    <pic:cNvPicPr/>
                  </pic:nvPicPr>
                  <pic:blipFill rotWithShape="1">
                    <a:blip r:embed="rId526" cstate="screen">
                      <a:extLst>
                        <a:ext uri="{BEBA8EAE-BF5A-486C-A8C5-ECC9F3942E4B}">
                          <a14:imgProps xmlns:a14="http://schemas.microsoft.com/office/drawing/2010/main">
                            <a14:imgLayer r:embed="rId527">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39D386FC" wp14:editId="0A0D151B">
            <wp:extent cx="5400040" cy="8467200"/>
            <wp:effectExtent l="0" t="0" r="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ag10.png"/>
                    <pic:cNvPicPr/>
                  </pic:nvPicPr>
                  <pic:blipFill rotWithShape="1">
                    <a:blip r:embed="rId528" cstate="screen">
                      <a:extLst>
                        <a:ext uri="{BEBA8EAE-BF5A-486C-A8C5-ECC9F3942E4B}">
                          <a14:imgProps xmlns:a14="http://schemas.microsoft.com/office/drawing/2010/main">
                            <a14:imgLayer r:embed="rId529">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0C9DB1D2" wp14:editId="2716821F">
            <wp:extent cx="5400040" cy="8467200"/>
            <wp:effectExtent l="0" t="0" r="0"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ag11.png"/>
                    <pic:cNvPicPr/>
                  </pic:nvPicPr>
                  <pic:blipFill rotWithShape="1">
                    <a:blip r:embed="rId530" cstate="screen">
                      <a:extLst>
                        <a:ext uri="{BEBA8EAE-BF5A-486C-A8C5-ECC9F3942E4B}">
                          <a14:imgProps xmlns:a14="http://schemas.microsoft.com/office/drawing/2010/main">
                            <a14:imgLayer r:embed="rId531">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6951942C" wp14:editId="522BD750">
            <wp:extent cx="5400040" cy="8467200"/>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ag12.png"/>
                    <pic:cNvPicPr/>
                  </pic:nvPicPr>
                  <pic:blipFill rotWithShape="1">
                    <a:blip r:embed="rId532" cstate="screen">
                      <a:extLst>
                        <a:ext uri="{BEBA8EAE-BF5A-486C-A8C5-ECC9F3942E4B}">
                          <a14:imgProps xmlns:a14="http://schemas.microsoft.com/office/drawing/2010/main">
                            <a14:imgLayer r:embed="rId533">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2C9712BD" wp14:editId="6D5C8562">
            <wp:extent cx="5400040" cy="8467200"/>
            <wp:effectExtent l="0" t="0" r="0"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ag13.png"/>
                    <pic:cNvPicPr/>
                  </pic:nvPicPr>
                  <pic:blipFill rotWithShape="1">
                    <a:blip r:embed="rId534" cstate="screen">
                      <a:extLst>
                        <a:ext uri="{BEBA8EAE-BF5A-486C-A8C5-ECC9F3942E4B}">
                          <a14:imgProps xmlns:a14="http://schemas.microsoft.com/office/drawing/2010/main">
                            <a14:imgLayer r:embed="rId535">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0D702A97" wp14:editId="72FEDF23">
            <wp:extent cx="5400040" cy="8467200"/>
            <wp:effectExtent l="0" t="0" r="0"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ag14.png"/>
                    <pic:cNvPicPr/>
                  </pic:nvPicPr>
                  <pic:blipFill rotWithShape="1">
                    <a:blip r:embed="rId536" cstate="screen">
                      <a:extLst>
                        <a:ext uri="{BEBA8EAE-BF5A-486C-A8C5-ECC9F3942E4B}">
                          <a14:imgProps xmlns:a14="http://schemas.microsoft.com/office/drawing/2010/main">
                            <a14:imgLayer r:embed="rId537">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6934B8A2" wp14:editId="7ADBD0AA">
            <wp:extent cx="5400040" cy="8467200"/>
            <wp:effectExtent l="0" t="0" r="0" b="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ag15.png"/>
                    <pic:cNvPicPr/>
                  </pic:nvPicPr>
                  <pic:blipFill rotWithShape="1">
                    <a:blip r:embed="rId538" cstate="screen">
                      <a:extLst>
                        <a:ext uri="{BEBA8EAE-BF5A-486C-A8C5-ECC9F3942E4B}">
                          <a14:imgProps xmlns:a14="http://schemas.microsoft.com/office/drawing/2010/main">
                            <a14:imgLayer r:embed="rId539">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4B2FD27C" wp14:editId="1D9590B3">
            <wp:extent cx="5400040" cy="8467200"/>
            <wp:effectExtent l="0" t="0" r="0" b="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ag16.png"/>
                    <pic:cNvPicPr/>
                  </pic:nvPicPr>
                  <pic:blipFill rotWithShape="1">
                    <a:blip r:embed="rId540" cstate="screen">
                      <a:extLst>
                        <a:ext uri="{BEBA8EAE-BF5A-486C-A8C5-ECC9F3942E4B}">
                          <a14:imgProps xmlns:a14="http://schemas.microsoft.com/office/drawing/2010/main">
                            <a14:imgLayer r:embed="rId541">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275DCD4A" wp14:editId="6EB5E6A9">
            <wp:extent cx="5400040" cy="8467200"/>
            <wp:effectExtent l="0" t="0" r="0" b="0"/>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ag17.png"/>
                    <pic:cNvPicPr/>
                  </pic:nvPicPr>
                  <pic:blipFill rotWithShape="1">
                    <a:blip r:embed="rId542" cstate="screen">
                      <a:extLst>
                        <a:ext uri="{BEBA8EAE-BF5A-486C-A8C5-ECC9F3942E4B}">
                          <a14:imgProps xmlns:a14="http://schemas.microsoft.com/office/drawing/2010/main">
                            <a14:imgLayer r:embed="rId543">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1AC4C38A" wp14:editId="754192F5">
            <wp:extent cx="5400040" cy="8467200"/>
            <wp:effectExtent l="0" t="0" r="0" b="0"/>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ag18.png"/>
                    <pic:cNvPicPr/>
                  </pic:nvPicPr>
                  <pic:blipFill rotWithShape="1">
                    <a:blip r:embed="rId544" cstate="screen">
                      <a:extLst>
                        <a:ext uri="{BEBA8EAE-BF5A-486C-A8C5-ECC9F3942E4B}">
                          <a14:imgProps xmlns:a14="http://schemas.microsoft.com/office/drawing/2010/main">
                            <a14:imgLayer r:embed="rId545">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31F03565" wp14:editId="4149A5F8">
            <wp:extent cx="5400040" cy="8467200"/>
            <wp:effectExtent l="0" t="0" r="0" b="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ag19.png"/>
                    <pic:cNvPicPr/>
                  </pic:nvPicPr>
                  <pic:blipFill rotWithShape="1">
                    <a:blip r:embed="rId546" cstate="screen">
                      <a:extLst>
                        <a:ext uri="{BEBA8EAE-BF5A-486C-A8C5-ECC9F3942E4B}">
                          <a14:imgProps xmlns:a14="http://schemas.microsoft.com/office/drawing/2010/main">
                            <a14:imgLayer r:embed="rId547">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310CF77F" wp14:editId="247451E1">
            <wp:extent cx="5400040" cy="8467200"/>
            <wp:effectExtent l="0" t="0" r="0" b="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ag20.png"/>
                    <pic:cNvPicPr/>
                  </pic:nvPicPr>
                  <pic:blipFill rotWithShape="1">
                    <a:blip r:embed="rId548" cstate="screen">
                      <a:extLst>
                        <a:ext uri="{BEBA8EAE-BF5A-486C-A8C5-ECC9F3942E4B}">
                          <a14:imgProps xmlns:a14="http://schemas.microsoft.com/office/drawing/2010/main">
                            <a14:imgLayer r:embed="rId549">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0E574446" wp14:editId="4F7E2A6D">
            <wp:extent cx="5400040" cy="8467200"/>
            <wp:effectExtent l="0" t="0" r="0" b="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ag21.png"/>
                    <pic:cNvPicPr/>
                  </pic:nvPicPr>
                  <pic:blipFill rotWithShape="1">
                    <a:blip r:embed="rId550" cstate="screen">
                      <a:extLst>
                        <a:ext uri="{BEBA8EAE-BF5A-486C-A8C5-ECC9F3942E4B}">
                          <a14:imgProps xmlns:a14="http://schemas.microsoft.com/office/drawing/2010/main">
                            <a14:imgLayer r:embed="rId551">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4FFE63BF" wp14:editId="2D193A80">
            <wp:extent cx="5400040" cy="8467200"/>
            <wp:effectExtent l="0" t="0" r="0" b="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ag22.png"/>
                    <pic:cNvPicPr/>
                  </pic:nvPicPr>
                  <pic:blipFill rotWithShape="1">
                    <a:blip r:embed="rId552" cstate="screen">
                      <a:extLst>
                        <a:ext uri="{BEBA8EAE-BF5A-486C-A8C5-ECC9F3942E4B}">
                          <a14:imgProps xmlns:a14="http://schemas.microsoft.com/office/drawing/2010/main">
                            <a14:imgLayer r:embed="rId553">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1AF7FDDE" wp14:editId="04E694C8">
            <wp:extent cx="5400040" cy="8467200"/>
            <wp:effectExtent l="0" t="0" r="0" b="0"/>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ag23.png"/>
                    <pic:cNvPicPr/>
                  </pic:nvPicPr>
                  <pic:blipFill rotWithShape="1">
                    <a:blip r:embed="rId554" cstate="screen">
                      <a:extLst>
                        <a:ext uri="{BEBA8EAE-BF5A-486C-A8C5-ECC9F3942E4B}">
                          <a14:imgProps xmlns:a14="http://schemas.microsoft.com/office/drawing/2010/main">
                            <a14:imgLayer r:embed="rId555">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5460CB4B" wp14:editId="50AA8B8A">
            <wp:extent cx="5400040" cy="8467200"/>
            <wp:effectExtent l="0" t="0" r="0" b="0"/>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ag24.png"/>
                    <pic:cNvPicPr/>
                  </pic:nvPicPr>
                  <pic:blipFill rotWithShape="1">
                    <a:blip r:embed="rId556" cstate="screen">
                      <a:extLst>
                        <a:ext uri="{BEBA8EAE-BF5A-486C-A8C5-ECC9F3942E4B}">
                          <a14:imgProps xmlns:a14="http://schemas.microsoft.com/office/drawing/2010/main">
                            <a14:imgLayer r:embed="rId557">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3420F8BF" wp14:editId="63B112F9">
            <wp:extent cx="5400040" cy="8467200"/>
            <wp:effectExtent l="0" t="0" r="0" b="0"/>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ag25.png"/>
                    <pic:cNvPicPr/>
                  </pic:nvPicPr>
                  <pic:blipFill rotWithShape="1">
                    <a:blip r:embed="rId558" cstate="screen">
                      <a:extLst>
                        <a:ext uri="{BEBA8EAE-BF5A-486C-A8C5-ECC9F3942E4B}">
                          <a14:imgProps xmlns:a14="http://schemas.microsoft.com/office/drawing/2010/main">
                            <a14:imgLayer r:embed="rId559">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6E0030C6" wp14:editId="5EE40200">
            <wp:extent cx="5400040" cy="8467200"/>
            <wp:effectExtent l="0" t="0" r="0" b="0"/>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ag26.png"/>
                    <pic:cNvPicPr/>
                  </pic:nvPicPr>
                  <pic:blipFill rotWithShape="1">
                    <a:blip r:embed="rId560" cstate="screen">
                      <a:extLst>
                        <a:ext uri="{BEBA8EAE-BF5A-486C-A8C5-ECC9F3942E4B}">
                          <a14:imgProps xmlns:a14="http://schemas.microsoft.com/office/drawing/2010/main">
                            <a14:imgLayer r:embed="rId561">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1FD59FEE" wp14:editId="2F4D8595">
            <wp:extent cx="5400040" cy="8467200"/>
            <wp:effectExtent l="0" t="0" r="0" b="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ag27.png"/>
                    <pic:cNvPicPr/>
                  </pic:nvPicPr>
                  <pic:blipFill rotWithShape="1">
                    <a:blip r:embed="rId562" cstate="screen">
                      <a:extLst>
                        <a:ext uri="{BEBA8EAE-BF5A-486C-A8C5-ECC9F3942E4B}">
                          <a14:imgProps xmlns:a14="http://schemas.microsoft.com/office/drawing/2010/main">
                            <a14:imgLayer r:embed="rId563">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0198F2C0" wp14:editId="4A56BA86">
            <wp:extent cx="5400040" cy="8467200"/>
            <wp:effectExtent l="0" t="0" r="0" b="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ag28.png"/>
                    <pic:cNvPicPr/>
                  </pic:nvPicPr>
                  <pic:blipFill rotWithShape="1">
                    <a:blip r:embed="rId564" cstate="screen">
                      <a:extLst>
                        <a:ext uri="{BEBA8EAE-BF5A-486C-A8C5-ECC9F3942E4B}">
                          <a14:imgProps xmlns:a14="http://schemas.microsoft.com/office/drawing/2010/main">
                            <a14:imgLayer r:embed="rId565">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58ABF2F6" wp14:editId="04AD01CE">
            <wp:extent cx="5400040" cy="8467200"/>
            <wp:effectExtent l="0" t="0" r="0" b="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ag29.png"/>
                    <pic:cNvPicPr/>
                  </pic:nvPicPr>
                  <pic:blipFill rotWithShape="1">
                    <a:blip r:embed="rId566" cstate="screen">
                      <a:extLst>
                        <a:ext uri="{BEBA8EAE-BF5A-486C-A8C5-ECC9F3942E4B}">
                          <a14:imgProps xmlns:a14="http://schemas.microsoft.com/office/drawing/2010/main">
                            <a14:imgLayer r:embed="rId567">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7D523067" wp14:editId="1340435D">
            <wp:extent cx="5400040" cy="8467200"/>
            <wp:effectExtent l="0" t="0" r="0" b="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ag30.png"/>
                    <pic:cNvPicPr/>
                  </pic:nvPicPr>
                  <pic:blipFill rotWithShape="1">
                    <a:blip r:embed="rId568" cstate="screen">
                      <a:extLst>
                        <a:ext uri="{BEBA8EAE-BF5A-486C-A8C5-ECC9F3942E4B}">
                          <a14:imgProps xmlns:a14="http://schemas.microsoft.com/office/drawing/2010/main">
                            <a14:imgLayer r:embed="rId569">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107A620C" wp14:editId="736EB32F">
            <wp:extent cx="5400040" cy="8467200"/>
            <wp:effectExtent l="0" t="0" r="0" b="0"/>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ag31.png"/>
                    <pic:cNvPicPr/>
                  </pic:nvPicPr>
                  <pic:blipFill rotWithShape="1">
                    <a:blip r:embed="rId570" cstate="screen">
                      <a:extLst>
                        <a:ext uri="{BEBA8EAE-BF5A-486C-A8C5-ECC9F3942E4B}">
                          <a14:imgProps xmlns:a14="http://schemas.microsoft.com/office/drawing/2010/main">
                            <a14:imgLayer r:embed="rId571">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7D93E5BB" wp14:editId="4FF6EEDF">
            <wp:extent cx="5400040" cy="8467200"/>
            <wp:effectExtent l="0" t="0" r="0" b="0"/>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ag32.png"/>
                    <pic:cNvPicPr/>
                  </pic:nvPicPr>
                  <pic:blipFill rotWithShape="1">
                    <a:blip r:embed="rId572" cstate="screen">
                      <a:extLst>
                        <a:ext uri="{BEBA8EAE-BF5A-486C-A8C5-ECC9F3942E4B}">
                          <a14:imgProps xmlns:a14="http://schemas.microsoft.com/office/drawing/2010/main">
                            <a14:imgLayer r:embed="rId573">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345AA80C" wp14:editId="0479AE8A">
            <wp:extent cx="5400040" cy="8467200"/>
            <wp:effectExtent l="0" t="0" r="0" b="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ag33.png"/>
                    <pic:cNvPicPr/>
                  </pic:nvPicPr>
                  <pic:blipFill rotWithShape="1">
                    <a:blip r:embed="rId574" cstate="screen">
                      <a:extLst>
                        <a:ext uri="{BEBA8EAE-BF5A-486C-A8C5-ECC9F3942E4B}">
                          <a14:imgProps xmlns:a14="http://schemas.microsoft.com/office/drawing/2010/main">
                            <a14:imgLayer r:embed="rId575">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7A18F089" wp14:editId="166D848D">
            <wp:extent cx="5400040" cy="8467200"/>
            <wp:effectExtent l="0" t="0" r="0" b="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ag34.png"/>
                    <pic:cNvPicPr/>
                  </pic:nvPicPr>
                  <pic:blipFill rotWithShape="1">
                    <a:blip r:embed="rId576" cstate="screen">
                      <a:extLst>
                        <a:ext uri="{BEBA8EAE-BF5A-486C-A8C5-ECC9F3942E4B}">
                          <a14:imgProps xmlns:a14="http://schemas.microsoft.com/office/drawing/2010/main">
                            <a14:imgLayer r:embed="rId577">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482E719E" wp14:editId="72485F6F">
            <wp:extent cx="5400040" cy="8467200"/>
            <wp:effectExtent l="0" t="0" r="0" b="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ag35.png"/>
                    <pic:cNvPicPr/>
                  </pic:nvPicPr>
                  <pic:blipFill rotWithShape="1">
                    <a:blip r:embed="rId578" cstate="screen">
                      <a:extLst>
                        <a:ext uri="{BEBA8EAE-BF5A-486C-A8C5-ECC9F3942E4B}">
                          <a14:imgProps xmlns:a14="http://schemas.microsoft.com/office/drawing/2010/main">
                            <a14:imgLayer r:embed="rId579">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2ABE3D83" wp14:editId="6165BD11">
            <wp:extent cx="5400040" cy="8467200"/>
            <wp:effectExtent l="0" t="0" r="0" b="0"/>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ag36.png"/>
                    <pic:cNvPicPr/>
                  </pic:nvPicPr>
                  <pic:blipFill rotWithShape="1">
                    <a:blip r:embed="rId580" cstate="screen">
                      <a:extLst>
                        <a:ext uri="{BEBA8EAE-BF5A-486C-A8C5-ECC9F3942E4B}">
                          <a14:imgProps xmlns:a14="http://schemas.microsoft.com/office/drawing/2010/main">
                            <a14:imgLayer r:embed="rId581">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4A7C6532" wp14:editId="52BDAC68">
            <wp:extent cx="5400040" cy="8467200"/>
            <wp:effectExtent l="0" t="0" r="0" b="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ag37.png"/>
                    <pic:cNvPicPr/>
                  </pic:nvPicPr>
                  <pic:blipFill rotWithShape="1">
                    <a:blip r:embed="rId582" cstate="screen">
                      <a:extLst>
                        <a:ext uri="{BEBA8EAE-BF5A-486C-A8C5-ECC9F3942E4B}">
                          <a14:imgProps xmlns:a14="http://schemas.microsoft.com/office/drawing/2010/main">
                            <a14:imgLayer r:embed="rId583">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26C839FD" wp14:editId="016A9276">
            <wp:extent cx="5400040" cy="8467200"/>
            <wp:effectExtent l="0" t="0" r="0" b="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ag38.png"/>
                    <pic:cNvPicPr/>
                  </pic:nvPicPr>
                  <pic:blipFill rotWithShape="1">
                    <a:blip r:embed="rId584" cstate="screen">
                      <a:extLst>
                        <a:ext uri="{BEBA8EAE-BF5A-486C-A8C5-ECC9F3942E4B}">
                          <a14:imgProps xmlns:a14="http://schemas.microsoft.com/office/drawing/2010/main">
                            <a14:imgLayer r:embed="rId585">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51211792" wp14:editId="307999E5">
            <wp:extent cx="5400040" cy="8467200"/>
            <wp:effectExtent l="0" t="0" r="0" b="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ag39.png"/>
                    <pic:cNvPicPr/>
                  </pic:nvPicPr>
                  <pic:blipFill rotWithShape="1">
                    <a:blip r:embed="rId586" cstate="screen">
                      <a:extLst>
                        <a:ext uri="{BEBA8EAE-BF5A-486C-A8C5-ECC9F3942E4B}">
                          <a14:imgProps xmlns:a14="http://schemas.microsoft.com/office/drawing/2010/main">
                            <a14:imgLayer r:embed="rId587">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r w:rsidRPr="00A07BE9">
        <w:rPr>
          <w:rFonts w:ascii="Open Sans" w:hAnsi="Open Sans" w:cs="Open Sans"/>
          <w:noProof/>
          <w:color w:val="000000" w:themeColor="text1"/>
          <w:sz w:val="21"/>
          <w:szCs w:val="21"/>
        </w:rPr>
        <w:drawing>
          <wp:inline distT="0" distB="0" distL="0" distR="0" wp14:anchorId="66F6DA93" wp14:editId="7343BB27">
            <wp:extent cx="5400040" cy="8467200"/>
            <wp:effectExtent l="0" t="0" r="0" b="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ag40.png"/>
                    <pic:cNvPicPr/>
                  </pic:nvPicPr>
                  <pic:blipFill rotWithShape="1">
                    <a:blip r:embed="rId588" cstate="screen">
                      <a:extLst>
                        <a:ext uri="{BEBA8EAE-BF5A-486C-A8C5-ECC9F3942E4B}">
                          <a14:imgProps xmlns:a14="http://schemas.microsoft.com/office/drawing/2010/main">
                            <a14:imgLayer r:embed="rId589">
                              <a14:imgEffect>
                                <a14:sharpenSoften amount="50000"/>
                              </a14:imgEffect>
                            </a14:imgLayer>
                          </a14:imgProps>
                        </a:ext>
                        <a:ext uri="{28A0092B-C50C-407E-A947-70E740481C1C}">
                          <a14:useLocalDpi xmlns:a14="http://schemas.microsoft.com/office/drawing/2010/main"/>
                        </a:ext>
                      </a:extLst>
                    </a:blip>
                    <a:srcRect l="8333" t="6444" r="8333" b="6444"/>
                    <a:stretch/>
                  </pic:blipFill>
                  <pic:spPr bwMode="auto">
                    <a:xfrm>
                      <a:off x="0" y="0"/>
                      <a:ext cx="5400040" cy="8467200"/>
                    </a:xfrm>
                    <a:prstGeom prst="rect">
                      <a:avLst/>
                    </a:prstGeom>
                    <a:ln>
                      <a:noFill/>
                    </a:ln>
                    <a:extLst>
                      <a:ext uri="{53640926-AAD7-44D8-BBD7-CCE9431645EC}">
                        <a14:shadowObscured xmlns:a14="http://schemas.microsoft.com/office/drawing/2010/main"/>
                      </a:ext>
                    </a:extLst>
                  </pic:spPr>
                </pic:pic>
              </a:graphicData>
            </a:graphic>
          </wp:inline>
        </w:drawing>
      </w:r>
    </w:p>
    <w:p w14:paraId="699BA43C" w14:textId="77777777" w:rsidR="00B2706D" w:rsidRPr="00A07BE9" w:rsidRDefault="00B2706D" w:rsidP="00296BB3">
      <w:pPr>
        <w:jc w:val="right"/>
        <w:rPr>
          <w:rFonts w:ascii="Open Sans" w:hAnsi="Open Sans" w:cs="Open Sans"/>
          <w:color w:val="000000" w:themeColor="text1"/>
          <w:sz w:val="21"/>
          <w:szCs w:val="21"/>
        </w:rPr>
        <w:sectPr w:rsidR="00B2706D" w:rsidRPr="00A07BE9" w:rsidSect="00512A03">
          <w:type w:val="continuous"/>
          <w:pgSz w:w="11906" w:h="16838"/>
          <w:pgMar w:top="1134" w:right="1701" w:bottom="1134" w:left="1701" w:header="567" w:footer="227" w:gutter="0"/>
          <w:cols w:space="708"/>
          <w:titlePg/>
          <w:docGrid w:linePitch="360"/>
        </w:sectPr>
      </w:pPr>
    </w:p>
    <w:p w14:paraId="12F88377" w14:textId="08C0D55A" w:rsidR="00B2706D" w:rsidRPr="00A07BE9" w:rsidRDefault="00B2706D">
      <w:pPr>
        <w:rPr>
          <w:rFonts w:ascii="Open Sans" w:hAnsi="Open Sans" w:cs="Open Sans"/>
          <w:color w:val="000000" w:themeColor="text1"/>
          <w:sz w:val="21"/>
          <w:szCs w:val="21"/>
        </w:rPr>
      </w:pPr>
    </w:p>
    <w:p w14:paraId="62D834C2" w14:textId="77777777" w:rsidR="00316401" w:rsidRPr="00A07BE9" w:rsidRDefault="00316401" w:rsidP="00296BB3">
      <w:pPr>
        <w:jc w:val="right"/>
        <w:rPr>
          <w:rFonts w:ascii="Open Sans" w:hAnsi="Open Sans" w:cs="Open Sans"/>
          <w:color w:val="000000" w:themeColor="text1"/>
          <w:sz w:val="21"/>
          <w:szCs w:val="21"/>
        </w:rPr>
      </w:pPr>
    </w:p>
    <w:p w14:paraId="1B6CF016" w14:textId="77777777" w:rsidR="00AC5E6B" w:rsidRPr="00A07BE9" w:rsidRDefault="00AC5E6B" w:rsidP="00E81991">
      <w:pPr>
        <w:jc w:val="right"/>
        <w:rPr>
          <w:rFonts w:ascii="Open Sans" w:hAnsi="Open Sans" w:cs="Open Sans"/>
          <w:color w:val="000000" w:themeColor="text1"/>
          <w:sz w:val="21"/>
          <w:szCs w:val="21"/>
        </w:rPr>
      </w:pPr>
    </w:p>
    <w:p w14:paraId="3D434E44" w14:textId="77777777" w:rsidR="00176040" w:rsidRPr="00316401" w:rsidRDefault="00176040" w:rsidP="00176040">
      <w:pPr>
        <w:rPr>
          <w:rFonts w:ascii="Open Sans" w:hAnsi="Open Sans" w:cs="Open Sans"/>
          <w:color w:val="000000" w:themeColor="text1"/>
          <w:sz w:val="21"/>
          <w:szCs w:val="21"/>
        </w:rPr>
      </w:pPr>
      <w:r w:rsidRPr="00A07BE9">
        <w:rPr>
          <w:rFonts w:ascii="Open Sans" w:hAnsi="Open Sans" w:cs="Open Sans"/>
          <w:noProof/>
          <w:color w:val="000000" w:themeColor="text1"/>
          <w:sz w:val="21"/>
          <w:szCs w:val="21"/>
        </w:rPr>
        <w:drawing>
          <wp:anchor distT="0" distB="0" distL="114300" distR="114300" simplePos="0" relativeHeight="251742208" behindDoc="1" locked="0" layoutInCell="1" allowOverlap="1" wp14:anchorId="63522785" wp14:editId="61C2F327">
            <wp:simplePos x="0" y="0"/>
            <wp:positionH relativeFrom="margin">
              <wp:align>center</wp:align>
            </wp:positionH>
            <wp:positionV relativeFrom="paragraph">
              <wp:posOffset>3404482</wp:posOffset>
            </wp:positionV>
            <wp:extent cx="4733925" cy="1156970"/>
            <wp:effectExtent l="0" t="0" r="9525" b="5080"/>
            <wp:wrapTight wrapText="bothSides">
              <wp:wrapPolygon edited="0">
                <wp:start x="0" y="0"/>
                <wp:lineTo x="0" y="21339"/>
                <wp:lineTo x="21557" y="21339"/>
                <wp:lineTo x="21557" y="0"/>
                <wp:lineTo x="0" y="0"/>
              </wp:wrapPolygon>
            </wp:wrapTight>
            <wp:docPr id="334" name="Imagen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cstate="screen">
                      <a:extLst>
                        <a:ext uri="{28A0092B-C50C-407E-A947-70E740481C1C}">
                          <a14:useLocalDpi xmlns:a14="http://schemas.microsoft.com/office/drawing/2010/main"/>
                        </a:ext>
                      </a:extLst>
                    </a:blip>
                    <a:stretch>
                      <a:fillRect/>
                    </a:stretch>
                  </pic:blipFill>
                  <pic:spPr>
                    <a:xfrm>
                      <a:off x="0" y="0"/>
                      <a:ext cx="4733925" cy="1156970"/>
                    </a:xfrm>
                    <a:prstGeom prst="rect">
                      <a:avLst/>
                    </a:prstGeom>
                  </pic:spPr>
                </pic:pic>
              </a:graphicData>
            </a:graphic>
            <wp14:sizeRelH relativeFrom="margin">
              <wp14:pctWidth>0</wp14:pctWidth>
            </wp14:sizeRelH>
            <wp14:sizeRelV relativeFrom="margin">
              <wp14:pctHeight>0</wp14:pctHeight>
            </wp14:sizeRelV>
          </wp:anchor>
        </w:drawing>
      </w:r>
    </w:p>
    <w:sectPr w:rsidR="00176040" w:rsidRPr="00316401" w:rsidSect="001818E7">
      <w:pgSz w:w="11906" w:h="16838"/>
      <w:pgMar w:top="1134" w:right="1701" w:bottom="1985" w:left="1701"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ABBC56" w14:textId="77777777" w:rsidR="00DD0306" w:rsidRDefault="00DD0306" w:rsidP="000E2A66">
      <w:pPr>
        <w:spacing w:after="0" w:line="240" w:lineRule="auto"/>
      </w:pPr>
      <w:r>
        <w:separator/>
      </w:r>
    </w:p>
  </w:endnote>
  <w:endnote w:type="continuationSeparator" w:id="0">
    <w:p w14:paraId="2E427A7E" w14:textId="77777777" w:rsidR="00DD0306" w:rsidRDefault="00DD0306" w:rsidP="000E2A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panose1 w:val="05010000000000000000"/>
    <w:charset w:val="01"/>
    <w:family w:val="auto"/>
    <w:pitch w:val="variable"/>
    <w:sig w:usb0="800000AF" w:usb1="1001ECEA" w:usb2="00000000" w:usb3="00000000" w:csb0="80000001" w:csb1="00000000"/>
  </w:font>
  <w:font w:name="Open Sans">
    <w:altName w:val="Open Sans"/>
    <w:panose1 w:val="020B0606030504020204"/>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NSimSun">
    <w:panose1 w:val="02010609030101010101"/>
    <w:charset w:val="86"/>
    <w:family w:val="modern"/>
    <w:pitch w:val="fixed"/>
    <w:sig w:usb0="0000028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OpenSymbol;Arial Unicode MS">
    <w:altName w:val="Cambria"/>
    <w:panose1 w:val="00000000000000000000"/>
    <w:charset w:val="00"/>
    <w:family w:val="roman"/>
    <w:notTrueType/>
    <w:pitch w:val="default"/>
  </w:font>
  <w:font w:name="Liberation Sans;Arial">
    <w:altName w:val="Arial"/>
    <w:panose1 w:val="00000000000000000000"/>
    <w:charset w:val="00"/>
    <w:family w:val="roman"/>
    <w:notTrueType/>
    <w:pitch w:val="default"/>
  </w:font>
  <w:font w:name="Microsoft YaHei">
    <w:panose1 w:val="020B0503020204020204"/>
    <w:charset w:val="86"/>
    <w:family w:val="swiss"/>
    <w:pitch w:val="variable"/>
    <w:sig w:usb0="80000287" w:usb1="2ACF3C50" w:usb2="00000016" w:usb3="00000000" w:csb0="0004001F" w:csb1="00000000"/>
  </w:font>
  <w:font w:name="Liberation Serif">
    <w:panose1 w:val="02020603050405020304"/>
    <w:charset w:val="00"/>
    <w:family w:val="roman"/>
    <w:pitch w:val="variable"/>
    <w:sig w:usb0="E0000AFF" w:usb1="500078FF" w:usb2="00000021" w:usb3="00000000" w:csb0="000001BF" w:csb1="00000000"/>
  </w:font>
  <w:font w:name="Segoe UI">
    <w:panose1 w:val="020B0502040204020203"/>
    <w:charset w:val="00"/>
    <w:family w:val="swiss"/>
    <w:pitch w:val="variable"/>
    <w:sig w:usb0="E4002EFF" w:usb1="C000E47F" w:usb2="00000009" w:usb3="00000000" w:csb0="000001FF" w:csb1="00000000"/>
  </w:font>
  <w:font w:name="Droid Sans Fallback">
    <w:charset w:val="00"/>
    <w:family w:val="auto"/>
    <w:pitch w:val="variable"/>
  </w:font>
  <w:font w:name="FreeSans">
    <w:charset w:val="00"/>
    <w:family w:val="auto"/>
    <w:pitch w:val="variable"/>
  </w:font>
  <w:font w:name="Liberation Sans">
    <w:panose1 w:val="020B0604020202020204"/>
    <w:charset w:val="00"/>
    <w:family w:val="swiss"/>
    <w:pitch w:val="variable"/>
    <w:sig w:usb0="E0000AFF" w:usb1="500078FF" w:usb2="00000021" w:usb3="00000000" w:csb0="000001BF" w:csb1="00000000"/>
  </w:font>
  <w:font w:name="Lucida Sans">
    <w:panose1 w:val="020B0602030504020204"/>
    <w:charset w:val="00"/>
    <w:family w:val="swiss"/>
    <w:pitch w:val="variable"/>
    <w:sig w:usb0="01002A87" w:usb1="00000000" w:usb2="00000000" w:usb3="00000000" w:csb0="000100FF" w:csb1="00000000"/>
  </w:font>
  <w:font w:name="Nirmala UI Semilight">
    <w:panose1 w:val="020B0402040204020203"/>
    <w:charset w:val="00"/>
    <w:family w:val="swiss"/>
    <w:pitch w:val="variable"/>
    <w:sig w:usb0="80FF8023" w:usb1="0200004A" w:usb2="00000200" w:usb3="00000000" w:csb0="00000001" w:csb1="00000000"/>
  </w:font>
  <w:font w:name="Arial Unicode MS">
    <w:panose1 w:val="020B0604020202020204"/>
    <w:charset w:val="00"/>
    <w:family w:val="roman"/>
    <w:pitch w:val="variable"/>
    <w:sig w:usb0="00000003" w:usb1="00000000" w:usb2="00000000" w:usb3="00000000" w:csb0="00000001" w:csb1="00000000"/>
  </w:font>
  <w:font w:name="Lucida Grande">
    <w:altName w:val="Times New Roman"/>
    <w:panose1 w:val="00000000000000000000"/>
    <w:charset w:val="00"/>
    <w:family w:val="roman"/>
    <w:notTrueType/>
    <w:pitch w:val="default"/>
  </w:font>
  <w:font w:name="Open Sans;Segoe UI">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ECC788" w14:textId="1275FBD7" w:rsidR="000F0D13" w:rsidRDefault="000F0D13">
    <w:pPr>
      <w:pStyle w:val="Piedepgina"/>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0F0D13" w14:paraId="476E1F00" w14:textId="77777777" w:rsidTr="00D457C5">
      <w:trPr>
        <w:jc w:val="center"/>
      </w:trPr>
      <w:tc>
        <w:tcPr>
          <w:tcW w:w="8494" w:type="dxa"/>
        </w:tcPr>
        <w:p w14:paraId="1540F4E0" w14:textId="77777777" w:rsidR="000F0D13" w:rsidRPr="000915ED" w:rsidRDefault="000F0D13" w:rsidP="00F43152">
          <w:pPr>
            <w:pStyle w:val="Piedepgina"/>
            <w:tabs>
              <w:tab w:val="left" w:pos="210"/>
              <w:tab w:val="center" w:pos="4139"/>
            </w:tabs>
            <w:rPr>
              <w:sz w:val="10"/>
              <w:szCs w:val="10"/>
            </w:rPr>
          </w:pPr>
          <w:r>
            <w:rPr>
              <w:sz w:val="10"/>
              <w:szCs w:val="10"/>
            </w:rPr>
            <w:tab/>
          </w:r>
          <w:r>
            <w:rPr>
              <w:sz w:val="10"/>
              <w:szCs w:val="10"/>
            </w:rPr>
            <w:tab/>
          </w:r>
          <w:r w:rsidRPr="00AB7CD4">
            <w:rPr>
              <w:noProof/>
            </w:rPr>
            <w:drawing>
              <wp:inline distT="0" distB="0" distL="0" distR="0" wp14:anchorId="66A80EAD" wp14:editId="5847EE38">
                <wp:extent cx="496800" cy="208800"/>
                <wp:effectExtent l="0" t="0" r="0" b="127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496800" cy="208800"/>
                        </a:xfrm>
                        <a:prstGeom prst="rect">
                          <a:avLst/>
                        </a:prstGeom>
                      </pic:spPr>
                    </pic:pic>
                  </a:graphicData>
                </a:graphic>
              </wp:inline>
            </w:drawing>
          </w:r>
        </w:p>
        <w:sdt>
          <w:sdtPr>
            <w:rPr>
              <w:sz w:val="10"/>
              <w:szCs w:val="10"/>
            </w:rPr>
            <w:id w:val="-422033971"/>
            <w:docPartObj>
              <w:docPartGallery w:val="Page Numbers (Bottom of Page)"/>
              <w:docPartUnique/>
            </w:docPartObj>
          </w:sdtPr>
          <w:sdtEndPr>
            <w:rPr>
              <w:b/>
              <w:sz w:val="24"/>
              <w:szCs w:val="24"/>
            </w:rPr>
          </w:sdtEndPr>
          <w:sdtContent>
            <w:p w14:paraId="77FEE58D" w14:textId="77777777" w:rsidR="000F0D13" w:rsidRPr="000915ED" w:rsidRDefault="000F0D13" w:rsidP="00F43152">
              <w:pPr>
                <w:pStyle w:val="Piedepgina"/>
                <w:jc w:val="center"/>
                <w:rPr>
                  <w:sz w:val="10"/>
                  <w:szCs w:val="10"/>
                </w:rPr>
              </w:pPr>
              <w:r w:rsidRPr="000915ED">
                <w:rPr>
                  <w:b/>
                  <w:noProof/>
                  <w:sz w:val="10"/>
                  <w:szCs w:val="10"/>
                </w:rPr>
                <mc:AlternateContent>
                  <mc:Choice Requires="wps">
                    <w:drawing>
                      <wp:anchor distT="0" distB="0" distL="114300" distR="114300" simplePos="0" relativeHeight="251691008" behindDoc="0" locked="0" layoutInCell="1" allowOverlap="1" wp14:anchorId="5A8ABF59" wp14:editId="17DB8D7B">
                        <wp:simplePos x="0" y="0"/>
                        <wp:positionH relativeFrom="margin">
                          <wp:posOffset>2247900</wp:posOffset>
                        </wp:positionH>
                        <wp:positionV relativeFrom="paragraph">
                          <wp:posOffset>35560</wp:posOffset>
                        </wp:positionV>
                        <wp:extent cx="742950" cy="9525"/>
                        <wp:effectExtent l="0" t="0" r="19050" b="28575"/>
                        <wp:wrapNone/>
                        <wp:docPr id="256" name="Conector recto 256"/>
                        <wp:cNvGraphicFramePr/>
                        <a:graphic xmlns:a="http://schemas.openxmlformats.org/drawingml/2006/main">
                          <a:graphicData uri="http://schemas.microsoft.com/office/word/2010/wordprocessingShape">
                            <wps:wsp>
                              <wps:cNvCnPr/>
                              <wps:spPr>
                                <a:xfrm flipV="1">
                                  <a:off x="0" y="0"/>
                                  <a:ext cx="742950" cy="9525"/>
                                </a:xfrm>
                                <a:prstGeom prst="line">
                                  <a:avLst/>
                                </a:prstGeom>
                                <a:noFill/>
                                <a:ln w="12700" cap="flat" cmpd="sng" algn="ctr">
                                  <a:solidFill>
                                    <a:srgbClr val="9D223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9EE902A" id="Conector recto 256" o:spid="_x0000_s1026" style="position:absolute;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7pt,2.8pt" to="235.5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eGezwEAAIEDAAAOAAAAZHJzL2Uyb0RvYy54bWysU02P0zAQvSPxHyzfabKB7m6jpntotVwQ&#10;VOLjPnXsxJK/NDZN++8ZO9lqgRsiB8eeGb/Me/OyfbpYw84So/au43ermjPphO+1Gzr+/dvzu0fO&#10;YgLXg/FOdvwqI3/avX2znUIrGz9600tkBOJiO4WOjymFtqqiGKWFuPJBOkoqjxYSHXGoeoSJ0K2p&#10;mrq+ryaPfUAvZIwUPcxJviv4SkmRvigVZWKm49RbKiuW9ZTXareFdkAIoxZLG/APXVjQjj56gzpA&#10;AvYT9V9QVgv00au0Et5WXiktZOFAbO7qP9h8HSHIwoXEieEmU/x/sOLz+YhM9x1v1vecObA0pD2N&#10;SiSPDPOL5QzpNIXYUvneHXE5xXDETPqi0DJldPhBFigyEDF2KSpfbyrLS2KCgg8fms2aZiEotVk3&#10;64xdzSAZLGBMH6W3LG86brTLEkAL508xzaUvJTns/LM2huLQGscmaqB5qDM6kJuUgURbG4hfdANn&#10;YAayqUhYIKM3us/X8+2Iw2lvkJ2BrLI5NM37l85+K8vfPkAc57qSmk1kdSInG207/ljnZ+FlXEaX&#10;xYsLg6zkrF3enXx/LZJW+URzLnIsnsxGen2m/es/Z/cLAAD//wMAUEsDBBQABgAIAAAAIQB3sKiW&#10;3AAAAAcBAAAPAAAAZHJzL2Rvd25yZXYueG1sTI8xT8MwFIR3JP6D9ZDYqJPSNlUap6oQCGVsy8Lm&#10;xK92hP0cxW4T/j1mgvF0p7vvqv3sLLvhGHpPAvJFBgyp86onLeDj/Pa0BRaiJCWtJxTwjQH29f1d&#10;JUvlJzri7RQ1SyUUSinAxDiUnIfOoJNh4Qek5F386GRMctRcjXJK5c7yZZZtuJM9pQUjB3wx2H2d&#10;rk7A0egzFpdWN9P7oeg/m+Z1aQchHh/mww5YxDn+heEXP6FDnZhafyUVmBXwvF6lL1HAegMs+asi&#10;T7oVUOTA64r/569/AAAA//8DAFBLAQItABQABgAIAAAAIQC2gziS/gAAAOEBAAATAAAAAAAAAAAA&#10;AAAAAAAAAABbQ29udGVudF9UeXBlc10ueG1sUEsBAi0AFAAGAAgAAAAhADj9If/WAAAAlAEAAAsA&#10;AAAAAAAAAAAAAAAALwEAAF9yZWxzLy5yZWxzUEsBAi0AFAAGAAgAAAAhAABN4Z7PAQAAgQMAAA4A&#10;AAAAAAAAAAAAAAAALgIAAGRycy9lMm9Eb2MueG1sUEsBAi0AFAAGAAgAAAAhAHewqJbcAAAABwEA&#10;AA8AAAAAAAAAAAAAAAAAKQQAAGRycy9kb3ducmV2LnhtbFBLBQYAAAAABAAEAPMAAAAyBQAAAAA=&#10;" strokecolor="#9d2235" strokeweight="1pt">
                        <v:stroke joinstyle="miter"/>
                        <w10:wrap anchorx="margin"/>
                      </v:line>
                    </w:pict>
                  </mc:Fallback>
                </mc:AlternateContent>
              </w:r>
            </w:p>
            <w:p w14:paraId="08B94A90" w14:textId="77777777" w:rsidR="000F0D13" w:rsidRPr="00B46EE6" w:rsidRDefault="000F0D13" w:rsidP="00F43152">
              <w:pPr>
                <w:pStyle w:val="Piedepgina"/>
                <w:jc w:val="center"/>
                <w:rPr>
                  <w:b/>
                </w:rPr>
              </w:pPr>
              <w:r w:rsidRPr="000915ED">
                <w:rPr>
                  <w:b/>
                </w:rPr>
                <w:fldChar w:fldCharType="begin"/>
              </w:r>
              <w:r w:rsidRPr="000915ED">
                <w:rPr>
                  <w:b/>
                </w:rPr>
                <w:instrText>PAGE   \* MERGEFORMAT</w:instrText>
              </w:r>
              <w:r w:rsidRPr="000915ED">
                <w:rPr>
                  <w:b/>
                </w:rPr>
                <w:fldChar w:fldCharType="separate"/>
              </w:r>
              <w:r>
                <w:rPr>
                  <w:b/>
                </w:rPr>
                <w:t>202</w:t>
              </w:r>
              <w:r w:rsidRPr="000915ED">
                <w:rPr>
                  <w:b/>
                </w:rPr>
                <w:fldChar w:fldCharType="end"/>
              </w:r>
            </w:p>
          </w:sdtContent>
        </w:sdt>
      </w:tc>
    </w:tr>
  </w:tbl>
  <w:p w14:paraId="534B2CFA" w14:textId="77777777" w:rsidR="000F0D13" w:rsidRPr="00F43152" w:rsidRDefault="000F0D13">
    <w:pPr>
      <w:pStyle w:val="Piedepgina"/>
      <w:rPr>
        <w:sz w:val="10"/>
        <w:szCs w:val="1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0F0D13" w14:paraId="3AB18072" w14:textId="77777777" w:rsidTr="00B90EA4">
      <w:trPr>
        <w:jc w:val="center"/>
      </w:trPr>
      <w:tc>
        <w:tcPr>
          <w:tcW w:w="8494" w:type="dxa"/>
        </w:tcPr>
        <w:p w14:paraId="16078CCE" w14:textId="190622BC" w:rsidR="000F0D13" w:rsidRDefault="000F0D13" w:rsidP="007C1729">
          <w:pPr>
            <w:pStyle w:val="Piedepgina"/>
            <w:jc w:val="center"/>
            <w:rPr>
              <w:b/>
              <w:sz w:val="10"/>
              <w:szCs w:val="10"/>
            </w:rPr>
          </w:pPr>
        </w:p>
      </w:tc>
    </w:tr>
  </w:tbl>
  <w:p w14:paraId="107A8772" w14:textId="64FAA04B" w:rsidR="000F0D13" w:rsidRPr="00E71133" w:rsidRDefault="000F0D13">
    <w:pPr>
      <w:pStyle w:val="Piedepgina"/>
      <w:rPr>
        <w:sz w:val="10"/>
        <w:szCs w:val="1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E4926" w14:textId="76702613" w:rsidR="000F0D13" w:rsidRDefault="000F0D13" w:rsidP="00FD5832">
    <w:pPr>
      <w:pStyle w:val="Piedepgina"/>
      <w:rPr>
        <w:b/>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0F0D13" w14:paraId="11C4A02F" w14:textId="77777777" w:rsidTr="00D457C5">
      <w:trPr>
        <w:jc w:val="center"/>
      </w:trPr>
      <w:tc>
        <w:tcPr>
          <w:tcW w:w="8494" w:type="dxa"/>
        </w:tcPr>
        <w:p w14:paraId="4771A47B" w14:textId="77777777" w:rsidR="000F0D13" w:rsidRPr="000915ED" w:rsidRDefault="000F0D13" w:rsidP="00F43152">
          <w:pPr>
            <w:pStyle w:val="Piedepgina"/>
            <w:jc w:val="center"/>
            <w:rPr>
              <w:sz w:val="10"/>
              <w:szCs w:val="10"/>
            </w:rPr>
          </w:pPr>
          <w:r w:rsidRPr="00AB7CD4">
            <w:rPr>
              <w:noProof/>
            </w:rPr>
            <w:drawing>
              <wp:inline distT="0" distB="0" distL="0" distR="0" wp14:anchorId="3F41E6A5" wp14:editId="5E3A0AED">
                <wp:extent cx="496800" cy="208800"/>
                <wp:effectExtent l="0" t="0" r="0" b="1270"/>
                <wp:docPr id="358" name="Imagen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496800" cy="208800"/>
                        </a:xfrm>
                        <a:prstGeom prst="rect">
                          <a:avLst/>
                        </a:prstGeom>
                      </pic:spPr>
                    </pic:pic>
                  </a:graphicData>
                </a:graphic>
              </wp:inline>
            </w:drawing>
          </w:r>
        </w:p>
        <w:sdt>
          <w:sdtPr>
            <w:rPr>
              <w:sz w:val="10"/>
              <w:szCs w:val="10"/>
            </w:rPr>
            <w:id w:val="1013495124"/>
            <w:docPartObj>
              <w:docPartGallery w:val="Page Numbers (Bottom of Page)"/>
              <w:docPartUnique/>
            </w:docPartObj>
          </w:sdtPr>
          <w:sdtEndPr>
            <w:rPr>
              <w:b/>
              <w:sz w:val="24"/>
              <w:szCs w:val="24"/>
            </w:rPr>
          </w:sdtEndPr>
          <w:sdtContent>
            <w:p w14:paraId="6DBFED01" w14:textId="77777777" w:rsidR="000F0D13" w:rsidRPr="000915ED" w:rsidRDefault="000F0D13" w:rsidP="00F43152">
              <w:pPr>
                <w:pStyle w:val="Piedepgina"/>
                <w:jc w:val="center"/>
                <w:rPr>
                  <w:sz w:val="10"/>
                  <w:szCs w:val="10"/>
                </w:rPr>
              </w:pPr>
              <w:r w:rsidRPr="000915ED">
                <w:rPr>
                  <w:b/>
                  <w:noProof/>
                  <w:sz w:val="10"/>
                  <w:szCs w:val="10"/>
                </w:rPr>
                <mc:AlternateContent>
                  <mc:Choice Requires="wps">
                    <w:drawing>
                      <wp:anchor distT="0" distB="0" distL="114300" distR="114300" simplePos="0" relativeHeight="251693056" behindDoc="0" locked="0" layoutInCell="1" allowOverlap="1" wp14:anchorId="73C20EC5" wp14:editId="76BD9240">
                        <wp:simplePos x="0" y="0"/>
                        <wp:positionH relativeFrom="margin">
                          <wp:posOffset>2250440</wp:posOffset>
                        </wp:positionH>
                        <wp:positionV relativeFrom="paragraph">
                          <wp:posOffset>40640</wp:posOffset>
                        </wp:positionV>
                        <wp:extent cx="742950" cy="9525"/>
                        <wp:effectExtent l="0" t="0" r="19050" b="28575"/>
                        <wp:wrapNone/>
                        <wp:docPr id="357" name="Conector recto 357"/>
                        <wp:cNvGraphicFramePr/>
                        <a:graphic xmlns:a="http://schemas.openxmlformats.org/drawingml/2006/main">
                          <a:graphicData uri="http://schemas.microsoft.com/office/word/2010/wordprocessingShape">
                            <wps:wsp>
                              <wps:cNvCnPr/>
                              <wps:spPr>
                                <a:xfrm flipV="1">
                                  <a:off x="0" y="0"/>
                                  <a:ext cx="742950" cy="9525"/>
                                </a:xfrm>
                                <a:prstGeom prst="line">
                                  <a:avLst/>
                                </a:prstGeom>
                                <a:ln w="12700">
                                  <a:solidFill>
                                    <a:srgbClr val="9D223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0B5085" id="Conector recto 357" o:spid="_x0000_s1026" style="position:absolute;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7.2pt,3.2pt" to="235.7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Dbt6AEAABoEAAAOAAAAZHJzL2Uyb0RvYy54bWysU02P0zAQvSPxHyzfadIspTRquodWywVB&#10;xcLeXcduLPlLY9Ok/56xk4YFtAcQF3/NzJt5b8bb+8FochEQlLMNXS5KSoTlrlX23NBvXx/evKck&#10;RGZbpp0VDb2KQO93r19te1+LynVOtwIIgthQ976hXYy+LorAO2FYWDgvLBqlA8MiXuFctMB6RDe6&#10;qMryXdE7aD04LkLA18NopLuML6Xg8bOUQUSiG4q1xbxCXk9pLXZbVp+B+U7xqQz2D1UYpiwmnaEO&#10;LDLyHdQfUEZxcMHJuODOFE5KxUXmgGyW5W9sHjvmReaC4gQ/yxT+Hyz/dDkCUW1D71ZrSiwz2KQ9&#10;topHBwTSRpIFdep9qNF9b48w3YI/QiI9SDBEauWfcASyDEiMDFnl66yyGCLh+Lh+W21W2AuOps2q&#10;WiXsYgRJYB5C/CCcIenQUK1skoDV7PIxxNH15pKetSU9Zq3WZZndgtOqfVBaJ2OA82mvgVwYtn9z&#10;qKq7W7ZnbphbWywh8RsZ5VO8ajEm+CIkKoSVj9zybIoZlnEubFxOLLRF7xQmsYQ5cCotDfVLgZN/&#10;ChV5bv8meI7ImZ2Nc7BR1sEozK/Z43ArWY7+NwVG3kmCk2uvuddZGhzA3Kfps6QJf37P4T+/9O4H&#10;AAAA//8DAFBLAwQUAAYACAAAACEAeHBFfNwAAAAHAQAADwAAAGRycy9kb3ducmV2LnhtbEyOzU7D&#10;MBCE70i8g7VI3KjTEhqaxqkqBEI5tuXCzYm3doR/othtwtuznOA0O5rR7FftZmfZFcfYBy9guciA&#10;oe+C6r0W8HF6e3gGFpP0StrgUcA3RtjVtzeVLFWY/AGvx6QZjfhYSgEmpaHkPHYGnYyLMKCn7BxG&#10;JxPZUXM1yonGneWrLFtzJ3tPH4wc8MVg93W8OAEHo09YnFvdTO/7ov9smteVHYS4v5v3W2AJ5/RX&#10;hl98QoeamNpw8SoyK+DxKc+pKmBNQnleLOloBRQb4HXF//PXPwAAAP//AwBQSwECLQAUAAYACAAA&#10;ACEAtoM4kv4AAADhAQAAEwAAAAAAAAAAAAAAAAAAAAAAW0NvbnRlbnRfVHlwZXNdLnhtbFBLAQIt&#10;ABQABgAIAAAAIQA4/SH/1gAAAJQBAAALAAAAAAAAAAAAAAAAAC8BAABfcmVscy8ucmVsc1BLAQIt&#10;ABQABgAIAAAAIQBVXDbt6AEAABoEAAAOAAAAAAAAAAAAAAAAAC4CAABkcnMvZTJvRG9jLnhtbFBL&#10;AQItABQABgAIAAAAIQB4cEV83AAAAAcBAAAPAAAAAAAAAAAAAAAAAEIEAABkcnMvZG93bnJldi54&#10;bWxQSwUGAAAAAAQABADzAAAASwUAAAAA&#10;" strokecolor="#9d2235" strokeweight="1pt">
                        <v:stroke joinstyle="miter"/>
                        <w10:wrap anchorx="margin"/>
                      </v:line>
                    </w:pict>
                  </mc:Fallback>
                </mc:AlternateContent>
              </w:r>
            </w:p>
            <w:p w14:paraId="76F435E6" w14:textId="77777777" w:rsidR="000F0D13" w:rsidRPr="00C649A9" w:rsidRDefault="000F0D13" w:rsidP="00F43152">
              <w:pPr>
                <w:pStyle w:val="Piedepgina"/>
                <w:tabs>
                  <w:tab w:val="center" w:pos="4139"/>
                  <w:tab w:val="left" w:pos="6130"/>
                </w:tabs>
                <w:rPr>
                  <w:b/>
                </w:rPr>
              </w:pPr>
              <w:r>
                <w:rPr>
                  <w:b/>
                </w:rPr>
                <w:tab/>
              </w:r>
              <w:r w:rsidRPr="000915ED">
                <w:rPr>
                  <w:b/>
                </w:rPr>
                <w:fldChar w:fldCharType="begin"/>
              </w:r>
              <w:r w:rsidRPr="000915ED">
                <w:rPr>
                  <w:b/>
                </w:rPr>
                <w:instrText>PAGE   \* MERGEFORMAT</w:instrText>
              </w:r>
              <w:r w:rsidRPr="000915ED">
                <w:rPr>
                  <w:b/>
                </w:rPr>
                <w:fldChar w:fldCharType="separate"/>
              </w:r>
              <w:r>
                <w:rPr>
                  <w:b/>
                </w:rPr>
                <w:t>5</w:t>
              </w:r>
              <w:r w:rsidRPr="000915ED">
                <w:rPr>
                  <w:b/>
                </w:rPr>
                <w:fldChar w:fldCharType="end"/>
              </w:r>
              <w:r>
                <w:rPr>
                  <w:b/>
                </w:rPr>
                <w:tab/>
              </w:r>
            </w:p>
          </w:sdtContent>
        </w:sdt>
      </w:tc>
    </w:tr>
  </w:tbl>
  <w:p w14:paraId="4C12C828" w14:textId="77777777" w:rsidR="000F0D13" w:rsidRPr="00A140F9" w:rsidRDefault="000F0D13" w:rsidP="00FD5832">
    <w:pPr>
      <w:pStyle w:val="Piedepgina"/>
      <w:rPr>
        <w:b/>
        <w:sz w:val="10"/>
        <w:szCs w:val="1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24041A" w14:textId="2DE0426E" w:rsidR="000F0D13" w:rsidRDefault="000F0D13" w:rsidP="00C12B0A">
    <w:pPr>
      <w:pStyle w:val="Piedepgina"/>
    </w:pPr>
  </w:p>
  <w:p w14:paraId="764917E6" w14:textId="77777777" w:rsidR="000F0D13" w:rsidRPr="000915ED" w:rsidRDefault="000F0D13" w:rsidP="00C12B0A">
    <w:pPr>
      <w:pStyle w:val="Piedepgina"/>
      <w:jc w:val="center"/>
      <w:rPr>
        <w:sz w:val="10"/>
        <w:szCs w:val="10"/>
      </w:rPr>
    </w:pPr>
    <w:r w:rsidRPr="00AB7CD4">
      <w:rPr>
        <w:noProof/>
      </w:rPr>
      <w:drawing>
        <wp:inline distT="0" distB="0" distL="0" distR="0" wp14:anchorId="668AA14E" wp14:editId="6F5B1EB3">
          <wp:extent cx="496800" cy="208800"/>
          <wp:effectExtent l="0" t="0" r="0" b="127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496800" cy="208800"/>
                  </a:xfrm>
                  <a:prstGeom prst="rect">
                    <a:avLst/>
                  </a:prstGeom>
                </pic:spPr>
              </pic:pic>
            </a:graphicData>
          </a:graphic>
        </wp:inline>
      </w:drawing>
    </w:r>
  </w:p>
  <w:sdt>
    <w:sdtPr>
      <w:rPr>
        <w:sz w:val="10"/>
        <w:szCs w:val="10"/>
      </w:rPr>
      <w:id w:val="381910146"/>
      <w:docPartObj>
        <w:docPartGallery w:val="Page Numbers (Bottom of Page)"/>
        <w:docPartUnique/>
      </w:docPartObj>
    </w:sdtPr>
    <w:sdtEndPr>
      <w:rPr>
        <w:b/>
        <w:sz w:val="24"/>
        <w:szCs w:val="24"/>
      </w:rPr>
    </w:sdtEndPr>
    <w:sdtContent>
      <w:p w14:paraId="6D26CC29" w14:textId="77777777" w:rsidR="000F0D13" w:rsidRPr="000915ED" w:rsidRDefault="000F0D13" w:rsidP="00C12B0A">
        <w:pPr>
          <w:pStyle w:val="Piedepgina"/>
          <w:jc w:val="center"/>
          <w:rPr>
            <w:sz w:val="10"/>
            <w:szCs w:val="10"/>
          </w:rPr>
        </w:pPr>
        <w:r w:rsidRPr="000915ED">
          <w:rPr>
            <w:b/>
            <w:noProof/>
            <w:sz w:val="10"/>
            <w:szCs w:val="10"/>
          </w:rPr>
          <mc:AlternateContent>
            <mc:Choice Requires="wps">
              <w:drawing>
                <wp:anchor distT="0" distB="0" distL="114300" distR="114300" simplePos="0" relativeHeight="251697152" behindDoc="0" locked="0" layoutInCell="1" allowOverlap="1" wp14:anchorId="15B5B26A" wp14:editId="768A49DF">
                  <wp:simplePos x="0" y="0"/>
                  <wp:positionH relativeFrom="margin">
                    <wp:posOffset>2311400</wp:posOffset>
                  </wp:positionH>
                  <wp:positionV relativeFrom="paragraph">
                    <wp:posOffset>41910</wp:posOffset>
                  </wp:positionV>
                  <wp:extent cx="742950" cy="9525"/>
                  <wp:effectExtent l="0" t="0" r="19050" b="28575"/>
                  <wp:wrapNone/>
                  <wp:docPr id="116" name="Conector recto 116"/>
                  <wp:cNvGraphicFramePr/>
                  <a:graphic xmlns:a="http://schemas.openxmlformats.org/drawingml/2006/main">
                    <a:graphicData uri="http://schemas.microsoft.com/office/word/2010/wordprocessingShape">
                      <wps:wsp>
                        <wps:cNvCnPr/>
                        <wps:spPr>
                          <a:xfrm flipV="1">
                            <a:off x="0" y="0"/>
                            <a:ext cx="742950" cy="9525"/>
                          </a:xfrm>
                          <a:prstGeom prst="line">
                            <a:avLst/>
                          </a:prstGeom>
                          <a:noFill/>
                          <a:ln w="12700" cap="flat" cmpd="sng" algn="ctr">
                            <a:solidFill>
                              <a:srgbClr val="9D223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9B9E73A" id="Conector recto 116" o:spid="_x0000_s1026" style="position:absolute;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2pt,3.3pt" to="240.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gOSzgEAAIEDAAAOAAAAZHJzL2Uyb0RvYy54bWysU8lu2zAQvRfoPxC815KVOokFyznYSC9F&#10;a6DLfUyREgFuGLKW/fcdUo6RtrciOlCz8Wnem9Hm6WwNO0mM2ruOLxc1Z9IJ32s3dPzH9+cPj5zF&#10;BK4H453s+EVG/rR9/24zhVY2fvSml8gIxMV2Ch0fUwptVUUxSgtx4YN0lFQeLSRycah6hInQrama&#10;ur6vJo99QC9kjBTdz0m+LfhKSZG+KhVlYqbj1FsqJ5bzmM9qu4F2QAijFtc24D+6sKAdffQGtYcE&#10;7Bfqf6CsFuijV2khvK28UlrIwoHYLOu/2HwbIcjChcSJ4SZTfDtY8eV0QKZ7mt3ynjMHloa0o1GJ&#10;5JFhfrGcIZ2mEFsq37kDXr0YDphJnxVapowOPwmmyEDE2LmofLmpLM+JCQo+fGzWK5qFoNR61awy&#10;djWDZLCAMX2S3rJsdNxolyWAFk6fY5pLX0py2PlnbQzFoTWOTdRA81BndKBtUgYSmTYQv+gGzsAM&#10;tKYiYYGM3ug+X8+3Iw7HnUF2AlqV9b5p7l46+6Msf3sPcZzrSmpeIqsTbbLRtuOPdX6uvIzL6LLs&#10;4pVBVnLWLltH31+KpFX2aM5FjutO5kV67ZP9+s/Z/gYAAP//AwBQSwMEFAAGAAgAAAAhALXoCfnc&#10;AAAABwEAAA8AAABkcnMvZG93bnJldi54bWxMj8tOwzAURPdI/IN1kdhRJ6VKoxCnqhAIZdnHhp0T&#10;39oRfkSx24S/57KC5WhGM2fq3eIsu+EUh+AF5KsMGPo+qMFrAefT+1MJLCbplbTBo4BvjLBr7u9q&#10;Wakw+wPejkkzKvGxkgJMSmPFeewNOhlXYURP3iVMTiaSk+ZqkjOVO8vXWVZwJwdPC0aO+Gqw/zpe&#10;nYCD0SfcXjrdzh/77fDZtm9rOwrx+LDsX4AlXNJfGH7xCR0aYurC1avIrIDnYkNfkoCiAEb+psxJ&#10;dwLKHHhT8//8zQ8AAAD//wMAUEsBAi0AFAAGAAgAAAAhALaDOJL+AAAA4QEAABMAAAAAAAAAAAAA&#10;AAAAAAAAAFtDb250ZW50X1R5cGVzXS54bWxQSwECLQAUAAYACAAAACEAOP0h/9YAAACUAQAACwAA&#10;AAAAAAAAAAAAAAAvAQAAX3JlbHMvLnJlbHNQSwECLQAUAAYACAAAACEAvF4Dks4BAACBAwAADgAA&#10;AAAAAAAAAAAAAAAuAgAAZHJzL2Uyb0RvYy54bWxQSwECLQAUAAYACAAAACEAtegJ+dwAAAAHAQAA&#10;DwAAAAAAAAAAAAAAAAAoBAAAZHJzL2Rvd25yZXYueG1sUEsFBgAAAAAEAAQA8wAAADEFAAAAAA==&#10;" strokecolor="#9d2235" strokeweight="1pt">
                  <v:stroke joinstyle="miter"/>
                  <w10:wrap anchorx="margin"/>
                </v:line>
              </w:pict>
            </mc:Fallback>
          </mc:AlternateContent>
        </w:r>
      </w:p>
      <w:p w14:paraId="0473399C" w14:textId="77777777" w:rsidR="000F0D13" w:rsidRPr="000915ED" w:rsidRDefault="000F0D13" w:rsidP="00C12B0A">
        <w:pPr>
          <w:pStyle w:val="Piedepgina"/>
          <w:jc w:val="center"/>
          <w:rPr>
            <w:b/>
          </w:rPr>
        </w:pPr>
        <w:r w:rsidRPr="000915ED">
          <w:rPr>
            <w:b/>
          </w:rPr>
          <w:fldChar w:fldCharType="begin"/>
        </w:r>
        <w:r w:rsidRPr="000915ED">
          <w:rPr>
            <w:b/>
          </w:rPr>
          <w:instrText>PAGE   \* MERGEFORMAT</w:instrText>
        </w:r>
        <w:r w:rsidRPr="000915ED">
          <w:rPr>
            <w:b/>
          </w:rPr>
          <w:fldChar w:fldCharType="separate"/>
        </w:r>
        <w:r>
          <w:rPr>
            <w:b/>
          </w:rPr>
          <w:t>195</w:t>
        </w:r>
        <w:r w:rsidRPr="000915ED">
          <w:rPr>
            <w:b/>
          </w:rPr>
          <w:fldChar w:fldCharType="end"/>
        </w:r>
      </w:p>
    </w:sdtContent>
  </w:sdt>
  <w:p w14:paraId="5375BAC3" w14:textId="77777777" w:rsidR="000F0D13" w:rsidRPr="00B46EE6" w:rsidRDefault="000F0D13" w:rsidP="00C12B0A">
    <w:pPr>
      <w:pStyle w:val="Piedepgina"/>
      <w:jc w:val="center"/>
      <w:rPr>
        <w:sz w:val="10"/>
        <w:szCs w:val="10"/>
      </w:rPr>
    </w:pPr>
  </w:p>
  <w:p w14:paraId="0F613CFF" w14:textId="77777777" w:rsidR="000F0D13" w:rsidRPr="00C12B0A" w:rsidRDefault="000F0D13" w:rsidP="00C12B0A">
    <w:pPr>
      <w:pStyle w:val="Piedepgina"/>
      <w:rPr>
        <w:sz w:val="10"/>
        <w:szCs w:val="1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4ABE6A" w14:textId="710C9D83" w:rsidR="000F0D13" w:rsidRPr="00C12B0A" w:rsidRDefault="000F0D13" w:rsidP="00E330B1">
    <w:pPr>
      <w:pStyle w:val="Piedepgina"/>
      <w:rPr>
        <w:b/>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0F0D13" w14:paraId="66444B92" w14:textId="77777777" w:rsidTr="00017E5E">
      <w:trPr>
        <w:jc w:val="center"/>
      </w:trPr>
      <w:tc>
        <w:tcPr>
          <w:tcW w:w="8494" w:type="dxa"/>
        </w:tcPr>
        <w:p w14:paraId="2ED7A764" w14:textId="77777777" w:rsidR="000F0D13" w:rsidRPr="000915ED" w:rsidRDefault="000F0D13" w:rsidP="00C12B0A">
          <w:pPr>
            <w:pStyle w:val="Piedepgina"/>
            <w:jc w:val="center"/>
            <w:rPr>
              <w:sz w:val="10"/>
              <w:szCs w:val="10"/>
            </w:rPr>
          </w:pPr>
          <w:r w:rsidRPr="00AB7CD4">
            <w:rPr>
              <w:noProof/>
            </w:rPr>
            <w:drawing>
              <wp:inline distT="0" distB="0" distL="0" distR="0" wp14:anchorId="65141F1E" wp14:editId="4FFA9E22">
                <wp:extent cx="496800" cy="208800"/>
                <wp:effectExtent l="0" t="0" r="0" b="127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496800" cy="208800"/>
                        </a:xfrm>
                        <a:prstGeom prst="rect">
                          <a:avLst/>
                        </a:prstGeom>
                      </pic:spPr>
                    </pic:pic>
                  </a:graphicData>
                </a:graphic>
              </wp:inline>
            </w:drawing>
          </w:r>
        </w:p>
        <w:sdt>
          <w:sdtPr>
            <w:rPr>
              <w:sz w:val="10"/>
              <w:szCs w:val="10"/>
            </w:rPr>
            <w:id w:val="-598416498"/>
            <w:docPartObj>
              <w:docPartGallery w:val="Page Numbers (Bottom of Page)"/>
              <w:docPartUnique/>
            </w:docPartObj>
          </w:sdtPr>
          <w:sdtEndPr>
            <w:rPr>
              <w:b/>
              <w:sz w:val="24"/>
              <w:szCs w:val="24"/>
            </w:rPr>
          </w:sdtEndPr>
          <w:sdtContent>
            <w:p w14:paraId="223D8344" w14:textId="77777777" w:rsidR="000F0D13" w:rsidRPr="000915ED" w:rsidRDefault="000F0D13" w:rsidP="00C12B0A">
              <w:pPr>
                <w:pStyle w:val="Piedepgina"/>
                <w:jc w:val="center"/>
                <w:rPr>
                  <w:sz w:val="10"/>
                  <w:szCs w:val="10"/>
                </w:rPr>
              </w:pPr>
              <w:r w:rsidRPr="000915ED">
                <w:rPr>
                  <w:b/>
                  <w:noProof/>
                  <w:sz w:val="10"/>
                  <w:szCs w:val="10"/>
                </w:rPr>
                <mc:AlternateContent>
                  <mc:Choice Requires="wps">
                    <w:drawing>
                      <wp:anchor distT="0" distB="0" distL="114300" distR="114300" simplePos="0" relativeHeight="251695104" behindDoc="0" locked="0" layoutInCell="1" allowOverlap="1" wp14:anchorId="5C916F31" wp14:editId="526399C5">
                        <wp:simplePos x="0" y="0"/>
                        <wp:positionH relativeFrom="margin">
                          <wp:posOffset>2247900</wp:posOffset>
                        </wp:positionH>
                        <wp:positionV relativeFrom="paragraph">
                          <wp:posOffset>35560</wp:posOffset>
                        </wp:positionV>
                        <wp:extent cx="742950" cy="9525"/>
                        <wp:effectExtent l="0" t="0" r="19050" b="28575"/>
                        <wp:wrapNone/>
                        <wp:docPr id="118" name="Conector recto 118"/>
                        <wp:cNvGraphicFramePr/>
                        <a:graphic xmlns:a="http://schemas.openxmlformats.org/drawingml/2006/main">
                          <a:graphicData uri="http://schemas.microsoft.com/office/word/2010/wordprocessingShape">
                            <wps:wsp>
                              <wps:cNvCnPr/>
                              <wps:spPr>
                                <a:xfrm flipV="1">
                                  <a:off x="0" y="0"/>
                                  <a:ext cx="742950" cy="9525"/>
                                </a:xfrm>
                                <a:prstGeom prst="line">
                                  <a:avLst/>
                                </a:prstGeom>
                                <a:noFill/>
                                <a:ln w="12700" cap="flat" cmpd="sng" algn="ctr">
                                  <a:solidFill>
                                    <a:srgbClr val="9D223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A391C04" id="Conector recto 118" o:spid="_x0000_s1026" style="position:absolute;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7pt,2.8pt" to="235.5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xlCzgEAAIEDAAAOAAAAZHJzL2Uyb0RvYy54bWysU02P0zAQvSPxHyzfadJA2W3UdA+tlguC&#10;Six7nzp2YslfGpum/feMnW61wA1tDs58+WXem8nm4WwNO0mM2ruOLxc1Z9IJ32s3dPzn0+OHe85i&#10;AteD8U52/CIjf9i+f7eZQisbP3rTS2QE4mI7hY6PKYW2qqIYpYW48EE6SiqPFhK5OFQ9wkTo1lRN&#10;XX+uJo99QC9kjBTdz0m+LfhKSZG+KxVlYqbj1FsqJ5bzmM9qu4F2QAijFtc24D+6sKAdffQGtYcE&#10;7Bfqf6CsFuijV2khvK28UlrIwoHYLOu/2PwYIcjChcSJ4SZTfDtY8e10QKZ7mt2SRuXA0pB2NCqR&#10;PDLML5YzpNMUYkvlO3fAqxfDATPps0LLlNHhmWCKDESMnYvKl5vK8pyYoODdp2a9olkISq1XzSpj&#10;VzNIBgsY0xfpLctGx412WQJo4fQ1prn0pSSHnX/UxlAcWuPYRA00d3VGB9omZSCRaQPxi27gDMxA&#10;ayoSFsjoje7z9Xw74nDcGWQnoFVZ75vm40tnf5Tlb+8hjnNdSc1LZHWiTTbadvy+zs+Vl3EZXZZd&#10;vDLISs7aZevo+0uRtMoezbnIcd3JvEivfbJf/znb3wAAAP//AwBQSwMEFAAGAAgAAAAhAHewqJbc&#10;AAAABwEAAA8AAABkcnMvZG93bnJldi54bWxMjzFPwzAUhHck/oP1kNiok9I2VRqnqhAIZWzLwubE&#10;r3aE/RzFbhP+PWaC8XSnu++q/ewsu+EYek8C8kUGDKnzqict4OP89rQFFqIkJa0nFPCNAfb1/V0l&#10;S+UnOuLtFDVLJRRKKcDEOJSch86gk2HhB6TkXfzoZExy1FyNckrlzvJllm24kz2lBSMHfDHYfZ2u&#10;TsDR6DMWl1Y30/uh6D+b5nVpByEeH+bDDljEOf6F4Rc/oUOdmFp/JRWYFfC8XqUvUcB6Ayz5qyJP&#10;uhVQ5MDriv/nr38AAAD//wMAUEsBAi0AFAAGAAgAAAAhALaDOJL+AAAA4QEAABMAAAAAAAAAAAAA&#10;AAAAAAAAAFtDb250ZW50X1R5cGVzXS54bWxQSwECLQAUAAYACAAAACEAOP0h/9YAAACUAQAACwAA&#10;AAAAAAAAAAAAAAAvAQAAX3JlbHMvLnJlbHNQSwECLQAUAAYACAAAACEAzpcZQs4BAACBAwAADgAA&#10;AAAAAAAAAAAAAAAuAgAAZHJzL2Uyb0RvYy54bWxQSwECLQAUAAYACAAAACEAd7ColtwAAAAHAQAA&#10;DwAAAAAAAAAAAAAAAAAoBAAAZHJzL2Rvd25yZXYueG1sUEsFBgAAAAAEAAQA8wAAADEFAAAAAA==&#10;" strokecolor="#9d2235" strokeweight="1pt">
                        <v:stroke joinstyle="miter"/>
                        <w10:wrap anchorx="margin"/>
                      </v:line>
                    </w:pict>
                  </mc:Fallback>
                </mc:AlternateContent>
              </w:r>
            </w:p>
            <w:p w14:paraId="2CE19CAC" w14:textId="77777777" w:rsidR="000F0D13" w:rsidRPr="00362069" w:rsidRDefault="000F0D13" w:rsidP="00C12B0A">
              <w:pPr>
                <w:pStyle w:val="Piedepgina"/>
                <w:jc w:val="center"/>
                <w:rPr>
                  <w:b/>
                </w:rPr>
              </w:pPr>
              <w:r w:rsidRPr="000915ED">
                <w:rPr>
                  <w:b/>
                </w:rPr>
                <w:fldChar w:fldCharType="begin"/>
              </w:r>
              <w:r w:rsidRPr="000915ED">
                <w:rPr>
                  <w:b/>
                </w:rPr>
                <w:instrText>PAGE   \* MERGEFORMAT</w:instrText>
              </w:r>
              <w:r w:rsidRPr="000915ED">
                <w:rPr>
                  <w:b/>
                </w:rPr>
                <w:fldChar w:fldCharType="separate"/>
              </w:r>
              <w:r>
                <w:rPr>
                  <w:b/>
                </w:rPr>
                <w:t>202</w:t>
              </w:r>
              <w:r w:rsidRPr="000915ED">
                <w:rPr>
                  <w:b/>
                </w:rPr>
                <w:fldChar w:fldCharType="end"/>
              </w:r>
            </w:p>
          </w:sdtContent>
        </w:sdt>
      </w:tc>
    </w:tr>
  </w:tbl>
  <w:p w14:paraId="0C03B104" w14:textId="77777777" w:rsidR="000F0D13" w:rsidRPr="00FD2DAE" w:rsidRDefault="000F0D13" w:rsidP="00E330B1">
    <w:pPr>
      <w:pStyle w:val="Piedepgina"/>
      <w:rPr>
        <w:b/>
        <w:sz w:val="10"/>
        <w:szCs w:val="1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6D7713" w14:textId="231769A6" w:rsidR="000F0D13" w:rsidRPr="00C12B0A" w:rsidRDefault="000F0D13">
    <w:pPr>
      <w:pStyle w:val="Piedepgina"/>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0F0D13" w14:paraId="2A30DDFB" w14:textId="77777777" w:rsidTr="00017E5E">
      <w:trPr>
        <w:jc w:val="center"/>
      </w:trPr>
      <w:tc>
        <w:tcPr>
          <w:tcW w:w="8494" w:type="dxa"/>
        </w:tcPr>
        <w:p w14:paraId="7A16D51B" w14:textId="77777777" w:rsidR="000F0D13" w:rsidRPr="000915ED" w:rsidRDefault="000F0D13" w:rsidP="00C12B0A">
          <w:pPr>
            <w:pStyle w:val="Piedepgina"/>
            <w:jc w:val="center"/>
            <w:rPr>
              <w:sz w:val="10"/>
              <w:szCs w:val="10"/>
            </w:rPr>
          </w:pPr>
          <w:r w:rsidRPr="00AB7CD4">
            <w:rPr>
              <w:noProof/>
            </w:rPr>
            <w:drawing>
              <wp:inline distT="0" distB="0" distL="0" distR="0" wp14:anchorId="2FC0B6E2" wp14:editId="0F34C7A2">
                <wp:extent cx="496800" cy="208800"/>
                <wp:effectExtent l="0" t="0" r="0" b="127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496800" cy="208800"/>
                        </a:xfrm>
                        <a:prstGeom prst="rect">
                          <a:avLst/>
                        </a:prstGeom>
                      </pic:spPr>
                    </pic:pic>
                  </a:graphicData>
                </a:graphic>
              </wp:inline>
            </w:drawing>
          </w:r>
        </w:p>
        <w:sdt>
          <w:sdtPr>
            <w:rPr>
              <w:sz w:val="10"/>
              <w:szCs w:val="10"/>
            </w:rPr>
            <w:id w:val="-1363742566"/>
            <w:docPartObj>
              <w:docPartGallery w:val="Page Numbers (Bottom of Page)"/>
              <w:docPartUnique/>
            </w:docPartObj>
          </w:sdtPr>
          <w:sdtEndPr>
            <w:rPr>
              <w:b/>
              <w:sz w:val="24"/>
              <w:szCs w:val="24"/>
            </w:rPr>
          </w:sdtEndPr>
          <w:sdtContent>
            <w:p w14:paraId="58FA7600" w14:textId="77777777" w:rsidR="000F0D13" w:rsidRPr="000915ED" w:rsidRDefault="000F0D13" w:rsidP="00C12B0A">
              <w:pPr>
                <w:pStyle w:val="Piedepgina"/>
                <w:jc w:val="center"/>
                <w:rPr>
                  <w:sz w:val="10"/>
                  <w:szCs w:val="10"/>
                </w:rPr>
              </w:pPr>
              <w:r w:rsidRPr="000915ED">
                <w:rPr>
                  <w:b/>
                  <w:noProof/>
                  <w:sz w:val="10"/>
                  <w:szCs w:val="10"/>
                </w:rPr>
                <mc:AlternateContent>
                  <mc:Choice Requires="wps">
                    <w:drawing>
                      <wp:anchor distT="0" distB="0" distL="114300" distR="114300" simplePos="0" relativeHeight="251699200" behindDoc="0" locked="0" layoutInCell="1" allowOverlap="1" wp14:anchorId="76DB48EC" wp14:editId="558972FB">
                        <wp:simplePos x="0" y="0"/>
                        <wp:positionH relativeFrom="margin">
                          <wp:posOffset>2247900</wp:posOffset>
                        </wp:positionH>
                        <wp:positionV relativeFrom="paragraph">
                          <wp:posOffset>35560</wp:posOffset>
                        </wp:positionV>
                        <wp:extent cx="742950" cy="9525"/>
                        <wp:effectExtent l="0" t="0" r="19050" b="28575"/>
                        <wp:wrapNone/>
                        <wp:docPr id="202" name="Conector recto 202"/>
                        <wp:cNvGraphicFramePr/>
                        <a:graphic xmlns:a="http://schemas.openxmlformats.org/drawingml/2006/main">
                          <a:graphicData uri="http://schemas.microsoft.com/office/word/2010/wordprocessingShape">
                            <wps:wsp>
                              <wps:cNvCnPr/>
                              <wps:spPr>
                                <a:xfrm flipV="1">
                                  <a:off x="0" y="0"/>
                                  <a:ext cx="742950" cy="9525"/>
                                </a:xfrm>
                                <a:prstGeom prst="line">
                                  <a:avLst/>
                                </a:prstGeom>
                                <a:noFill/>
                                <a:ln w="12700" cap="flat" cmpd="sng" algn="ctr">
                                  <a:solidFill>
                                    <a:srgbClr val="9D223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BFD6B1F" id="Conector recto 202" o:spid="_x0000_s1026" style="position:absolute;flip:y;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7pt,2.8pt" to="235.5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ntFzwEAAIEDAAAOAAAAZHJzL2Uyb0RvYy54bWysU02P0zAQvSPxHyzfabKBstuo6R5aLRcE&#10;lVi4Tx07seQvjU3T/nvGTrZa4IbIwbFnxi/z3rxsHy/WsLPEqL3r+N2q5kw64Xvtho5/f35698BZ&#10;TOB6MN7Jjl9l5I+7t2+2U2hl40dveomMQFxsp9DxMaXQVlUUo7QQVz5IR0nl0UKiIw5VjzARujVV&#10;U9cfq8ljH9ALGSNFD3OS7wq+UlKkr0pFmZjpOPWWyoplPeW12m2hHRDCqMXSBvxDFxa0o4/eoA6Q&#10;gP1E/ReU1QJ99CqthLeVV0oLWTgQm7v6DzbfRgiycCFxYrjJFP8frPhyPiLTfcebuuHMgaUh7WlU&#10;InlkmF8sZ0inKcSWyvfuiMsphiNm0heFlimjww+yQJGBiLFLUfl6U1leEhMUvP/QbNY0C0GpzbpZ&#10;Z+xqBslgAWP6JL1ledNxo12WAFo4f45pLn0pyWHnn7QxFIfWODZRA819ndGB3KQMJNraQPyiGzgD&#10;M5BNRcICGb3Rfb6eb0ccTnuD7Axklc2had6/dPZbWf72AeI415XUbCKrEznZaNvxhzo/Cy/jMros&#10;XlwYZCVn7fLu5PtrkbTKJ5pzkWPxZDbS6zPtX/85u18AAAD//wMAUEsDBBQABgAIAAAAIQB3sKiW&#10;3AAAAAcBAAAPAAAAZHJzL2Rvd25yZXYueG1sTI8xT8MwFIR3JP6D9ZDYqJPSNlUap6oQCGVsy8Lm&#10;xK92hP0cxW4T/j1mgvF0p7vvqv3sLLvhGHpPAvJFBgyp86onLeDj/Pa0BRaiJCWtJxTwjQH29f1d&#10;JUvlJzri7RQ1SyUUSinAxDiUnIfOoJNh4Qek5F386GRMctRcjXJK5c7yZZZtuJM9pQUjB3wx2H2d&#10;rk7A0egzFpdWN9P7oeg/m+Z1aQchHh/mww5YxDn+heEXP6FDnZhafyUVmBXwvF6lL1HAegMs+asi&#10;T7oVUOTA64r/569/AAAA//8DAFBLAQItABQABgAIAAAAIQC2gziS/gAAAOEBAAATAAAAAAAAAAAA&#10;AAAAAAAAAABbQ29udGVudF9UeXBlc10ueG1sUEsBAi0AFAAGAAgAAAAhADj9If/WAAAAlAEAAAsA&#10;AAAAAAAAAAAAAAAALwEAAF9yZWxzLy5yZWxzUEsBAi0AFAAGAAgAAAAhAPPOe0XPAQAAgQMAAA4A&#10;AAAAAAAAAAAAAAAALgIAAGRycy9lMm9Eb2MueG1sUEsBAi0AFAAGAAgAAAAhAHewqJbcAAAABwEA&#10;AA8AAAAAAAAAAAAAAAAAKQQAAGRycy9kb3ducmV2LnhtbFBLBQYAAAAABAAEAPMAAAAyBQAAAAA=&#10;" strokecolor="#9d2235" strokeweight="1pt">
                        <v:stroke joinstyle="miter"/>
                        <w10:wrap anchorx="margin"/>
                      </v:line>
                    </w:pict>
                  </mc:Fallback>
                </mc:AlternateContent>
              </w:r>
            </w:p>
            <w:p w14:paraId="1B8DCE52" w14:textId="77777777" w:rsidR="000F0D13" w:rsidRDefault="000F0D13" w:rsidP="00C12B0A">
              <w:pPr>
                <w:pStyle w:val="Piedepgina"/>
                <w:jc w:val="center"/>
                <w:rPr>
                  <w:b/>
                  <w:sz w:val="10"/>
                  <w:szCs w:val="10"/>
                </w:rPr>
              </w:pPr>
              <w:r w:rsidRPr="000915ED">
                <w:rPr>
                  <w:b/>
                </w:rPr>
                <w:fldChar w:fldCharType="begin"/>
              </w:r>
              <w:r w:rsidRPr="000915ED">
                <w:rPr>
                  <w:b/>
                </w:rPr>
                <w:instrText>PAGE   \* MERGEFORMAT</w:instrText>
              </w:r>
              <w:r w:rsidRPr="000915ED">
                <w:rPr>
                  <w:b/>
                </w:rPr>
                <w:fldChar w:fldCharType="separate"/>
              </w:r>
              <w:r>
                <w:rPr>
                  <w:b/>
                </w:rPr>
                <w:t>202</w:t>
              </w:r>
              <w:r w:rsidRPr="000915ED">
                <w:rPr>
                  <w:b/>
                </w:rPr>
                <w:fldChar w:fldCharType="end"/>
              </w:r>
            </w:p>
          </w:sdtContent>
        </w:sdt>
      </w:tc>
    </w:tr>
  </w:tbl>
  <w:p w14:paraId="543CC3B8" w14:textId="77777777" w:rsidR="000F0D13" w:rsidRPr="00E71133" w:rsidRDefault="000F0D13">
    <w:pPr>
      <w:pStyle w:val="Piedepgina"/>
      <w:rPr>
        <w:sz w:val="10"/>
        <w:szCs w:val="1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EE6AAB" w14:textId="77777777" w:rsidR="00DD0306" w:rsidRDefault="00DD0306" w:rsidP="000E2A66">
      <w:pPr>
        <w:spacing w:after="0" w:line="240" w:lineRule="auto"/>
      </w:pPr>
      <w:r>
        <w:separator/>
      </w:r>
    </w:p>
  </w:footnote>
  <w:footnote w:type="continuationSeparator" w:id="0">
    <w:p w14:paraId="592A99D3" w14:textId="77777777" w:rsidR="00DD0306" w:rsidRDefault="00DD0306" w:rsidP="000E2A66">
      <w:pPr>
        <w:spacing w:after="0" w:line="240" w:lineRule="auto"/>
      </w:pPr>
      <w:r>
        <w:continuationSeparator/>
      </w:r>
    </w:p>
  </w:footnote>
  <w:footnote w:id="1">
    <w:p w14:paraId="55B6D8EC" w14:textId="77777777" w:rsidR="000F0D13" w:rsidRDefault="000F0D13" w:rsidP="00D572EA">
      <w:pPr>
        <w:pStyle w:val="Footnote"/>
        <w:rPr>
          <w:rFonts w:ascii="Open Sans" w:hAnsi="Open Sans"/>
          <w:sz w:val="16"/>
          <w:szCs w:val="16"/>
        </w:rPr>
      </w:pPr>
      <w:r>
        <w:rPr>
          <w:rStyle w:val="Refdenotaalpie"/>
        </w:rPr>
        <w:footnoteRef/>
      </w:r>
      <w:r>
        <w:rPr>
          <w:rFonts w:ascii="Open Sans" w:hAnsi="Open Sans"/>
          <w:sz w:val="16"/>
          <w:szCs w:val="16"/>
        </w:rPr>
        <w:t xml:space="preserve">        El proyecto de presupuesto de la Agencia fue aprobado por su director el 17 de octubre de 2018 y remitido a la Mesa de las Cortes en esa misma fecha.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0F0D13" w14:paraId="4827B884" w14:textId="1AC85977" w:rsidTr="0095711F">
      <w:tc>
        <w:tcPr>
          <w:tcW w:w="8494" w:type="dxa"/>
        </w:tcPr>
        <w:p w14:paraId="7E88BBB4" w14:textId="778B6ECE" w:rsidR="000F0D13" w:rsidRPr="008637FD" w:rsidRDefault="000F0D13" w:rsidP="000826AD">
          <w:pPr>
            <w:spacing w:line="288" w:lineRule="auto"/>
            <w:rPr>
              <w:rFonts w:ascii="Times New Roman" w:eastAsia="Times New Roman" w:hAnsi="Times New Roman" w:cs="Times New Roman"/>
              <w:color w:val="9D2235"/>
              <w:sz w:val="19"/>
              <w:szCs w:val="19"/>
              <w:lang w:eastAsia="es-ES"/>
            </w:rPr>
          </w:pPr>
          <w:bookmarkStart w:id="0" w:name="_Hlk35951285"/>
          <w:r w:rsidRPr="008637FD">
            <w:rPr>
              <w:rFonts w:ascii="Open Sans" w:eastAsia="Times New Roman" w:hAnsi="Open Sans" w:cs="Open Sans"/>
              <w:b/>
              <w:bCs/>
              <w:smallCaps/>
              <w:color w:val="9D2235"/>
              <w:sz w:val="19"/>
              <w:szCs w:val="19"/>
              <w:lang w:eastAsia="es-ES"/>
            </w:rPr>
            <w:t xml:space="preserve">Memoria de </w:t>
          </w:r>
          <w:r>
            <w:rPr>
              <w:rFonts w:ascii="Open Sans" w:eastAsia="Times New Roman" w:hAnsi="Open Sans" w:cs="Open Sans"/>
              <w:b/>
              <w:bCs/>
              <w:smallCaps/>
              <w:color w:val="9D2235"/>
              <w:sz w:val="19"/>
              <w:szCs w:val="19"/>
              <w:lang w:eastAsia="es-ES"/>
            </w:rPr>
            <w:t>a</w:t>
          </w:r>
          <w:r w:rsidRPr="008637FD">
            <w:rPr>
              <w:rFonts w:ascii="Open Sans" w:eastAsia="Times New Roman" w:hAnsi="Open Sans" w:cs="Open Sans"/>
              <w:b/>
              <w:bCs/>
              <w:smallCaps/>
              <w:color w:val="9D2235"/>
              <w:sz w:val="19"/>
              <w:szCs w:val="19"/>
              <w:lang w:eastAsia="es-ES"/>
            </w:rPr>
            <w:t>ctividad de la Agencia Valenciana Antifraude</w:t>
          </w:r>
        </w:p>
        <w:p w14:paraId="5E95D51C" w14:textId="77777777" w:rsidR="000F0D13" w:rsidRPr="008637FD" w:rsidRDefault="000F0D13" w:rsidP="000826AD">
          <w:pPr>
            <w:spacing w:line="288" w:lineRule="auto"/>
            <w:rPr>
              <w:rFonts w:ascii="Open Sans" w:hAnsi="Open Sans" w:cs="Open Sans"/>
              <w:b/>
              <w:bCs/>
              <w:smallCaps/>
              <w:color w:val="FFFFFF" w:themeColor="background1"/>
              <w:sz w:val="19"/>
              <w:szCs w:val="19"/>
              <w:highlight w:val="darkRed"/>
            </w:rPr>
          </w:pPr>
          <w:r w:rsidRPr="008637FD">
            <w:rPr>
              <w:rFonts w:ascii="Open Sans" w:hAnsi="Open Sans" w:cs="Open Sans"/>
              <w:b/>
              <w:bCs/>
              <w:smallCaps/>
              <w:color w:val="FFFFFF" w:themeColor="background1"/>
              <w:sz w:val="19"/>
              <w:szCs w:val="19"/>
              <w:highlight w:val="darkRed"/>
            </w:rPr>
            <w:t>2019</w:t>
          </w:r>
        </w:p>
        <w:p w14:paraId="351D8297" w14:textId="77777777" w:rsidR="000F0D13" w:rsidRDefault="000F0D13" w:rsidP="000826AD">
          <w:pPr>
            <w:spacing w:line="288" w:lineRule="auto"/>
            <w:rPr>
              <w:rFonts w:ascii="Open Sans" w:eastAsia="Times New Roman" w:hAnsi="Open Sans" w:cs="Open Sans"/>
              <w:b/>
              <w:bCs/>
              <w:smallCaps/>
              <w:color w:val="94070A"/>
              <w:sz w:val="18"/>
              <w:szCs w:val="18"/>
              <w:lang w:eastAsia="es-ES"/>
            </w:rPr>
          </w:pPr>
        </w:p>
      </w:tc>
    </w:tr>
    <w:bookmarkEnd w:id="0"/>
  </w:tbl>
  <w:p w14:paraId="36DE7BBE" w14:textId="5DDCE777" w:rsidR="000F0D13" w:rsidRPr="00E71133" w:rsidRDefault="000F0D13">
    <w:pPr>
      <w:pStyle w:val="Encabezado"/>
      <w:rPr>
        <w:sz w:val="10"/>
        <w:szCs w:val="1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8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tblGrid>
    <w:tr w:rsidR="000F0D13" w:rsidRPr="008637FD" w14:paraId="551740F5" w14:textId="77777777" w:rsidTr="000826AD">
      <w:tc>
        <w:tcPr>
          <w:tcW w:w="8500" w:type="dxa"/>
        </w:tcPr>
        <w:p w14:paraId="38209595" w14:textId="77777777" w:rsidR="000F0D13" w:rsidRPr="008637FD" w:rsidRDefault="000F0D13" w:rsidP="0049550C">
          <w:pPr>
            <w:spacing w:line="288" w:lineRule="auto"/>
            <w:jc w:val="right"/>
            <w:rPr>
              <w:rFonts w:ascii="Open Sans" w:eastAsia="Times New Roman" w:hAnsi="Open Sans" w:cs="Open Sans"/>
              <w:b/>
              <w:bCs/>
              <w:smallCaps/>
              <w:color w:val="9D2235"/>
              <w:sz w:val="19"/>
              <w:szCs w:val="19"/>
              <w:lang w:eastAsia="es-ES"/>
            </w:rPr>
          </w:pPr>
          <w:bookmarkStart w:id="1" w:name="_Hlk34119562"/>
        </w:p>
      </w:tc>
    </w:tr>
    <w:bookmarkEnd w:id="1"/>
  </w:tbl>
  <w:p w14:paraId="7823C9F2" w14:textId="77777777" w:rsidR="000F0D13" w:rsidRPr="00E71133" w:rsidRDefault="000F0D13" w:rsidP="00851C2E">
    <w:pPr>
      <w:spacing w:after="0" w:line="288" w:lineRule="auto"/>
      <w:rPr>
        <w:rFonts w:ascii="Open Sans" w:eastAsia="Times New Roman" w:hAnsi="Open Sans" w:cs="Open Sans"/>
        <w:b/>
        <w:bCs/>
        <w:smallCaps/>
        <w:color w:val="94070A"/>
        <w:sz w:val="10"/>
        <w:szCs w:val="10"/>
        <w:lang w:eastAsia="es-E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8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tblGrid>
    <w:tr w:rsidR="000F0D13" w:rsidRPr="008637FD" w14:paraId="34B38B6C" w14:textId="77777777" w:rsidTr="000826AD">
      <w:tc>
        <w:tcPr>
          <w:tcW w:w="8500" w:type="dxa"/>
        </w:tcPr>
        <w:p w14:paraId="15626B20" w14:textId="77777777" w:rsidR="000F0D13" w:rsidRPr="008637FD" w:rsidRDefault="000F0D13" w:rsidP="00A03993">
          <w:pPr>
            <w:spacing w:line="288" w:lineRule="auto"/>
            <w:jc w:val="right"/>
            <w:rPr>
              <w:rFonts w:ascii="Times New Roman" w:eastAsia="Times New Roman" w:hAnsi="Times New Roman" w:cs="Times New Roman"/>
              <w:color w:val="9D2235"/>
              <w:sz w:val="19"/>
              <w:szCs w:val="19"/>
              <w:lang w:eastAsia="es-ES"/>
            </w:rPr>
          </w:pPr>
          <w:r w:rsidRPr="008637FD">
            <w:rPr>
              <w:rFonts w:ascii="Open Sans" w:eastAsia="Times New Roman" w:hAnsi="Open Sans" w:cs="Open Sans"/>
              <w:b/>
              <w:bCs/>
              <w:smallCaps/>
              <w:color w:val="9D2235"/>
              <w:sz w:val="19"/>
              <w:szCs w:val="19"/>
              <w:lang w:eastAsia="es-ES"/>
            </w:rPr>
            <w:t xml:space="preserve">Memoria de </w:t>
          </w:r>
          <w:r>
            <w:rPr>
              <w:rFonts w:ascii="Open Sans" w:eastAsia="Times New Roman" w:hAnsi="Open Sans" w:cs="Open Sans"/>
              <w:b/>
              <w:bCs/>
              <w:smallCaps/>
              <w:color w:val="9D2235"/>
              <w:sz w:val="19"/>
              <w:szCs w:val="19"/>
              <w:lang w:eastAsia="es-ES"/>
            </w:rPr>
            <w:t>a</w:t>
          </w:r>
          <w:r w:rsidRPr="008637FD">
            <w:rPr>
              <w:rFonts w:ascii="Open Sans" w:eastAsia="Times New Roman" w:hAnsi="Open Sans" w:cs="Open Sans"/>
              <w:b/>
              <w:bCs/>
              <w:smallCaps/>
              <w:color w:val="9D2235"/>
              <w:sz w:val="19"/>
              <w:szCs w:val="19"/>
              <w:lang w:eastAsia="es-ES"/>
            </w:rPr>
            <w:t>ctividad de la Agencia Valenciana Antifraude</w:t>
          </w:r>
        </w:p>
        <w:p w14:paraId="7BB467FD" w14:textId="77777777" w:rsidR="000F0D13" w:rsidRPr="008637FD" w:rsidRDefault="000F0D13" w:rsidP="00A03993">
          <w:pPr>
            <w:spacing w:line="288" w:lineRule="auto"/>
            <w:jc w:val="right"/>
            <w:rPr>
              <w:rFonts w:ascii="Open Sans" w:hAnsi="Open Sans" w:cs="Open Sans"/>
              <w:b/>
              <w:bCs/>
              <w:smallCaps/>
              <w:color w:val="FFFFFF" w:themeColor="background1"/>
              <w:sz w:val="19"/>
              <w:szCs w:val="19"/>
              <w:highlight w:val="darkRed"/>
            </w:rPr>
          </w:pPr>
          <w:r w:rsidRPr="008637FD">
            <w:rPr>
              <w:rFonts w:ascii="Open Sans" w:hAnsi="Open Sans" w:cs="Open Sans"/>
              <w:b/>
              <w:bCs/>
              <w:smallCaps/>
              <w:color w:val="FFFFFF" w:themeColor="background1"/>
              <w:sz w:val="19"/>
              <w:szCs w:val="19"/>
              <w:highlight w:val="darkRed"/>
            </w:rPr>
            <w:t>2019</w:t>
          </w:r>
        </w:p>
        <w:p w14:paraId="79F48587" w14:textId="77777777" w:rsidR="000F0D13" w:rsidRPr="008637FD" w:rsidRDefault="000F0D13" w:rsidP="0049550C">
          <w:pPr>
            <w:spacing w:line="288" w:lineRule="auto"/>
            <w:jc w:val="right"/>
            <w:rPr>
              <w:rFonts w:ascii="Open Sans" w:eastAsia="Times New Roman" w:hAnsi="Open Sans" w:cs="Open Sans"/>
              <w:b/>
              <w:bCs/>
              <w:smallCaps/>
              <w:color w:val="9D2235"/>
              <w:sz w:val="19"/>
              <w:szCs w:val="19"/>
              <w:lang w:eastAsia="es-ES"/>
            </w:rPr>
          </w:pPr>
        </w:p>
      </w:tc>
    </w:tr>
  </w:tbl>
  <w:p w14:paraId="66F87FFB" w14:textId="77777777" w:rsidR="000F0D13" w:rsidRPr="00E71133" w:rsidRDefault="000F0D13" w:rsidP="00851C2E">
    <w:pPr>
      <w:spacing w:after="0" w:line="288" w:lineRule="auto"/>
      <w:rPr>
        <w:rFonts w:ascii="Open Sans" w:eastAsia="Times New Roman" w:hAnsi="Open Sans" w:cs="Open Sans"/>
        <w:b/>
        <w:bCs/>
        <w:smallCaps/>
        <w:color w:val="94070A"/>
        <w:sz w:val="10"/>
        <w:szCs w:val="10"/>
        <w:lang w:eastAsia="es-ES"/>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0F0D13" w14:paraId="18916E53" w14:textId="77777777" w:rsidTr="00FD13E7">
      <w:tc>
        <w:tcPr>
          <w:tcW w:w="8494" w:type="dxa"/>
        </w:tcPr>
        <w:p w14:paraId="50927214" w14:textId="77777777" w:rsidR="000F0D13" w:rsidRPr="008637FD" w:rsidRDefault="000F0D13" w:rsidP="00FD13E7">
          <w:pPr>
            <w:spacing w:line="288" w:lineRule="auto"/>
            <w:jc w:val="right"/>
            <w:rPr>
              <w:rFonts w:ascii="Times New Roman" w:eastAsia="Times New Roman" w:hAnsi="Times New Roman" w:cs="Times New Roman"/>
              <w:color w:val="9D2235"/>
              <w:sz w:val="19"/>
              <w:szCs w:val="19"/>
              <w:lang w:eastAsia="es-ES"/>
            </w:rPr>
          </w:pPr>
          <w:r w:rsidRPr="008637FD">
            <w:rPr>
              <w:rFonts w:ascii="Open Sans" w:eastAsia="Times New Roman" w:hAnsi="Open Sans" w:cs="Open Sans"/>
              <w:b/>
              <w:bCs/>
              <w:smallCaps/>
              <w:color w:val="9D2235"/>
              <w:sz w:val="19"/>
              <w:szCs w:val="19"/>
              <w:lang w:eastAsia="es-ES"/>
            </w:rPr>
            <w:t xml:space="preserve">Memoria de </w:t>
          </w:r>
          <w:r>
            <w:rPr>
              <w:rFonts w:ascii="Open Sans" w:eastAsia="Times New Roman" w:hAnsi="Open Sans" w:cs="Open Sans"/>
              <w:b/>
              <w:bCs/>
              <w:smallCaps/>
              <w:color w:val="9D2235"/>
              <w:sz w:val="19"/>
              <w:szCs w:val="19"/>
              <w:lang w:eastAsia="es-ES"/>
            </w:rPr>
            <w:t>a</w:t>
          </w:r>
          <w:r w:rsidRPr="008637FD">
            <w:rPr>
              <w:rFonts w:ascii="Open Sans" w:eastAsia="Times New Roman" w:hAnsi="Open Sans" w:cs="Open Sans"/>
              <w:b/>
              <w:bCs/>
              <w:smallCaps/>
              <w:color w:val="9D2235"/>
              <w:sz w:val="19"/>
              <w:szCs w:val="19"/>
              <w:lang w:eastAsia="es-ES"/>
            </w:rPr>
            <w:t>ctividad de la Agencia Valenciana Antifraude</w:t>
          </w:r>
        </w:p>
        <w:p w14:paraId="1D2F5B9C" w14:textId="77777777" w:rsidR="000F0D13" w:rsidRPr="008637FD" w:rsidRDefault="000F0D13" w:rsidP="00FD13E7">
          <w:pPr>
            <w:spacing w:line="288" w:lineRule="auto"/>
            <w:jc w:val="right"/>
            <w:rPr>
              <w:rFonts w:ascii="Open Sans" w:hAnsi="Open Sans" w:cs="Open Sans"/>
              <w:b/>
              <w:bCs/>
              <w:smallCaps/>
              <w:color w:val="FFFFFF" w:themeColor="background1"/>
              <w:sz w:val="19"/>
              <w:szCs w:val="19"/>
              <w:highlight w:val="darkRed"/>
            </w:rPr>
          </w:pPr>
          <w:r w:rsidRPr="008637FD">
            <w:rPr>
              <w:rFonts w:ascii="Open Sans" w:hAnsi="Open Sans" w:cs="Open Sans"/>
              <w:b/>
              <w:bCs/>
              <w:smallCaps/>
              <w:color w:val="FFFFFF" w:themeColor="background1"/>
              <w:sz w:val="19"/>
              <w:szCs w:val="19"/>
              <w:highlight w:val="darkRed"/>
            </w:rPr>
            <w:t>2019</w:t>
          </w:r>
        </w:p>
        <w:p w14:paraId="3CDA2A31" w14:textId="77777777" w:rsidR="000F0D13" w:rsidRDefault="000F0D13" w:rsidP="00FD13E7">
          <w:pPr>
            <w:spacing w:line="288" w:lineRule="auto"/>
            <w:rPr>
              <w:rFonts w:ascii="Open Sans" w:eastAsia="Times New Roman" w:hAnsi="Open Sans" w:cs="Open Sans"/>
              <w:b/>
              <w:bCs/>
              <w:smallCaps/>
              <w:color w:val="94070A"/>
              <w:sz w:val="18"/>
              <w:szCs w:val="18"/>
              <w:lang w:eastAsia="es-ES"/>
            </w:rPr>
          </w:pPr>
        </w:p>
      </w:tc>
    </w:tr>
  </w:tbl>
  <w:p w14:paraId="62ACC633" w14:textId="290CF332" w:rsidR="000F0D13" w:rsidRPr="00FD13E7" w:rsidRDefault="000F0D13" w:rsidP="00FD13E7">
    <w:pPr>
      <w:pStyle w:val="Encabezado"/>
      <w:rPr>
        <w:sz w:val="10"/>
        <w:szCs w:val="1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9FE517" w14:textId="77777777" w:rsidR="000F0D13" w:rsidRPr="008637FD" w:rsidRDefault="000F0D13" w:rsidP="00A620EB">
    <w:pPr>
      <w:spacing w:after="0" w:line="288" w:lineRule="auto"/>
      <w:jc w:val="right"/>
      <w:rPr>
        <w:rFonts w:ascii="Times New Roman" w:eastAsia="Times New Roman" w:hAnsi="Times New Roman" w:cs="Times New Roman"/>
        <w:color w:val="9D2235"/>
        <w:sz w:val="19"/>
        <w:szCs w:val="19"/>
        <w:lang w:eastAsia="es-ES"/>
      </w:rPr>
    </w:pPr>
    <w:r w:rsidRPr="008637FD">
      <w:rPr>
        <w:rFonts w:ascii="Open Sans" w:eastAsia="Times New Roman" w:hAnsi="Open Sans" w:cs="Open Sans"/>
        <w:b/>
        <w:bCs/>
        <w:smallCaps/>
        <w:color w:val="9D2235"/>
        <w:sz w:val="19"/>
        <w:szCs w:val="19"/>
        <w:lang w:eastAsia="es-ES"/>
      </w:rPr>
      <w:t xml:space="preserve">Memoria de </w:t>
    </w:r>
    <w:r>
      <w:rPr>
        <w:rFonts w:ascii="Open Sans" w:eastAsia="Times New Roman" w:hAnsi="Open Sans" w:cs="Open Sans"/>
        <w:b/>
        <w:bCs/>
        <w:smallCaps/>
        <w:color w:val="9D2235"/>
        <w:sz w:val="19"/>
        <w:szCs w:val="19"/>
        <w:lang w:eastAsia="es-ES"/>
      </w:rPr>
      <w:t>a</w:t>
    </w:r>
    <w:r w:rsidRPr="008637FD">
      <w:rPr>
        <w:rFonts w:ascii="Open Sans" w:eastAsia="Times New Roman" w:hAnsi="Open Sans" w:cs="Open Sans"/>
        <w:b/>
        <w:bCs/>
        <w:smallCaps/>
        <w:color w:val="9D2235"/>
        <w:sz w:val="19"/>
        <w:szCs w:val="19"/>
        <w:lang w:eastAsia="es-ES"/>
      </w:rPr>
      <w:t>ctividad de la Agencia Valenciana Antifraude</w:t>
    </w:r>
  </w:p>
  <w:p w14:paraId="0824A163" w14:textId="61172281" w:rsidR="000F0D13" w:rsidRDefault="000F0D13" w:rsidP="00A620EB">
    <w:pPr>
      <w:spacing w:after="0" w:line="288" w:lineRule="auto"/>
      <w:jc w:val="right"/>
      <w:rPr>
        <w:rFonts w:ascii="Open Sans" w:hAnsi="Open Sans" w:cs="Open Sans"/>
        <w:b/>
        <w:bCs/>
        <w:smallCaps/>
        <w:color w:val="FFFFFF" w:themeColor="background1"/>
        <w:sz w:val="19"/>
        <w:szCs w:val="19"/>
        <w:highlight w:val="darkRed"/>
      </w:rPr>
    </w:pPr>
    <w:r w:rsidRPr="008637FD">
      <w:rPr>
        <w:rFonts w:ascii="Open Sans" w:hAnsi="Open Sans" w:cs="Open Sans"/>
        <w:b/>
        <w:bCs/>
        <w:smallCaps/>
        <w:color w:val="FFFFFF" w:themeColor="background1"/>
        <w:sz w:val="19"/>
        <w:szCs w:val="19"/>
        <w:highlight w:val="darkRed"/>
      </w:rPr>
      <w:t>2019</w:t>
    </w:r>
  </w:p>
  <w:p w14:paraId="4F93A7B9" w14:textId="77777777" w:rsidR="000F0D13" w:rsidRPr="00B46EE6" w:rsidRDefault="000F0D13" w:rsidP="00A620EB">
    <w:pPr>
      <w:spacing w:after="0" w:line="288" w:lineRule="auto"/>
      <w:jc w:val="right"/>
      <w:rPr>
        <w:rFonts w:ascii="Open Sans" w:hAnsi="Open Sans" w:cs="Open Sans"/>
        <w:b/>
        <w:bCs/>
        <w:smallCaps/>
        <w:color w:val="FFFFFF" w:themeColor="background1"/>
        <w:sz w:val="18"/>
        <w:szCs w:val="18"/>
        <w:highlight w:val="darkRed"/>
      </w:rPr>
    </w:pPr>
  </w:p>
  <w:p w14:paraId="7F91DC25" w14:textId="167A9E84" w:rsidR="000F0D13" w:rsidRPr="00A620EB" w:rsidRDefault="000F0D13" w:rsidP="00A620EB">
    <w:pPr>
      <w:pStyle w:val="Encabezado"/>
      <w:rPr>
        <w:sz w:val="10"/>
        <w:szCs w:val="1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F3CBE6" w14:textId="77777777" w:rsidR="000F0D13" w:rsidRPr="008637FD" w:rsidRDefault="000F0D13" w:rsidP="00A620EB">
    <w:pPr>
      <w:spacing w:after="0" w:line="288" w:lineRule="auto"/>
      <w:jc w:val="right"/>
      <w:rPr>
        <w:rFonts w:ascii="Times New Roman" w:eastAsia="Times New Roman" w:hAnsi="Times New Roman" w:cs="Times New Roman"/>
        <w:color w:val="9D2235"/>
        <w:sz w:val="19"/>
        <w:szCs w:val="19"/>
        <w:lang w:eastAsia="es-ES"/>
      </w:rPr>
    </w:pPr>
    <w:r w:rsidRPr="008637FD">
      <w:rPr>
        <w:rFonts w:ascii="Open Sans" w:eastAsia="Times New Roman" w:hAnsi="Open Sans" w:cs="Open Sans"/>
        <w:b/>
        <w:bCs/>
        <w:smallCaps/>
        <w:color w:val="9D2235"/>
        <w:sz w:val="19"/>
        <w:szCs w:val="19"/>
        <w:lang w:eastAsia="es-ES"/>
      </w:rPr>
      <w:t xml:space="preserve">Memoria de </w:t>
    </w:r>
    <w:r>
      <w:rPr>
        <w:rFonts w:ascii="Open Sans" w:eastAsia="Times New Roman" w:hAnsi="Open Sans" w:cs="Open Sans"/>
        <w:b/>
        <w:bCs/>
        <w:smallCaps/>
        <w:color w:val="9D2235"/>
        <w:sz w:val="19"/>
        <w:szCs w:val="19"/>
        <w:lang w:eastAsia="es-ES"/>
      </w:rPr>
      <w:t>a</w:t>
    </w:r>
    <w:r w:rsidRPr="008637FD">
      <w:rPr>
        <w:rFonts w:ascii="Open Sans" w:eastAsia="Times New Roman" w:hAnsi="Open Sans" w:cs="Open Sans"/>
        <w:b/>
        <w:bCs/>
        <w:smallCaps/>
        <w:color w:val="9D2235"/>
        <w:sz w:val="19"/>
        <w:szCs w:val="19"/>
        <w:lang w:eastAsia="es-ES"/>
      </w:rPr>
      <w:t>ctividad de la Agencia Valenciana Antifraude</w:t>
    </w:r>
  </w:p>
  <w:p w14:paraId="0EE2223B" w14:textId="187B3000" w:rsidR="000F0D13" w:rsidRDefault="000F0D13" w:rsidP="00A620EB">
    <w:pPr>
      <w:spacing w:after="0" w:line="288" w:lineRule="auto"/>
      <w:jc w:val="right"/>
      <w:rPr>
        <w:rFonts w:ascii="Open Sans" w:hAnsi="Open Sans" w:cs="Open Sans"/>
        <w:b/>
        <w:bCs/>
        <w:smallCaps/>
        <w:color w:val="FFFFFF" w:themeColor="background1"/>
        <w:sz w:val="19"/>
        <w:szCs w:val="19"/>
        <w:highlight w:val="darkRed"/>
      </w:rPr>
    </w:pPr>
    <w:r w:rsidRPr="008637FD">
      <w:rPr>
        <w:rFonts w:ascii="Open Sans" w:hAnsi="Open Sans" w:cs="Open Sans"/>
        <w:b/>
        <w:bCs/>
        <w:smallCaps/>
        <w:color w:val="FFFFFF" w:themeColor="background1"/>
        <w:sz w:val="19"/>
        <w:szCs w:val="19"/>
        <w:highlight w:val="darkRed"/>
      </w:rPr>
      <w:t>2019</w:t>
    </w:r>
  </w:p>
  <w:p w14:paraId="48ED231A" w14:textId="77777777" w:rsidR="000F0D13" w:rsidRPr="00A620EB" w:rsidRDefault="000F0D13" w:rsidP="00A620EB">
    <w:pPr>
      <w:spacing w:after="0" w:line="288" w:lineRule="auto"/>
      <w:jc w:val="right"/>
      <w:rPr>
        <w:rFonts w:ascii="Open Sans" w:hAnsi="Open Sans" w:cs="Open Sans"/>
        <w:b/>
        <w:bCs/>
        <w:smallCaps/>
        <w:color w:val="FFFFFF" w:themeColor="background1"/>
        <w:sz w:val="18"/>
        <w:szCs w:val="18"/>
        <w:highlight w:val="darkRed"/>
      </w:rPr>
    </w:pPr>
  </w:p>
  <w:p w14:paraId="7C165A69" w14:textId="77777777" w:rsidR="000F0D13" w:rsidRPr="00A620EB" w:rsidRDefault="000F0D13" w:rsidP="00AD7566">
    <w:pPr>
      <w:pStyle w:val="Encabezado1"/>
      <w:rPr>
        <w:rFonts w:asciiTheme="minorHAnsi" w:hAnsiTheme="minorHAnsi" w:cstheme="minorHAnsi"/>
        <w:sz w:val="10"/>
        <w:szCs w:val="1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D0A42C" w14:textId="324A337C" w:rsidR="000F0D13" w:rsidRPr="008637FD" w:rsidRDefault="000F0D13" w:rsidP="00A620EB">
    <w:pPr>
      <w:spacing w:after="0" w:line="288" w:lineRule="auto"/>
      <w:jc w:val="right"/>
      <w:rPr>
        <w:rFonts w:ascii="Times New Roman" w:eastAsia="Times New Roman" w:hAnsi="Times New Roman" w:cs="Times New Roman"/>
        <w:color w:val="9D2235"/>
        <w:sz w:val="19"/>
        <w:szCs w:val="19"/>
        <w:lang w:eastAsia="es-ES"/>
      </w:rPr>
    </w:pPr>
    <w:bookmarkStart w:id="39" w:name="_Hlk35971981"/>
    <w:bookmarkStart w:id="40" w:name="_Hlk35971982"/>
    <w:r w:rsidRPr="008637FD">
      <w:rPr>
        <w:rFonts w:ascii="Open Sans" w:eastAsia="Times New Roman" w:hAnsi="Open Sans" w:cs="Open Sans"/>
        <w:b/>
        <w:bCs/>
        <w:smallCaps/>
        <w:color w:val="9D2235"/>
        <w:sz w:val="19"/>
        <w:szCs w:val="19"/>
        <w:lang w:eastAsia="es-ES"/>
      </w:rPr>
      <w:t xml:space="preserve">Memoria de </w:t>
    </w:r>
    <w:r>
      <w:rPr>
        <w:rFonts w:ascii="Open Sans" w:eastAsia="Times New Roman" w:hAnsi="Open Sans" w:cs="Open Sans"/>
        <w:b/>
        <w:bCs/>
        <w:smallCaps/>
        <w:color w:val="9D2235"/>
        <w:sz w:val="19"/>
        <w:szCs w:val="19"/>
        <w:lang w:eastAsia="es-ES"/>
      </w:rPr>
      <w:t>a</w:t>
    </w:r>
    <w:r w:rsidRPr="008637FD">
      <w:rPr>
        <w:rFonts w:ascii="Open Sans" w:eastAsia="Times New Roman" w:hAnsi="Open Sans" w:cs="Open Sans"/>
        <w:b/>
        <w:bCs/>
        <w:smallCaps/>
        <w:color w:val="9D2235"/>
        <w:sz w:val="19"/>
        <w:szCs w:val="19"/>
        <w:lang w:eastAsia="es-ES"/>
      </w:rPr>
      <w:t>ctividad de la Agencia Valenciana Antifraude</w:t>
    </w:r>
  </w:p>
  <w:p w14:paraId="6B554514" w14:textId="437753D1" w:rsidR="000F0D13" w:rsidRDefault="000F0D13" w:rsidP="00A620EB">
    <w:pPr>
      <w:pStyle w:val="Encabezado"/>
      <w:jc w:val="right"/>
      <w:rPr>
        <w:rFonts w:ascii="Open Sans" w:hAnsi="Open Sans" w:cs="Open Sans"/>
        <w:b/>
        <w:bCs/>
        <w:smallCaps/>
        <w:color w:val="FFFFFF" w:themeColor="background1"/>
        <w:sz w:val="19"/>
        <w:szCs w:val="19"/>
        <w:highlight w:val="darkRed"/>
      </w:rPr>
    </w:pPr>
    <w:r w:rsidRPr="008637FD">
      <w:rPr>
        <w:rFonts w:ascii="Open Sans" w:hAnsi="Open Sans" w:cs="Open Sans"/>
        <w:b/>
        <w:bCs/>
        <w:smallCaps/>
        <w:color w:val="FFFFFF" w:themeColor="background1"/>
        <w:sz w:val="19"/>
        <w:szCs w:val="19"/>
        <w:highlight w:val="darkRed"/>
      </w:rPr>
      <w:t>2019</w:t>
    </w:r>
    <w:bookmarkEnd w:id="39"/>
    <w:bookmarkEnd w:id="40"/>
  </w:p>
  <w:p w14:paraId="53D75589" w14:textId="77777777" w:rsidR="000F0D13" w:rsidRPr="00A620EB" w:rsidRDefault="000F0D13" w:rsidP="00A620EB">
    <w:pPr>
      <w:pStyle w:val="Encabezado"/>
      <w:jc w:val="right"/>
      <w:rPr>
        <w:rFonts w:ascii="Open Sans" w:hAnsi="Open Sans" w:cs="Open Sans"/>
        <w:b/>
        <w:bCs/>
        <w:smallCaps/>
        <w:color w:val="FFFFFF" w:themeColor="background1"/>
        <w:sz w:val="18"/>
        <w:szCs w:val="18"/>
        <w:highlight w:val="darkRed"/>
      </w:rPr>
    </w:pPr>
  </w:p>
  <w:p w14:paraId="0C1CFC4F" w14:textId="77777777" w:rsidR="000F0D13" w:rsidRPr="00A620EB" w:rsidRDefault="000F0D13" w:rsidP="00A620EB">
    <w:pPr>
      <w:pStyle w:val="Encabezado"/>
      <w:jc w:val="right"/>
      <w:rPr>
        <w:sz w:val="10"/>
        <w:szCs w:val="1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4883C5" w14:textId="77777777" w:rsidR="000F0D13" w:rsidRPr="008637FD" w:rsidRDefault="000F0D13" w:rsidP="003C4EAD">
    <w:pPr>
      <w:spacing w:after="0" w:line="288" w:lineRule="auto"/>
      <w:jc w:val="right"/>
      <w:rPr>
        <w:rFonts w:ascii="Times New Roman" w:eastAsia="Times New Roman" w:hAnsi="Times New Roman" w:cs="Times New Roman"/>
        <w:color w:val="9D2235"/>
        <w:sz w:val="19"/>
        <w:szCs w:val="19"/>
        <w:lang w:eastAsia="es-ES"/>
      </w:rPr>
    </w:pPr>
    <w:r w:rsidRPr="008637FD">
      <w:rPr>
        <w:rFonts w:ascii="Open Sans" w:eastAsia="Times New Roman" w:hAnsi="Open Sans" w:cs="Open Sans"/>
        <w:b/>
        <w:bCs/>
        <w:smallCaps/>
        <w:color w:val="9D2235"/>
        <w:sz w:val="19"/>
        <w:szCs w:val="19"/>
        <w:lang w:eastAsia="es-ES"/>
      </w:rPr>
      <w:t xml:space="preserve">Memoria de </w:t>
    </w:r>
    <w:r>
      <w:rPr>
        <w:rFonts w:ascii="Open Sans" w:eastAsia="Times New Roman" w:hAnsi="Open Sans" w:cs="Open Sans"/>
        <w:b/>
        <w:bCs/>
        <w:smallCaps/>
        <w:color w:val="9D2235"/>
        <w:sz w:val="19"/>
        <w:szCs w:val="19"/>
        <w:lang w:eastAsia="es-ES"/>
      </w:rPr>
      <w:t>a</w:t>
    </w:r>
    <w:r w:rsidRPr="008637FD">
      <w:rPr>
        <w:rFonts w:ascii="Open Sans" w:eastAsia="Times New Roman" w:hAnsi="Open Sans" w:cs="Open Sans"/>
        <w:b/>
        <w:bCs/>
        <w:smallCaps/>
        <w:color w:val="9D2235"/>
        <w:sz w:val="19"/>
        <w:szCs w:val="19"/>
        <w:lang w:eastAsia="es-ES"/>
      </w:rPr>
      <w:t>ctividad de la Agencia Valenciana Antifraude</w:t>
    </w:r>
  </w:p>
  <w:p w14:paraId="5FF3E745" w14:textId="77777777" w:rsidR="000F0D13" w:rsidRPr="008637FD" w:rsidRDefault="000F0D13" w:rsidP="003C4EAD">
    <w:pPr>
      <w:spacing w:after="0" w:line="288" w:lineRule="auto"/>
      <w:jc w:val="right"/>
      <w:rPr>
        <w:rFonts w:ascii="Open Sans" w:hAnsi="Open Sans" w:cs="Open Sans"/>
        <w:b/>
        <w:bCs/>
        <w:smallCaps/>
        <w:color w:val="FFFFFF" w:themeColor="background1"/>
        <w:sz w:val="19"/>
        <w:szCs w:val="19"/>
        <w:highlight w:val="darkRed"/>
      </w:rPr>
    </w:pPr>
    <w:r w:rsidRPr="008637FD">
      <w:rPr>
        <w:rFonts w:ascii="Open Sans" w:hAnsi="Open Sans" w:cs="Open Sans"/>
        <w:b/>
        <w:bCs/>
        <w:smallCaps/>
        <w:color w:val="FFFFFF" w:themeColor="background1"/>
        <w:sz w:val="19"/>
        <w:szCs w:val="19"/>
        <w:highlight w:val="darkRed"/>
      </w:rPr>
      <w:t>2019</w:t>
    </w:r>
  </w:p>
  <w:p w14:paraId="6E468329" w14:textId="77777777" w:rsidR="000F0D13" w:rsidRDefault="000F0D1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7F56F2"/>
    <w:multiLevelType w:val="multilevel"/>
    <w:tmpl w:val="B30697A2"/>
    <w:lvl w:ilvl="0">
      <w:start w:val="7"/>
      <w:numFmt w:val="decimal"/>
      <w:lvlText w:val="%1."/>
      <w:lvlJc w:val="left"/>
      <w:pPr>
        <w:ind w:left="357" w:hanging="357"/>
      </w:pPr>
      <w:rPr>
        <w:rFonts w:hint="default"/>
      </w:rPr>
    </w:lvl>
    <w:lvl w:ilvl="1">
      <w:start w:val="1"/>
      <w:numFmt w:val="decimal"/>
      <w:lvlText w:val="%1.2."/>
      <w:lvlJc w:val="left"/>
      <w:pPr>
        <w:ind w:left="652" w:hanging="652"/>
      </w:pPr>
      <w:rPr>
        <w:rFonts w:hint="default"/>
      </w:rPr>
    </w:lvl>
    <w:lvl w:ilvl="2">
      <w:start w:val="1"/>
      <w:numFmt w:val="decimal"/>
      <w:lvlText w:val="%1.%2.%3."/>
      <w:lvlJc w:val="left"/>
      <w:pPr>
        <w:ind w:left="1225" w:hanging="573"/>
      </w:pPr>
      <w:rPr>
        <w:rFonts w:hint="default"/>
      </w:rPr>
    </w:lvl>
    <w:lvl w:ilvl="3">
      <w:start w:val="1"/>
      <w:numFmt w:val="decimal"/>
      <w:lvlText w:val="%1.%2.%3.%4."/>
      <w:lvlJc w:val="left"/>
      <w:pPr>
        <w:ind w:left="1728" w:hanging="367"/>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689737D"/>
    <w:multiLevelType w:val="multilevel"/>
    <w:tmpl w:val="A5F42A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F63E6B"/>
    <w:multiLevelType w:val="multilevel"/>
    <w:tmpl w:val="A3B26A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724BF2"/>
    <w:multiLevelType w:val="multilevel"/>
    <w:tmpl w:val="7EA89392"/>
    <w:styleLink w:val="Sinlista11"/>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4" w15:restartNumberingAfterBreak="0">
    <w:nsid w:val="0BB00B2A"/>
    <w:multiLevelType w:val="multilevel"/>
    <w:tmpl w:val="46BAB594"/>
    <w:lvl w:ilvl="0">
      <w:start w:val="1"/>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1225" w:hanging="573"/>
      </w:pPr>
      <w:rPr>
        <w:rFonts w:hint="default"/>
      </w:rPr>
    </w:lvl>
    <w:lvl w:ilvl="3">
      <w:start w:val="1"/>
      <w:numFmt w:val="decimal"/>
      <w:lvlText w:val="%1.%2.%3.%4."/>
      <w:lvlJc w:val="left"/>
      <w:pPr>
        <w:ind w:left="1728" w:hanging="367"/>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0F086241"/>
    <w:multiLevelType w:val="multilevel"/>
    <w:tmpl w:val="21227C0A"/>
    <w:lvl w:ilvl="0">
      <w:numFmt w:val="bullet"/>
      <w:lvlText w:val="•"/>
      <w:lvlJc w:val="left"/>
      <w:pPr>
        <w:ind w:left="1428" w:hanging="360"/>
      </w:pPr>
      <w:rPr>
        <w:rFonts w:ascii="OpenSymbol" w:eastAsia="OpenSymbol" w:hAnsi="OpenSymbol" w:cs="OpenSymbol"/>
      </w:rPr>
    </w:lvl>
    <w:lvl w:ilvl="1">
      <w:numFmt w:val="bullet"/>
      <w:lvlText w:val="◦"/>
      <w:lvlJc w:val="left"/>
      <w:pPr>
        <w:ind w:left="1788" w:hanging="360"/>
      </w:pPr>
      <w:rPr>
        <w:rFonts w:ascii="OpenSymbol" w:eastAsia="OpenSymbol" w:hAnsi="OpenSymbol" w:cs="OpenSymbol"/>
      </w:rPr>
    </w:lvl>
    <w:lvl w:ilvl="2">
      <w:numFmt w:val="bullet"/>
      <w:lvlText w:val="▪"/>
      <w:lvlJc w:val="left"/>
      <w:pPr>
        <w:ind w:left="2148" w:hanging="360"/>
      </w:pPr>
      <w:rPr>
        <w:rFonts w:ascii="OpenSymbol" w:eastAsia="OpenSymbol" w:hAnsi="OpenSymbol" w:cs="OpenSymbol"/>
      </w:rPr>
    </w:lvl>
    <w:lvl w:ilvl="3">
      <w:numFmt w:val="bullet"/>
      <w:lvlText w:val="•"/>
      <w:lvlJc w:val="left"/>
      <w:pPr>
        <w:ind w:left="2508" w:hanging="360"/>
      </w:pPr>
      <w:rPr>
        <w:rFonts w:ascii="OpenSymbol" w:eastAsia="OpenSymbol" w:hAnsi="OpenSymbol" w:cs="OpenSymbol"/>
      </w:rPr>
    </w:lvl>
    <w:lvl w:ilvl="4">
      <w:numFmt w:val="bullet"/>
      <w:lvlText w:val="◦"/>
      <w:lvlJc w:val="left"/>
      <w:pPr>
        <w:ind w:left="2868" w:hanging="360"/>
      </w:pPr>
      <w:rPr>
        <w:rFonts w:ascii="OpenSymbol" w:eastAsia="OpenSymbol" w:hAnsi="OpenSymbol" w:cs="OpenSymbol"/>
      </w:rPr>
    </w:lvl>
    <w:lvl w:ilvl="5">
      <w:numFmt w:val="bullet"/>
      <w:lvlText w:val="▪"/>
      <w:lvlJc w:val="left"/>
      <w:pPr>
        <w:ind w:left="3228" w:hanging="360"/>
      </w:pPr>
      <w:rPr>
        <w:rFonts w:ascii="OpenSymbol" w:eastAsia="OpenSymbol" w:hAnsi="OpenSymbol" w:cs="OpenSymbol"/>
      </w:rPr>
    </w:lvl>
    <w:lvl w:ilvl="6">
      <w:numFmt w:val="bullet"/>
      <w:lvlText w:val="•"/>
      <w:lvlJc w:val="left"/>
      <w:pPr>
        <w:ind w:left="3588" w:hanging="360"/>
      </w:pPr>
      <w:rPr>
        <w:rFonts w:ascii="OpenSymbol" w:eastAsia="OpenSymbol" w:hAnsi="OpenSymbol" w:cs="OpenSymbol"/>
      </w:rPr>
    </w:lvl>
    <w:lvl w:ilvl="7">
      <w:numFmt w:val="bullet"/>
      <w:lvlText w:val="◦"/>
      <w:lvlJc w:val="left"/>
      <w:pPr>
        <w:ind w:left="3948" w:hanging="360"/>
      </w:pPr>
      <w:rPr>
        <w:rFonts w:ascii="OpenSymbol" w:eastAsia="OpenSymbol" w:hAnsi="OpenSymbol" w:cs="OpenSymbol"/>
      </w:rPr>
    </w:lvl>
    <w:lvl w:ilvl="8">
      <w:numFmt w:val="bullet"/>
      <w:lvlText w:val="▪"/>
      <w:lvlJc w:val="left"/>
      <w:pPr>
        <w:ind w:left="4308" w:hanging="360"/>
      </w:pPr>
      <w:rPr>
        <w:rFonts w:ascii="OpenSymbol" w:eastAsia="OpenSymbol" w:hAnsi="OpenSymbol" w:cs="OpenSymbol"/>
      </w:rPr>
    </w:lvl>
  </w:abstractNum>
  <w:abstractNum w:abstractNumId="6" w15:restartNumberingAfterBreak="0">
    <w:nsid w:val="0FA90753"/>
    <w:multiLevelType w:val="multilevel"/>
    <w:tmpl w:val="FAA66050"/>
    <w:lvl w:ilvl="0">
      <w:start w:val="1"/>
      <w:numFmt w:val="bullet"/>
      <w:lvlText w:val=""/>
      <w:lvlJc w:val="left"/>
      <w:pPr>
        <w:ind w:left="1080" w:hanging="360"/>
      </w:pPr>
      <w:rPr>
        <w:rFonts w:ascii="Wingdings" w:hAnsi="Wingdings" w:cs="Wingdings" w:hint="default"/>
        <w:color w:val="9D2235"/>
        <w:sz w:val="20"/>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cs="Wingdings" w:hint="default"/>
      </w:rPr>
    </w:lvl>
    <w:lvl w:ilvl="3">
      <w:start w:val="1"/>
      <w:numFmt w:val="bullet"/>
      <w:lvlText w:val=""/>
      <w:lvlJc w:val="left"/>
      <w:pPr>
        <w:ind w:left="3240" w:hanging="360"/>
      </w:pPr>
      <w:rPr>
        <w:rFonts w:ascii="Symbol" w:hAnsi="Symbol" w:cs="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cs="Wingdings" w:hint="default"/>
      </w:rPr>
    </w:lvl>
    <w:lvl w:ilvl="6">
      <w:start w:val="1"/>
      <w:numFmt w:val="bullet"/>
      <w:lvlText w:val=""/>
      <w:lvlJc w:val="left"/>
      <w:pPr>
        <w:ind w:left="5400" w:hanging="360"/>
      </w:pPr>
      <w:rPr>
        <w:rFonts w:ascii="Symbol" w:hAnsi="Symbol" w:cs="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cs="Wingdings" w:hint="default"/>
      </w:rPr>
    </w:lvl>
  </w:abstractNum>
  <w:abstractNum w:abstractNumId="7" w15:restartNumberingAfterBreak="0">
    <w:nsid w:val="11E23EF1"/>
    <w:multiLevelType w:val="multilevel"/>
    <w:tmpl w:val="DD382962"/>
    <w:lvl w:ilvl="0">
      <w:start w:val="1"/>
      <w:numFmt w:val="bullet"/>
      <w:lvlText w:val=""/>
      <w:lvlJc w:val="left"/>
      <w:pPr>
        <w:ind w:left="720" w:hanging="360"/>
      </w:pPr>
      <w:rPr>
        <w:rFonts w:ascii="Symbol" w:hAnsi="Symbol" w:cs="Symbol" w:hint="default"/>
        <w:sz w:val="2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 w15:restartNumberingAfterBreak="0">
    <w:nsid w:val="16987C4C"/>
    <w:multiLevelType w:val="multilevel"/>
    <w:tmpl w:val="6C904A38"/>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9" w15:restartNumberingAfterBreak="0">
    <w:nsid w:val="198838B2"/>
    <w:multiLevelType w:val="multilevel"/>
    <w:tmpl w:val="A2BA633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BF37A5A"/>
    <w:multiLevelType w:val="hybridMultilevel"/>
    <w:tmpl w:val="79145BA6"/>
    <w:lvl w:ilvl="0" w:tplc="48A0ADEC">
      <w:start w:val="1"/>
      <w:numFmt w:val="bullet"/>
      <w:lvlText w:val=""/>
      <w:lvlJc w:val="left"/>
      <w:pPr>
        <w:ind w:left="720" w:hanging="360"/>
      </w:pPr>
      <w:rPr>
        <w:rFonts w:ascii="Wingdings" w:hAnsi="Wingdings" w:hint="default"/>
        <w:color w:val="993333"/>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1D6F6457"/>
    <w:multiLevelType w:val="hybridMultilevel"/>
    <w:tmpl w:val="46F2143C"/>
    <w:lvl w:ilvl="0" w:tplc="96F6D6B4">
      <w:start w:val="1"/>
      <w:numFmt w:val="bullet"/>
      <w:lvlText w:val=""/>
      <w:lvlJc w:val="left"/>
      <w:pPr>
        <w:ind w:left="720" w:hanging="360"/>
      </w:pPr>
      <w:rPr>
        <w:rFonts w:ascii="Wingdings" w:hAnsi="Wingdings" w:hint="default"/>
        <w:color w:val="9D2235"/>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212965CC"/>
    <w:multiLevelType w:val="hybridMultilevel"/>
    <w:tmpl w:val="17A69F6A"/>
    <w:lvl w:ilvl="0" w:tplc="BE82FE1C">
      <w:start w:val="1"/>
      <w:numFmt w:val="lowerLetter"/>
      <w:lvlText w:val="%1)"/>
      <w:lvlJc w:val="left"/>
      <w:pPr>
        <w:ind w:left="1437" w:hanging="870"/>
      </w:pPr>
      <w:rPr>
        <w:rFonts w:hint="default"/>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13" w15:restartNumberingAfterBreak="0">
    <w:nsid w:val="24D83D8C"/>
    <w:multiLevelType w:val="multilevel"/>
    <w:tmpl w:val="8C2E2C5A"/>
    <w:lvl w:ilvl="0">
      <w:start w:val="1"/>
      <w:numFmt w:val="decimal"/>
      <w:lvlText w:val="%1."/>
      <w:lvlJc w:val="left"/>
      <w:pPr>
        <w:ind w:left="357" w:hanging="357"/>
      </w:pPr>
      <w:rPr>
        <w:rFonts w:hint="default"/>
        <w:b/>
      </w:rPr>
    </w:lvl>
    <w:lvl w:ilvl="1">
      <w:start w:val="1"/>
      <w:numFmt w:val="decimal"/>
      <w:lvlText w:val="%1.%2."/>
      <w:lvlJc w:val="left"/>
      <w:pPr>
        <w:ind w:left="357" w:hanging="357"/>
      </w:pPr>
      <w:rPr>
        <w:rFonts w:hint="default"/>
      </w:rPr>
    </w:lvl>
    <w:lvl w:ilvl="2">
      <w:start w:val="1"/>
      <w:numFmt w:val="decimal"/>
      <w:lvlText w:val="%1.%2.%3."/>
      <w:lvlJc w:val="left"/>
      <w:pPr>
        <w:ind w:left="1225" w:hanging="658"/>
      </w:pPr>
      <w:rPr>
        <w:rFonts w:hint="default"/>
      </w:rPr>
    </w:lvl>
    <w:lvl w:ilvl="3">
      <w:start w:val="1"/>
      <w:numFmt w:val="decimal"/>
      <w:lvlText w:val="%1.%2.%3.%4."/>
      <w:lvlJc w:val="left"/>
      <w:pPr>
        <w:tabs>
          <w:tab w:val="num" w:pos="1361"/>
        </w:tabs>
        <w:ind w:left="1728" w:hanging="481"/>
      </w:pPr>
      <w:rPr>
        <w:rFonts w:hint="default"/>
      </w:rPr>
    </w:lvl>
    <w:lvl w:ilvl="4">
      <w:start w:val="1"/>
      <w:numFmt w:val="decimal"/>
      <w:lvlText w:val="%1.%2.%3.%4.%5."/>
      <w:lvlJc w:val="left"/>
      <w:pPr>
        <w:tabs>
          <w:tab w:val="num" w:pos="1758"/>
        </w:tabs>
        <w:ind w:left="2232" w:hanging="474"/>
      </w:pPr>
      <w:rPr>
        <w:rFonts w:hint="default"/>
      </w:rPr>
    </w:lvl>
    <w:lvl w:ilvl="5">
      <w:start w:val="1"/>
      <w:numFmt w:val="upperLetter"/>
      <w:lvlText w:val="%6"/>
      <w:lvlJc w:val="left"/>
      <w:pPr>
        <w:tabs>
          <w:tab w:val="num" w:pos="2211"/>
        </w:tabs>
        <w:ind w:left="2098" w:firstLine="0"/>
      </w:pPr>
      <w:rPr>
        <w:rFonts w:hint="default"/>
      </w:rPr>
    </w:lvl>
    <w:lvl w:ilvl="6">
      <w:start w:val="1"/>
      <w:numFmt w:val="decimal"/>
      <w:lvlText w:val="%6.%7."/>
      <w:lvlJc w:val="left"/>
      <w:pPr>
        <w:ind w:left="3005" w:hanging="624"/>
      </w:pPr>
      <w:rPr>
        <w:rFonts w:hint="default"/>
      </w:rPr>
    </w:lvl>
    <w:lvl w:ilvl="7">
      <w:start w:val="1"/>
      <w:numFmt w:val="decimal"/>
      <w:lvlText w:val="A.1.%8."/>
      <w:lvlJc w:val="left"/>
      <w:pPr>
        <w:tabs>
          <w:tab w:val="num" w:pos="2948"/>
        </w:tabs>
        <w:ind w:left="3629" w:hanging="79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255B4E0D"/>
    <w:multiLevelType w:val="multilevel"/>
    <w:tmpl w:val="0B9E06C2"/>
    <w:styleLink w:val="WWNum4"/>
    <w:lvl w:ilvl="0">
      <w:numFmt w:val="bullet"/>
      <w:lvlText w:val=""/>
      <w:lvlJc w:val="left"/>
      <w:pPr>
        <w:ind w:left="720" w:hanging="360"/>
      </w:pPr>
      <w:rPr>
        <w:rFonts w:ascii="Times New Roman" w:hAnsi="Times New Roman" w:cs="Symbol"/>
        <w:sz w:val="21"/>
      </w:rPr>
    </w:lvl>
    <w:lvl w:ilvl="1">
      <w:numFmt w:val="bullet"/>
      <w:lvlText w:val="o"/>
      <w:lvlJc w:val="left"/>
      <w:pPr>
        <w:ind w:left="1440" w:hanging="360"/>
      </w:pPr>
      <w:rPr>
        <w:rFonts w:cs="Courier New"/>
        <w:sz w:val="20"/>
      </w:rPr>
    </w:lvl>
    <w:lvl w:ilvl="2">
      <w:numFmt w:val="bullet"/>
      <w:lvlText w:val=""/>
      <w:lvlJc w:val="left"/>
      <w:pPr>
        <w:ind w:left="2160" w:hanging="360"/>
      </w:pPr>
      <w:rPr>
        <w:rFonts w:cs="Wingdings"/>
        <w:sz w:val="20"/>
      </w:rPr>
    </w:lvl>
    <w:lvl w:ilvl="3">
      <w:numFmt w:val="bullet"/>
      <w:lvlText w:val=""/>
      <w:lvlJc w:val="left"/>
      <w:pPr>
        <w:ind w:left="2880" w:hanging="360"/>
      </w:pPr>
      <w:rPr>
        <w:rFonts w:cs="Wingdings"/>
        <w:sz w:val="20"/>
      </w:rPr>
    </w:lvl>
    <w:lvl w:ilvl="4">
      <w:numFmt w:val="bullet"/>
      <w:lvlText w:val=""/>
      <w:lvlJc w:val="left"/>
      <w:pPr>
        <w:ind w:left="3600" w:hanging="360"/>
      </w:pPr>
      <w:rPr>
        <w:rFonts w:cs="Wingdings"/>
        <w:sz w:val="20"/>
      </w:rPr>
    </w:lvl>
    <w:lvl w:ilvl="5">
      <w:numFmt w:val="bullet"/>
      <w:lvlText w:val=""/>
      <w:lvlJc w:val="left"/>
      <w:pPr>
        <w:ind w:left="4320" w:hanging="360"/>
      </w:pPr>
      <w:rPr>
        <w:rFonts w:cs="Wingdings"/>
        <w:sz w:val="20"/>
      </w:rPr>
    </w:lvl>
    <w:lvl w:ilvl="6">
      <w:numFmt w:val="bullet"/>
      <w:lvlText w:val=""/>
      <w:lvlJc w:val="left"/>
      <w:pPr>
        <w:ind w:left="5040" w:hanging="360"/>
      </w:pPr>
      <w:rPr>
        <w:rFonts w:cs="Wingdings"/>
        <w:sz w:val="20"/>
      </w:rPr>
    </w:lvl>
    <w:lvl w:ilvl="7">
      <w:numFmt w:val="bullet"/>
      <w:lvlText w:val=""/>
      <w:lvlJc w:val="left"/>
      <w:pPr>
        <w:ind w:left="5760" w:hanging="360"/>
      </w:pPr>
      <w:rPr>
        <w:rFonts w:cs="Wingdings"/>
        <w:sz w:val="20"/>
      </w:rPr>
    </w:lvl>
    <w:lvl w:ilvl="8">
      <w:numFmt w:val="bullet"/>
      <w:lvlText w:val=""/>
      <w:lvlJc w:val="left"/>
      <w:pPr>
        <w:ind w:left="6480" w:hanging="360"/>
      </w:pPr>
      <w:rPr>
        <w:rFonts w:cs="Wingdings"/>
        <w:sz w:val="20"/>
      </w:rPr>
    </w:lvl>
  </w:abstractNum>
  <w:abstractNum w:abstractNumId="15" w15:restartNumberingAfterBreak="0">
    <w:nsid w:val="27397CE0"/>
    <w:multiLevelType w:val="hybridMultilevel"/>
    <w:tmpl w:val="DCBCA2DC"/>
    <w:lvl w:ilvl="0" w:tplc="0C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6" w15:restartNumberingAfterBreak="0">
    <w:nsid w:val="2B5D476D"/>
    <w:multiLevelType w:val="multilevel"/>
    <w:tmpl w:val="D414AB5E"/>
    <w:lvl w:ilvl="0">
      <w:numFmt w:val="bullet"/>
      <w:lvlText w:val="•"/>
      <w:lvlJc w:val="left"/>
      <w:pPr>
        <w:ind w:left="788" w:hanging="360"/>
      </w:pPr>
      <w:rPr>
        <w:rFonts w:ascii="OpenSymbol" w:eastAsia="OpenSymbol" w:hAnsi="OpenSymbol" w:cs="OpenSymbol"/>
        <w:color w:val="9D2235"/>
      </w:rPr>
    </w:lvl>
    <w:lvl w:ilvl="1">
      <w:numFmt w:val="bullet"/>
      <w:lvlText w:val="◦"/>
      <w:lvlJc w:val="left"/>
      <w:pPr>
        <w:ind w:left="1148" w:hanging="360"/>
      </w:pPr>
      <w:rPr>
        <w:rFonts w:ascii="OpenSymbol" w:eastAsia="OpenSymbol" w:hAnsi="OpenSymbol" w:cs="OpenSymbol"/>
        <w:color w:val="9D2235"/>
      </w:rPr>
    </w:lvl>
    <w:lvl w:ilvl="2">
      <w:numFmt w:val="bullet"/>
      <w:lvlText w:val="▪"/>
      <w:lvlJc w:val="left"/>
      <w:pPr>
        <w:ind w:left="1508" w:hanging="360"/>
      </w:pPr>
      <w:rPr>
        <w:rFonts w:ascii="OpenSymbol" w:eastAsia="OpenSymbol" w:hAnsi="OpenSymbol" w:cs="OpenSymbol"/>
        <w:color w:val="9D2235"/>
      </w:rPr>
    </w:lvl>
    <w:lvl w:ilvl="3">
      <w:numFmt w:val="bullet"/>
      <w:lvlText w:val="•"/>
      <w:lvlJc w:val="left"/>
      <w:pPr>
        <w:ind w:left="1868" w:hanging="360"/>
      </w:pPr>
      <w:rPr>
        <w:rFonts w:ascii="OpenSymbol" w:eastAsia="OpenSymbol" w:hAnsi="OpenSymbol" w:cs="OpenSymbol"/>
        <w:color w:val="9D2235"/>
      </w:rPr>
    </w:lvl>
    <w:lvl w:ilvl="4">
      <w:numFmt w:val="bullet"/>
      <w:lvlText w:val="◦"/>
      <w:lvlJc w:val="left"/>
      <w:pPr>
        <w:ind w:left="2228" w:hanging="360"/>
      </w:pPr>
      <w:rPr>
        <w:rFonts w:ascii="OpenSymbol" w:eastAsia="OpenSymbol" w:hAnsi="OpenSymbol" w:cs="OpenSymbol"/>
        <w:color w:val="9D2235"/>
      </w:rPr>
    </w:lvl>
    <w:lvl w:ilvl="5">
      <w:numFmt w:val="bullet"/>
      <w:lvlText w:val="▪"/>
      <w:lvlJc w:val="left"/>
      <w:pPr>
        <w:ind w:left="2588" w:hanging="360"/>
      </w:pPr>
      <w:rPr>
        <w:rFonts w:ascii="OpenSymbol" w:eastAsia="OpenSymbol" w:hAnsi="OpenSymbol" w:cs="OpenSymbol"/>
        <w:color w:val="9D2235"/>
      </w:rPr>
    </w:lvl>
    <w:lvl w:ilvl="6">
      <w:numFmt w:val="bullet"/>
      <w:lvlText w:val="•"/>
      <w:lvlJc w:val="left"/>
      <w:pPr>
        <w:ind w:left="2948" w:hanging="360"/>
      </w:pPr>
      <w:rPr>
        <w:rFonts w:ascii="OpenSymbol" w:eastAsia="OpenSymbol" w:hAnsi="OpenSymbol" w:cs="OpenSymbol"/>
        <w:color w:val="9D2235"/>
      </w:rPr>
    </w:lvl>
    <w:lvl w:ilvl="7">
      <w:numFmt w:val="bullet"/>
      <w:lvlText w:val="◦"/>
      <w:lvlJc w:val="left"/>
      <w:pPr>
        <w:ind w:left="3308" w:hanging="360"/>
      </w:pPr>
      <w:rPr>
        <w:rFonts w:ascii="OpenSymbol" w:eastAsia="OpenSymbol" w:hAnsi="OpenSymbol" w:cs="OpenSymbol"/>
        <w:color w:val="9D2235"/>
      </w:rPr>
    </w:lvl>
    <w:lvl w:ilvl="8">
      <w:numFmt w:val="bullet"/>
      <w:lvlText w:val="▪"/>
      <w:lvlJc w:val="left"/>
      <w:pPr>
        <w:ind w:left="3668" w:hanging="360"/>
      </w:pPr>
      <w:rPr>
        <w:rFonts w:ascii="OpenSymbol" w:eastAsia="OpenSymbol" w:hAnsi="OpenSymbol" w:cs="OpenSymbol"/>
        <w:color w:val="9D2235"/>
      </w:rPr>
    </w:lvl>
  </w:abstractNum>
  <w:abstractNum w:abstractNumId="17" w15:restartNumberingAfterBreak="0">
    <w:nsid w:val="2C766804"/>
    <w:multiLevelType w:val="hybridMultilevel"/>
    <w:tmpl w:val="79369A3A"/>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2F8B1B1D"/>
    <w:multiLevelType w:val="hybridMultilevel"/>
    <w:tmpl w:val="C45C82AE"/>
    <w:lvl w:ilvl="0" w:tplc="96F6D6B4">
      <w:start w:val="1"/>
      <w:numFmt w:val="bullet"/>
      <w:lvlText w:val=""/>
      <w:lvlJc w:val="left"/>
      <w:pPr>
        <w:ind w:left="720" w:hanging="360"/>
      </w:pPr>
      <w:rPr>
        <w:rFonts w:ascii="Wingdings" w:hAnsi="Wingdings" w:hint="default"/>
        <w:color w:val="9D2235"/>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36104B04"/>
    <w:multiLevelType w:val="multilevel"/>
    <w:tmpl w:val="41D63CA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37032BD4"/>
    <w:multiLevelType w:val="hybridMultilevel"/>
    <w:tmpl w:val="6DB65C9A"/>
    <w:lvl w:ilvl="0" w:tplc="DFD6AB02">
      <w:start w:val="1"/>
      <w:numFmt w:val="bullet"/>
      <w:lvlText w:val=""/>
      <w:lvlJc w:val="left"/>
      <w:pPr>
        <w:ind w:left="720" w:hanging="360"/>
      </w:pPr>
      <w:rPr>
        <w:rFonts w:ascii="Wingdings" w:hAnsi="Wingdings" w:hint="default"/>
        <w:color w:val="9D2235"/>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39D55075"/>
    <w:multiLevelType w:val="multilevel"/>
    <w:tmpl w:val="BAB067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3C140EF0"/>
    <w:multiLevelType w:val="hybridMultilevel"/>
    <w:tmpl w:val="646C1736"/>
    <w:lvl w:ilvl="0" w:tplc="F9141D16">
      <w:start w:val="1"/>
      <w:numFmt w:val="bullet"/>
      <w:lvlText w:val=""/>
      <w:lvlJc w:val="left"/>
      <w:pPr>
        <w:ind w:left="720" w:hanging="360"/>
      </w:pPr>
      <w:rPr>
        <w:rFonts w:ascii="Wingdings" w:hAnsi="Wingdings" w:hint="default"/>
        <w:color w:val="993333"/>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3D970F24"/>
    <w:multiLevelType w:val="multilevel"/>
    <w:tmpl w:val="2F80B16E"/>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4" w15:restartNumberingAfterBreak="0">
    <w:nsid w:val="40D5653F"/>
    <w:multiLevelType w:val="multilevel"/>
    <w:tmpl w:val="E692F4F6"/>
    <w:styleLink w:val="WWNum3"/>
    <w:lvl w:ilvl="0">
      <w:numFmt w:val="bullet"/>
      <w:lvlText w:val=""/>
      <w:lvlJc w:val="left"/>
      <w:pPr>
        <w:ind w:left="720" w:hanging="360"/>
      </w:pPr>
      <w:rPr>
        <w:rFonts w:cs="Symbol"/>
        <w:sz w:val="20"/>
      </w:rPr>
    </w:lvl>
    <w:lvl w:ilvl="1">
      <w:numFmt w:val="bullet"/>
      <w:lvlText w:val="o"/>
      <w:lvlJc w:val="left"/>
      <w:pPr>
        <w:ind w:left="1440" w:hanging="360"/>
      </w:pPr>
      <w:rPr>
        <w:rFonts w:ascii="Times New Roman" w:hAnsi="Times New Roman" w:cs="Courier New"/>
        <w:sz w:val="21"/>
      </w:rPr>
    </w:lvl>
    <w:lvl w:ilvl="2">
      <w:numFmt w:val="bullet"/>
      <w:lvlText w:val=""/>
      <w:lvlJc w:val="left"/>
      <w:pPr>
        <w:ind w:left="2160" w:hanging="360"/>
      </w:pPr>
      <w:rPr>
        <w:rFonts w:cs="Wingdings"/>
        <w:sz w:val="20"/>
      </w:rPr>
    </w:lvl>
    <w:lvl w:ilvl="3">
      <w:numFmt w:val="bullet"/>
      <w:lvlText w:val=""/>
      <w:lvlJc w:val="left"/>
      <w:pPr>
        <w:ind w:left="2880" w:hanging="360"/>
      </w:pPr>
      <w:rPr>
        <w:rFonts w:cs="Wingdings"/>
        <w:sz w:val="20"/>
      </w:rPr>
    </w:lvl>
    <w:lvl w:ilvl="4">
      <w:numFmt w:val="bullet"/>
      <w:lvlText w:val=""/>
      <w:lvlJc w:val="left"/>
      <w:pPr>
        <w:ind w:left="3600" w:hanging="360"/>
      </w:pPr>
      <w:rPr>
        <w:rFonts w:cs="Wingdings"/>
        <w:sz w:val="20"/>
      </w:rPr>
    </w:lvl>
    <w:lvl w:ilvl="5">
      <w:numFmt w:val="bullet"/>
      <w:lvlText w:val=""/>
      <w:lvlJc w:val="left"/>
      <w:pPr>
        <w:ind w:left="4320" w:hanging="360"/>
      </w:pPr>
      <w:rPr>
        <w:rFonts w:cs="Wingdings"/>
        <w:sz w:val="20"/>
      </w:rPr>
    </w:lvl>
    <w:lvl w:ilvl="6">
      <w:numFmt w:val="bullet"/>
      <w:lvlText w:val=""/>
      <w:lvlJc w:val="left"/>
      <w:pPr>
        <w:ind w:left="5040" w:hanging="360"/>
      </w:pPr>
      <w:rPr>
        <w:rFonts w:cs="Wingdings"/>
        <w:sz w:val="20"/>
      </w:rPr>
    </w:lvl>
    <w:lvl w:ilvl="7">
      <w:numFmt w:val="bullet"/>
      <w:lvlText w:val=""/>
      <w:lvlJc w:val="left"/>
      <w:pPr>
        <w:ind w:left="5760" w:hanging="360"/>
      </w:pPr>
      <w:rPr>
        <w:rFonts w:cs="Wingdings"/>
        <w:sz w:val="20"/>
      </w:rPr>
    </w:lvl>
    <w:lvl w:ilvl="8">
      <w:numFmt w:val="bullet"/>
      <w:lvlText w:val=""/>
      <w:lvlJc w:val="left"/>
      <w:pPr>
        <w:ind w:left="6480" w:hanging="360"/>
      </w:pPr>
      <w:rPr>
        <w:rFonts w:cs="Wingdings"/>
        <w:sz w:val="20"/>
      </w:rPr>
    </w:lvl>
  </w:abstractNum>
  <w:abstractNum w:abstractNumId="25" w15:restartNumberingAfterBreak="0">
    <w:nsid w:val="429642FD"/>
    <w:multiLevelType w:val="multilevel"/>
    <w:tmpl w:val="70DAD7CC"/>
    <w:lvl w:ilvl="0">
      <w:start w:val="1"/>
      <w:numFmt w:val="bullet"/>
      <w:lvlText w:val=""/>
      <w:lvlJc w:val="left"/>
      <w:pPr>
        <w:tabs>
          <w:tab w:val="num" w:pos="720"/>
        </w:tabs>
        <w:ind w:left="720" w:hanging="360"/>
      </w:pPr>
      <w:rPr>
        <w:rFonts w:ascii="Symbol" w:hAnsi="Symbol" w:cs="Symbol" w:hint="default"/>
        <w:sz w:val="21"/>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6" w15:restartNumberingAfterBreak="0">
    <w:nsid w:val="48440D2C"/>
    <w:multiLevelType w:val="multilevel"/>
    <w:tmpl w:val="012A226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4B442660"/>
    <w:multiLevelType w:val="hybridMultilevel"/>
    <w:tmpl w:val="804A0728"/>
    <w:lvl w:ilvl="0" w:tplc="9B06DB00">
      <w:start w:val="1"/>
      <w:numFmt w:val="bullet"/>
      <w:lvlText w:val=""/>
      <w:lvlJc w:val="left"/>
      <w:pPr>
        <w:ind w:left="1428" w:hanging="360"/>
      </w:pPr>
      <w:rPr>
        <w:rFonts w:ascii="Wingdings" w:hAnsi="Wingdings" w:hint="default"/>
        <w:color w:val="9D2235"/>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28" w15:restartNumberingAfterBreak="0">
    <w:nsid w:val="562C0F25"/>
    <w:multiLevelType w:val="hybridMultilevel"/>
    <w:tmpl w:val="92FA16B2"/>
    <w:lvl w:ilvl="0" w:tplc="DFD6AB02">
      <w:start w:val="1"/>
      <w:numFmt w:val="bullet"/>
      <w:lvlText w:val=""/>
      <w:lvlJc w:val="left"/>
      <w:pPr>
        <w:ind w:left="720" w:hanging="360"/>
      </w:pPr>
      <w:rPr>
        <w:rFonts w:ascii="Wingdings" w:hAnsi="Wingdings" w:hint="default"/>
        <w:color w:val="9D2235"/>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56774EF9"/>
    <w:multiLevelType w:val="multilevel"/>
    <w:tmpl w:val="F28807B6"/>
    <w:lvl w:ilvl="0">
      <w:start w:val="1"/>
      <w:numFmt w:val="bullet"/>
      <w:lvlText w:val="•"/>
      <w:lvlJc w:val="left"/>
      <w:pPr>
        <w:ind w:left="720" w:hanging="360"/>
      </w:pPr>
      <w:rPr>
        <w:rFonts w:ascii="Open Sans" w:hAnsi="Open Sans" w:cs="Open Sans" w:hint="default"/>
        <w:color w:val="9D2235"/>
        <w:sz w:val="2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0" w15:restartNumberingAfterBreak="0">
    <w:nsid w:val="57BA5041"/>
    <w:multiLevelType w:val="hybridMultilevel"/>
    <w:tmpl w:val="167ABEFA"/>
    <w:lvl w:ilvl="0" w:tplc="96F6D6B4">
      <w:start w:val="1"/>
      <w:numFmt w:val="bullet"/>
      <w:lvlText w:val=""/>
      <w:lvlJc w:val="left"/>
      <w:pPr>
        <w:ind w:left="720" w:hanging="360"/>
      </w:pPr>
      <w:rPr>
        <w:rFonts w:ascii="Wingdings" w:hAnsi="Wingdings" w:hint="default"/>
        <w:color w:val="9D2235"/>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5812678E"/>
    <w:multiLevelType w:val="hybridMultilevel"/>
    <w:tmpl w:val="18F4A594"/>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582122D7"/>
    <w:multiLevelType w:val="multilevel"/>
    <w:tmpl w:val="F634BDB0"/>
    <w:lvl w:ilvl="0">
      <w:start w:val="6"/>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1225" w:hanging="573"/>
      </w:pPr>
      <w:rPr>
        <w:rFonts w:hint="default"/>
      </w:rPr>
    </w:lvl>
    <w:lvl w:ilvl="3">
      <w:start w:val="1"/>
      <w:numFmt w:val="decimal"/>
      <w:lvlText w:val="%1.%2.%3.%4."/>
      <w:lvlJc w:val="left"/>
      <w:pPr>
        <w:ind w:left="1728" w:hanging="367"/>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599E5D00"/>
    <w:multiLevelType w:val="multilevel"/>
    <w:tmpl w:val="F634BDB0"/>
    <w:lvl w:ilvl="0">
      <w:start w:val="6"/>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1225" w:hanging="573"/>
      </w:pPr>
      <w:rPr>
        <w:rFonts w:hint="default"/>
      </w:rPr>
    </w:lvl>
    <w:lvl w:ilvl="3">
      <w:start w:val="1"/>
      <w:numFmt w:val="decimal"/>
      <w:lvlText w:val="%1.%2.%3.%4."/>
      <w:lvlJc w:val="left"/>
      <w:pPr>
        <w:ind w:left="1728" w:hanging="367"/>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59E43A73"/>
    <w:multiLevelType w:val="multilevel"/>
    <w:tmpl w:val="3D484B98"/>
    <w:styleLink w:val="WWNum2"/>
    <w:lvl w:ilvl="0">
      <w:numFmt w:val="bullet"/>
      <w:lvlText w:val=""/>
      <w:lvlJc w:val="left"/>
      <w:pPr>
        <w:ind w:left="720" w:hanging="360"/>
      </w:pPr>
      <w:rPr>
        <w:rFonts w:ascii="Times New Roman" w:hAnsi="Times New Roman" w:cs="Symbol"/>
        <w:sz w:val="21"/>
      </w:rPr>
    </w:lvl>
    <w:lvl w:ilvl="1">
      <w:numFmt w:val="bullet"/>
      <w:lvlText w:val="o"/>
      <w:lvlJc w:val="left"/>
      <w:pPr>
        <w:ind w:left="1440" w:hanging="360"/>
      </w:pPr>
      <w:rPr>
        <w:rFonts w:cs="Courier New"/>
        <w:sz w:val="20"/>
      </w:rPr>
    </w:lvl>
    <w:lvl w:ilvl="2">
      <w:numFmt w:val="bullet"/>
      <w:lvlText w:val=""/>
      <w:lvlJc w:val="left"/>
      <w:pPr>
        <w:ind w:left="2160" w:hanging="360"/>
      </w:pPr>
      <w:rPr>
        <w:rFonts w:cs="Wingdings"/>
        <w:sz w:val="20"/>
      </w:rPr>
    </w:lvl>
    <w:lvl w:ilvl="3">
      <w:numFmt w:val="bullet"/>
      <w:lvlText w:val=""/>
      <w:lvlJc w:val="left"/>
      <w:pPr>
        <w:ind w:left="2880" w:hanging="360"/>
      </w:pPr>
      <w:rPr>
        <w:rFonts w:cs="Wingdings"/>
        <w:sz w:val="20"/>
      </w:rPr>
    </w:lvl>
    <w:lvl w:ilvl="4">
      <w:numFmt w:val="bullet"/>
      <w:lvlText w:val=""/>
      <w:lvlJc w:val="left"/>
      <w:pPr>
        <w:ind w:left="3600" w:hanging="360"/>
      </w:pPr>
      <w:rPr>
        <w:rFonts w:cs="Wingdings"/>
        <w:sz w:val="20"/>
      </w:rPr>
    </w:lvl>
    <w:lvl w:ilvl="5">
      <w:numFmt w:val="bullet"/>
      <w:lvlText w:val=""/>
      <w:lvlJc w:val="left"/>
      <w:pPr>
        <w:ind w:left="4320" w:hanging="360"/>
      </w:pPr>
      <w:rPr>
        <w:rFonts w:cs="Wingdings"/>
        <w:sz w:val="20"/>
      </w:rPr>
    </w:lvl>
    <w:lvl w:ilvl="6">
      <w:numFmt w:val="bullet"/>
      <w:lvlText w:val=""/>
      <w:lvlJc w:val="left"/>
      <w:pPr>
        <w:ind w:left="5040" w:hanging="360"/>
      </w:pPr>
      <w:rPr>
        <w:rFonts w:cs="Wingdings"/>
        <w:sz w:val="20"/>
      </w:rPr>
    </w:lvl>
    <w:lvl w:ilvl="7">
      <w:numFmt w:val="bullet"/>
      <w:lvlText w:val=""/>
      <w:lvlJc w:val="left"/>
      <w:pPr>
        <w:ind w:left="5760" w:hanging="360"/>
      </w:pPr>
      <w:rPr>
        <w:rFonts w:cs="Wingdings"/>
        <w:sz w:val="20"/>
      </w:rPr>
    </w:lvl>
    <w:lvl w:ilvl="8">
      <w:numFmt w:val="bullet"/>
      <w:lvlText w:val=""/>
      <w:lvlJc w:val="left"/>
      <w:pPr>
        <w:ind w:left="6480" w:hanging="360"/>
      </w:pPr>
      <w:rPr>
        <w:rFonts w:cs="Wingdings"/>
        <w:sz w:val="20"/>
      </w:rPr>
    </w:lvl>
  </w:abstractNum>
  <w:abstractNum w:abstractNumId="35" w15:restartNumberingAfterBreak="0">
    <w:nsid w:val="5AEE34B1"/>
    <w:multiLevelType w:val="multilevel"/>
    <w:tmpl w:val="3E5A586E"/>
    <w:styleLink w:val="WWNum5"/>
    <w:lvl w:ilvl="0">
      <w:start w:val="1"/>
      <w:numFmt w:val="none"/>
      <w:suff w:val="nothing"/>
      <w:lvlText w:val="%1"/>
      <w:lvlJc w:val="left"/>
    </w:lvl>
    <w:lvl w:ilvl="1">
      <w:start w:val="1"/>
      <w:numFmt w:val="none"/>
      <w:suff w:val="nothing"/>
      <w:lvlText w:val="%2"/>
      <w:lvlJc w:val="left"/>
    </w:lvl>
    <w:lvl w:ilvl="2">
      <w:start w:val="1"/>
      <w:numFmt w:val="none"/>
      <w:suff w:val="nothing"/>
      <w:lvlText w:val="%3"/>
      <w:lvlJc w:val="left"/>
    </w:lvl>
    <w:lvl w:ilvl="3">
      <w:start w:val="1"/>
      <w:numFmt w:val="none"/>
      <w:suff w:val="nothing"/>
      <w:lvlText w:val="%4"/>
      <w:lvlJc w:val="left"/>
    </w:lvl>
    <w:lvl w:ilvl="4">
      <w:start w:val="1"/>
      <w:numFmt w:val="none"/>
      <w:suff w:val="nothing"/>
      <w:lvlText w:val="%5"/>
      <w:lvlJc w:val="left"/>
    </w:lvl>
    <w:lvl w:ilvl="5">
      <w:start w:val="1"/>
      <w:numFmt w:val="none"/>
      <w:suff w:val="nothing"/>
      <w:lvlText w:val="%6"/>
      <w:lvlJc w:val="left"/>
    </w:lvl>
    <w:lvl w:ilvl="6">
      <w:start w:val="1"/>
      <w:numFmt w:val="none"/>
      <w:suff w:val="nothing"/>
      <w:lvlText w:val="%7"/>
      <w:lvlJc w:val="left"/>
    </w:lvl>
    <w:lvl w:ilvl="7">
      <w:start w:val="1"/>
      <w:numFmt w:val="none"/>
      <w:suff w:val="nothing"/>
      <w:lvlText w:val="%8"/>
      <w:lvlJc w:val="left"/>
    </w:lvl>
    <w:lvl w:ilvl="8">
      <w:start w:val="1"/>
      <w:numFmt w:val="none"/>
      <w:suff w:val="nothing"/>
      <w:lvlText w:val="%9"/>
      <w:lvlJc w:val="left"/>
    </w:lvl>
  </w:abstractNum>
  <w:abstractNum w:abstractNumId="36" w15:restartNumberingAfterBreak="0">
    <w:nsid w:val="5B6F71BB"/>
    <w:multiLevelType w:val="hybridMultilevel"/>
    <w:tmpl w:val="D4E05776"/>
    <w:lvl w:ilvl="0" w:tplc="96F6D6B4">
      <w:start w:val="1"/>
      <w:numFmt w:val="bullet"/>
      <w:lvlText w:val=""/>
      <w:lvlJc w:val="left"/>
      <w:pPr>
        <w:ind w:left="720" w:hanging="360"/>
      </w:pPr>
      <w:rPr>
        <w:rFonts w:ascii="Wingdings" w:hAnsi="Wingdings" w:hint="default"/>
        <w:color w:val="9D2235"/>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5BB914E3"/>
    <w:multiLevelType w:val="multilevel"/>
    <w:tmpl w:val="16562FB0"/>
    <w:lvl w:ilvl="0">
      <w:start w:val="4"/>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1225" w:hanging="573"/>
      </w:pPr>
      <w:rPr>
        <w:rFonts w:hint="default"/>
      </w:rPr>
    </w:lvl>
    <w:lvl w:ilvl="3">
      <w:start w:val="1"/>
      <w:numFmt w:val="decimal"/>
      <w:lvlText w:val="%1.%2.%3.%4."/>
      <w:lvlJc w:val="left"/>
      <w:pPr>
        <w:ind w:left="1728" w:hanging="367"/>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5CCC5012"/>
    <w:multiLevelType w:val="hybridMultilevel"/>
    <w:tmpl w:val="6C9C2610"/>
    <w:lvl w:ilvl="0" w:tplc="9D4608F8">
      <w:start w:val="1"/>
      <w:numFmt w:val="decimal"/>
      <w:lvlText w:val="%1."/>
      <w:lvlJc w:val="left"/>
      <w:pPr>
        <w:ind w:left="720" w:hanging="360"/>
      </w:pPr>
      <w:rPr>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15:restartNumberingAfterBreak="0">
    <w:nsid w:val="5DBC3467"/>
    <w:multiLevelType w:val="hybridMultilevel"/>
    <w:tmpl w:val="2C70487A"/>
    <w:lvl w:ilvl="0" w:tplc="96F6D6B4">
      <w:start w:val="1"/>
      <w:numFmt w:val="bullet"/>
      <w:lvlText w:val=""/>
      <w:lvlJc w:val="left"/>
      <w:pPr>
        <w:ind w:left="720" w:hanging="360"/>
      </w:pPr>
      <w:rPr>
        <w:rFonts w:ascii="Wingdings" w:hAnsi="Wingdings" w:hint="default"/>
        <w:color w:val="9D2235"/>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65931732"/>
    <w:multiLevelType w:val="hybridMultilevel"/>
    <w:tmpl w:val="22B6038E"/>
    <w:lvl w:ilvl="0" w:tplc="96F6D6B4">
      <w:start w:val="1"/>
      <w:numFmt w:val="bullet"/>
      <w:lvlText w:val=""/>
      <w:lvlJc w:val="left"/>
      <w:pPr>
        <w:ind w:left="720" w:hanging="360"/>
      </w:pPr>
      <w:rPr>
        <w:rFonts w:ascii="Wingdings" w:hAnsi="Wingdings" w:hint="default"/>
        <w:color w:val="9D2235"/>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66BE63AE"/>
    <w:multiLevelType w:val="multilevel"/>
    <w:tmpl w:val="6C4050FC"/>
    <w:lvl w:ilvl="0">
      <w:start w:val="1"/>
      <w:numFmt w:val="bullet"/>
      <w:lvlText w:val=""/>
      <w:lvlJc w:val="left"/>
      <w:pPr>
        <w:ind w:left="720" w:hanging="360"/>
      </w:pPr>
      <w:rPr>
        <w:rFonts w:ascii="Wingdings" w:hAnsi="Wingdings" w:hint="default"/>
        <w:color w:val="9D2235"/>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42" w15:restartNumberingAfterBreak="0">
    <w:nsid w:val="6BC667F3"/>
    <w:multiLevelType w:val="multilevel"/>
    <w:tmpl w:val="2D1287BC"/>
    <w:lvl w:ilvl="0">
      <w:start w:val="1"/>
      <w:numFmt w:val="bullet"/>
      <w:lvlText w:val=""/>
      <w:lvlJc w:val="left"/>
      <w:pPr>
        <w:ind w:left="144" w:hanging="144"/>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3" w15:restartNumberingAfterBreak="0">
    <w:nsid w:val="71214DBD"/>
    <w:multiLevelType w:val="multilevel"/>
    <w:tmpl w:val="134EFCDE"/>
    <w:lvl w:ilvl="0">
      <w:start w:val="1"/>
      <w:numFmt w:val="bullet"/>
      <w:lvlText w:val=""/>
      <w:lvlJc w:val="left"/>
      <w:pPr>
        <w:ind w:left="720" w:hanging="360"/>
      </w:pPr>
      <w:rPr>
        <w:rFonts w:ascii="Symbol" w:hAnsi="Symbol" w:cs="Symbol" w:hint="default"/>
        <w:sz w:val="2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4" w15:restartNumberingAfterBreak="0">
    <w:nsid w:val="71576B52"/>
    <w:multiLevelType w:val="hybridMultilevel"/>
    <w:tmpl w:val="69A65C40"/>
    <w:lvl w:ilvl="0" w:tplc="9B06DB00">
      <w:start w:val="1"/>
      <w:numFmt w:val="bullet"/>
      <w:lvlText w:val=""/>
      <w:lvlJc w:val="left"/>
      <w:pPr>
        <w:ind w:left="720" w:hanging="360"/>
      </w:pPr>
      <w:rPr>
        <w:rFonts w:ascii="Wingdings" w:hAnsi="Wingdings" w:hint="default"/>
        <w:color w:val="9D2235"/>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15:restartNumberingAfterBreak="0">
    <w:nsid w:val="738501F6"/>
    <w:multiLevelType w:val="multilevel"/>
    <w:tmpl w:val="B002C052"/>
    <w:styleLink w:val="WWNum1"/>
    <w:lvl w:ilvl="0">
      <w:numFmt w:val="bullet"/>
      <w:lvlText w:val=""/>
      <w:lvlJc w:val="left"/>
      <w:pPr>
        <w:ind w:left="720" w:hanging="360"/>
      </w:pPr>
      <w:rPr>
        <w:rFonts w:ascii="Times New Roman" w:hAnsi="Times New Roman" w:cs="Symbol"/>
        <w:sz w:val="21"/>
      </w:rPr>
    </w:lvl>
    <w:lvl w:ilvl="1">
      <w:numFmt w:val="bullet"/>
      <w:lvlText w:val="o"/>
      <w:lvlJc w:val="left"/>
      <w:pPr>
        <w:ind w:left="1440" w:hanging="360"/>
      </w:pPr>
      <w:rPr>
        <w:rFonts w:cs="Courier New"/>
        <w:sz w:val="20"/>
      </w:rPr>
    </w:lvl>
    <w:lvl w:ilvl="2">
      <w:numFmt w:val="bullet"/>
      <w:lvlText w:val=""/>
      <w:lvlJc w:val="left"/>
      <w:pPr>
        <w:ind w:left="2160" w:hanging="360"/>
      </w:pPr>
      <w:rPr>
        <w:rFonts w:cs="Wingdings"/>
        <w:sz w:val="20"/>
      </w:rPr>
    </w:lvl>
    <w:lvl w:ilvl="3">
      <w:numFmt w:val="bullet"/>
      <w:lvlText w:val=""/>
      <w:lvlJc w:val="left"/>
      <w:pPr>
        <w:ind w:left="2880" w:hanging="360"/>
      </w:pPr>
      <w:rPr>
        <w:rFonts w:cs="Wingdings"/>
        <w:sz w:val="20"/>
      </w:rPr>
    </w:lvl>
    <w:lvl w:ilvl="4">
      <w:numFmt w:val="bullet"/>
      <w:lvlText w:val=""/>
      <w:lvlJc w:val="left"/>
      <w:pPr>
        <w:ind w:left="3600" w:hanging="360"/>
      </w:pPr>
      <w:rPr>
        <w:rFonts w:cs="Wingdings"/>
        <w:sz w:val="20"/>
      </w:rPr>
    </w:lvl>
    <w:lvl w:ilvl="5">
      <w:numFmt w:val="bullet"/>
      <w:lvlText w:val=""/>
      <w:lvlJc w:val="left"/>
      <w:pPr>
        <w:ind w:left="4320" w:hanging="360"/>
      </w:pPr>
      <w:rPr>
        <w:rFonts w:cs="Wingdings"/>
        <w:sz w:val="20"/>
      </w:rPr>
    </w:lvl>
    <w:lvl w:ilvl="6">
      <w:numFmt w:val="bullet"/>
      <w:lvlText w:val=""/>
      <w:lvlJc w:val="left"/>
      <w:pPr>
        <w:ind w:left="5040" w:hanging="360"/>
      </w:pPr>
      <w:rPr>
        <w:rFonts w:cs="Wingdings"/>
        <w:sz w:val="20"/>
      </w:rPr>
    </w:lvl>
    <w:lvl w:ilvl="7">
      <w:numFmt w:val="bullet"/>
      <w:lvlText w:val=""/>
      <w:lvlJc w:val="left"/>
      <w:pPr>
        <w:ind w:left="5760" w:hanging="360"/>
      </w:pPr>
      <w:rPr>
        <w:rFonts w:cs="Wingdings"/>
        <w:sz w:val="20"/>
      </w:rPr>
    </w:lvl>
    <w:lvl w:ilvl="8">
      <w:numFmt w:val="bullet"/>
      <w:lvlText w:val=""/>
      <w:lvlJc w:val="left"/>
      <w:pPr>
        <w:ind w:left="6480" w:hanging="360"/>
      </w:pPr>
      <w:rPr>
        <w:rFonts w:cs="Wingdings"/>
        <w:sz w:val="20"/>
      </w:rPr>
    </w:lvl>
  </w:abstractNum>
  <w:abstractNum w:abstractNumId="46" w15:restartNumberingAfterBreak="0">
    <w:nsid w:val="751622FE"/>
    <w:multiLevelType w:val="multilevel"/>
    <w:tmpl w:val="2A50BF6E"/>
    <w:lvl w:ilvl="0">
      <w:start w:val="1"/>
      <w:numFmt w:val="bullet"/>
      <w:lvlText w:val=""/>
      <w:lvlJc w:val="left"/>
      <w:pPr>
        <w:ind w:left="720" w:hanging="360"/>
      </w:pPr>
      <w:rPr>
        <w:rFonts w:ascii="Symbol" w:hAnsi="Symbol" w:cs="Symbol" w:hint="default"/>
        <w:sz w:val="2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7" w15:restartNumberingAfterBreak="0">
    <w:nsid w:val="786B0545"/>
    <w:multiLevelType w:val="multilevel"/>
    <w:tmpl w:val="A7308DE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7AB96B8F"/>
    <w:multiLevelType w:val="multilevel"/>
    <w:tmpl w:val="F634BDB0"/>
    <w:lvl w:ilvl="0">
      <w:start w:val="6"/>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1225" w:hanging="573"/>
      </w:pPr>
      <w:rPr>
        <w:rFonts w:hint="default"/>
      </w:rPr>
    </w:lvl>
    <w:lvl w:ilvl="3">
      <w:start w:val="1"/>
      <w:numFmt w:val="decimal"/>
      <w:lvlText w:val="%1.%2.%3.%4."/>
      <w:lvlJc w:val="left"/>
      <w:pPr>
        <w:ind w:left="1728" w:hanging="367"/>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9" w15:restartNumberingAfterBreak="0">
    <w:nsid w:val="7E4870BF"/>
    <w:multiLevelType w:val="multilevel"/>
    <w:tmpl w:val="595A2B6C"/>
    <w:lvl w:ilvl="0">
      <w:start w:val="1"/>
      <w:numFmt w:val="bullet"/>
      <w:lvlText w:val=""/>
      <w:lvlJc w:val="left"/>
      <w:pPr>
        <w:ind w:left="720" w:hanging="360"/>
      </w:pPr>
      <w:rPr>
        <w:rFonts w:ascii="Symbol" w:hAnsi="Symbol" w:cs="Symbol" w:hint="default"/>
        <w:sz w:val="21"/>
      </w:rPr>
    </w:lvl>
    <w:lvl w:ilvl="1">
      <w:start w:val="2"/>
      <w:numFmt w:val="bullet"/>
      <w:lvlText w:val="•"/>
      <w:lvlJc w:val="left"/>
      <w:pPr>
        <w:ind w:left="1440" w:hanging="360"/>
      </w:pPr>
      <w:rPr>
        <w:rFonts w:ascii="Open Sans" w:hAnsi="Open Sans" w:cs="Open Sans"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16cid:durableId="911428241">
    <w:abstractNumId w:val="4"/>
  </w:num>
  <w:num w:numId="2" w16cid:durableId="202057465">
    <w:abstractNumId w:val="6"/>
  </w:num>
  <w:num w:numId="3" w16cid:durableId="336272755">
    <w:abstractNumId w:val="38"/>
  </w:num>
  <w:num w:numId="4" w16cid:durableId="1601256455">
    <w:abstractNumId w:val="11"/>
  </w:num>
  <w:num w:numId="5" w16cid:durableId="1210649442">
    <w:abstractNumId w:val="20"/>
  </w:num>
  <w:num w:numId="6" w16cid:durableId="2102024090">
    <w:abstractNumId w:val="44"/>
  </w:num>
  <w:num w:numId="7" w16cid:durableId="518158885">
    <w:abstractNumId w:val="40"/>
  </w:num>
  <w:num w:numId="8" w16cid:durableId="883104502">
    <w:abstractNumId w:val="30"/>
  </w:num>
  <w:num w:numId="9" w16cid:durableId="1904176996">
    <w:abstractNumId w:val="18"/>
  </w:num>
  <w:num w:numId="10" w16cid:durableId="1461218440">
    <w:abstractNumId w:val="39"/>
  </w:num>
  <w:num w:numId="11" w16cid:durableId="1287347062">
    <w:abstractNumId w:val="36"/>
  </w:num>
  <w:num w:numId="12" w16cid:durableId="302781169">
    <w:abstractNumId w:val="13"/>
  </w:num>
  <w:num w:numId="13" w16cid:durableId="1506282776">
    <w:abstractNumId w:val="12"/>
  </w:num>
  <w:num w:numId="14" w16cid:durableId="1574240260">
    <w:abstractNumId w:val="37"/>
  </w:num>
  <w:num w:numId="15" w16cid:durableId="2051877656">
    <w:abstractNumId w:val="42"/>
  </w:num>
  <w:num w:numId="16" w16cid:durableId="695155703">
    <w:abstractNumId w:val="17"/>
  </w:num>
  <w:num w:numId="17" w16cid:durableId="2088728722">
    <w:abstractNumId w:val="31"/>
  </w:num>
  <w:num w:numId="18" w16cid:durableId="128743505">
    <w:abstractNumId w:val="25"/>
  </w:num>
  <w:num w:numId="19" w16cid:durableId="1216576932">
    <w:abstractNumId w:val="19"/>
  </w:num>
  <w:num w:numId="20" w16cid:durableId="202328697">
    <w:abstractNumId w:val="49"/>
  </w:num>
  <w:num w:numId="21" w16cid:durableId="62684535">
    <w:abstractNumId w:val="9"/>
  </w:num>
  <w:num w:numId="22" w16cid:durableId="173038172">
    <w:abstractNumId w:val="26"/>
  </w:num>
  <w:num w:numId="23" w16cid:durableId="1468934013">
    <w:abstractNumId w:val="46"/>
  </w:num>
  <w:num w:numId="24" w16cid:durableId="1594706058">
    <w:abstractNumId w:val="21"/>
  </w:num>
  <w:num w:numId="25" w16cid:durableId="1068186761">
    <w:abstractNumId w:val="7"/>
  </w:num>
  <w:num w:numId="26" w16cid:durableId="1171606468">
    <w:abstractNumId w:val="43"/>
  </w:num>
  <w:num w:numId="27" w16cid:durableId="1566909551">
    <w:abstractNumId w:val="23"/>
  </w:num>
  <w:num w:numId="28" w16cid:durableId="1436637044">
    <w:abstractNumId w:val="29"/>
  </w:num>
  <w:num w:numId="29" w16cid:durableId="631448562">
    <w:abstractNumId w:val="10"/>
  </w:num>
  <w:num w:numId="30" w16cid:durableId="706561554">
    <w:abstractNumId w:val="22"/>
  </w:num>
  <w:num w:numId="31" w16cid:durableId="1712339113">
    <w:abstractNumId w:val="16"/>
  </w:num>
  <w:num w:numId="32" w16cid:durableId="618995940">
    <w:abstractNumId w:val="1"/>
  </w:num>
  <w:num w:numId="33" w16cid:durableId="736828382">
    <w:abstractNumId w:val="2"/>
  </w:num>
  <w:num w:numId="34" w16cid:durableId="476842190">
    <w:abstractNumId w:val="32"/>
  </w:num>
  <w:num w:numId="35" w16cid:durableId="617954370">
    <w:abstractNumId w:val="33"/>
  </w:num>
  <w:num w:numId="36" w16cid:durableId="1114448364">
    <w:abstractNumId w:val="0"/>
  </w:num>
  <w:num w:numId="37" w16cid:durableId="702024041">
    <w:abstractNumId w:val="48"/>
  </w:num>
  <w:num w:numId="38" w16cid:durableId="1642416104">
    <w:abstractNumId w:val="3"/>
  </w:num>
  <w:num w:numId="39" w16cid:durableId="924386541">
    <w:abstractNumId w:val="45"/>
  </w:num>
  <w:num w:numId="40" w16cid:durableId="454523354">
    <w:abstractNumId w:val="34"/>
  </w:num>
  <w:num w:numId="41" w16cid:durableId="281812329">
    <w:abstractNumId w:val="24"/>
  </w:num>
  <w:num w:numId="42" w16cid:durableId="655455345">
    <w:abstractNumId w:val="14"/>
  </w:num>
  <w:num w:numId="43" w16cid:durableId="48769256">
    <w:abstractNumId w:val="35"/>
  </w:num>
  <w:num w:numId="44" w16cid:durableId="1841240511">
    <w:abstractNumId w:val="5"/>
  </w:num>
  <w:num w:numId="45" w16cid:durableId="1462845188">
    <w:abstractNumId w:val="8"/>
  </w:num>
  <w:num w:numId="46" w16cid:durableId="1153185064">
    <w:abstractNumId w:val="41"/>
  </w:num>
  <w:num w:numId="47" w16cid:durableId="472064951">
    <w:abstractNumId w:val="47"/>
  </w:num>
  <w:num w:numId="48" w16cid:durableId="30620122">
    <w:abstractNumId w:val="27"/>
  </w:num>
  <w:num w:numId="49" w16cid:durableId="1471707139">
    <w:abstractNumId w:val="28"/>
  </w:num>
  <w:num w:numId="50" w16cid:durableId="1252665240">
    <w:abstractNumId w:val="15"/>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efaultTabStop w:val="0"/>
  <w:hyphenationZone w:val="425"/>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2A66"/>
    <w:rsid w:val="00000A80"/>
    <w:rsid w:val="000015C0"/>
    <w:rsid w:val="00002F0E"/>
    <w:rsid w:val="000041FC"/>
    <w:rsid w:val="0000467C"/>
    <w:rsid w:val="00005696"/>
    <w:rsid w:val="00010F24"/>
    <w:rsid w:val="00012EBE"/>
    <w:rsid w:val="000139EB"/>
    <w:rsid w:val="000140B9"/>
    <w:rsid w:val="0001473E"/>
    <w:rsid w:val="00015D03"/>
    <w:rsid w:val="000174F6"/>
    <w:rsid w:val="0001775B"/>
    <w:rsid w:val="00017E5E"/>
    <w:rsid w:val="000204AF"/>
    <w:rsid w:val="0002300D"/>
    <w:rsid w:val="0003243A"/>
    <w:rsid w:val="00032B97"/>
    <w:rsid w:val="00032E8A"/>
    <w:rsid w:val="00035167"/>
    <w:rsid w:val="00035A91"/>
    <w:rsid w:val="00040C04"/>
    <w:rsid w:val="00040D5E"/>
    <w:rsid w:val="000421D3"/>
    <w:rsid w:val="000435A4"/>
    <w:rsid w:val="0004391F"/>
    <w:rsid w:val="00043C15"/>
    <w:rsid w:val="00044E77"/>
    <w:rsid w:val="0005287A"/>
    <w:rsid w:val="0005467A"/>
    <w:rsid w:val="00054DEE"/>
    <w:rsid w:val="0005575F"/>
    <w:rsid w:val="00055E39"/>
    <w:rsid w:val="000607A6"/>
    <w:rsid w:val="00066092"/>
    <w:rsid w:val="00067CB8"/>
    <w:rsid w:val="00071C02"/>
    <w:rsid w:val="00071D35"/>
    <w:rsid w:val="00072D60"/>
    <w:rsid w:val="000744C3"/>
    <w:rsid w:val="000747E1"/>
    <w:rsid w:val="000757A1"/>
    <w:rsid w:val="00076BFE"/>
    <w:rsid w:val="00077BD5"/>
    <w:rsid w:val="000826AD"/>
    <w:rsid w:val="000915ED"/>
    <w:rsid w:val="00092AEE"/>
    <w:rsid w:val="00094228"/>
    <w:rsid w:val="000952B8"/>
    <w:rsid w:val="000A1323"/>
    <w:rsid w:val="000A445F"/>
    <w:rsid w:val="000A6829"/>
    <w:rsid w:val="000A6A2E"/>
    <w:rsid w:val="000B390D"/>
    <w:rsid w:val="000B45E2"/>
    <w:rsid w:val="000B71C5"/>
    <w:rsid w:val="000C060B"/>
    <w:rsid w:val="000C2B89"/>
    <w:rsid w:val="000C499C"/>
    <w:rsid w:val="000C701C"/>
    <w:rsid w:val="000D0EE6"/>
    <w:rsid w:val="000D1769"/>
    <w:rsid w:val="000D3A46"/>
    <w:rsid w:val="000D660B"/>
    <w:rsid w:val="000E0B67"/>
    <w:rsid w:val="000E2A66"/>
    <w:rsid w:val="000E4182"/>
    <w:rsid w:val="000E6355"/>
    <w:rsid w:val="000E7209"/>
    <w:rsid w:val="000F065A"/>
    <w:rsid w:val="000F0D13"/>
    <w:rsid w:val="000F0D81"/>
    <w:rsid w:val="000F347B"/>
    <w:rsid w:val="000F6BC7"/>
    <w:rsid w:val="000F7CDB"/>
    <w:rsid w:val="001002CB"/>
    <w:rsid w:val="0010148E"/>
    <w:rsid w:val="00102F05"/>
    <w:rsid w:val="00103139"/>
    <w:rsid w:val="0010504D"/>
    <w:rsid w:val="00112709"/>
    <w:rsid w:val="00113FE8"/>
    <w:rsid w:val="00117BAE"/>
    <w:rsid w:val="00120A09"/>
    <w:rsid w:val="001221CA"/>
    <w:rsid w:val="00122F19"/>
    <w:rsid w:val="00124099"/>
    <w:rsid w:val="00125D5B"/>
    <w:rsid w:val="00127219"/>
    <w:rsid w:val="00127F3E"/>
    <w:rsid w:val="00130C46"/>
    <w:rsid w:val="00130CF5"/>
    <w:rsid w:val="00131110"/>
    <w:rsid w:val="00134151"/>
    <w:rsid w:val="001363E8"/>
    <w:rsid w:val="00136E45"/>
    <w:rsid w:val="0014011E"/>
    <w:rsid w:val="00141BE0"/>
    <w:rsid w:val="00143DB0"/>
    <w:rsid w:val="0015081D"/>
    <w:rsid w:val="00152A36"/>
    <w:rsid w:val="001538B4"/>
    <w:rsid w:val="0015488E"/>
    <w:rsid w:val="00154F9C"/>
    <w:rsid w:val="00157568"/>
    <w:rsid w:val="00157679"/>
    <w:rsid w:val="00157A8B"/>
    <w:rsid w:val="00157BB9"/>
    <w:rsid w:val="00162EA4"/>
    <w:rsid w:val="00171D00"/>
    <w:rsid w:val="00175395"/>
    <w:rsid w:val="00176040"/>
    <w:rsid w:val="0017604D"/>
    <w:rsid w:val="001774E0"/>
    <w:rsid w:val="00180BD2"/>
    <w:rsid w:val="001814C5"/>
    <w:rsid w:val="00181707"/>
    <w:rsid w:val="001818E7"/>
    <w:rsid w:val="00184CC4"/>
    <w:rsid w:val="00184E85"/>
    <w:rsid w:val="00186784"/>
    <w:rsid w:val="00187762"/>
    <w:rsid w:val="001900B6"/>
    <w:rsid w:val="001903FA"/>
    <w:rsid w:val="001908A2"/>
    <w:rsid w:val="0019430F"/>
    <w:rsid w:val="001A1C66"/>
    <w:rsid w:val="001A5ABB"/>
    <w:rsid w:val="001B1422"/>
    <w:rsid w:val="001B1B07"/>
    <w:rsid w:val="001B264C"/>
    <w:rsid w:val="001B2790"/>
    <w:rsid w:val="001B5A72"/>
    <w:rsid w:val="001B6518"/>
    <w:rsid w:val="001B7D0D"/>
    <w:rsid w:val="001C2A13"/>
    <w:rsid w:val="001C2ABB"/>
    <w:rsid w:val="001C41EC"/>
    <w:rsid w:val="001C4A23"/>
    <w:rsid w:val="001D0A43"/>
    <w:rsid w:val="001D3848"/>
    <w:rsid w:val="001D52FD"/>
    <w:rsid w:val="001E0358"/>
    <w:rsid w:val="001E295B"/>
    <w:rsid w:val="001E304B"/>
    <w:rsid w:val="001E4352"/>
    <w:rsid w:val="001F0520"/>
    <w:rsid w:val="001F0B05"/>
    <w:rsid w:val="001F17F7"/>
    <w:rsid w:val="001F5FA5"/>
    <w:rsid w:val="001F736B"/>
    <w:rsid w:val="001F7C08"/>
    <w:rsid w:val="001F7CEA"/>
    <w:rsid w:val="001F7E9F"/>
    <w:rsid w:val="00200805"/>
    <w:rsid w:val="002027E9"/>
    <w:rsid w:val="00206A06"/>
    <w:rsid w:val="00206AFA"/>
    <w:rsid w:val="00211D4C"/>
    <w:rsid w:val="00214F74"/>
    <w:rsid w:val="00220772"/>
    <w:rsid w:val="002212A9"/>
    <w:rsid w:val="00222B79"/>
    <w:rsid w:val="00224C09"/>
    <w:rsid w:val="00231D61"/>
    <w:rsid w:val="00235800"/>
    <w:rsid w:val="00236910"/>
    <w:rsid w:val="00237860"/>
    <w:rsid w:val="002406F8"/>
    <w:rsid w:val="00240878"/>
    <w:rsid w:val="00241DA2"/>
    <w:rsid w:val="002431F6"/>
    <w:rsid w:val="002432B6"/>
    <w:rsid w:val="00243A1D"/>
    <w:rsid w:val="00244558"/>
    <w:rsid w:val="002516FB"/>
    <w:rsid w:val="002539DC"/>
    <w:rsid w:val="00257CD4"/>
    <w:rsid w:val="00262BE0"/>
    <w:rsid w:val="00262F77"/>
    <w:rsid w:val="00264D99"/>
    <w:rsid w:val="00264EC2"/>
    <w:rsid w:val="00265AF0"/>
    <w:rsid w:val="00267C42"/>
    <w:rsid w:val="00270BC0"/>
    <w:rsid w:val="00270D4B"/>
    <w:rsid w:val="002722A7"/>
    <w:rsid w:val="00274396"/>
    <w:rsid w:val="00274807"/>
    <w:rsid w:val="00276A50"/>
    <w:rsid w:val="0027764E"/>
    <w:rsid w:val="002812FE"/>
    <w:rsid w:val="00287119"/>
    <w:rsid w:val="0029094F"/>
    <w:rsid w:val="00291289"/>
    <w:rsid w:val="00291609"/>
    <w:rsid w:val="002949C6"/>
    <w:rsid w:val="00294CA2"/>
    <w:rsid w:val="00296A81"/>
    <w:rsid w:val="00296BB3"/>
    <w:rsid w:val="002A1357"/>
    <w:rsid w:val="002A1E9E"/>
    <w:rsid w:val="002A3533"/>
    <w:rsid w:val="002A5A3A"/>
    <w:rsid w:val="002A5CF7"/>
    <w:rsid w:val="002A794E"/>
    <w:rsid w:val="002A7F01"/>
    <w:rsid w:val="002B0793"/>
    <w:rsid w:val="002B23F8"/>
    <w:rsid w:val="002B2AC3"/>
    <w:rsid w:val="002B43E6"/>
    <w:rsid w:val="002B637B"/>
    <w:rsid w:val="002B6FB5"/>
    <w:rsid w:val="002B7805"/>
    <w:rsid w:val="002C0BEF"/>
    <w:rsid w:val="002C15DE"/>
    <w:rsid w:val="002C1BFB"/>
    <w:rsid w:val="002C2770"/>
    <w:rsid w:val="002C3B22"/>
    <w:rsid w:val="002C66A2"/>
    <w:rsid w:val="002D0FF9"/>
    <w:rsid w:val="002D0FFD"/>
    <w:rsid w:val="002D1C6B"/>
    <w:rsid w:val="002D3B30"/>
    <w:rsid w:val="002D40BA"/>
    <w:rsid w:val="002D6F91"/>
    <w:rsid w:val="002E0A25"/>
    <w:rsid w:val="002E2E83"/>
    <w:rsid w:val="002E56BF"/>
    <w:rsid w:val="002E5FE9"/>
    <w:rsid w:val="002F36BA"/>
    <w:rsid w:val="002F4ECF"/>
    <w:rsid w:val="002F7944"/>
    <w:rsid w:val="00303793"/>
    <w:rsid w:val="00305021"/>
    <w:rsid w:val="00311B42"/>
    <w:rsid w:val="00316401"/>
    <w:rsid w:val="00321B23"/>
    <w:rsid w:val="00321C8E"/>
    <w:rsid w:val="0032279D"/>
    <w:rsid w:val="003234BE"/>
    <w:rsid w:val="003408CE"/>
    <w:rsid w:val="00340E47"/>
    <w:rsid w:val="00342C45"/>
    <w:rsid w:val="00343A29"/>
    <w:rsid w:val="003504BA"/>
    <w:rsid w:val="003530AE"/>
    <w:rsid w:val="00355147"/>
    <w:rsid w:val="00357ED3"/>
    <w:rsid w:val="00362069"/>
    <w:rsid w:val="003659C7"/>
    <w:rsid w:val="00366233"/>
    <w:rsid w:val="003663F8"/>
    <w:rsid w:val="00367282"/>
    <w:rsid w:val="00370995"/>
    <w:rsid w:val="00372BD9"/>
    <w:rsid w:val="003746F3"/>
    <w:rsid w:val="00374AC9"/>
    <w:rsid w:val="00391D7B"/>
    <w:rsid w:val="0039254B"/>
    <w:rsid w:val="00392F00"/>
    <w:rsid w:val="00393AD1"/>
    <w:rsid w:val="00393B26"/>
    <w:rsid w:val="0039426D"/>
    <w:rsid w:val="00395D08"/>
    <w:rsid w:val="0039675B"/>
    <w:rsid w:val="00396C04"/>
    <w:rsid w:val="003A05C5"/>
    <w:rsid w:val="003A60FD"/>
    <w:rsid w:val="003A7CAA"/>
    <w:rsid w:val="003B10CC"/>
    <w:rsid w:val="003B3BB4"/>
    <w:rsid w:val="003B6B04"/>
    <w:rsid w:val="003C2FAB"/>
    <w:rsid w:val="003C3EFA"/>
    <w:rsid w:val="003C4EAD"/>
    <w:rsid w:val="003D1E71"/>
    <w:rsid w:val="003D6956"/>
    <w:rsid w:val="003E0AA3"/>
    <w:rsid w:val="003E333A"/>
    <w:rsid w:val="003F171F"/>
    <w:rsid w:val="003F2F5A"/>
    <w:rsid w:val="003F536E"/>
    <w:rsid w:val="00400C5A"/>
    <w:rsid w:val="00404BFF"/>
    <w:rsid w:val="004063ED"/>
    <w:rsid w:val="0041345C"/>
    <w:rsid w:val="00413C3C"/>
    <w:rsid w:val="004149CE"/>
    <w:rsid w:val="00417226"/>
    <w:rsid w:val="00417A14"/>
    <w:rsid w:val="00422C6A"/>
    <w:rsid w:val="0042522B"/>
    <w:rsid w:val="004313D1"/>
    <w:rsid w:val="00433C7A"/>
    <w:rsid w:val="00435D08"/>
    <w:rsid w:val="00436174"/>
    <w:rsid w:val="00436B6D"/>
    <w:rsid w:val="00442A94"/>
    <w:rsid w:val="00442FDF"/>
    <w:rsid w:val="00443257"/>
    <w:rsid w:val="004442BD"/>
    <w:rsid w:val="00445B03"/>
    <w:rsid w:val="0045549E"/>
    <w:rsid w:val="0045757F"/>
    <w:rsid w:val="00457ACE"/>
    <w:rsid w:val="004613C8"/>
    <w:rsid w:val="004637FA"/>
    <w:rsid w:val="004646E9"/>
    <w:rsid w:val="00464872"/>
    <w:rsid w:val="00464ED7"/>
    <w:rsid w:val="00465DB0"/>
    <w:rsid w:val="004668A5"/>
    <w:rsid w:val="00470094"/>
    <w:rsid w:val="00474B97"/>
    <w:rsid w:val="004750AA"/>
    <w:rsid w:val="004764B3"/>
    <w:rsid w:val="004767CC"/>
    <w:rsid w:val="00476BC1"/>
    <w:rsid w:val="004774DA"/>
    <w:rsid w:val="00480863"/>
    <w:rsid w:val="0048558D"/>
    <w:rsid w:val="00486EA0"/>
    <w:rsid w:val="004878B0"/>
    <w:rsid w:val="004904D8"/>
    <w:rsid w:val="00490A74"/>
    <w:rsid w:val="0049285A"/>
    <w:rsid w:val="0049550C"/>
    <w:rsid w:val="00497324"/>
    <w:rsid w:val="004A3C1B"/>
    <w:rsid w:val="004A4D64"/>
    <w:rsid w:val="004A5499"/>
    <w:rsid w:val="004A5F93"/>
    <w:rsid w:val="004A6A9C"/>
    <w:rsid w:val="004A764D"/>
    <w:rsid w:val="004B0B5D"/>
    <w:rsid w:val="004B442C"/>
    <w:rsid w:val="004B4FD1"/>
    <w:rsid w:val="004B5FFE"/>
    <w:rsid w:val="004C06FF"/>
    <w:rsid w:val="004C14BF"/>
    <w:rsid w:val="004C557F"/>
    <w:rsid w:val="004C6841"/>
    <w:rsid w:val="004D135D"/>
    <w:rsid w:val="004D15AF"/>
    <w:rsid w:val="004D292C"/>
    <w:rsid w:val="004D358C"/>
    <w:rsid w:val="004D45E0"/>
    <w:rsid w:val="004D474C"/>
    <w:rsid w:val="004D6055"/>
    <w:rsid w:val="004E137A"/>
    <w:rsid w:val="004E2065"/>
    <w:rsid w:val="004E3452"/>
    <w:rsid w:val="004E4C56"/>
    <w:rsid w:val="004E54C2"/>
    <w:rsid w:val="004E6659"/>
    <w:rsid w:val="004F2FD1"/>
    <w:rsid w:val="004F3165"/>
    <w:rsid w:val="004F52BA"/>
    <w:rsid w:val="004F5C13"/>
    <w:rsid w:val="004F6A7A"/>
    <w:rsid w:val="004F75D8"/>
    <w:rsid w:val="0050097D"/>
    <w:rsid w:val="00502CCD"/>
    <w:rsid w:val="00503C19"/>
    <w:rsid w:val="0050483D"/>
    <w:rsid w:val="00510684"/>
    <w:rsid w:val="00510CA3"/>
    <w:rsid w:val="00512A03"/>
    <w:rsid w:val="0051366A"/>
    <w:rsid w:val="0051643D"/>
    <w:rsid w:val="005174F7"/>
    <w:rsid w:val="005211E0"/>
    <w:rsid w:val="005227EB"/>
    <w:rsid w:val="00522ED7"/>
    <w:rsid w:val="00524F7D"/>
    <w:rsid w:val="0052530F"/>
    <w:rsid w:val="00527631"/>
    <w:rsid w:val="005306E1"/>
    <w:rsid w:val="005308FD"/>
    <w:rsid w:val="00532873"/>
    <w:rsid w:val="00533AD8"/>
    <w:rsid w:val="00533C0E"/>
    <w:rsid w:val="00534257"/>
    <w:rsid w:val="00534909"/>
    <w:rsid w:val="00536293"/>
    <w:rsid w:val="0053673F"/>
    <w:rsid w:val="00537E8B"/>
    <w:rsid w:val="005401CB"/>
    <w:rsid w:val="00541D7E"/>
    <w:rsid w:val="00542F05"/>
    <w:rsid w:val="00545957"/>
    <w:rsid w:val="00545B5D"/>
    <w:rsid w:val="00547698"/>
    <w:rsid w:val="00554244"/>
    <w:rsid w:val="00557C6D"/>
    <w:rsid w:val="00561C3B"/>
    <w:rsid w:val="00561F04"/>
    <w:rsid w:val="005648FC"/>
    <w:rsid w:val="005667AF"/>
    <w:rsid w:val="00571318"/>
    <w:rsid w:val="005758B1"/>
    <w:rsid w:val="005759FE"/>
    <w:rsid w:val="00575AA9"/>
    <w:rsid w:val="005767F5"/>
    <w:rsid w:val="00576D57"/>
    <w:rsid w:val="00577844"/>
    <w:rsid w:val="005811F0"/>
    <w:rsid w:val="00583150"/>
    <w:rsid w:val="005877CF"/>
    <w:rsid w:val="005914CE"/>
    <w:rsid w:val="00592456"/>
    <w:rsid w:val="005941CB"/>
    <w:rsid w:val="005945CC"/>
    <w:rsid w:val="00595084"/>
    <w:rsid w:val="00596074"/>
    <w:rsid w:val="005A1A6A"/>
    <w:rsid w:val="005A2CA0"/>
    <w:rsid w:val="005A4C72"/>
    <w:rsid w:val="005B0BCE"/>
    <w:rsid w:val="005B389C"/>
    <w:rsid w:val="005B3E0E"/>
    <w:rsid w:val="005B415E"/>
    <w:rsid w:val="005B4E6D"/>
    <w:rsid w:val="005B50E5"/>
    <w:rsid w:val="005B6B32"/>
    <w:rsid w:val="005C0353"/>
    <w:rsid w:val="005C38E0"/>
    <w:rsid w:val="005C7C25"/>
    <w:rsid w:val="005D17AD"/>
    <w:rsid w:val="005D277B"/>
    <w:rsid w:val="005E047E"/>
    <w:rsid w:val="005E0B71"/>
    <w:rsid w:val="005E54A9"/>
    <w:rsid w:val="005E5A02"/>
    <w:rsid w:val="005E7993"/>
    <w:rsid w:val="005E7B93"/>
    <w:rsid w:val="005F0A1F"/>
    <w:rsid w:val="005F2C30"/>
    <w:rsid w:val="005F51CF"/>
    <w:rsid w:val="005F6432"/>
    <w:rsid w:val="005F661D"/>
    <w:rsid w:val="005F7331"/>
    <w:rsid w:val="006046AD"/>
    <w:rsid w:val="0060478B"/>
    <w:rsid w:val="00610826"/>
    <w:rsid w:val="00611512"/>
    <w:rsid w:val="006133A7"/>
    <w:rsid w:val="00614457"/>
    <w:rsid w:val="006148F6"/>
    <w:rsid w:val="006169C3"/>
    <w:rsid w:val="00626413"/>
    <w:rsid w:val="0062720F"/>
    <w:rsid w:val="006300FA"/>
    <w:rsid w:val="00630108"/>
    <w:rsid w:val="00632A52"/>
    <w:rsid w:val="0063341B"/>
    <w:rsid w:val="006345AA"/>
    <w:rsid w:val="00636294"/>
    <w:rsid w:val="0063751F"/>
    <w:rsid w:val="00637696"/>
    <w:rsid w:val="00640AAC"/>
    <w:rsid w:val="006415EB"/>
    <w:rsid w:val="00641861"/>
    <w:rsid w:val="0064260A"/>
    <w:rsid w:val="00645A7A"/>
    <w:rsid w:val="00651116"/>
    <w:rsid w:val="0065452B"/>
    <w:rsid w:val="0065585D"/>
    <w:rsid w:val="00655953"/>
    <w:rsid w:val="006568B5"/>
    <w:rsid w:val="00665F72"/>
    <w:rsid w:val="00667C3E"/>
    <w:rsid w:val="006704B7"/>
    <w:rsid w:val="006719F8"/>
    <w:rsid w:val="00671CE2"/>
    <w:rsid w:val="006757C7"/>
    <w:rsid w:val="006806FB"/>
    <w:rsid w:val="0068152E"/>
    <w:rsid w:val="006858FC"/>
    <w:rsid w:val="0069034C"/>
    <w:rsid w:val="00694598"/>
    <w:rsid w:val="00694861"/>
    <w:rsid w:val="00695842"/>
    <w:rsid w:val="006962FB"/>
    <w:rsid w:val="0069728D"/>
    <w:rsid w:val="006A02E6"/>
    <w:rsid w:val="006A1D4E"/>
    <w:rsid w:val="006A2178"/>
    <w:rsid w:val="006A3D9A"/>
    <w:rsid w:val="006A441C"/>
    <w:rsid w:val="006A5366"/>
    <w:rsid w:val="006B1DDA"/>
    <w:rsid w:val="006B23D2"/>
    <w:rsid w:val="006B2FEC"/>
    <w:rsid w:val="006B4251"/>
    <w:rsid w:val="006C1394"/>
    <w:rsid w:val="006C2B7D"/>
    <w:rsid w:val="006C3BF9"/>
    <w:rsid w:val="006C4630"/>
    <w:rsid w:val="006C4A99"/>
    <w:rsid w:val="006C55A1"/>
    <w:rsid w:val="006C787A"/>
    <w:rsid w:val="006D0F5F"/>
    <w:rsid w:val="006E0FAD"/>
    <w:rsid w:val="006E2653"/>
    <w:rsid w:val="006E2C41"/>
    <w:rsid w:val="006E30DA"/>
    <w:rsid w:val="006E67FF"/>
    <w:rsid w:val="006E789F"/>
    <w:rsid w:val="006F5661"/>
    <w:rsid w:val="006F6784"/>
    <w:rsid w:val="00700270"/>
    <w:rsid w:val="0070209B"/>
    <w:rsid w:val="007032E5"/>
    <w:rsid w:val="007049F4"/>
    <w:rsid w:val="00704D6E"/>
    <w:rsid w:val="007111DB"/>
    <w:rsid w:val="00712E1B"/>
    <w:rsid w:val="0071349C"/>
    <w:rsid w:val="00714112"/>
    <w:rsid w:val="0071434E"/>
    <w:rsid w:val="007226BA"/>
    <w:rsid w:val="0072308F"/>
    <w:rsid w:val="00727D14"/>
    <w:rsid w:val="0073187C"/>
    <w:rsid w:val="007338B3"/>
    <w:rsid w:val="00733E9D"/>
    <w:rsid w:val="00735102"/>
    <w:rsid w:val="0073597E"/>
    <w:rsid w:val="007362B3"/>
    <w:rsid w:val="00736BA1"/>
    <w:rsid w:val="00736C6A"/>
    <w:rsid w:val="00740962"/>
    <w:rsid w:val="007412E2"/>
    <w:rsid w:val="00741601"/>
    <w:rsid w:val="00742DAA"/>
    <w:rsid w:val="0074607E"/>
    <w:rsid w:val="00747869"/>
    <w:rsid w:val="00747A7D"/>
    <w:rsid w:val="00750722"/>
    <w:rsid w:val="00750783"/>
    <w:rsid w:val="007511DC"/>
    <w:rsid w:val="007521DD"/>
    <w:rsid w:val="00763BD9"/>
    <w:rsid w:val="007643D5"/>
    <w:rsid w:val="007663DF"/>
    <w:rsid w:val="00771F5E"/>
    <w:rsid w:val="00773945"/>
    <w:rsid w:val="00774A15"/>
    <w:rsid w:val="00774AAB"/>
    <w:rsid w:val="00780DB7"/>
    <w:rsid w:val="00782994"/>
    <w:rsid w:val="00782E4E"/>
    <w:rsid w:val="00785EEA"/>
    <w:rsid w:val="0079209F"/>
    <w:rsid w:val="00792177"/>
    <w:rsid w:val="00794287"/>
    <w:rsid w:val="00796025"/>
    <w:rsid w:val="007A0132"/>
    <w:rsid w:val="007A50FD"/>
    <w:rsid w:val="007A571E"/>
    <w:rsid w:val="007A75CD"/>
    <w:rsid w:val="007B412D"/>
    <w:rsid w:val="007B55A3"/>
    <w:rsid w:val="007B6339"/>
    <w:rsid w:val="007C1729"/>
    <w:rsid w:val="007C4186"/>
    <w:rsid w:val="007C4D4A"/>
    <w:rsid w:val="007C513B"/>
    <w:rsid w:val="007C529F"/>
    <w:rsid w:val="007C64AC"/>
    <w:rsid w:val="007D0E23"/>
    <w:rsid w:val="007D3C02"/>
    <w:rsid w:val="007D3D23"/>
    <w:rsid w:val="007D4ECE"/>
    <w:rsid w:val="007D7616"/>
    <w:rsid w:val="007E26E0"/>
    <w:rsid w:val="007E2F3E"/>
    <w:rsid w:val="007E3168"/>
    <w:rsid w:val="007E4553"/>
    <w:rsid w:val="007E59E7"/>
    <w:rsid w:val="007E6C66"/>
    <w:rsid w:val="007E742A"/>
    <w:rsid w:val="007F3044"/>
    <w:rsid w:val="007F3362"/>
    <w:rsid w:val="007F5ACB"/>
    <w:rsid w:val="0080074E"/>
    <w:rsid w:val="00801280"/>
    <w:rsid w:val="00802962"/>
    <w:rsid w:val="00803DB0"/>
    <w:rsid w:val="008065EF"/>
    <w:rsid w:val="00810491"/>
    <w:rsid w:val="00812321"/>
    <w:rsid w:val="00813688"/>
    <w:rsid w:val="00814768"/>
    <w:rsid w:val="00817290"/>
    <w:rsid w:val="0082177E"/>
    <w:rsid w:val="00821C90"/>
    <w:rsid w:val="00824D80"/>
    <w:rsid w:val="008254A6"/>
    <w:rsid w:val="00834CAA"/>
    <w:rsid w:val="008403D4"/>
    <w:rsid w:val="0084208A"/>
    <w:rsid w:val="008447AD"/>
    <w:rsid w:val="00851079"/>
    <w:rsid w:val="00851C2E"/>
    <w:rsid w:val="008523E8"/>
    <w:rsid w:val="0085298F"/>
    <w:rsid w:val="008541FB"/>
    <w:rsid w:val="00855026"/>
    <w:rsid w:val="00861276"/>
    <w:rsid w:val="00861477"/>
    <w:rsid w:val="00861BFD"/>
    <w:rsid w:val="00862D5B"/>
    <w:rsid w:val="00863008"/>
    <w:rsid w:val="008637FD"/>
    <w:rsid w:val="00863A86"/>
    <w:rsid w:val="00863CE0"/>
    <w:rsid w:val="008643C9"/>
    <w:rsid w:val="00864B32"/>
    <w:rsid w:val="0087054B"/>
    <w:rsid w:val="00872C01"/>
    <w:rsid w:val="00873379"/>
    <w:rsid w:val="008733CD"/>
    <w:rsid w:val="00876D42"/>
    <w:rsid w:val="00877A02"/>
    <w:rsid w:val="00877BB3"/>
    <w:rsid w:val="00877E93"/>
    <w:rsid w:val="00883152"/>
    <w:rsid w:val="008846F6"/>
    <w:rsid w:val="00884961"/>
    <w:rsid w:val="00890352"/>
    <w:rsid w:val="00893517"/>
    <w:rsid w:val="0089514C"/>
    <w:rsid w:val="008A0A32"/>
    <w:rsid w:val="008A1A7A"/>
    <w:rsid w:val="008A21DB"/>
    <w:rsid w:val="008A587E"/>
    <w:rsid w:val="008A58B0"/>
    <w:rsid w:val="008B2A93"/>
    <w:rsid w:val="008B4303"/>
    <w:rsid w:val="008B600C"/>
    <w:rsid w:val="008B6528"/>
    <w:rsid w:val="008B6E1F"/>
    <w:rsid w:val="008B7049"/>
    <w:rsid w:val="008B790C"/>
    <w:rsid w:val="008B7F0F"/>
    <w:rsid w:val="008C0C5A"/>
    <w:rsid w:val="008C0E7E"/>
    <w:rsid w:val="008C10AF"/>
    <w:rsid w:val="008C1E7A"/>
    <w:rsid w:val="008C56BD"/>
    <w:rsid w:val="008C59A3"/>
    <w:rsid w:val="008D4884"/>
    <w:rsid w:val="008D4F72"/>
    <w:rsid w:val="008D6C98"/>
    <w:rsid w:val="008D6E82"/>
    <w:rsid w:val="008D7F83"/>
    <w:rsid w:val="008E10FF"/>
    <w:rsid w:val="008E26C2"/>
    <w:rsid w:val="008E4794"/>
    <w:rsid w:val="008E4F09"/>
    <w:rsid w:val="008E6E2C"/>
    <w:rsid w:val="008F2BF3"/>
    <w:rsid w:val="008F42A6"/>
    <w:rsid w:val="008F4D61"/>
    <w:rsid w:val="008F6CE2"/>
    <w:rsid w:val="008F7DCF"/>
    <w:rsid w:val="009014F8"/>
    <w:rsid w:val="00901BA1"/>
    <w:rsid w:val="00904116"/>
    <w:rsid w:val="009053D9"/>
    <w:rsid w:val="009055CE"/>
    <w:rsid w:val="009067B6"/>
    <w:rsid w:val="0091153C"/>
    <w:rsid w:val="00916B9D"/>
    <w:rsid w:val="0092289D"/>
    <w:rsid w:val="00924800"/>
    <w:rsid w:val="009248B1"/>
    <w:rsid w:val="00926E40"/>
    <w:rsid w:val="00930EA0"/>
    <w:rsid w:val="00931814"/>
    <w:rsid w:val="00934176"/>
    <w:rsid w:val="00934635"/>
    <w:rsid w:val="00937ED4"/>
    <w:rsid w:val="00941113"/>
    <w:rsid w:val="00944536"/>
    <w:rsid w:val="00945BBA"/>
    <w:rsid w:val="00951E78"/>
    <w:rsid w:val="009544F0"/>
    <w:rsid w:val="00955327"/>
    <w:rsid w:val="00955A11"/>
    <w:rsid w:val="009568B0"/>
    <w:rsid w:val="0095711F"/>
    <w:rsid w:val="0096250A"/>
    <w:rsid w:val="009642BF"/>
    <w:rsid w:val="009676E7"/>
    <w:rsid w:val="00967F71"/>
    <w:rsid w:val="00970E9C"/>
    <w:rsid w:val="0097167A"/>
    <w:rsid w:val="00973AB9"/>
    <w:rsid w:val="009743A6"/>
    <w:rsid w:val="0097601A"/>
    <w:rsid w:val="009910CC"/>
    <w:rsid w:val="00992E15"/>
    <w:rsid w:val="009953A7"/>
    <w:rsid w:val="0099718B"/>
    <w:rsid w:val="009A0558"/>
    <w:rsid w:val="009A090E"/>
    <w:rsid w:val="009A1BA0"/>
    <w:rsid w:val="009A360A"/>
    <w:rsid w:val="009A3D76"/>
    <w:rsid w:val="009B1269"/>
    <w:rsid w:val="009B1514"/>
    <w:rsid w:val="009B4ADD"/>
    <w:rsid w:val="009B5730"/>
    <w:rsid w:val="009B6E99"/>
    <w:rsid w:val="009C0162"/>
    <w:rsid w:val="009C0DE8"/>
    <w:rsid w:val="009C28BF"/>
    <w:rsid w:val="009C34E9"/>
    <w:rsid w:val="009C6CA6"/>
    <w:rsid w:val="009D0E10"/>
    <w:rsid w:val="009D291F"/>
    <w:rsid w:val="009D5DD7"/>
    <w:rsid w:val="009D7139"/>
    <w:rsid w:val="009E094E"/>
    <w:rsid w:val="009E17E8"/>
    <w:rsid w:val="009E189B"/>
    <w:rsid w:val="009E3459"/>
    <w:rsid w:val="009E3CB7"/>
    <w:rsid w:val="009E6430"/>
    <w:rsid w:val="009F017E"/>
    <w:rsid w:val="009F4323"/>
    <w:rsid w:val="009F60ED"/>
    <w:rsid w:val="009F6CA3"/>
    <w:rsid w:val="00A00024"/>
    <w:rsid w:val="00A00829"/>
    <w:rsid w:val="00A0270C"/>
    <w:rsid w:val="00A03993"/>
    <w:rsid w:val="00A061C2"/>
    <w:rsid w:val="00A06F34"/>
    <w:rsid w:val="00A07BE9"/>
    <w:rsid w:val="00A07E7F"/>
    <w:rsid w:val="00A10998"/>
    <w:rsid w:val="00A1108C"/>
    <w:rsid w:val="00A127BE"/>
    <w:rsid w:val="00A140F9"/>
    <w:rsid w:val="00A1628A"/>
    <w:rsid w:val="00A17C2C"/>
    <w:rsid w:val="00A21AB4"/>
    <w:rsid w:val="00A2227E"/>
    <w:rsid w:val="00A24229"/>
    <w:rsid w:val="00A259FB"/>
    <w:rsid w:val="00A2723B"/>
    <w:rsid w:val="00A32227"/>
    <w:rsid w:val="00A366B3"/>
    <w:rsid w:val="00A412F9"/>
    <w:rsid w:val="00A46175"/>
    <w:rsid w:val="00A46ED8"/>
    <w:rsid w:val="00A510AA"/>
    <w:rsid w:val="00A511D8"/>
    <w:rsid w:val="00A51C35"/>
    <w:rsid w:val="00A52DE3"/>
    <w:rsid w:val="00A531A3"/>
    <w:rsid w:val="00A53239"/>
    <w:rsid w:val="00A55D42"/>
    <w:rsid w:val="00A57632"/>
    <w:rsid w:val="00A60721"/>
    <w:rsid w:val="00A620EB"/>
    <w:rsid w:val="00A654A9"/>
    <w:rsid w:val="00A66C94"/>
    <w:rsid w:val="00A70476"/>
    <w:rsid w:val="00A70684"/>
    <w:rsid w:val="00A71C79"/>
    <w:rsid w:val="00A72852"/>
    <w:rsid w:val="00A7290B"/>
    <w:rsid w:val="00A74380"/>
    <w:rsid w:val="00A7781C"/>
    <w:rsid w:val="00A77E5F"/>
    <w:rsid w:val="00A92E0E"/>
    <w:rsid w:val="00A9342B"/>
    <w:rsid w:val="00A935AB"/>
    <w:rsid w:val="00A93D5F"/>
    <w:rsid w:val="00A97FCC"/>
    <w:rsid w:val="00AA02EA"/>
    <w:rsid w:val="00AB0843"/>
    <w:rsid w:val="00AB08BA"/>
    <w:rsid w:val="00AB0C35"/>
    <w:rsid w:val="00AB1C62"/>
    <w:rsid w:val="00AB4B3C"/>
    <w:rsid w:val="00AC2ACC"/>
    <w:rsid w:val="00AC3413"/>
    <w:rsid w:val="00AC35FD"/>
    <w:rsid w:val="00AC413E"/>
    <w:rsid w:val="00AC4E4C"/>
    <w:rsid w:val="00AC51DB"/>
    <w:rsid w:val="00AC5E6B"/>
    <w:rsid w:val="00AC7531"/>
    <w:rsid w:val="00AC76A4"/>
    <w:rsid w:val="00AC7D1A"/>
    <w:rsid w:val="00AD0570"/>
    <w:rsid w:val="00AD140C"/>
    <w:rsid w:val="00AD7566"/>
    <w:rsid w:val="00AE17F5"/>
    <w:rsid w:val="00AE2855"/>
    <w:rsid w:val="00AE3640"/>
    <w:rsid w:val="00AE766A"/>
    <w:rsid w:val="00AE7E84"/>
    <w:rsid w:val="00AF067D"/>
    <w:rsid w:val="00AF1161"/>
    <w:rsid w:val="00AF1365"/>
    <w:rsid w:val="00AF2BD8"/>
    <w:rsid w:val="00AF5858"/>
    <w:rsid w:val="00AF5B42"/>
    <w:rsid w:val="00AF755F"/>
    <w:rsid w:val="00B00283"/>
    <w:rsid w:val="00B057DE"/>
    <w:rsid w:val="00B0639C"/>
    <w:rsid w:val="00B11BFA"/>
    <w:rsid w:val="00B120CB"/>
    <w:rsid w:val="00B1220A"/>
    <w:rsid w:val="00B13B46"/>
    <w:rsid w:val="00B15781"/>
    <w:rsid w:val="00B24FF6"/>
    <w:rsid w:val="00B2706D"/>
    <w:rsid w:val="00B33842"/>
    <w:rsid w:val="00B3523C"/>
    <w:rsid w:val="00B35A8B"/>
    <w:rsid w:val="00B37E1D"/>
    <w:rsid w:val="00B40E04"/>
    <w:rsid w:val="00B43B0D"/>
    <w:rsid w:val="00B46EE6"/>
    <w:rsid w:val="00B474AC"/>
    <w:rsid w:val="00B5367E"/>
    <w:rsid w:val="00B53B21"/>
    <w:rsid w:val="00B55A46"/>
    <w:rsid w:val="00B55BAE"/>
    <w:rsid w:val="00B60772"/>
    <w:rsid w:val="00B60A05"/>
    <w:rsid w:val="00B60FE2"/>
    <w:rsid w:val="00B63E26"/>
    <w:rsid w:val="00B65322"/>
    <w:rsid w:val="00B669E9"/>
    <w:rsid w:val="00B7074B"/>
    <w:rsid w:val="00B81BCD"/>
    <w:rsid w:val="00B81E44"/>
    <w:rsid w:val="00B83635"/>
    <w:rsid w:val="00B86D2F"/>
    <w:rsid w:val="00B87980"/>
    <w:rsid w:val="00B90EA4"/>
    <w:rsid w:val="00B91311"/>
    <w:rsid w:val="00B91AB4"/>
    <w:rsid w:val="00B97A6B"/>
    <w:rsid w:val="00B97C71"/>
    <w:rsid w:val="00BA1E57"/>
    <w:rsid w:val="00BB091B"/>
    <w:rsid w:val="00BB0FA5"/>
    <w:rsid w:val="00BB1F77"/>
    <w:rsid w:val="00BB34D8"/>
    <w:rsid w:val="00BB35C7"/>
    <w:rsid w:val="00BB5098"/>
    <w:rsid w:val="00BB7F2B"/>
    <w:rsid w:val="00BC431A"/>
    <w:rsid w:val="00BC50D2"/>
    <w:rsid w:val="00BC510D"/>
    <w:rsid w:val="00BC62B3"/>
    <w:rsid w:val="00BD32F1"/>
    <w:rsid w:val="00BD4018"/>
    <w:rsid w:val="00BD78E6"/>
    <w:rsid w:val="00BD7FC3"/>
    <w:rsid w:val="00BE0A56"/>
    <w:rsid w:val="00BE3839"/>
    <w:rsid w:val="00BE47E2"/>
    <w:rsid w:val="00BE748C"/>
    <w:rsid w:val="00BF0B3A"/>
    <w:rsid w:val="00BF3B5B"/>
    <w:rsid w:val="00BF432C"/>
    <w:rsid w:val="00BF5A7F"/>
    <w:rsid w:val="00BF5C4E"/>
    <w:rsid w:val="00BF5F8C"/>
    <w:rsid w:val="00C00BC7"/>
    <w:rsid w:val="00C04A22"/>
    <w:rsid w:val="00C0591F"/>
    <w:rsid w:val="00C1024A"/>
    <w:rsid w:val="00C11706"/>
    <w:rsid w:val="00C11C07"/>
    <w:rsid w:val="00C12B0A"/>
    <w:rsid w:val="00C302FB"/>
    <w:rsid w:val="00C34875"/>
    <w:rsid w:val="00C3618B"/>
    <w:rsid w:val="00C374F5"/>
    <w:rsid w:val="00C41CFD"/>
    <w:rsid w:val="00C45F62"/>
    <w:rsid w:val="00C4667E"/>
    <w:rsid w:val="00C52CBF"/>
    <w:rsid w:val="00C54EA9"/>
    <w:rsid w:val="00C56FE1"/>
    <w:rsid w:val="00C573DE"/>
    <w:rsid w:val="00C6342F"/>
    <w:rsid w:val="00C64191"/>
    <w:rsid w:val="00C64615"/>
    <w:rsid w:val="00C649A9"/>
    <w:rsid w:val="00C654C7"/>
    <w:rsid w:val="00C65D36"/>
    <w:rsid w:val="00C7034C"/>
    <w:rsid w:val="00C72AFC"/>
    <w:rsid w:val="00C73F90"/>
    <w:rsid w:val="00C772A3"/>
    <w:rsid w:val="00C8322B"/>
    <w:rsid w:val="00C84C47"/>
    <w:rsid w:val="00C868B7"/>
    <w:rsid w:val="00C86A56"/>
    <w:rsid w:val="00C87DEA"/>
    <w:rsid w:val="00C914B0"/>
    <w:rsid w:val="00C91A96"/>
    <w:rsid w:val="00C930EE"/>
    <w:rsid w:val="00C9771B"/>
    <w:rsid w:val="00C97A9B"/>
    <w:rsid w:val="00C97DC9"/>
    <w:rsid w:val="00CA183B"/>
    <w:rsid w:val="00CA55F3"/>
    <w:rsid w:val="00CA70B0"/>
    <w:rsid w:val="00CA7374"/>
    <w:rsid w:val="00CB1647"/>
    <w:rsid w:val="00CB1947"/>
    <w:rsid w:val="00CB3D31"/>
    <w:rsid w:val="00CB4BD6"/>
    <w:rsid w:val="00CB5851"/>
    <w:rsid w:val="00CC0315"/>
    <w:rsid w:val="00CC2939"/>
    <w:rsid w:val="00CC4453"/>
    <w:rsid w:val="00CC4CD5"/>
    <w:rsid w:val="00CC5D5C"/>
    <w:rsid w:val="00CD2111"/>
    <w:rsid w:val="00CD255F"/>
    <w:rsid w:val="00CD2641"/>
    <w:rsid w:val="00CD5027"/>
    <w:rsid w:val="00CD5F6C"/>
    <w:rsid w:val="00CD68E2"/>
    <w:rsid w:val="00CE1008"/>
    <w:rsid w:val="00CE2D15"/>
    <w:rsid w:val="00CE2DC9"/>
    <w:rsid w:val="00CE4BFC"/>
    <w:rsid w:val="00CE56FC"/>
    <w:rsid w:val="00CE78B2"/>
    <w:rsid w:val="00CE7DF5"/>
    <w:rsid w:val="00CF0D5C"/>
    <w:rsid w:val="00CF1001"/>
    <w:rsid w:val="00CF5FA3"/>
    <w:rsid w:val="00CF7179"/>
    <w:rsid w:val="00CF721F"/>
    <w:rsid w:val="00D00826"/>
    <w:rsid w:val="00D00DBA"/>
    <w:rsid w:val="00D01BCD"/>
    <w:rsid w:val="00D02A2F"/>
    <w:rsid w:val="00D0355F"/>
    <w:rsid w:val="00D04751"/>
    <w:rsid w:val="00D059AA"/>
    <w:rsid w:val="00D075FF"/>
    <w:rsid w:val="00D1080F"/>
    <w:rsid w:val="00D13678"/>
    <w:rsid w:val="00D15B66"/>
    <w:rsid w:val="00D1711A"/>
    <w:rsid w:val="00D201B5"/>
    <w:rsid w:val="00D244D3"/>
    <w:rsid w:val="00D256F0"/>
    <w:rsid w:val="00D30120"/>
    <w:rsid w:val="00D37276"/>
    <w:rsid w:val="00D43C55"/>
    <w:rsid w:val="00D43D31"/>
    <w:rsid w:val="00D455F3"/>
    <w:rsid w:val="00D457C5"/>
    <w:rsid w:val="00D45FAB"/>
    <w:rsid w:val="00D477AC"/>
    <w:rsid w:val="00D50971"/>
    <w:rsid w:val="00D50B19"/>
    <w:rsid w:val="00D52956"/>
    <w:rsid w:val="00D532D0"/>
    <w:rsid w:val="00D55E9F"/>
    <w:rsid w:val="00D56217"/>
    <w:rsid w:val="00D56DCC"/>
    <w:rsid w:val="00D572EA"/>
    <w:rsid w:val="00D63FBF"/>
    <w:rsid w:val="00D640F2"/>
    <w:rsid w:val="00D70BB7"/>
    <w:rsid w:val="00D72B72"/>
    <w:rsid w:val="00D731CE"/>
    <w:rsid w:val="00D75F2C"/>
    <w:rsid w:val="00D81371"/>
    <w:rsid w:val="00D81BCB"/>
    <w:rsid w:val="00D83CA9"/>
    <w:rsid w:val="00D83D1A"/>
    <w:rsid w:val="00D8434E"/>
    <w:rsid w:val="00D86338"/>
    <w:rsid w:val="00D865DB"/>
    <w:rsid w:val="00D865E8"/>
    <w:rsid w:val="00D91060"/>
    <w:rsid w:val="00D944CA"/>
    <w:rsid w:val="00D9626F"/>
    <w:rsid w:val="00DA27AF"/>
    <w:rsid w:val="00DA280C"/>
    <w:rsid w:val="00DA5809"/>
    <w:rsid w:val="00DA6FD1"/>
    <w:rsid w:val="00DB0C9A"/>
    <w:rsid w:val="00DB322D"/>
    <w:rsid w:val="00DB4451"/>
    <w:rsid w:val="00DB5078"/>
    <w:rsid w:val="00DC1D02"/>
    <w:rsid w:val="00DC24FA"/>
    <w:rsid w:val="00DC2E00"/>
    <w:rsid w:val="00DC3B3A"/>
    <w:rsid w:val="00DC5A6F"/>
    <w:rsid w:val="00DC76B3"/>
    <w:rsid w:val="00DD0306"/>
    <w:rsid w:val="00DD15BF"/>
    <w:rsid w:val="00DD3A2C"/>
    <w:rsid w:val="00DD3EAB"/>
    <w:rsid w:val="00DD694C"/>
    <w:rsid w:val="00DE29D5"/>
    <w:rsid w:val="00DE6456"/>
    <w:rsid w:val="00DE7ED5"/>
    <w:rsid w:val="00DF1A6B"/>
    <w:rsid w:val="00DF2A56"/>
    <w:rsid w:val="00DF3F6B"/>
    <w:rsid w:val="00DF7467"/>
    <w:rsid w:val="00DF7646"/>
    <w:rsid w:val="00DF7749"/>
    <w:rsid w:val="00DF78B1"/>
    <w:rsid w:val="00E01250"/>
    <w:rsid w:val="00E02292"/>
    <w:rsid w:val="00E052D7"/>
    <w:rsid w:val="00E1011A"/>
    <w:rsid w:val="00E12E92"/>
    <w:rsid w:val="00E15DC4"/>
    <w:rsid w:val="00E20C59"/>
    <w:rsid w:val="00E232A8"/>
    <w:rsid w:val="00E24B87"/>
    <w:rsid w:val="00E25620"/>
    <w:rsid w:val="00E317D4"/>
    <w:rsid w:val="00E321C8"/>
    <w:rsid w:val="00E325CA"/>
    <w:rsid w:val="00E330B1"/>
    <w:rsid w:val="00E337B0"/>
    <w:rsid w:val="00E340E8"/>
    <w:rsid w:val="00E34DF2"/>
    <w:rsid w:val="00E3780A"/>
    <w:rsid w:val="00E46311"/>
    <w:rsid w:val="00E46707"/>
    <w:rsid w:val="00E51203"/>
    <w:rsid w:val="00E5131F"/>
    <w:rsid w:val="00E51418"/>
    <w:rsid w:val="00E552BF"/>
    <w:rsid w:val="00E62917"/>
    <w:rsid w:val="00E62BD1"/>
    <w:rsid w:val="00E6334C"/>
    <w:rsid w:val="00E64D27"/>
    <w:rsid w:val="00E65939"/>
    <w:rsid w:val="00E66420"/>
    <w:rsid w:val="00E671DC"/>
    <w:rsid w:val="00E70006"/>
    <w:rsid w:val="00E71133"/>
    <w:rsid w:val="00E71B50"/>
    <w:rsid w:val="00E73C03"/>
    <w:rsid w:val="00E74ACD"/>
    <w:rsid w:val="00E81991"/>
    <w:rsid w:val="00E8361A"/>
    <w:rsid w:val="00E8375C"/>
    <w:rsid w:val="00E83D86"/>
    <w:rsid w:val="00E878CC"/>
    <w:rsid w:val="00E9159F"/>
    <w:rsid w:val="00E94104"/>
    <w:rsid w:val="00E9433B"/>
    <w:rsid w:val="00EA0E82"/>
    <w:rsid w:val="00EA24A8"/>
    <w:rsid w:val="00EA60A1"/>
    <w:rsid w:val="00EA6AA2"/>
    <w:rsid w:val="00EB4EB7"/>
    <w:rsid w:val="00EC09F7"/>
    <w:rsid w:val="00EC2324"/>
    <w:rsid w:val="00EC259E"/>
    <w:rsid w:val="00EC2D47"/>
    <w:rsid w:val="00EC3120"/>
    <w:rsid w:val="00EC444F"/>
    <w:rsid w:val="00EC46CF"/>
    <w:rsid w:val="00EC5D9A"/>
    <w:rsid w:val="00EE17CF"/>
    <w:rsid w:val="00EE41DA"/>
    <w:rsid w:val="00EE5B9D"/>
    <w:rsid w:val="00EE623C"/>
    <w:rsid w:val="00EE64F7"/>
    <w:rsid w:val="00EE6ED6"/>
    <w:rsid w:val="00EF230B"/>
    <w:rsid w:val="00EF3007"/>
    <w:rsid w:val="00EF354F"/>
    <w:rsid w:val="00F00FE6"/>
    <w:rsid w:val="00F02CF3"/>
    <w:rsid w:val="00F03718"/>
    <w:rsid w:val="00F11CF5"/>
    <w:rsid w:val="00F20B33"/>
    <w:rsid w:val="00F24200"/>
    <w:rsid w:val="00F24615"/>
    <w:rsid w:val="00F24A42"/>
    <w:rsid w:val="00F25FE3"/>
    <w:rsid w:val="00F261F3"/>
    <w:rsid w:val="00F30EA5"/>
    <w:rsid w:val="00F324D2"/>
    <w:rsid w:val="00F33456"/>
    <w:rsid w:val="00F36189"/>
    <w:rsid w:val="00F40DF4"/>
    <w:rsid w:val="00F410BF"/>
    <w:rsid w:val="00F430E2"/>
    <w:rsid w:val="00F43152"/>
    <w:rsid w:val="00F4725D"/>
    <w:rsid w:val="00F47A77"/>
    <w:rsid w:val="00F60AF9"/>
    <w:rsid w:val="00F639BB"/>
    <w:rsid w:val="00F71B93"/>
    <w:rsid w:val="00F71FB7"/>
    <w:rsid w:val="00F722B5"/>
    <w:rsid w:val="00F73F0B"/>
    <w:rsid w:val="00F75BE8"/>
    <w:rsid w:val="00F76C44"/>
    <w:rsid w:val="00F8009B"/>
    <w:rsid w:val="00F81A62"/>
    <w:rsid w:val="00F81F90"/>
    <w:rsid w:val="00F835CF"/>
    <w:rsid w:val="00F843C1"/>
    <w:rsid w:val="00F84839"/>
    <w:rsid w:val="00F851FB"/>
    <w:rsid w:val="00F8720B"/>
    <w:rsid w:val="00F906FF"/>
    <w:rsid w:val="00F90BFF"/>
    <w:rsid w:val="00F92225"/>
    <w:rsid w:val="00F930E4"/>
    <w:rsid w:val="00F930E7"/>
    <w:rsid w:val="00F9499C"/>
    <w:rsid w:val="00F9743D"/>
    <w:rsid w:val="00F9795C"/>
    <w:rsid w:val="00F97FB5"/>
    <w:rsid w:val="00FA02C2"/>
    <w:rsid w:val="00FA15F4"/>
    <w:rsid w:val="00FA197D"/>
    <w:rsid w:val="00FA1DE0"/>
    <w:rsid w:val="00FA25B1"/>
    <w:rsid w:val="00FA46E6"/>
    <w:rsid w:val="00FA5C7D"/>
    <w:rsid w:val="00FA6F43"/>
    <w:rsid w:val="00FB02FA"/>
    <w:rsid w:val="00FB04CF"/>
    <w:rsid w:val="00FB3598"/>
    <w:rsid w:val="00FB43B6"/>
    <w:rsid w:val="00FB43B8"/>
    <w:rsid w:val="00FB6342"/>
    <w:rsid w:val="00FB6915"/>
    <w:rsid w:val="00FC3167"/>
    <w:rsid w:val="00FC45E8"/>
    <w:rsid w:val="00FC478F"/>
    <w:rsid w:val="00FC50E5"/>
    <w:rsid w:val="00FC7BA3"/>
    <w:rsid w:val="00FC7E01"/>
    <w:rsid w:val="00FD1114"/>
    <w:rsid w:val="00FD11C9"/>
    <w:rsid w:val="00FD13E7"/>
    <w:rsid w:val="00FD2DAE"/>
    <w:rsid w:val="00FD36E1"/>
    <w:rsid w:val="00FD3713"/>
    <w:rsid w:val="00FD5832"/>
    <w:rsid w:val="00FD5EF2"/>
    <w:rsid w:val="00FD6786"/>
    <w:rsid w:val="00FD7AAB"/>
    <w:rsid w:val="00FE0DEC"/>
    <w:rsid w:val="00FE278B"/>
    <w:rsid w:val="00FE3803"/>
    <w:rsid w:val="00FE41A1"/>
    <w:rsid w:val="00FE5DDE"/>
    <w:rsid w:val="00FE5EA0"/>
    <w:rsid w:val="00FE79D7"/>
    <w:rsid w:val="00FF22C9"/>
    <w:rsid w:val="00FF2B87"/>
    <w:rsid w:val="00FF3E33"/>
    <w:rsid w:val="00FF5544"/>
    <w:rsid w:val="00FF779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953356"/>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qFormat="1"/>
    <w:lsdException w:name="Smart Link" w:semiHidden="1" w:unhideWhenUsed="1"/>
  </w:latentStyles>
  <w:style w:type="paragraph" w:default="1" w:styleId="Normal">
    <w:name w:val="Normal"/>
    <w:qFormat/>
    <w:rsid w:val="00FD13E7"/>
  </w:style>
  <w:style w:type="paragraph" w:styleId="Ttulo1">
    <w:name w:val="heading 1"/>
    <w:basedOn w:val="Normal"/>
    <w:next w:val="Normal"/>
    <w:link w:val="Ttulo1Car"/>
    <w:uiPriority w:val="9"/>
    <w:qFormat/>
    <w:rsid w:val="00B474AC"/>
    <w:pPr>
      <w:keepNext/>
      <w:keepLines/>
      <w:spacing w:before="400" w:after="40" w:line="240" w:lineRule="auto"/>
      <w:outlineLvl w:val="0"/>
    </w:pPr>
    <w:rPr>
      <w:rFonts w:asciiTheme="majorHAnsi" w:eastAsiaTheme="majorEastAsia" w:hAnsiTheme="majorHAnsi" w:cstheme="majorBidi"/>
      <w:color w:val="1F3864" w:themeColor="accent1" w:themeShade="80"/>
      <w:sz w:val="36"/>
      <w:szCs w:val="36"/>
    </w:rPr>
  </w:style>
  <w:style w:type="paragraph" w:styleId="Ttulo2">
    <w:name w:val="heading 2"/>
    <w:basedOn w:val="Normal"/>
    <w:next w:val="Normal"/>
    <w:link w:val="Ttulo2Car"/>
    <w:uiPriority w:val="9"/>
    <w:semiHidden/>
    <w:unhideWhenUsed/>
    <w:qFormat/>
    <w:rsid w:val="00B474AC"/>
    <w:pPr>
      <w:keepNext/>
      <w:keepLines/>
      <w:spacing w:before="40" w:after="0" w:line="240" w:lineRule="auto"/>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uiPriority w:val="9"/>
    <w:semiHidden/>
    <w:unhideWhenUsed/>
    <w:qFormat/>
    <w:rsid w:val="00B474AC"/>
    <w:pPr>
      <w:keepNext/>
      <w:keepLines/>
      <w:spacing w:before="40" w:after="0" w:line="240" w:lineRule="auto"/>
      <w:outlineLvl w:val="2"/>
    </w:pPr>
    <w:rPr>
      <w:rFonts w:asciiTheme="majorHAnsi" w:eastAsiaTheme="majorEastAsia" w:hAnsiTheme="majorHAnsi" w:cstheme="majorBidi"/>
      <w:color w:val="2F5496" w:themeColor="accent1" w:themeShade="BF"/>
      <w:sz w:val="28"/>
      <w:szCs w:val="28"/>
    </w:rPr>
  </w:style>
  <w:style w:type="paragraph" w:styleId="Ttulo4">
    <w:name w:val="heading 4"/>
    <w:basedOn w:val="Normal"/>
    <w:next w:val="Normal"/>
    <w:link w:val="Ttulo4Car"/>
    <w:uiPriority w:val="9"/>
    <w:semiHidden/>
    <w:unhideWhenUsed/>
    <w:qFormat/>
    <w:rsid w:val="00B474AC"/>
    <w:pPr>
      <w:keepNext/>
      <w:keepLines/>
      <w:spacing w:before="40" w:after="0"/>
      <w:outlineLvl w:val="3"/>
    </w:pPr>
    <w:rPr>
      <w:rFonts w:asciiTheme="majorHAnsi" w:eastAsiaTheme="majorEastAsia" w:hAnsiTheme="majorHAnsi" w:cstheme="majorBidi"/>
      <w:color w:val="2F5496" w:themeColor="accent1" w:themeShade="BF"/>
      <w:sz w:val="24"/>
      <w:szCs w:val="24"/>
    </w:rPr>
  </w:style>
  <w:style w:type="paragraph" w:styleId="Ttulo5">
    <w:name w:val="heading 5"/>
    <w:basedOn w:val="Normal"/>
    <w:next w:val="Normal"/>
    <w:link w:val="Ttulo5Car"/>
    <w:uiPriority w:val="9"/>
    <w:semiHidden/>
    <w:unhideWhenUsed/>
    <w:qFormat/>
    <w:rsid w:val="00B474AC"/>
    <w:pPr>
      <w:keepNext/>
      <w:keepLines/>
      <w:spacing w:before="40" w:after="0"/>
      <w:outlineLvl w:val="4"/>
    </w:pPr>
    <w:rPr>
      <w:rFonts w:asciiTheme="majorHAnsi" w:eastAsiaTheme="majorEastAsia" w:hAnsiTheme="majorHAnsi" w:cstheme="majorBidi"/>
      <w:caps/>
      <w:color w:val="2F5496" w:themeColor="accent1" w:themeShade="BF"/>
    </w:rPr>
  </w:style>
  <w:style w:type="paragraph" w:styleId="Ttulo6">
    <w:name w:val="heading 6"/>
    <w:basedOn w:val="Normal"/>
    <w:next w:val="Normal"/>
    <w:link w:val="Ttulo6Car"/>
    <w:uiPriority w:val="9"/>
    <w:semiHidden/>
    <w:unhideWhenUsed/>
    <w:qFormat/>
    <w:rsid w:val="00B474AC"/>
    <w:pPr>
      <w:keepNext/>
      <w:keepLines/>
      <w:spacing w:before="40" w:after="0"/>
      <w:outlineLvl w:val="5"/>
    </w:pPr>
    <w:rPr>
      <w:rFonts w:asciiTheme="majorHAnsi" w:eastAsiaTheme="majorEastAsia" w:hAnsiTheme="majorHAnsi" w:cstheme="majorBidi"/>
      <w:i/>
      <w:iCs/>
      <w:caps/>
      <w:color w:val="1F3864" w:themeColor="accent1" w:themeShade="80"/>
    </w:rPr>
  </w:style>
  <w:style w:type="paragraph" w:styleId="Ttulo7">
    <w:name w:val="heading 7"/>
    <w:basedOn w:val="Normal"/>
    <w:next w:val="Normal"/>
    <w:link w:val="Ttulo7Car"/>
    <w:uiPriority w:val="9"/>
    <w:semiHidden/>
    <w:unhideWhenUsed/>
    <w:qFormat/>
    <w:rsid w:val="00B474AC"/>
    <w:pPr>
      <w:keepNext/>
      <w:keepLines/>
      <w:spacing w:before="40" w:after="0"/>
      <w:outlineLvl w:val="6"/>
    </w:pPr>
    <w:rPr>
      <w:rFonts w:asciiTheme="majorHAnsi" w:eastAsiaTheme="majorEastAsia" w:hAnsiTheme="majorHAnsi" w:cstheme="majorBidi"/>
      <w:b/>
      <w:bCs/>
      <w:color w:val="1F3864" w:themeColor="accent1" w:themeShade="80"/>
    </w:rPr>
  </w:style>
  <w:style w:type="paragraph" w:styleId="Ttulo8">
    <w:name w:val="heading 8"/>
    <w:basedOn w:val="Normal"/>
    <w:next w:val="Normal"/>
    <w:link w:val="Ttulo8Car"/>
    <w:uiPriority w:val="9"/>
    <w:semiHidden/>
    <w:unhideWhenUsed/>
    <w:qFormat/>
    <w:rsid w:val="00B474AC"/>
    <w:pPr>
      <w:keepNext/>
      <w:keepLines/>
      <w:spacing w:before="40" w:after="0"/>
      <w:outlineLvl w:val="7"/>
    </w:pPr>
    <w:rPr>
      <w:rFonts w:asciiTheme="majorHAnsi" w:eastAsiaTheme="majorEastAsia" w:hAnsiTheme="majorHAnsi" w:cstheme="majorBidi"/>
      <w:b/>
      <w:bCs/>
      <w:i/>
      <w:iCs/>
      <w:color w:val="1F3864" w:themeColor="accent1" w:themeShade="80"/>
    </w:rPr>
  </w:style>
  <w:style w:type="paragraph" w:styleId="Ttulo9">
    <w:name w:val="heading 9"/>
    <w:basedOn w:val="Normal"/>
    <w:next w:val="Normal"/>
    <w:link w:val="Ttulo9Car"/>
    <w:uiPriority w:val="9"/>
    <w:semiHidden/>
    <w:unhideWhenUsed/>
    <w:qFormat/>
    <w:rsid w:val="00B474AC"/>
    <w:pPr>
      <w:keepNext/>
      <w:keepLines/>
      <w:spacing w:before="40" w:after="0"/>
      <w:outlineLvl w:val="8"/>
    </w:pPr>
    <w:rPr>
      <w:rFonts w:asciiTheme="majorHAnsi" w:eastAsiaTheme="majorEastAsia" w:hAnsiTheme="majorHAnsi" w:cstheme="majorBidi"/>
      <w:i/>
      <w:iCs/>
      <w:color w:val="1F3864" w:themeColor="accent1" w:themeShade="8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nhideWhenUsed/>
    <w:qFormat/>
    <w:rsid w:val="000E2A66"/>
    <w:pPr>
      <w:spacing w:before="100" w:beforeAutospacing="1" w:after="142" w:line="288" w:lineRule="auto"/>
    </w:pPr>
    <w:rPr>
      <w:rFonts w:ascii="Times New Roman" w:eastAsia="Times New Roman" w:hAnsi="Times New Roman" w:cs="Times New Roman"/>
      <w:sz w:val="24"/>
      <w:szCs w:val="24"/>
      <w:lang w:eastAsia="es-ES"/>
    </w:rPr>
  </w:style>
  <w:style w:type="character" w:styleId="Hipervnculo">
    <w:name w:val="Hyperlink"/>
    <w:basedOn w:val="Fuentedeprrafopredeter"/>
    <w:uiPriority w:val="99"/>
    <w:unhideWhenUsed/>
    <w:rsid w:val="000E2A66"/>
    <w:rPr>
      <w:color w:val="000080"/>
      <w:u w:val="single"/>
    </w:rPr>
  </w:style>
  <w:style w:type="paragraph" w:styleId="Encabezado">
    <w:name w:val="header"/>
    <w:basedOn w:val="Normal"/>
    <w:link w:val="EncabezadoCar"/>
    <w:unhideWhenUsed/>
    <w:rsid w:val="000E2A66"/>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0E2A66"/>
  </w:style>
  <w:style w:type="paragraph" w:styleId="Piedepgina">
    <w:name w:val="footer"/>
    <w:basedOn w:val="Normal"/>
    <w:link w:val="PiedepginaCar"/>
    <w:unhideWhenUsed/>
    <w:rsid w:val="000E2A66"/>
    <w:pPr>
      <w:tabs>
        <w:tab w:val="center" w:pos="4252"/>
        <w:tab w:val="right" w:pos="8504"/>
      </w:tabs>
      <w:spacing w:after="0" w:line="240" w:lineRule="auto"/>
    </w:pPr>
  </w:style>
  <w:style w:type="character" w:customStyle="1" w:styleId="PiedepginaCar">
    <w:name w:val="Pie de página Car"/>
    <w:basedOn w:val="Fuentedeprrafopredeter"/>
    <w:link w:val="Piedepgina"/>
    <w:rsid w:val="000E2A66"/>
  </w:style>
  <w:style w:type="paragraph" w:styleId="Prrafodelista">
    <w:name w:val="List Paragraph"/>
    <w:basedOn w:val="Normal"/>
    <w:uiPriority w:val="34"/>
    <w:qFormat/>
    <w:rsid w:val="00A46175"/>
    <w:pPr>
      <w:ind w:left="720"/>
      <w:contextualSpacing/>
    </w:pPr>
  </w:style>
  <w:style w:type="paragraph" w:styleId="Sinespaciado">
    <w:name w:val="No Spacing"/>
    <w:link w:val="SinespaciadoCar"/>
    <w:uiPriority w:val="1"/>
    <w:qFormat/>
    <w:rsid w:val="00B474AC"/>
    <w:pPr>
      <w:spacing w:after="0" w:line="240" w:lineRule="auto"/>
    </w:pPr>
  </w:style>
  <w:style w:type="character" w:customStyle="1" w:styleId="SinespaciadoCar">
    <w:name w:val="Sin espaciado Car"/>
    <w:basedOn w:val="Fuentedeprrafopredeter"/>
    <w:link w:val="Sinespaciado"/>
    <w:uiPriority w:val="1"/>
    <w:rsid w:val="008846F6"/>
  </w:style>
  <w:style w:type="character" w:customStyle="1" w:styleId="Ttulo1Car">
    <w:name w:val="Título 1 Car"/>
    <w:basedOn w:val="Fuentedeprrafopredeter"/>
    <w:link w:val="Ttulo1"/>
    <w:qFormat/>
    <w:rsid w:val="00B474AC"/>
    <w:rPr>
      <w:rFonts w:asciiTheme="majorHAnsi" w:eastAsiaTheme="majorEastAsia" w:hAnsiTheme="majorHAnsi" w:cstheme="majorBidi"/>
      <w:color w:val="1F3864" w:themeColor="accent1" w:themeShade="80"/>
      <w:sz w:val="36"/>
      <w:szCs w:val="36"/>
    </w:rPr>
  </w:style>
  <w:style w:type="character" w:customStyle="1" w:styleId="Ttulo2Car">
    <w:name w:val="Título 2 Car"/>
    <w:basedOn w:val="Fuentedeprrafopredeter"/>
    <w:link w:val="Ttulo2"/>
    <w:uiPriority w:val="9"/>
    <w:semiHidden/>
    <w:rsid w:val="00B474AC"/>
    <w:rPr>
      <w:rFonts w:asciiTheme="majorHAnsi" w:eastAsiaTheme="majorEastAsia" w:hAnsiTheme="majorHAnsi" w:cstheme="majorBidi"/>
      <w:color w:val="2F5496" w:themeColor="accent1" w:themeShade="BF"/>
      <w:sz w:val="32"/>
      <w:szCs w:val="32"/>
    </w:rPr>
  </w:style>
  <w:style w:type="character" w:customStyle="1" w:styleId="Ttulo3Car">
    <w:name w:val="Título 3 Car"/>
    <w:basedOn w:val="Fuentedeprrafopredeter"/>
    <w:link w:val="Ttulo3"/>
    <w:qFormat/>
    <w:rsid w:val="00B474AC"/>
    <w:rPr>
      <w:rFonts w:asciiTheme="majorHAnsi" w:eastAsiaTheme="majorEastAsia" w:hAnsiTheme="majorHAnsi" w:cstheme="majorBidi"/>
      <w:color w:val="2F5496" w:themeColor="accent1" w:themeShade="BF"/>
      <w:sz w:val="28"/>
      <w:szCs w:val="28"/>
    </w:rPr>
  </w:style>
  <w:style w:type="character" w:customStyle="1" w:styleId="Ttulo4Car">
    <w:name w:val="Título 4 Car"/>
    <w:basedOn w:val="Fuentedeprrafopredeter"/>
    <w:link w:val="Ttulo4"/>
    <w:uiPriority w:val="9"/>
    <w:semiHidden/>
    <w:rsid w:val="00B474AC"/>
    <w:rPr>
      <w:rFonts w:asciiTheme="majorHAnsi" w:eastAsiaTheme="majorEastAsia" w:hAnsiTheme="majorHAnsi" w:cstheme="majorBidi"/>
      <w:color w:val="2F5496" w:themeColor="accent1" w:themeShade="BF"/>
      <w:sz w:val="24"/>
      <w:szCs w:val="24"/>
    </w:rPr>
  </w:style>
  <w:style w:type="character" w:customStyle="1" w:styleId="Ttulo5Car">
    <w:name w:val="Título 5 Car"/>
    <w:basedOn w:val="Fuentedeprrafopredeter"/>
    <w:link w:val="Ttulo5"/>
    <w:uiPriority w:val="9"/>
    <w:semiHidden/>
    <w:rsid w:val="00B474AC"/>
    <w:rPr>
      <w:rFonts w:asciiTheme="majorHAnsi" w:eastAsiaTheme="majorEastAsia" w:hAnsiTheme="majorHAnsi" w:cstheme="majorBidi"/>
      <w:caps/>
      <w:color w:val="2F5496" w:themeColor="accent1" w:themeShade="BF"/>
    </w:rPr>
  </w:style>
  <w:style w:type="character" w:customStyle="1" w:styleId="Ttulo6Car">
    <w:name w:val="Título 6 Car"/>
    <w:basedOn w:val="Fuentedeprrafopredeter"/>
    <w:link w:val="Ttulo6"/>
    <w:uiPriority w:val="9"/>
    <w:semiHidden/>
    <w:rsid w:val="00B474AC"/>
    <w:rPr>
      <w:rFonts w:asciiTheme="majorHAnsi" w:eastAsiaTheme="majorEastAsia" w:hAnsiTheme="majorHAnsi" w:cstheme="majorBidi"/>
      <w:i/>
      <w:iCs/>
      <w:caps/>
      <w:color w:val="1F3864" w:themeColor="accent1" w:themeShade="80"/>
    </w:rPr>
  </w:style>
  <w:style w:type="character" w:customStyle="1" w:styleId="Ttulo7Car">
    <w:name w:val="Título 7 Car"/>
    <w:basedOn w:val="Fuentedeprrafopredeter"/>
    <w:link w:val="Ttulo7"/>
    <w:uiPriority w:val="9"/>
    <w:semiHidden/>
    <w:rsid w:val="00B474AC"/>
    <w:rPr>
      <w:rFonts w:asciiTheme="majorHAnsi" w:eastAsiaTheme="majorEastAsia" w:hAnsiTheme="majorHAnsi" w:cstheme="majorBidi"/>
      <w:b/>
      <w:bCs/>
      <w:color w:val="1F3864" w:themeColor="accent1" w:themeShade="80"/>
    </w:rPr>
  </w:style>
  <w:style w:type="character" w:customStyle="1" w:styleId="Ttulo8Car">
    <w:name w:val="Título 8 Car"/>
    <w:basedOn w:val="Fuentedeprrafopredeter"/>
    <w:link w:val="Ttulo8"/>
    <w:uiPriority w:val="9"/>
    <w:semiHidden/>
    <w:rsid w:val="00B474AC"/>
    <w:rPr>
      <w:rFonts w:asciiTheme="majorHAnsi" w:eastAsiaTheme="majorEastAsia" w:hAnsiTheme="majorHAnsi" w:cstheme="majorBidi"/>
      <w:b/>
      <w:bCs/>
      <w:i/>
      <w:iCs/>
      <w:color w:val="1F3864" w:themeColor="accent1" w:themeShade="80"/>
    </w:rPr>
  </w:style>
  <w:style w:type="character" w:customStyle="1" w:styleId="Ttulo9Car">
    <w:name w:val="Título 9 Car"/>
    <w:basedOn w:val="Fuentedeprrafopredeter"/>
    <w:link w:val="Ttulo9"/>
    <w:uiPriority w:val="9"/>
    <w:semiHidden/>
    <w:rsid w:val="00B474AC"/>
    <w:rPr>
      <w:rFonts w:asciiTheme="majorHAnsi" w:eastAsiaTheme="majorEastAsia" w:hAnsiTheme="majorHAnsi" w:cstheme="majorBidi"/>
      <w:i/>
      <w:iCs/>
      <w:color w:val="1F3864" w:themeColor="accent1" w:themeShade="80"/>
    </w:rPr>
  </w:style>
  <w:style w:type="paragraph" w:styleId="Descripcin">
    <w:name w:val="caption"/>
    <w:basedOn w:val="Normal"/>
    <w:next w:val="Normal"/>
    <w:unhideWhenUsed/>
    <w:qFormat/>
    <w:rsid w:val="00B474AC"/>
    <w:pPr>
      <w:spacing w:line="240" w:lineRule="auto"/>
    </w:pPr>
    <w:rPr>
      <w:b/>
      <w:bCs/>
      <w:smallCaps/>
      <w:color w:val="44546A" w:themeColor="text2"/>
    </w:rPr>
  </w:style>
  <w:style w:type="paragraph" w:styleId="Ttulo">
    <w:name w:val="Title"/>
    <w:basedOn w:val="Normal"/>
    <w:next w:val="Normal"/>
    <w:link w:val="TtuloCar"/>
    <w:uiPriority w:val="10"/>
    <w:qFormat/>
    <w:rsid w:val="00B474AC"/>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tuloCar">
    <w:name w:val="Título Car"/>
    <w:basedOn w:val="Fuentedeprrafopredeter"/>
    <w:link w:val="Ttulo"/>
    <w:qFormat/>
    <w:rsid w:val="00B474AC"/>
    <w:rPr>
      <w:rFonts w:asciiTheme="majorHAnsi" w:eastAsiaTheme="majorEastAsia" w:hAnsiTheme="majorHAnsi" w:cstheme="majorBidi"/>
      <w:caps/>
      <w:color w:val="44546A" w:themeColor="text2"/>
      <w:spacing w:val="-15"/>
      <w:sz w:val="72"/>
      <w:szCs w:val="72"/>
    </w:rPr>
  </w:style>
  <w:style w:type="paragraph" w:styleId="Subttulo">
    <w:name w:val="Subtitle"/>
    <w:basedOn w:val="Normal"/>
    <w:next w:val="Normal"/>
    <w:link w:val="SubttuloCar"/>
    <w:uiPriority w:val="11"/>
    <w:qFormat/>
    <w:rsid w:val="00B474AC"/>
    <w:pPr>
      <w:numPr>
        <w:ilvl w:val="1"/>
      </w:numPr>
      <w:spacing w:after="240" w:line="240" w:lineRule="auto"/>
    </w:pPr>
    <w:rPr>
      <w:rFonts w:asciiTheme="majorHAnsi" w:eastAsiaTheme="majorEastAsia" w:hAnsiTheme="majorHAnsi" w:cstheme="majorBidi"/>
      <w:color w:val="4472C4" w:themeColor="accent1"/>
      <w:sz w:val="28"/>
      <w:szCs w:val="28"/>
    </w:rPr>
  </w:style>
  <w:style w:type="character" w:customStyle="1" w:styleId="SubttuloCar">
    <w:name w:val="Subtítulo Car"/>
    <w:basedOn w:val="Fuentedeprrafopredeter"/>
    <w:link w:val="Subttulo"/>
    <w:uiPriority w:val="11"/>
    <w:rsid w:val="00B474AC"/>
    <w:rPr>
      <w:rFonts w:asciiTheme="majorHAnsi" w:eastAsiaTheme="majorEastAsia" w:hAnsiTheme="majorHAnsi" w:cstheme="majorBidi"/>
      <w:color w:val="4472C4" w:themeColor="accent1"/>
      <w:sz w:val="28"/>
      <w:szCs w:val="28"/>
    </w:rPr>
  </w:style>
  <w:style w:type="character" w:styleId="Textoennegrita">
    <w:name w:val="Strong"/>
    <w:basedOn w:val="Fuentedeprrafopredeter"/>
    <w:uiPriority w:val="22"/>
    <w:qFormat/>
    <w:rsid w:val="00B474AC"/>
    <w:rPr>
      <w:b/>
      <w:bCs/>
    </w:rPr>
  </w:style>
  <w:style w:type="character" w:styleId="nfasis">
    <w:name w:val="Emphasis"/>
    <w:basedOn w:val="Fuentedeprrafopredeter"/>
    <w:qFormat/>
    <w:rsid w:val="00B474AC"/>
    <w:rPr>
      <w:i/>
      <w:iCs/>
    </w:rPr>
  </w:style>
  <w:style w:type="paragraph" w:styleId="Cita">
    <w:name w:val="Quote"/>
    <w:basedOn w:val="Normal"/>
    <w:next w:val="Normal"/>
    <w:link w:val="CitaCar"/>
    <w:uiPriority w:val="29"/>
    <w:qFormat/>
    <w:rsid w:val="00B474AC"/>
    <w:pPr>
      <w:spacing w:before="120" w:after="120"/>
      <w:ind w:left="720"/>
    </w:pPr>
    <w:rPr>
      <w:color w:val="44546A" w:themeColor="text2"/>
      <w:sz w:val="24"/>
      <w:szCs w:val="24"/>
    </w:rPr>
  </w:style>
  <w:style w:type="character" w:customStyle="1" w:styleId="CitaCar">
    <w:name w:val="Cita Car"/>
    <w:basedOn w:val="Fuentedeprrafopredeter"/>
    <w:link w:val="Cita"/>
    <w:uiPriority w:val="29"/>
    <w:rsid w:val="00B474AC"/>
    <w:rPr>
      <w:color w:val="44546A" w:themeColor="text2"/>
      <w:sz w:val="24"/>
      <w:szCs w:val="24"/>
    </w:rPr>
  </w:style>
  <w:style w:type="paragraph" w:styleId="Citadestacada">
    <w:name w:val="Intense Quote"/>
    <w:basedOn w:val="Normal"/>
    <w:next w:val="Normal"/>
    <w:link w:val="CitadestacadaCar"/>
    <w:uiPriority w:val="30"/>
    <w:qFormat/>
    <w:rsid w:val="00B474AC"/>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CitadestacadaCar">
    <w:name w:val="Cita destacada Car"/>
    <w:basedOn w:val="Fuentedeprrafopredeter"/>
    <w:link w:val="Citadestacada"/>
    <w:uiPriority w:val="30"/>
    <w:rsid w:val="00B474AC"/>
    <w:rPr>
      <w:rFonts w:asciiTheme="majorHAnsi" w:eastAsiaTheme="majorEastAsia" w:hAnsiTheme="majorHAnsi" w:cstheme="majorBidi"/>
      <w:color w:val="44546A" w:themeColor="text2"/>
      <w:spacing w:val="-6"/>
      <w:sz w:val="32"/>
      <w:szCs w:val="32"/>
    </w:rPr>
  </w:style>
  <w:style w:type="character" w:styleId="nfasissutil">
    <w:name w:val="Subtle Emphasis"/>
    <w:basedOn w:val="Fuentedeprrafopredeter"/>
    <w:uiPriority w:val="19"/>
    <w:qFormat/>
    <w:rsid w:val="00B474AC"/>
    <w:rPr>
      <w:i/>
      <w:iCs/>
      <w:color w:val="595959" w:themeColor="text1" w:themeTint="A6"/>
    </w:rPr>
  </w:style>
  <w:style w:type="character" w:styleId="nfasisintenso">
    <w:name w:val="Intense Emphasis"/>
    <w:basedOn w:val="Fuentedeprrafopredeter"/>
    <w:uiPriority w:val="21"/>
    <w:qFormat/>
    <w:rsid w:val="00B474AC"/>
    <w:rPr>
      <w:b/>
      <w:bCs/>
      <w:i/>
      <w:iCs/>
    </w:rPr>
  </w:style>
  <w:style w:type="character" w:styleId="Referenciasutil">
    <w:name w:val="Subtle Reference"/>
    <w:basedOn w:val="Fuentedeprrafopredeter"/>
    <w:uiPriority w:val="31"/>
    <w:qFormat/>
    <w:rsid w:val="00B474AC"/>
    <w:rPr>
      <w:smallCaps/>
      <w:color w:val="595959" w:themeColor="text1" w:themeTint="A6"/>
      <w:u w:val="none" w:color="7F7F7F" w:themeColor="text1" w:themeTint="80"/>
      <w:bdr w:val="none" w:sz="0" w:space="0" w:color="auto"/>
    </w:rPr>
  </w:style>
  <w:style w:type="character" w:styleId="Referenciaintensa">
    <w:name w:val="Intense Reference"/>
    <w:basedOn w:val="Fuentedeprrafopredeter"/>
    <w:uiPriority w:val="32"/>
    <w:qFormat/>
    <w:rsid w:val="00B474AC"/>
    <w:rPr>
      <w:b/>
      <w:bCs/>
      <w:smallCaps/>
      <w:color w:val="44546A" w:themeColor="text2"/>
      <w:u w:val="single"/>
    </w:rPr>
  </w:style>
  <w:style w:type="character" w:styleId="Ttulodellibro">
    <w:name w:val="Book Title"/>
    <w:basedOn w:val="Fuentedeprrafopredeter"/>
    <w:uiPriority w:val="33"/>
    <w:qFormat/>
    <w:rsid w:val="00B474AC"/>
    <w:rPr>
      <w:b/>
      <w:bCs/>
      <w:smallCaps/>
      <w:spacing w:val="10"/>
    </w:rPr>
  </w:style>
  <w:style w:type="paragraph" w:styleId="TtuloTDC">
    <w:name w:val="TOC Heading"/>
    <w:basedOn w:val="Ttulo1"/>
    <w:next w:val="Normal"/>
    <w:uiPriority w:val="39"/>
    <w:semiHidden/>
    <w:unhideWhenUsed/>
    <w:qFormat/>
    <w:rsid w:val="00B474AC"/>
    <w:pPr>
      <w:outlineLvl w:val="9"/>
    </w:pPr>
  </w:style>
  <w:style w:type="table" w:styleId="Tablaconcuadrcula">
    <w:name w:val="Table Grid"/>
    <w:basedOn w:val="Tablanormal"/>
    <w:uiPriority w:val="39"/>
    <w:rsid w:val="007226B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39"/>
    <w:rsid w:val="007226B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CB1947"/>
  </w:style>
  <w:style w:type="character" w:customStyle="1" w:styleId="EnlacedeInternet">
    <w:name w:val="Enlace de Internet"/>
    <w:uiPriority w:val="99"/>
    <w:rsid w:val="00CB1947"/>
    <w:rPr>
      <w:color w:val="000080"/>
      <w:u w:val="single"/>
    </w:rPr>
  </w:style>
  <w:style w:type="paragraph" w:styleId="Textodeglobo">
    <w:name w:val="Balloon Text"/>
    <w:basedOn w:val="Normal"/>
    <w:link w:val="TextodegloboCar"/>
    <w:uiPriority w:val="99"/>
    <w:semiHidden/>
    <w:unhideWhenUsed/>
    <w:qFormat/>
    <w:rsid w:val="00CB1947"/>
    <w:pPr>
      <w:spacing w:after="0" w:line="240" w:lineRule="auto"/>
    </w:pPr>
    <w:rPr>
      <w:rFonts w:ascii="Tahoma" w:eastAsia="NSimSun" w:hAnsi="Tahoma" w:cs="Mangal"/>
      <w:kern w:val="2"/>
      <w:sz w:val="16"/>
      <w:szCs w:val="14"/>
      <w:lang w:eastAsia="zh-CN" w:bidi="hi-IN"/>
    </w:rPr>
  </w:style>
  <w:style w:type="character" w:customStyle="1" w:styleId="TextodegloboCar">
    <w:name w:val="Texto de globo Car"/>
    <w:basedOn w:val="Fuentedeprrafopredeter"/>
    <w:link w:val="Textodeglobo"/>
    <w:uiPriority w:val="99"/>
    <w:semiHidden/>
    <w:qFormat/>
    <w:rsid w:val="00CB1947"/>
    <w:rPr>
      <w:rFonts w:ascii="Tahoma" w:eastAsia="NSimSun" w:hAnsi="Tahoma" w:cs="Mangal"/>
      <w:kern w:val="2"/>
      <w:sz w:val="16"/>
      <w:szCs w:val="14"/>
      <w:lang w:eastAsia="zh-CN" w:bidi="hi-IN"/>
    </w:rPr>
  </w:style>
  <w:style w:type="paragraph" w:styleId="Textoindependiente">
    <w:name w:val="Body Text"/>
    <w:basedOn w:val="Normal"/>
    <w:link w:val="TextoindependienteCar"/>
    <w:rsid w:val="00CB1947"/>
    <w:pPr>
      <w:spacing w:after="140" w:line="276" w:lineRule="auto"/>
    </w:pPr>
    <w:rPr>
      <w:rFonts w:ascii="Open Sans" w:eastAsia="NSimSun" w:hAnsi="Open Sans" w:cs="Arial"/>
      <w:kern w:val="2"/>
      <w:sz w:val="24"/>
      <w:szCs w:val="24"/>
      <w:lang w:eastAsia="zh-CN" w:bidi="hi-IN"/>
    </w:rPr>
  </w:style>
  <w:style w:type="character" w:customStyle="1" w:styleId="TextoindependienteCar">
    <w:name w:val="Texto independiente Car"/>
    <w:basedOn w:val="Fuentedeprrafopredeter"/>
    <w:link w:val="Textoindependiente"/>
    <w:qFormat/>
    <w:rsid w:val="00CB1947"/>
    <w:rPr>
      <w:rFonts w:ascii="Open Sans" w:eastAsia="NSimSun" w:hAnsi="Open Sans" w:cs="Arial"/>
      <w:kern w:val="2"/>
      <w:sz w:val="24"/>
      <w:szCs w:val="24"/>
      <w:lang w:eastAsia="zh-CN" w:bidi="hi-IN"/>
    </w:rPr>
  </w:style>
  <w:style w:type="paragraph" w:customStyle="1" w:styleId="western">
    <w:name w:val="western"/>
    <w:basedOn w:val="Normal"/>
    <w:qFormat/>
    <w:rsid w:val="00A21AB4"/>
    <w:pPr>
      <w:spacing w:before="100" w:beforeAutospacing="1" w:after="142" w:line="276" w:lineRule="auto"/>
    </w:pPr>
    <w:rPr>
      <w:rFonts w:ascii="Calibri" w:eastAsia="Times New Roman" w:hAnsi="Calibri" w:cs="Calibri"/>
      <w:color w:val="000000"/>
      <w:lang w:eastAsia="es-ES"/>
    </w:rPr>
  </w:style>
  <w:style w:type="character" w:customStyle="1" w:styleId="WW8Num1z0">
    <w:name w:val="WW8Num1z0"/>
    <w:qFormat/>
    <w:rsid w:val="00671CE2"/>
  </w:style>
  <w:style w:type="character" w:customStyle="1" w:styleId="WW8Num1z1">
    <w:name w:val="WW8Num1z1"/>
    <w:qFormat/>
    <w:rsid w:val="00671CE2"/>
  </w:style>
  <w:style w:type="character" w:customStyle="1" w:styleId="WW8Num1z2">
    <w:name w:val="WW8Num1z2"/>
    <w:qFormat/>
    <w:rsid w:val="00671CE2"/>
  </w:style>
  <w:style w:type="character" w:customStyle="1" w:styleId="WW8Num1z3">
    <w:name w:val="WW8Num1z3"/>
    <w:qFormat/>
    <w:rsid w:val="00671CE2"/>
  </w:style>
  <w:style w:type="character" w:customStyle="1" w:styleId="WW8Num1z4">
    <w:name w:val="WW8Num1z4"/>
    <w:qFormat/>
    <w:rsid w:val="00671CE2"/>
  </w:style>
  <w:style w:type="character" w:customStyle="1" w:styleId="WW8Num1z5">
    <w:name w:val="WW8Num1z5"/>
    <w:qFormat/>
    <w:rsid w:val="00671CE2"/>
  </w:style>
  <w:style w:type="character" w:customStyle="1" w:styleId="WW8Num1z6">
    <w:name w:val="WW8Num1z6"/>
    <w:qFormat/>
    <w:rsid w:val="00671CE2"/>
  </w:style>
  <w:style w:type="character" w:customStyle="1" w:styleId="WW8Num1z7">
    <w:name w:val="WW8Num1z7"/>
    <w:qFormat/>
    <w:rsid w:val="00671CE2"/>
  </w:style>
  <w:style w:type="character" w:customStyle="1" w:styleId="WW8Num1z8">
    <w:name w:val="WW8Num1z8"/>
    <w:qFormat/>
    <w:rsid w:val="00671CE2"/>
  </w:style>
  <w:style w:type="character" w:customStyle="1" w:styleId="WW8Num2z0">
    <w:name w:val="WW8Num2z0"/>
    <w:qFormat/>
    <w:rsid w:val="00671CE2"/>
    <w:rPr>
      <w:rFonts w:ascii="Symbol" w:hAnsi="Symbol" w:cs="Symbol"/>
      <w:sz w:val="20"/>
    </w:rPr>
  </w:style>
  <w:style w:type="character" w:customStyle="1" w:styleId="WW8Num2z1">
    <w:name w:val="WW8Num2z1"/>
    <w:qFormat/>
    <w:rsid w:val="00671CE2"/>
    <w:rPr>
      <w:rFonts w:ascii="Courier New" w:hAnsi="Courier New" w:cs="Courier New"/>
      <w:sz w:val="20"/>
    </w:rPr>
  </w:style>
  <w:style w:type="character" w:customStyle="1" w:styleId="WW8Num2z2">
    <w:name w:val="WW8Num2z2"/>
    <w:qFormat/>
    <w:rsid w:val="00671CE2"/>
    <w:rPr>
      <w:rFonts w:ascii="Wingdings" w:hAnsi="Wingdings" w:cs="Wingdings"/>
      <w:sz w:val="20"/>
    </w:rPr>
  </w:style>
  <w:style w:type="character" w:customStyle="1" w:styleId="WW8Num3z0">
    <w:name w:val="WW8Num3z0"/>
    <w:qFormat/>
    <w:rsid w:val="00671CE2"/>
    <w:rPr>
      <w:rFonts w:ascii="Symbol" w:hAnsi="Symbol" w:cs="Symbol"/>
      <w:sz w:val="20"/>
    </w:rPr>
  </w:style>
  <w:style w:type="character" w:customStyle="1" w:styleId="WW8Num3z1">
    <w:name w:val="WW8Num3z1"/>
    <w:qFormat/>
    <w:rsid w:val="00671CE2"/>
    <w:rPr>
      <w:rFonts w:ascii="Courier New" w:hAnsi="Courier New" w:cs="Courier New"/>
      <w:sz w:val="20"/>
    </w:rPr>
  </w:style>
  <w:style w:type="character" w:customStyle="1" w:styleId="WW8Num3z2">
    <w:name w:val="WW8Num3z2"/>
    <w:qFormat/>
    <w:rsid w:val="00671CE2"/>
    <w:rPr>
      <w:rFonts w:ascii="Wingdings" w:hAnsi="Wingdings" w:cs="Wingdings"/>
      <w:sz w:val="20"/>
    </w:rPr>
  </w:style>
  <w:style w:type="character" w:customStyle="1" w:styleId="WW8Num4z0">
    <w:name w:val="WW8Num4z0"/>
    <w:qFormat/>
    <w:rsid w:val="00671CE2"/>
    <w:rPr>
      <w:rFonts w:ascii="Symbol" w:hAnsi="Symbol" w:cs="Symbol"/>
      <w:sz w:val="20"/>
      <w:szCs w:val="24"/>
      <w:lang w:eastAsia="es-ES"/>
    </w:rPr>
  </w:style>
  <w:style w:type="character" w:customStyle="1" w:styleId="WW8Num4z1">
    <w:name w:val="WW8Num4z1"/>
    <w:qFormat/>
    <w:rsid w:val="00671CE2"/>
    <w:rPr>
      <w:rFonts w:ascii="Courier New" w:hAnsi="Courier New" w:cs="Courier New"/>
      <w:sz w:val="20"/>
    </w:rPr>
  </w:style>
  <w:style w:type="character" w:customStyle="1" w:styleId="WW8Num4z2">
    <w:name w:val="WW8Num4z2"/>
    <w:qFormat/>
    <w:rsid w:val="00671CE2"/>
    <w:rPr>
      <w:rFonts w:ascii="Wingdings" w:hAnsi="Wingdings" w:cs="Wingdings"/>
      <w:sz w:val="20"/>
    </w:rPr>
  </w:style>
  <w:style w:type="character" w:customStyle="1" w:styleId="WW8Num5z0">
    <w:name w:val="WW8Num5z0"/>
    <w:qFormat/>
    <w:rsid w:val="00671CE2"/>
    <w:rPr>
      <w:rFonts w:ascii="Symbol" w:hAnsi="Symbol" w:cs="Symbol"/>
      <w:sz w:val="20"/>
    </w:rPr>
  </w:style>
  <w:style w:type="character" w:customStyle="1" w:styleId="WW8Num5z1">
    <w:name w:val="WW8Num5z1"/>
    <w:qFormat/>
    <w:rsid w:val="00671CE2"/>
    <w:rPr>
      <w:rFonts w:ascii="Courier New" w:hAnsi="Courier New" w:cs="Courier New"/>
      <w:sz w:val="20"/>
    </w:rPr>
  </w:style>
  <w:style w:type="character" w:customStyle="1" w:styleId="WW8Num5z2">
    <w:name w:val="WW8Num5z2"/>
    <w:qFormat/>
    <w:rsid w:val="00671CE2"/>
    <w:rPr>
      <w:rFonts w:ascii="Wingdings" w:hAnsi="Wingdings" w:cs="Wingdings"/>
      <w:sz w:val="20"/>
    </w:rPr>
  </w:style>
  <w:style w:type="character" w:customStyle="1" w:styleId="WW8Num6z0">
    <w:name w:val="WW8Num6z0"/>
    <w:qFormat/>
    <w:rsid w:val="00671CE2"/>
    <w:rPr>
      <w:rFonts w:ascii="Symbol" w:hAnsi="Symbol" w:cs="Symbol"/>
      <w:sz w:val="20"/>
    </w:rPr>
  </w:style>
  <w:style w:type="character" w:customStyle="1" w:styleId="WW8Num6z1">
    <w:name w:val="WW8Num6z1"/>
    <w:qFormat/>
    <w:rsid w:val="00671CE2"/>
    <w:rPr>
      <w:rFonts w:ascii="Courier New" w:hAnsi="Courier New" w:cs="Courier New"/>
      <w:sz w:val="20"/>
    </w:rPr>
  </w:style>
  <w:style w:type="character" w:customStyle="1" w:styleId="WW8Num6z2">
    <w:name w:val="WW8Num6z2"/>
    <w:qFormat/>
    <w:rsid w:val="00671CE2"/>
    <w:rPr>
      <w:rFonts w:ascii="Wingdings" w:hAnsi="Wingdings" w:cs="Wingdings"/>
      <w:sz w:val="20"/>
    </w:rPr>
  </w:style>
  <w:style w:type="character" w:customStyle="1" w:styleId="WW8Num7z0">
    <w:name w:val="WW8Num7z0"/>
    <w:qFormat/>
    <w:rsid w:val="00671CE2"/>
    <w:rPr>
      <w:rFonts w:ascii="Symbol" w:eastAsia="Times New Roman" w:hAnsi="Symbol" w:cs="Symbol"/>
      <w:color w:val="C9211E"/>
      <w:sz w:val="20"/>
      <w:szCs w:val="24"/>
      <w:lang w:eastAsia="es-ES"/>
    </w:rPr>
  </w:style>
  <w:style w:type="character" w:customStyle="1" w:styleId="WW8Num7z1">
    <w:name w:val="WW8Num7z1"/>
    <w:qFormat/>
    <w:rsid w:val="00671CE2"/>
    <w:rPr>
      <w:rFonts w:ascii="Courier New" w:hAnsi="Courier New" w:cs="Courier New"/>
      <w:sz w:val="20"/>
    </w:rPr>
  </w:style>
  <w:style w:type="character" w:customStyle="1" w:styleId="WW8Num7z2">
    <w:name w:val="WW8Num7z2"/>
    <w:qFormat/>
    <w:rsid w:val="00671CE2"/>
    <w:rPr>
      <w:rFonts w:ascii="Wingdings" w:hAnsi="Wingdings" w:cs="Wingdings"/>
      <w:sz w:val="20"/>
    </w:rPr>
  </w:style>
  <w:style w:type="character" w:customStyle="1" w:styleId="WW8Num8z0">
    <w:name w:val="WW8Num8z0"/>
    <w:qFormat/>
    <w:rsid w:val="00671CE2"/>
    <w:rPr>
      <w:rFonts w:ascii="Symbol" w:hAnsi="Symbol" w:cs="OpenSymbol;Arial Unicode MS"/>
      <w:strike w:val="0"/>
      <w:dstrike w:val="0"/>
      <w:color w:val="000000"/>
      <w:sz w:val="21"/>
      <w:szCs w:val="21"/>
    </w:rPr>
  </w:style>
  <w:style w:type="character" w:customStyle="1" w:styleId="WW8Num8z1">
    <w:name w:val="WW8Num8z1"/>
    <w:qFormat/>
    <w:rsid w:val="00671CE2"/>
    <w:rPr>
      <w:rFonts w:ascii="OpenSymbol;Arial Unicode MS" w:hAnsi="OpenSymbol;Arial Unicode MS" w:cs="OpenSymbol;Arial Unicode MS"/>
    </w:rPr>
  </w:style>
  <w:style w:type="character" w:customStyle="1" w:styleId="WW8Num9z0">
    <w:name w:val="WW8Num9z0"/>
    <w:qFormat/>
    <w:rsid w:val="00671CE2"/>
    <w:rPr>
      <w:rFonts w:ascii="Symbol" w:hAnsi="Symbol" w:cs="OpenSymbol;Arial Unicode MS"/>
      <w:sz w:val="21"/>
      <w:szCs w:val="21"/>
    </w:rPr>
  </w:style>
  <w:style w:type="character" w:customStyle="1" w:styleId="WW8Num9z1">
    <w:name w:val="WW8Num9z1"/>
    <w:qFormat/>
    <w:rsid w:val="00671CE2"/>
    <w:rPr>
      <w:rFonts w:ascii="OpenSymbol;Arial Unicode MS" w:hAnsi="OpenSymbol;Arial Unicode MS" w:cs="OpenSymbol;Arial Unicode MS"/>
    </w:rPr>
  </w:style>
  <w:style w:type="character" w:customStyle="1" w:styleId="WW8Num10z0">
    <w:name w:val="WW8Num10z0"/>
    <w:qFormat/>
    <w:rsid w:val="00671CE2"/>
    <w:rPr>
      <w:rFonts w:ascii="Symbol" w:hAnsi="Symbol" w:cs="OpenSymbol;Arial Unicode MS"/>
      <w:sz w:val="21"/>
      <w:szCs w:val="21"/>
    </w:rPr>
  </w:style>
  <w:style w:type="character" w:customStyle="1" w:styleId="WW8Num10z1">
    <w:name w:val="WW8Num10z1"/>
    <w:qFormat/>
    <w:rsid w:val="00671CE2"/>
    <w:rPr>
      <w:rFonts w:ascii="OpenSymbol;Arial Unicode MS" w:hAnsi="OpenSymbol;Arial Unicode MS" w:cs="OpenSymbol;Arial Unicode MS"/>
    </w:rPr>
  </w:style>
  <w:style w:type="character" w:customStyle="1" w:styleId="WW8Num11z0">
    <w:name w:val="WW8Num11z0"/>
    <w:qFormat/>
    <w:rsid w:val="00671CE2"/>
    <w:rPr>
      <w:rFonts w:ascii="Symbol" w:hAnsi="Symbol" w:cs="OpenSymbol;Arial Unicode MS"/>
      <w:color w:val="000000"/>
      <w:sz w:val="21"/>
      <w:szCs w:val="21"/>
    </w:rPr>
  </w:style>
  <w:style w:type="character" w:customStyle="1" w:styleId="WW8Num11z1">
    <w:name w:val="WW8Num11z1"/>
    <w:qFormat/>
    <w:rsid w:val="00671CE2"/>
    <w:rPr>
      <w:rFonts w:ascii="OpenSymbol;Arial Unicode MS" w:hAnsi="OpenSymbol;Arial Unicode MS" w:cs="OpenSymbol;Arial Unicode MS"/>
    </w:rPr>
  </w:style>
  <w:style w:type="character" w:customStyle="1" w:styleId="WW8Num12z0">
    <w:name w:val="WW8Num12z0"/>
    <w:qFormat/>
    <w:rsid w:val="00671CE2"/>
    <w:rPr>
      <w:rFonts w:ascii="Symbol" w:hAnsi="Symbol" w:cs="OpenSymbol;Arial Unicode MS"/>
      <w:color w:val="000000"/>
      <w:sz w:val="21"/>
      <w:szCs w:val="21"/>
    </w:rPr>
  </w:style>
  <w:style w:type="character" w:customStyle="1" w:styleId="WW8Num12z1">
    <w:name w:val="WW8Num12z1"/>
    <w:qFormat/>
    <w:rsid w:val="00671CE2"/>
    <w:rPr>
      <w:rFonts w:ascii="OpenSymbol;Arial Unicode MS" w:hAnsi="OpenSymbol;Arial Unicode MS" w:cs="OpenSymbol;Arial Unicode MS"/>
    </w:rPr>
  </w:style>
  <w:style w:type="character" w:customStyle="1" w:styleId="WW8Num13z0">
    <w:name w:val="WW8Num13z0"/>
    <w:qFormat/>
    <w:rsid w:val="00671CE2"/>
    <w:rPr>
      <w:rFonts w:ascii="Symbol" w:hAnsi="Symbol" w:cs="OpenSymbol;Arial Unicode MS"/>
      <w:color w:val="000000"/>
      <w:sz w:val="21"/>
      <w:szCs w:val="21"/>
    </w:rPr>
  </w:style>
  <w:style w:type="character" w:customStyle="1" w:styleId="WW8Num13z1">
    <w:name w:val="WW8Num13z1"/>
    <w:qFormat/>
    <w:rsid w:val="00671CE2"/>
    <w:rPr>
      <w:rFonts w:ascii="OpenSymbol;Arial Unicode MS" w:hAnsi="OpenSymbol;Arial Unicode MS" w:cs="OpenSymbol;Arial Unicode MS"/>
    </w:rPr>
  </w:style>
  <w:style w:type="character" w:customStyle="1" w:styleId="WW8Num14z0">
    <w:name w:val="WW8Num14z0"/>
    <w:qFormat/>
    <w:rsid w:val="00671CE2"/>
    <w:rPr>
      <w:rFonts w:ascii="Symbol" w:hAnsi="Symbol" w:cs="OpenSymbol;Arial Unicode MS"/>
      <w:color w:val="000000"/>
      <w:sz w:val="21"/>
      <w:szCs w:val="21"/>
    </w:rPr>
  </w:style>
  <w:style w:type="character" w:customStyle="1" w:styleId="WW8Num14z1">
    <w:name w:val="WW8Num14z1"/>
    <w:qFormat/>
    <w:rsid w:val="00671CE2"/>
    <w:rPr>
      <w:rFonts w:ascii="OpenSymbol;Arial Unicode MS" w:hAnsi="OpenSymbol;Arial Unicode MS" w:cs="OpenSymbol;Arial Unicode MS"/>
    </w:rPr>
  </w:style>
  <w:style w:type="character" w:customStyle="1" w:styleId="WW8Num15z0">
    <w:name w:val="WW8Num15z0"/>
    <w:qFormat/>
    <w:rsid w:val="00671CE2"/>
    <w:rPr>
      <w:rFonts w:ascii="Symbol" w:hAnsi="Symbol" w:cs="OpenSymbol;Arial Unicode MS"/>
      <w:color w:val="000000"/>
      <w:sz w:val="21"/>
      <w:szCs w:val="21"/>
    </w:rPr>
  </w:style>
  <w:style w:type="character" w:customStyle="1" w:styleId="WW8Num15z1">
    <w:name w:val="WW8Num15z1"/>
    <w:qFormat/>
    <w:rsid w:val="00671CE2"/>
    <w:rPr>
      <w:rFonts w:ascii="OpenSymbol;Arial Unicode MS" w:hAnsi="OpenSymbol;Arial Unicode MS" w:cs="OpenSymbol;Arial Unicode MS"/>
    </w:rPr>
  </w:style>
  <w:style w:type="character" w:customStyle="1" w:styleId="WW8Num16z0">
    <w:name w:val="WW8Num16z0"/>
    <w:qFormat/>
    <w:rsid w:val="00671CE2"/>
    <w:rPr>
      <w:rFonts w:ascii="Symbol" w:hAnsi="Symbol" w:cs="OpenSymbol;Arial Unicode MS"/>
      <w:color w:val="000000"/>
      <w:sz w:val="21"/>
      <w:szCs w:val="21"/>
    </w:rPr>
  </w:style>
  <w:style w:type="character" w:customStyle="1" w:styleId="WW8Num16z1">
    <w:name w:val="WW8Num16z1"/>
    <w:qFormat/>
    <w:rsid w:val="00671CE2"/>
    <w:rPr>
      <w:rFonts w:ascii="OpenSymbol;Arial Unicode MS" w:hAnsi="OpenSymbol;Arial Unicode MS" w:cs="OpenSymbol;Arial Unicode MS"/>
    </w:rPr>
  </w:style>
  <w:style w:type="character" w:customStyle="1" w:styleId="WW8Num17z0">
    <w:name w:val="WW8Num17z0"/>
    <w:qFormat/>
    <w:rsid w:val="00671CE2"/>
    <w:rPr>
      <w:rFonts w:ascii="Symbol" w:hAnsi="Symbol" w:cs="OpenSymbol;Arial Unicode MS"/>
      <w:color w:val="000000"/>
      <w:sz w:val="21"/>
      <w:szCs w:val="21"/>
    </w:rPr>
  </w:style>
  <w:style w:type="character" w:customStyle="1" w:styleId="WW8Num17z1">
    <w:name w:val="WW8Num17z1"/>
    <w:qFormat/>
    <w:rsid w:val="00671CE2"/>
    <w:rPr>
      <w:rFonts w:ascii="OpenSymbol;Arial Unicode MS" w:hAnsi="OpenSymbol;Arial Unicode MS" w:cs="OpenSymbol;Arial Unicode MS"/>
    </w:rPr>
  </w:style>
  <w:style w:type="character" w:customStyle="1" w:styleId="WW8Num18z0">
    <w:name w:val="WW8Num18z0"/>
    <w:qFormat/>
    <w:rsid w:val="00671CE2"/>
    <w:rPr>
      <w:rFonts w:ascii="Symbol" w:hAnsi="Symbol" w:cs="OpenSymbol;Arial Unicode MS"/>
      <w:strike w:val="0"/>
      <w:dstrike w:val="0"/>
      <w:color w:val="000000"/>
      <w:sz w:val="21"/>
      <w:szCs w:val="21"/>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8z1">
    <w:name w:val="WW8Num18z1"/>
    <w:qFormat/>
    <w:rsid w:val="00671CE2"/>
    <w:rPr>
      <w:rFonts w:ascii="OpenSymbol;Arial Unicode MS" w:hAnsi="OpenSymbol;Arial Unicode MS" w:cs="OpenSymbol;Arial Unicode MS"/>
    </w:rPr>
  </w:style>
  <w:style w:type="character" w:customStyle="1" w:styleId="WW8Num19z0">
    <w:name w:val="WW8Num19z0"/>
    <w:qFormat/>
    <w:rsid w:val="00671CE2"/>
    <w:rPr>
      <w:rFonts w:ascii="Symbol" w:hAnsi="Symbol" w:cs="OpenSymbol;Arial Unicode MS"/>
      <w:strike w:val="0"/>
      <w:dstrike w:val="0"/>
      <w:color w:val="000000"/>
      <w:sz w:val="21"/>
      <w:szCs w:val="21"/>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9z1">
    <w:name w:val="WW8Num19z1"/>
    <w:qFormat/>
    <w:rsid w:val="00671CE2"/>
    <w:rPr>
      <w:rFonts w:ascii="OpenSymbol;Arial Unicode MS" w:hAnsi="OpenSymbol;Arial Unicode MS" w:cs="OpenSymbol;Arial Unicode MS"/>
    </w:rPr>
  </w:style>
  <w:style w:type="character" w:customStyle="1" w:styleId="WW8Num20z0">
    <w:name w:val="WW8Num20z0"/>
    <w:qFormat/>
    <w:rsid w:val="00671CE2"/>
    <w:rPr>
      <w:rFonts w:ascii="Symbol" w:hAnsi="Symbol" w:cs="OpenSymbol;Arial Unicode MS"/>
      <w:color w:val="000000"/>
      <w:sz w:val="21"/>
      <w:szCs w:val="21"/>
    </w:rPr>
  </w:style>
  <w:style w:type="character" w:customStyle="1" w:styleId="WW8Num20z1">
    <w:name w:val="WW8Num20z1"/>
    <w:qFormat/>
    <w:rsid w:val="00671CE2"/>
    <w:rPr>
      <w:rFonts w:ascii="OpenSymbol;Arial Unicode MS" w:hAnsi="OpenSymbol;Arial Unicode MS" w:cs="OpenSymbol;Arial Unicode MS"/>
    </w:rPr>
  </w:style>
  <w:style w:type="character" w:customStyle="1" w:styleId="WW8Num21z0">
    <w:name w:val="WW8Num21z0"/>
    <w:qFormat/>
    <w:rsid w:val="00671CE2"/>
    <w:rPr>
      <w:rFonts w:ascii="Symbol" w:hAnsi="Symbol" w:cs="OpenSymbol;Arial Unicode MS"/>
      <w:color w:val="000000"/>
      <w:sz w:val="21"/>
      <w:szCs w:val="21"/>
    </w:rPr>
  </w:style>
  <w:style w:type="character" w:customStyle="1" w:styleId="WW8Num21z1">
    <w:name w:val="WW8Num21z1"/>
    <w:qFormat/>
    <w:rsid w:val="00671CE2"/>
    <w:rPr>
      <w:rFonts w:ascii="OpenSymbol;Arial Unicode MS" w:hAnsi="OpenSymbol;Arial Unicode MS" w:cs="OpenSymbol;Arial Unicode MS"/>
    </w:rPr>
  </w:style>
  <w:style w:type="character" w:customStyle="1" w:styleId="WW8Num22z0">
    <w:name w:val="WW8Num22z0"/>
    <w:qFormat/>
    <w:rsid w:val="00671CE2"/>
    <w:rPr>
      <w:rFonts w:ascii="Symbol" w:hAnsi="Symbol" w:cs="OpenSymbol;Arial Unicode MS"/>
      <w:color w:val="000000"/>
      <w:sz w:val="21"/>
      <w:szCs w:val="21"/>
    </w:rPr>
  </w:style>
  <w:style w:type="character" w:customStyle="1" w:styleId="WW8Num22z1">
    <w:name w:val="WW8Num22z1"/>
    <w:qFormat/>
    <w:rsid w:val="00671CE2"/>
    <w:rPr>
      <w:rFonts w:ascii="OpenSymbol;Arial Unicode MS" w:hAnsi="OpenSymbol;Arial Unicode MS" w:cs="OpenSymbol;Arial Unicode MS"/>
    </w:rPr>
  </w:style>
  <w:style w:type="character" w:customStyle="1" w:styleId="WW8Num23z0">
    <w:name w:val="WW8Num23z0"/>
    <w:qFormat/>
    <w:rsid w:val="00671CE2"/>
    <w:rPr>
      <w:rFonts w:ascii="Symbol" w:hAnsi="Symbol" w:cs="OpenSymbol;Arial Unicode MS"/>
      <w:color w:val="000000"/>
      <w:sz w:val="21"/>
      <w:szCs w:val="21"/>
    </w:rPr>
  </w:style>
  <w:style w:type="character" w:customStyle="1" w:styleId="WW8Num23z1">
    <w:name w:val="WW8Num23z1"/>
    <w:qFormat/>
    <w:rsid w:val="00671CE2"/>
    <w:rPr>
      <w:rFonts w:ascii="OpenSymbol;Arial Unicode MS" w:hAnsi="OpenSymbol;Arial Unicode MS" w:cs="OpenSymbol;Arial Unicode MS"/>
    </w:rPr>
  </w:style>
  <w:style w:type="character" w:customStyle="1" w:styleId="WW8Num24z0">
    <w:name w:val="WW8Num24z0"/>
    <w:qFormat/>
    <w:rsid w:val="00671CE2"/>
    <w:rPr>
      <w:rFonts w:ascii="Symbol" w:hAnsi="Symbol" w:cs="OpenSymbol;Arial Unicode MS"/>
      <w:color w:val="000000"/>
      <w:sz w:val="21"/>
      <w:szCs w:val="21"/>
    </w:rPr>
  </w:style>
  <w:style w:type="character" w:customStyle="1" w:styleId="WW8Num24z1">
    <w:name w:val="WW8Num24z1"/>
    <w:qFormat/>
    <w:rsid w:val="00671CE2"/>
    <w:rPr>
      <w:rFonts w:ascii="OpenSymbol;Arial Unicode MS" w:hAnsi="OpenSymbol;Arial Unicode MS" w:cs="OpenSymbol;Arial Unicode MS"/>
    </w:rPr>
  </w:style>
  <w:style w:type="character" w:customStyle="1" w:styleId="WW8Num25z0">
    <w:name w:val="WW8Num25z0"/>
    <w:qFormat/>
    <w:rsid w:val="00671CE2"/>
    <w:rPr>
      <w:rFonts w:ascii="Symbol" w:hAnsi="Symbol" w:cs="OpenSymbol;Arial Unicode MS"/>
      <w:color w:val="000000"/>
      <w:sz w:val="21"/>
      <w:szCs w:val="21"/>
    </w:rPr>
  </w:style>
  <w:style w:type="character" w:customStyle="1" w:styleId="WW8Num25z1">
    <w:name w:val="WW8Num25z1"/>
    <w:qFormat/>
    <w:rsid w:val="00671CE2"/>
    <w:rPr>
      <w:rFonts w:ascii="OpenSymbol;Arial Unicode MS" w:hAnsi="OpenSymbol;Arial Unicode MS" w:cs="OpenSymbol;Arial Unicode MS"/>
    </w:rPr>
  </w:style>
  <w:style w:type="character" w:customStyle="1" w:styleId="WW8Num26z0">
    <w:name w:val="WW8Num26z0"/>
    <w:qFormat/>
    <w:rsid w:val="00671CE2"/>
    <w:rPr>
      <w:rFonts w:ascii="Symbol" w:hAnsi="Symbol" w:cs="OpenSymbol;Arial Unicode MS"/>
      <w:color w:val="000000"/>
      <w:sz w:val="21"/>
      <w:szCs w:val="21"/>
    </w:rPr>
  </w:style>
  <w:style w:type="character" w:customStyle="1" w:styleId="WW8Num26z1">
    <w:name w:val="WW8Num26z1"/>
    <w:qFormat/>
    <w:rsid w:val="00671CE2"/>
    <w:rPr>
      <w:rFonts w:ascii="OpenSymbol;Arial Unicode MS" w:hAnsi="OpenSymbol;Arial Unicode MS" w:cs="OpenSymbol;Arial Unicode MS"/>
    </w:rPr>
  </w:style>
  <w:style w:type="character" w:customStyle="1" w:styleId="WW8Num27z0">
    <w:name w:val="WW8Num27z0"/>
    <w:qFormat/>
    <w:rsid w:val="00671CE2"/>
    <w:rPr>
      <w:rFonts w:ascii="Symbol" w:hAnsi="Symbol" w:cs="OpenSymbol;Arial Unicode MS"/>
      <w:color w:val="000000"/>
      <w:sz w:val="21"/>
      <w:szCs w:val="21"/>
    </w:rPr>
  </w:style>
  <w:style w:type="character" w:customStyle="1" w:styleId="WW8Num27z1">
    <w:name w:val="WW8Num27z1"/>
    <w:qFormat/>
    <w:rsid w:val="00671CE2"/>
    <w:rPr>
      <w:rFonts w:ascii="OpenSymbol;Arial Unicode MS" w:hAnsi="OpenSymbol;Arial Unicode MS" w:cs="OpenSymbol;Arial Unicode MS"/>
    </w:rPr>
  </w:style>
  <w:style w:type="character" w:customStyle="1" w:styleId="WW8Num28z0">
    <w:name w:val="WW8Num28z0"/>
    <w:qFormat/>
    <w:rsid w:val="00671CE2"/>
    <w:rPr>
      <w:rFonts w:ascii="Symbol" w:hAnsi="Symbol" w:cs="OpenSymbol;Arial Unicode MS"/>
      <w:color w:val="000000"/>
      <w:sz w:val="21"/>
      <w:szCs w:val="21"/>
    </w:rPr>
  </w:style>
  <w:style w:type="character" w:customStyle="1" w:styleId="WW8Num28z1">
    <w:name w:val="WW8Num28z1"/>
    <w:qFormat/>
    <w:rsid w:val="00671CE2"/>
    <w:rPr>
      <w:rFonts w:ascii="OpenSymbol;Arial Unicode MS" w:hAnsi="OpenSymbol;Arial Unicode MS" w:cs="OpenSymbol;Arial Unicode MS"/>
    </w:rPr>
  </w:style>
  <w:style w:type="character" w:customStyle="1" w:styleId="WW8Num29z0">
    <w:name w:val="WW8Num29z0"/>
    <w:qFormat/>
    <w:rsid w:val="00671CE2"/>
    <w:rPr>
      <w:rFonts w:ascii="Symbol" w:hAnsi="Symbol" w:cs="OpenSymbol;Arial Unicode MS"/>
      <w:color w:val="000000"/>
      <w:sz w:val="21"/>
      <w:szCs w:val="21"/>
    </w:rPr>
  </w:style>
  <w:style w:type="character" w:customStyle="1" w:styleId="WW8Num29z1">
    <w:name w:val="WW8Num29z1"/>
    <w:qFormat/>
    <w:rsid w:val="00671CE2"/>
    <w:rPr>
      <w:rFonts w:ascii="OpenSymbol;Arial Unicode MS" w:hAnsi="OpenSymbol;Arial Unicode MS" w:cs="OpenSymbol;Arial Unicode MS"/>
    </w:rPr>
  </w:style>
  <w:style w:type="character" w:customStyle="1" w:styleId="WW8Num30z0">
    <w:name w:val="WW8Num30z0"/>
    <w:qFormat/>
    <w:rsid w:val="00671CE2"/>
    <w:rPr>
      <w:rFonts w:ascii="Symbol" w:hAnsi="Symbol" w:cs="OpenSymbol;Arial Unicode MS"/>
      <w:caps w:val="0"/>
      <w:smallCaps w:val="0"/>
      <w:color w:val="000000"/>
      <w:spacing w:val="0"/>
      <w:sz w:val="21"/>
      <w:szCs w:val="21"/>
    </w:rPr>
  </w:style>
  <w:style w:type="character" w:customStyle="1" w:styleId="WW8Num30z1">
    <w:name w:val="WW8Num30z1"/>
    <w:qFormat/>
    <w:rsid w:val="00671CE2"/>
    <w:rPr>
      <w:rFonts w:ascii="OpenSymbol;Arial Unicode MS" w:hAnsi="OpenSymbol;Arial Unicode MS" w:cs="OpenSymbol;Arial Unicode MS"/>
    </w:rPr>
  </w:style>
  <w:style w:type="character" w:customStyle="1" w:styleId="WW8Num31z0">
    <w:name w:val="WW8Num31z0"/>
    <w:qFormat/>
    <w:rsid w:val="00671CE2"/>
    <w:rPr>
      <w:rFonts w:ascii="Symbol" w:hAnsi="Symbol" w:cs="OpenSymbol;Arial Unicode MS"/>
      <w:color w:val="000000"/>
      <w:sz w:val="21"/>
      <w:szCs w:val="21"/>
    </w:rPr>
  </w:style>
  <w:style w:type="character" w:customStyle="1" w:styleId="WW8Num31z1">
    <w:name w:val="WW8Num31z1"/>
    <w:qFormat/>
    <w:rsid w:val="00671CE2"/>
    <w:rPr>
      <w:rFonts w:ascii="OpenSymbol;Arial Unicode MS" w:hAnsi="OpenSymbol;Arial Unicode MS" w:cs="OpenSymbol;Arial Unicode MS"/>
    </w:rPr>
  </w:style>
  <w:style w:type="character" w:customStyle="1" w:styleId="WW8Num32z0">
    <w:name w:val="WW8Num32z0"/>
    <w:qFormat/>
    <w:rsid w:val="00671CE2"/>
    <w:rPr>
      <w:rFonts w:ascii="Symbol" w:eastAsia="Times New Roman" w:hAnsi="Symbol" w:cs="OpenSymbol;Arial Unicode MS"/>
      <w:color w:val="000000"/>
      <w:sz w:val="21"/>
      <w:szCs w:val="21"/>
      <w:lang w:eastAsia="es-ES"/>
    </w:rPr>
  </w:style>
  <w:style w:type="character" w:customStyle="1" w:styleId="WW8Num8z2">
    <w:name w:val="WW8Num8z2"/>
    <w:qFormat/>
    <w:rsid w:val="00671CE2"/>
    <w:rPr>
      <w:rFonts w:ascii="Wingdings" w:hAnsi="Wingdings" w:cs="Wingdings"/>
      <w:sz w:val="20"/>
    </w:rPr>
  </w:style>
  <w:style w:type="character" w:customStyle="1" w:styleId="WW8Num9z2">
    <w:name w:val="WW8Num9z2"/>
    <w:qFormat/>
    <w:rsid w:val="00671CE2"/>
  </w:style>
  <w:style w:type="character" w:customStyle="1" w:styleId="WW8Num9z3">
    <w:name w:val="WW8Num9z3"/>
    <w:qFormat/>
    <w:rsid w:val="00671CE2"/>
  </w:style>
  <w:style w:type="character" w:customStyle="1" w:styleId="WW8Num9z4">
    <w:name w:val="WW8Num9z4"/>
    <w:qFormat/>
    <w:rsid w:val="00671CE2"/>
  </w:style>
  <w:style w:type="character" w:customStyle="1" w:styleId="WW8Num9z5">
    <w:name w:val="WW8Num9z5"/>
    <w:qFormat/>
    <w:rsid w:val="00671CE2"/>
  </w:style>
  <w:style w:type="character" w:customStyle="1" w:styleId="WW8Num9z6">
    <w:name w:val="WW8Num9z6"/>
    <w:qFormat/>
    <w:rsid w:val="00671CE2"/>
  </w:style>
  <w:style w:type="character" w:customStyle="1" w:styleId="WW8Num9z7">
    <w:name w:val="WW8Num9z7"/>
    <w:qFormat/>
    <w:rsid w:val="00671CE2"/>
  </w:style>
  <w:style w:type="character" w:customStyle="1" w:styleId="WW8Num9z8">
    <w:name w:val="WW8Num9z8"/>
    <w:qFormat/>
    <w:rsid w:val="00671CE2"/>
  </w:style>
  <w:style w:type="character" w:customStyle="1" w:styleId="WW8Num10z2">
    <w:name w:val="WW8Num10z2"/>
    <w:qFormat/>
    <w:rsid w:val="00671CE2"/>
    <w:rPr>
      <w:rFonts w:ascii="Wingdings" w:hAnsi="Wingdings" w:cs="Wingdings"/>
      <w:sz w:val="20"/>
    </w:rPr>
  </w:style>
  <w:style w:type="character" w:customStyle="1" w:styleId="WW8Num11z2">
    <w:name w:val="WW8Num11z2"/>
    <w:qFormat/>
    <w:rsid w:val="00671CE2"/>
    <w:rPr>
      <w:rFonts w:ascii="Wingdings" w:hAnsi="Wingdings" w:cs="Wingdings"/>
      <w:sz w:val="20"/>
    </w:rPr>
  </w:style>
  <w:style w:type="character" w:customStyle="1" w:styleId="WW8Num12z2">
    <w:name w:val="WW8Num12z2"/>
    <w:qFormat/>
    <w:rsid w:val="00671CE2"/>
    <w:rPr>
      <w:rFonts w:ascii="Wingdings" w:hAnsi="Wingdings" w:cs="Wingdings"/>
      <w:sz w:val="20"/>
    </w:rPr>
  </w:style>
  <w:style w:type="character" w:customStyle="1" w:styleId="WW8Num13z2">
    <w:name w:val="WW8Num13z2"/>
    <w:qFormat/>
    <w:rsid w:val="00671CE2"/>
    <w:rPr>
      <w:rFonts w:ascii="Wingdings" w:hAnsi="Wingdings" w:cs="Wingdings"/>
      <w:sz w:val="20"/>
    </w:rPr>
  </w:style>
  <w:style w:type="character" w:customStyle="1" w:styleId="WW8Num14z2">
    <w:name w:val="WW8Num14z2"/>
    <w:qFormat/>
    <w:rsid w:val="00671CE2"/>
    <w:rPr>
      <w:rFonts w:ascii="Wingdings" w:hAnsi="Wingdings" w:cs="Wingdings"/>
      <w:sz w:val="20"/>
    </w:rPr>
  </w:style>
  <w:style w:type="character" w:customStyle="1" w:styleId="WW8Num6z3">
    <w:name w:val="WW8Num6z3"/>
    <w:qFormat/>
    <w:rsid w:val="00671CE2"/>
  </w:style>
  <w:style w:type="character" w:customStyle="1" w:styleId="WW8Num6z4">
    <w:name w:val="WW8Num6z4"/>
    <w:qFormat/>
    <w:rsid w:val="00671CE2"/>
  </w:style>
  <w:style w:type="character" w:customStyle="1" w:styleId="WW8Num6z5">
    <w:name w:val="WW8Num6z5"/>
    <w:qFormat/>
    <w:rsid w:val="00671CE2"/>
  </w:style>
  <w:style w:type="character" w:customStyle="1" w:styleId="WW8Num6z6">
    <w:name w:val="WW8Num6z6"/>
    <w:qFormat/>
    <w:rsid w:val="00671CE2"/>
  </w:style>
  <w:style w:type="character" w:customStyle="1" w:styleId="WW8Num6z7">
    <w:name w:val="WW8Num6z7"/>
    <w:qFormat/>
    <w:rsid w:val="00671CE2"/>
  </w:style>
  <w:style w:type="character" w:customStyle="1" w:styleId="WW8Num6z8">
    <w:name w:val="WW8Num6z8"/>
    <w:qFormat/>
    <w:rsid w:val="00671CE2"/>
  </w:style>
  <w:style w:type="character" w:customStyle="1" w:styleId="WW8Num7z3">
    <w:name w:val="WW8Num7z3"/>
    <w:qFormat/>
    <w:rsid w:val="00671CE2"/>
  </w:style>
  <w:style w:type="character" w:customStyle="1" w:styleId="WW8Num7z4">
    <w:name w:val="WW8Num7z4"/>
    <w:qFormat/>
    <w:rsid w:val="00671CE2"/>
  </w:style>
  <w:style w:type="character" w:customStyle="1" w:styleId="WW8Num7z5">
    <w:name w:val="WW8Num7z5"/>
    <w:qFormat/>
    <w:rsid w:val="00671CE2"/>
  </w:style>
  <w:style w:type="character" w:customStyle="1" w:styleId="WW8Num7z6">
    <w:name w:val="WW8Num7z6"/>
    <w:qFormat/>
    <w:rsid w:val="00671CE2"/>
  </w:style>
  <w:style w:type="character" w:customStyle="1" w:styleId="WW8Num7z7">
    <w:name w:val="WW8Num7z7"/>
    <w:qFormat/>
    <w:rsid w:val="00671CE2"/>
  </w:style>
  <w:style w:type="character" w:customStyle="1" w:styleId="WW8Num7z8">
    <w:name w:val="WW8Num7z8"/>
    <w:qFormat/>
    <w:rsid w:val="00671CE2"/>
  </w:style>
  <w:style w:type="character" w:customStyle="1" w:styleId="WW8Num10z3">
    <w:name w:val="WW8Num10z3"/>
    <w:qFormat/>
    <w:rsid w:val="00671CE2"/>
  </w:style>
  <w:style w:type="character" w:customStyle="1" w:styleId="WW8Num10z4">
    <w:name w:val="WW8Num10z4"/>
    <w:qFormat/>
    <w:rsid w:val="00671CE2"/>
  </w:style>
  <w:style w:type="character" w:customStyle="1" w:styleId="WW8Num10z5">
    <w:name w:val="WW8Num10z5"/>
    <w:qFormat/>
    <w:rsid w:val="00671CE2"/>
  </w:style>
  <w:style w:type="character" w:customStyle="1" w:styleId="WW8Num10z6">
    <w:name w:val="WW8Num10z6"/>
    <w:qFormat/>
    <w:rsid w:val="00671CE2"/>
  </w:style>
  <w:style w:type="character" w:customStyle="1" w:styleId="WW8Num10z7">
    <w:name w:val="WW8Num10z7"/>
    <w:qFormat/>
    <w:rsid w:val="00671CE2"/>
  </w:style>
  <w:style w:type="character" w:customStyle="1" w:styleId="WW8Num10z8">
    <w:name w:val="WW8Num10z8"/>
    <w:qFormat/>
    <w:rsid w:val="00671CE2"/>
  </w:style>
  <w:style w:type="character" w:customStyle="1" w:styleId="WW8Num11z3">
    <w:name w:val="WW8Num11z3"/>
    <w:qFormat/>
    <w:rsid w:val="00671CE2"/>
  </w:style>
  <w:style w:type="character" w:customStyle="1" w:styleId="WW8Num11z4">
    <w:name w:val="WW8Num11z4"/>
    <w:qFormat/>
    <w:rsid w:val="00671CE2"/>
  </w:style>
  <w:style w:type="character" w:customStyle="1" w:styleId="WW8Num11z5">
    <w:name w:val="WW8Num11z5"/>
    <w:qFormat/>
    <w:rsid w:val="00671CE2"/>
  </w:style>
  <w:style w:type="character" w:customStyle="1" w:styleId="WW8Num11z6">
    <w:name w:val="WW8Num11z6"/>
    <w:qFormat/>
    <w:rsid w:val="00671CE2"/>
  </w:style>
  <w:style w:type="character" w:customStyle="1" w:styleId="WW8Num11z7">
    <w:name w:val="WW8Num11z7"/>
    <w:qFormat/>
    <w:rsid w:val="00671CE2"/>
  </w:style>
  <w:style w:type="character" w:customStyle="1" w:styleId="WW8Num11z8">
    <w:name w:val="WW8Num11z8"/>
    <w:qFormat/>
    <w:rsid w:val="00671CE2"/>
  </w:style>
  <w:style w:type="character" w:customStyle="1" w:styleId="WW8Num12z3">
    <w:name w:val="WW8Num12z3"/>
    <w:qFormat/>
    <w:rsid w:val="00671CE2"/>
  </w:style>
  <w:style w:type="character" w:customStyle="1" w:styleId="WW8Num12z4">
    <w:name w:val="WW8Num12z4"/>
    <w:qFormat/>
    <w:rsid w:val="00671CE2"/>
  </w:style>
  <w:style w:type="character" w:customStyle="1" w:styleId="WW8Num12z5">
    <w:name w:val="WW8Num12z5"/>
    <w:qFormat/>
    <w:rsid w:val="00671CE2"/>
  </w:style>
  <w:style w:type="character" w:customStyle="1" w:styleId="WW8Num12z6">
    <w:name w:val="WW8Num12z6"/>
    <w:qFormat/>
    <w:rsid w:val="00671CE2"/>
  </w:style>
  <w:style w:type="character" w:customStyle="1" w:styleId="WW8Num12z7">
    <w:name w:val="WW8Num12z7"/>
    <w:qFormat/>
    <w:rsid w:val="00671CE2"/>
  </w:style>
  <w:style w:type="character" w:customStyle="1" w:styleId="WW8Num12z8">
    <w:name w:val="WW8Num12z8"/>
    <w:qFormat/>
    <w:rsid w:val="00671CE2"/>
  </w:style>
  <w:style w:type="character" w:customStyle="1" w:styleId="WW8Num15z2">
    <w:name w:val="WW8Num15z2"/>
    <w:qFormat/>
    <w:rsid w:val="00671CE2"/>
    <w:rPr>
      <w:rFonts w:ascii="Wingdings" w:hAnsi="Wingdings" w:cs="Wingdings"/>
      <w:sz w:val="20"/>
    </w:rPr>
  </w:style>
  <w:style w:type="character" w:customStyle="1" w:styleId="WW8Num16z2">
    <w:name w:val="WW8Num16z2"/>
    <w:qFormat/>
    <w:rsid w:val="00671CE2"/>
    <w:rPr>
      <w:rFonts w:ascii="Wingdings" w:hAnsi="Wingdings" w:cs="Wingdings"/>
      <w:sz w:val="20"/>
    </w:rPr>
  </w:style>
  <w:style w:type="character" w:customStyle="1" w:styleId="WW8Num17z2">
    <w:name w:val="WW8Num17z2"/>
    <w:qFormat/>
    <w:rsid w:val="00671CE2"/>
    <w:rPr>
      <w:rFonts w:ascii="Wingdings" w:hAnsi="Wingdings" w:cs="Wingdings"/>
      <w:sz w:val="20"/>
    </w:rPr>
  </w:style>
  <w:style w:type="character" w:customStyle="1" w:styleId="Fuentedeprrafopredeter1">
    <w:name w:val="Fuente de párrafo predeter.1"/>
    <w:qFormat/>
    <w:rsid w:val="00671CE2"/>
  </w:style>
  <w:style w:type="character" w:customStyle="1" w:styleId="EnlacedeInternetvisitado">
    <w:name w:val="Enlace de Internet visitado"/>
    <w:rsid w:val="00671CE2"/>
    <w:rPr>
      <w:color w:val="800000"/>
      <w:u w:val="single"/>
    </w:rPr>
  </w:style>
  <w:style w:type="character" w:customStyle="1" w:styleId="Muydestacado">
    <w:name w:val="Muy destacado"/>
    <w:qFormat/>
    <w:rsid w:val="00671CE2"/>
    <w:rPr>
      <w:b/>
      <w:bCs/>
    </w:rPr>
  </w:style>
  <w:style w:type="character" w:customStyle="1" w:styleId="Destacado">
    <w:name w:val="Destacado"/>
    <w:qFormat/>
    <w:rsid w:val="00671CE2"/>
    <w:rPr>
      <w:i/>
      <w:iCs/>
    </w:rPr>
  </w:style>
  <w:style w:type="character" w:customStyle="1" w:styleId="Vietas">
    <w:name w:val="Viñetas"/>
    <w:qFormat/>
    <w:rsid w:val="00671CE2"/>
    <w:rPr>
      <w:rFonts w:ascii="OpenSymbol;Arial Unicode MS" w:eastAsia="OpenSymbol;Arial Unicode MS" w:hAnsi="OpenSymbol;Arial Unicode MS" w:cs="OpenSymbol;Arial Unicode MS"/>
    </w:rPr>
  </w:style>
  <w:style w:type="character" w:customStyle="1" w:styleId="ListLabel53">
    <w:name w:val="ListLabel 53"/>
    <w:qFormat/>
    <w:rsid w:val="00671CE2"/>
    <w:rPr>
      <w:b/>
      <w:sz w:val="20"/>
    </w:rPr>
  </w:style>
  <w:style w:type="character" w:customStyle="1" w:styleId="Tipusdelletraperdefectedelpargraf">
    <w:name w:val="Tipus de lletra per defecte del paràgraf"/>
    <w:qFormat/>
    <w:rsid w:val="00671CE2"/>
  </w:style>
  <w:style w:type="character" w:customStyle="1" w:styleId="Fuentedeprrafopredeter2">
    <w:name w:val="Fuente de párrafo predeter.2"/>
    <w:qFormat/>
    <w:rsid w:val="00671CE2"/>
  </w:style>
  <w:style w:type="character" w:customStyle="1" w:styleId="WWCharLFO2LVL1">
    <w:name w:val="WW_CharLFO2LVL1"/>
    <w:qFormat/>
    <w:rsid w:val="00671CE2"/>
    <w:rPr>
      <w:rFonts w:ascii="OpenSymbol" w:eastAsia="OpenSymbol" w:hAnsi="OpenSymbol" w:cs="OpenSymbol"/>
      <w:color w:val="993333"/>
    </w:rPr>
  </w:style>
  <w:style w:type="character" w:customStyle="1" w:styleId="WWCharLFO2LVL2">
    <w:name w:val="WW_CharLFO2LVL2"/>
    <w:qFormat/>
    <w:rsid w:val="00671CE2"/>
    <w:rPr>
      <w:rFonts w:ascii="OpenSymbol" w:eastAsia="OpenSymbol" w:hAnsi="OpenSymbol" w:cs="OpenSymbol"/>
      <w:color w:val="993333"/>
    </w:rPr>
  </w:style>
  <w:style w:type="character" w:customStyle="1" w:styleId="WWCharLFO2LVL3">
    <w:name w:val="WW_CharLFO2LVL3"/>
    <w:qFormat/>
    <w:rsid w:val="00671CE2"/>
    <w:rPr>
      <w:rFonts w:ascii="OpenSymbol" w:eastAsia="OpenSymbol" w:hAnsi="OpenSymbol" w:cs="OpenSymbol"/>
      <w:color w:val="993333"/>
    </w:rPr>
  </w:style>
  <w:style w:type="character" w:customStyle="1" w:styleId="WWCharLFO2LVL4">
    <w:name w:val="WW_CharLFO2LVL4"/>
    <w:qFormat/>
    <w:rsid w:val="00671CE2"/>
    <w:rPr>
      <w:rFonts w:ascii="OpenSymbol" w:eastAsia="OpenSymbol" w:hAnsi="OpenSymbol" w:cs="OpenSymbol"/>
      <w:color w:val="993333"/>
    </w:rPr>
  </w:style>
  <w:style w:type="character" w:customStyle="1" w:styleId="WWCharLFO2LVL5">
    <w:name w:val="WW_CharLFO2LVL5"/>
    <w:qFormat/>
    <w:rsid w:val="00671CE2"/>
    <w:rPr>
      <w:rFonts w:ascii="OpenSymbol" w:eastAsia="OpenSymbol" w:hAnsi="OpenSymbol" w:cs="OpenSymbol"/>
      <w:color w:val="993333"/>
    </w:rPr>
  </w:style>
  <w:style w:type="character" w:customStyle="1" w:styleId="WWCharLFO2LVL6">
    <w:name w:val="WW_CharLFO2LVL6"/>
    <w:qFormat/>
    <w:rsid w:val="00671CE2"/>
    <w:rPr>
      <w:rFonts w:ascii="OpenSymbol" w:eastAsia="OpenSymbol" w:hAnsi="OpenSymbol" w:cs="OpenSymbol"/>
      <w:color w:val="993333"/>
    </w:rPr>
  </w:style>
  <w:style w:type="character" w:customStyle="1" w:styleId="WWCharLFO2LVL7">
    <w:name w:val="WW_CharLFO2LVL7"/>
    <w:qFormat/>
    <w:rsid w:val="00671CE2"/>
    <w:rPr>
      <w:rFonts w:ascii="OpenSymbol" w:eastAsia="OpenSymbol" w:hAnsi="OpenSymbol" w:cs="OpenSymbol"/>
      <w:color w:val="993333"/>
    </w:rPr>
  </w:style>
  <w:style w:type="character" w:customStyle="1" w:styleId="WWCharLFO2LVL8">
    <w:name w:val="WW_CharLFO2LVL8"/>
    <w:qFormat/>
    <w:rsid w:val="00671CE2"/>
    <w:rPr>
      <w:rFonts w:ascii="OpenSymbol" w:eastAsia="OpenSymbol" w:hAnsi="OpenSymbol" w:cs="OpenSymbol"/>
      <w:color w:val="993333"/>
    </w:rPr>
  </w:style>
  <w:style w:type="character" w:customStyle="1" w:styleId="WWCharLFO2LVL9">
    <w:name w:val="WW_CharLFO2LVL9"/>
    <w:qFormat/>
    <w:rsid w:val="00671CE2"/>
    <w:rPr>
      <w:rFonts w:ascii="OpenSymbol" w:eastAsia="OpenSymbol" w:hAnsi="OpenSymbol" w:cs="OpenSymbol"/>
      <w:color w:val="993333"/>
    </w:rPr>
  </w:style>
  <w:style w:type="character" w:customStyle="1" w:styleId="WWCharLFO3LVL1">
    <w:name w:val="WW_CharLFO3LVL1"/>
    <w:qFormat/>
    <w:rsid w:val="00671CE2"/>
    <w:rPr>
      <w:rFonts w:ascii="OpenSymbol" w:eastAsia="OpenSymbol" w:hAnsi="OpenSymbol" w:cs="OpenSymbol"/>
      <w:color w:val="993333"/>
    </w:rPr>
  </w:style>
  <w:style w:type="character" w:customStyle="1" w:styleId="WWCharLFO3LVL2">
    <w:name w:val="WW_CharLFO3LVL2"/>
    <w:qFormat/>
    <w:rsid w:val="00671CE2"/>
    <w:rPr>
      <w:rFonts w:ascii="OpenSymbol" w:eastAsia="OpenSymbol" w:hAnsi="OpenSymbol" w:cs="OpenSymbol"/>
      <w:color w:val="993333"/>
    </w:rPr>
  </w:style>
  <w:style w:type="character" w:customStyle="1" w:styleId="WWCharLFO3LVL3">
    <w:name w:val="WW_CharLFO3LVL3"/>
    <w:qFormat/>
    <w:rsid w:val="00671CE2"/>
    <w:rPr>
      <w:rFonts w:ascii="OpenSymbol" w:eastAsia="OpenSymbol" w:hAnsi="OpenSymbol" w:cs="OpenSymbol"/>
      <w:color w:val="993333"/>
    </w:rPr>
  </w:style>
  <w:style w:type="character" w:customStyle="1" w:styleId="WWCharLFO3LVL4">
    <w:name w:val="WW_CharLFO3LVL4"/>
    <w:qFormat/>
    <w:rsid w:val="00671CE2"/>
    <w:rPr>
      <w:rFonts w:ascii="OpenSymbol" w:eastAsia="OpenSymbol" w:hAnsi="OpenSymbol" w:cs="OpenSymbol"/>
      <w:color w:val="993333"/>
    </w:rPr>
  </w:style>
  <w:style w:type="character" w:customStyle="1" w:styleId="WWCharLFO3LVL5">
    <w:name w:val="WW_CharLFO3LVL5"/>
    <w:qFormat/>
    <w:rsid w:val="00671CE2"/>
    <w:rPr>
      <w:rFonts w:ascii="OpenSymbol" w:eastAsia="OpenSymbol" w:hAnsi="OpenSymbol" w:cs="OpenSymbol"/>
      <w:color w:val="993333"/>
    </w:rPr>
  </w:style>
  <w:style w:type="character" w:customStyle="1" w:styleId="WWCharLFO3LVL6">
    <w:name w:val="WW_CharLFO3LVL6"/>
    <w:qFormat/>
    <w:rsid w:val="00671CE2"/>
    <w:rPr>
      <w:rFonts w:ascii="OpenSymbol" w:eastAsia="OpenSymbol" w:hAnsi="OpenSymbol" w:cs="OpenSymbol"/>
      <w:color w:val="993333"/>
    </w:rPr>
  </w:style>
  <w:style w:type="character" w:customStyle="1" w:styleId="WWCharLFO3LVL7">
    <w:name w:val="WW_CharLFO3LVL7"/>
    <w:qFormat/>
    <w:rsid w:val="00671CE2"/>
    <w:rPr>
      <w:rFonts w:ascii="OpenSymbol" w:eastAsia="OpenSymbol" w:hAnsi="OpenSymbol" w:cs="OpenSymbol"/>
      <w:color w:val="993333"/>
    </w:rPr>
  </w:style>
  <w:style w:type="character" w:customStyle="1" w:styleId="WWCharLFO3LVL8">
    <w:name w:val="WW_CharLFO3LVL8"/>
    <w:qFormat/>
    <w:rsid w:val="00671CE2"/>
    <w:rPr>
      <w:rFonts w:ascii="OpenSymbol" w:eastAsia="OpenSymbol" w:hAnsi="OpenSymbol" w:cs="OpenSymbol"/>
      <w:color w:val="993333"/>
    </w:rPr>
  </w:style>
  <w:style w:type="character" w:customStyle="1" w:styleId="WWCharLFO3LVL9">
    <w:name w:val="WW_CharLFO3LVL9"/>
    <w:qFormat/>
    <w:rsid w:val="00671CE2"/>
    <w:rPr>
      <w:rFonts w:ascii="OpenSymbol" w:eastAsia="OpenSymbol" w:hAnsi="OpenSymbol" w:cs="OpenSymbol"/>
      <w:color w:val="993333"/>
    </w:rPr>
  </w:style>
  <w:style w:type="paragraph" w:styleId="Lista">
    <w:name w:val="List"/>
    <w:basedOn w:val="Textoindependiente"/>
    <w:rsid w:val="00671CE2"/>
    <w:pPr>
      <w:suppressAutoHyphens/>
    </w:pPr>
    <w:rPr>
      <w:rFonts w:ascii="Calibri" w:eastAsia="Calibri" w:hAnsi="Calibri"/>
      <w:kern w:val="0"/>
      <w:sz w:val="22"/>
      <w:szCs w:val="22"/>
      <w:lang w:bidi="ar-SA"/>
    </w:rPr>
  </w:style>
  <w:style w:type="paragraph" w:customStyle="1" w:styleId="ndice">
    <w:name w:val="Índice"/>
    <w:basedOn w:val="Normal"/>
    <w:qFormat/>
    <w:rsid w:val="00671CE2"/>
    <w:pPr>
      <w:suppressLineNumbers/>
      <w:suppressAutoHyphens/>
      <w:spacing w:line="252" w:lineRule="auto"/>
    </w:pPr>
    <w:rPr>
      <w:rFonts w:ascii="Calibri" w:eastAsia="Calibri" w:hAnsi="Calibri" w:cs="Arial"/>
      <w:lang w:eastAsia="zh-CN"/>
    </w:rPr>
  </w:style>
  <w:style w:type="paragraph" w:customStyle="1" w:styleId="Ttulo10">
    <w:name w:val="Título1"/>
    <w:basedOn w:val="Normal"/>
    <w:next w:val="Textoindependiente"/>
    <w:qFormat/>
    <w:rsid w:val="00671CE2"/>
    <w:pPr>
      <w:keepNext/>
      <w:suppressAutoHyphens/>
      <w:spacing w:before="240" w:after="120" w:line="252" w:lineRule="auto"/>
    </w:pPr>
    <w:rPr>
      <w:rFonts w:ascii="Liberation Sans;Arial" w:eastAsia="Microsoft YaHei" w:hAnsi="Liberation Sans;Arial" w:cs="Arial"/>
      <w:sz w:val="28"/>
      <w:szCs w:val="28"/>
      <w:lang w:eastAsia="zh-CN"/>
    </w:rPr>
  </w:style>
  <w:style w:type="paragraph" w:customStyle="1" w:styleId="msonormal0">
    <w:name w:val="msonormal"/>
    <w:basedOn w:val="Normal"/>
    <w:qFormat/>
    <w:rsid w:val="00671CE2"/>
    <w:pPr>
      <w:suppressAutoHyphens/>
      <w:spacing w:before="280" w:after="142" w:line="288" w:lineRule="auto"/>
    </w:pPr>
    <w:rPr>
      <w:rFonts w:ascii="Times New Roman" w:eastAsia="Times New Roman" w:hAnsi="Times New Roman" w:cs="Times New Roman"/>
      <w:sz w:val="24"/>
      <w:szCs w:val="24"/>
      <w:lang w:eastAsia="zh-CN"/>
    </w:rPr>
  </w:style>
  <w:style w:type="paragraph" w:customStyle="1" w:styleId="Default">
    <w:name w:val="Default"/>
    <w:qFormat/>
    <w:rsid w:val="00671CE2"/>
    <w:pPr>
      <w:widowControl w:val="0"/>
      <w:suppressAutoHyphens/>
      <w:spacing w:after="0" w:line="240" w:lineRule="auto"/>
    </w:pPr>
    <w:rPr>
      <w:rFonts w:ascii="Arial" w:eastAsia="NSimSun" w:hAnsi="Arial" w:cs="Arial"/>
      <w:color w:val="000000"/>
      <w:sz w:val="24"/>
      <w:szCs w:val="24"/>
      <w:lang w:eastAsia="zh-CN" w:bidi="hi-IN"/>
    </w:rPr>
  </w:style>
  <w:style w:type="paragraph" w:customStyle="1" w:styleId="Contenidodelatabla">
    <w:name w:val="Contenido de la tabla"/>
    <w:basedOn w:val="Normal"/>
    <w:qFormat/>
    <w:rsid w:val="00671CE2"/>
    <w:pPr>
      <w:suppressLineNumbers/>
      <w:suppressAutoHyphens/>
      <w:spacing w:line="252" w:lineRule="auto"/>
    </w:pPr>
    <w:rPr>
      <w:rFonts w:ascii="Calibri" w:eastAsia="Calibri" w:hAnsi="Calibri" w:cs="Calibri"/>
      <w:lang w:eastAsia="zh-CN"/>
    </w:rPr>
  </w:style>
  <w:style w:type="paragraph" w:customStyle="1" w:styleId="ndicedeusuario4">
    <w:name w:val="Índice de usuario 4"/>
    <w:basedOn w:val="ndice"/>
    <w:qFormat/>
    <w:rsid w:val="00671CE2"/>
    <w:pPr>
      <w:tabs>
        <w:tab w:val="right" w:leader="dot" w:pos="8789"/>
      </w:tabs>
      <w:ind w:left="849"/>
    </w:pPr>
  </w:style>
  <w:style w:type="paragraph" w:customStyle="1" w:styleId="Standard">
    <w:name w:val="Standard"/>
    <w:qFormat/>
    <w:rsid w:val="00671CE2"/>
    <w:pPr>
      <w:widowControl w:val="0"/>
      <w:suppressAutoHyphens/>
      <w:spacing w:after="0" w:line="240" w:lineRule="auto"/>
      <w:textAlignment w:val="baseline"/>
    </w:pPr>
    <w:rPr>
      <w:rFonts w:ascii="Liberation Serif" w:eastAsia="NSimSun" w:hAnsi="Liberation Serif" w:cs="Arial"/>
      <w:sz w:val="24"/>
      <w:szCs w:val="24"/>
      <w:lang w:eastAsia="zh-CN" w:bidi="hi-IN"/>
    </w:rPr>
  </w:style>
  <w:style w:type="paragraph" w:customStyle="1" w:styleId="Textbody">
    <w:name w:val="Text body"/>
    <w:basedOn w:val="Standard"/>
    <w:qFormat/>
    <w:rsid w:val="00671CE2"/>
    <w:pPr>
      <w:spacing w:after="140" w:line="288" w:lineRule="auto"/>
    </w:pPr>
  </w:style>
  <w:style w:type="paragraph" w:customStyle="1" w:styleId="ndicedeusuario3">
    <w:name w:val="Índice de usuario 3"/>
    <w:basedOn w:val="ndice"/>
    <w:qFormat/>
    <w:rsid w:val="00671CE2"/>
    <w:pPr>
      <w:tabs>
        <w:tab w:val="right" w:leader="dot" w:pos="9072"/>
      </w:tabs>
      <w:ind w:left="566"/>
    </w:pPr>
  </w:style>
  <w:style w:type="numbering" w:customStyle="1" w:styleId="WW8Num1">
    <w:name w:val="WW8Num1"/>
    <w:qFormat/>
    <w:rsid w:val="00671CE2"/>
  </w:style>
  <w:style w:type="numbering" w:customStyle="1" w:styleId="WW8Num2">
    <w:name w:val="WW8Num2"/>
    <w:qFormat/>
    <w:rsid w:val="00671CE2"/>
  </w:style>
  <w:style w:type="numbering" w:customStyle="1" w:styleId="WW8Num3">
    <w:name w:val="WW8Num3"/>
    <w:qFormat/>
    <w:rsid w:val="00671CE2"/>
  </w:style>
  <w:style w:type="numbering" w:customStyle="1" w:styleId="WW8Num4">
    <w:name w:val="WW8Num4"/>
    <w:qFormat/>
    <w:rsid w:val="00671CE2"/>
  </w:style>
  <w:style w:type="numbering" w:customStyle="1" w:styleId="WW8Num5">
    <w:name w:val="WW8Num5"/>
    <w:qFormat/>
    <w:rsid w:val="00671CE2"/>
  </w:style>
  <w:style w:type="numbering" w:customStyle="1" w:styleId="WW8Num6">
    <w:name w:val="WW8Num6"/>
    <w:qFormat/>
    <w:rsid w:val="00671CE2"/>
  </w:style>
  <w:style w:type="numbering" w:customStyle="1" w:styleId="WW8Num7">
    <w:name w:val="WW8Num7"/>
    <w:qFormat/>
    <w:rsid w:val="00671CE2"/>
  </w:style>
  <w:style w:type="numbering" w:customStyle="1" w:styleId="WW8Num8">
    <w:name w:val="WW8Num8"/>
    <w:qFormat/>
    <w:rsid w:val="00671CE2"/>
  </w:style>
  <w:style w:type="numbering" w:customStyle="1" w:styleId="WW8Num9">
    <w:name w:val="WW8Num9"/>
    <w:qFormat/>
    <w:rsid w:val="00671CE2"/>
  </w:style>
  <w:style w:type="numbering" w:customStyle="1" w:styleId="WW8Num10">
    <w:name w:val="WW8Num10"/>
    <w:qFormat/>
    <w:rsid w:val="00671CE2"/>
  </w:style>
  <w:style w:type="numbering" w:customStyle="1" w:styleId="WW8Num11">
    <w:name w:val="WW8Num11"/>
    <w:qFormat/>
    <w:rsid w:val="00671CE2"/>
  </w:style>
  <w:style w:type="numbering" w:customStyle="1" w:styleId="WW8Num12">
    <w:name w:val="WW8Num12"/>
    <w:qFormat/>
    <w:rsid w:val="00671CE2"/>
  </w:style>
  <w:style w:type="numbering" w:customStyle="1" w:styleId="WW8Num13">
    <w:name w:val="WW8Num13"/>
    <w:qFormat/>
    <w:rsid w:val="00671CE2"/>
  </w:style>
  <w:style w:type="numbering" w:customStyle="1" w:styleId="WW8Num14">
    <w:name w:val="WW8Num14"/>
    <w:qFormat/>
    <w:rsid w:val="00671CE2"/>
  </w:style>
  <w:style w:type="numbering" w:customStyle="1" w:styleId="WW8Num15">
    <w:name w:val="WW8Num15"/>
    <w:qFormat/>
    <w:rsid w:val="00671CE2"/>
  </w:style>
  <w:style w:type="numbering" w:customStyle="1" w:styleId="WW8Num16">
    <w:name w:val="WW8Num16"/>
    <w:qFormat/>
    <w:rsid w:val="00671CE2"/>
  </w:style>
  <w:style w:type="numbering" w:customStyle="1" w:styleId="WW8Num17">
    <w:name w:val="WW8Num17"/>
    <w:qFormat/>
    <w:rsid w:val="00671CE2"/>
  </w:style>
  <w:style w:type="numbering" w:customStyle="1" w:styleId="WW8Num18">
    <w:name w:val="WW8Num18"/>
    <w:qFormat/>
    <w:rsid w:val="00671CE2"/>
  </w:style>
  <w:style w:type="numbering" w:customStyle="1" w:styleId="WW8Num19">
    <w:name w:val="WW8Num19"/>
    <w:qFormat/>
    <w:rsid w:val="00671CE2"/>
  </w:style>
  <w:style w:type="numbering" w:customStyle="1" w:styleId="WW8Num20">
    <w:name w:val="WW8Num20"/>
    <w:qFormat/>
    <w:rsid w:val="00671CE2"/>
  </w:style>
  <w:style w:type="numbering" w:customStyle="1" w:styleId="WW8Num21">
    <w:name w:val="WW8Num21"/>
    <w:qFormat/>
    <w:rsid w:val="00671CE2"/>
  </w:style>
  <w:style w:type="numbering" w:customStyle="1" w:styleId="WW8Num22">
    <w:name w:val="WW8Num22"/>
    <w:qFormat/>
    <w:rsid w:val="00671CE2"/>
  </w:style>
  <w:style w:type="numbering" w:customStyle="1" w:styleId="WW8Num23">
    <w:name w:val="WW8Num23"/>
    <w:qFormat/>
    <w:rsid w:val="00671CE2"/>
  </w:style>
  <w:style w:type="numbering" w:customStyle="1" w:styleId="WW8Num24">
    <w:name w:val="WW8Num24"/>
    <w:qFormat/>
    <w:rsid w:val="00671CE2"/>
  </w:style>
  <w:style w:type="numbering" w:customStyle="1" w:styleId="WW8Num25">
    <w:name w:val="WW8Num25"/>
    <w:qFormat/>
    <w:rsid w:val="00671CE2"/>
  </w:style>
  <w:style w:type="numbering" w:customStyle="1" w:styleId="WW8Num26">
    <w:name w:val="WW8Num26"/>
    <w:qFormat/>
    <w:rsid w:val="00671CE2"/>
  </w:style>
  <w:style w:type="numbering" w:customStyle="1" w:styleId="WW8Num27">
    <w:name w:val="WW8Num27"/>
    <w:qFormat/>
    <w:rsid w:val="00671CE2"/>
  </w:style>
  <w:style w:type="numbering" w:customStyle="1" w:styleId="WW8Num28">
    <w:name w:val="WW8Num28"/>
    <w:qFormat/>
    <w:rsid w:val="00671CE2"/>
  </w:style>
  <w:style w:type="numbering" w:customStyle="1" w:styleId="WW8Num29">
    <w:name w:val="WW8Num29"/>
    <w:qFormat/>
    <w:rsid w:val="00671CE2"/>
  </w:style>
  <w:style w:type="numbering" w:customStyle="1" w:styleId="WW8Num30">
    <w:name w:val="WW8Num30"/>
    <w:qFormat/>
    <w:rsid w:val="00671CE2"/>
  </w:style>
  <w:style w:type="numbering" w:customStyle="1" w:styleId="WW8Num31">
    <w:name w:val="WW8Num31"/>
    <w:qFormat/>
    <w:rsid w:val="00671CE2"/>
  </w:style>
  <w:style w:type="numbering" w:customStyle="1" w:styleId="WW8Num32">
    <w:name w:val="WW8Num32"/>
    <w:qFormat/>
    <w:rsid w:val="00671CE2"/>
  </w:style>
  <w:style w:type="table" w:customStyle="1" w:styleId="Tablaconcuadrcula2">
    <w:name w:val="Tabla con cuadrícula2"/>
    <w:basedOn w:val="Tablanormal"/>
    <w:next w:val="Tablaconcuadrcula"/>
    <w:uiPriority w:val="39"/>
    <w:rsid w:val="0080128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
    <w:name w:val="Sin lista2"/>
    <w:next w:val="Sinlista"/>
    <w:uiPriority w:val="99"/>
    <w:semiHidden/>
    <w:unhideWhenUsed/>
    <w:rsid w:val="009568B0"/>
  </w:style>
  <w:style w:type="numbering" w:customStyle="1" w:styleId="Sinlista3">
    <w:name w:val="Sin lista3"/>
    <w:next w:val="Sinlista"/>
    <w:uiPriority w:val="99"/>
    <w:semiHidden/>
    <w:unhideWhenUsed/>
    <w:rsid w:val="000952B8"/>
  </w:style>
  <w:style w:type="character" w:styleId="Mencinsinresolver">
    <w:name w:val="Unresolved Mention"/>
    <w:basedOn w:val="Fuentedeprrafopredeter"/>
    <w:uiPriority w:val="99"/>
    <w:semiHidden/>
    <w:unhideWhenUsed/>
    <w:qFormat/>
    <w:rsid w:val="000952B8"/>
    <w:rPr>
      <w:color w:val="605E5C"/>
      <w:shd w:val="clear" w:color="auto" w:fill="E1DFDD"/>
    </w:rPr>
  </w:style>
  <w:style w:type="character" w:customStyle="1" w:styleId="ListLabel1">
    <w:name w:val="ListLabel 1"/>
    <w:qFormat/>
    <w:rsid w:val="000952B8"/>
    <w:rPr>
      <w:rFonts w:ascii="Times New Roman" w:hAnsi="Times New Roman"/>
      <w:sz w:val="24"/>
    </w:rPr>
  </w:style>
  <w:style w:type="character" w:customStyle="1" w:styleId="ListLabel2">
    <w:name w:val="ListLabel 2"/>
    <w:qFormat/>
    <w:rsid w:val="000952B8"/>
    <w:rPr>
      <w:sz w:val="20"/>
    </w:rPr>
  </w:style>
  <w:style w:type="character" w:customStyle="1" w:styleId="ListLabel3">
    <w:name w:val="ListLabel 3"/>
    <w:qFormat/>
    <w:rsid w:val="000952B8"/>
    <w:rPr>
      <w:sz w:val="20"/>
    </w:rPr>
  </w:style>
  <w:style w:type="character" w:customStyle="1" w:styleId="ListLabel4">
    <w:name w:val="ListLabel 4"/>
    <w:qFormat/>
    <w:rsid w:val="000952B8"/>
    <w:rPr>
      <w:sz w:val="20"/>
    </w:rPr>
  </w:style>
  <w:style w:type="character" w:customStyle="1" w:styleId="ListLabel5">
    <w:name w:val="ListLabel 5"/>
    <w:qFormat/>
    <w:rsid w:val="000952B8"/>
    <w:rPr>
      <w:sz w:val="20"/>
    </w:rPr>
  </w:style>
  <w:style w:type="character" w:customStyle="1" w:styleId="ListLabel6">
    <w:name w:val="ListLabel 6"/>
    <w:qFormat/>
    <w:rsid w:val="000952B8"/>
    <w:rPr>
      <w:sz w:val="20"/>
    </w:rPr>
  </w:style>
  <w:style w:type="character" w:customStyle="1" w:styleId="ListLabel7">
    <w:name w:val="ListLabel 7"/>
    <w:qFormat/>
    <w:rsid w:val="000952B8"/>
    <w:rPr>
      <w:sz w:val="20"/>
    </w:rPr>
  </w:style>
  <w:style w:type="character" w:customStyle="1" w:styleId="ListLabel8">
    <w:name w:val="ListLabel 8"/>
    <w:qFormat/>
    <w:rsid w:val="000952B8"/>
    <w:rPr>
      <w:sz w:val="20"/>
    </w:rPr>
  </w:style>
  <w:style w:type="character" w:customStyle="1" w:styleId="ListLabel9">
    <w:name w:val="ListLabel 9"/>
    <w:qFormat/>
    <w:rsid w:val="000952B8"/>
    <w:rPr>
      <w:sz w:val="20"/>
    </w:rPr>
  </w:style>
  <w:style w:type="character" w:customStyle="1" w:styleId="ListLabel10">
    <w:name w:val="ListLabel 10"/>
    <w:qFormat/>
    <w:rsid w:val="000952B8"/>
    <w:rPr>
      <w:rFonts w:ascii="Times New Roman" w:hAnsi="Times New Roman"/>
      <w:sz w:val="24"/>
    </w:rPr>
  </w:style>
  <w:style w:type="character" w:customStyle="1" w:styleId="ListLabel11">
    <w:name w:val="ListLabel 11"/>
    <w:qFormat/>
    <w:rsid w:val="000952B8"/>
    <w:rPr>
      <w:sz w:val="20"/>
    </w:rPr>
  </w:style>
  <w:style w:type="character" w:customStyle="1" w:styleId="ListLabel12">
    <w:name w:val="ListLabel 12"/>
    <w:qFormat/>
    <w:rsid w:val="000952B8"/>
    <w:rPr>
      <w:sz w:val="20"/>
    </w:rPr>
  </w:style>
  <w:style w:type="character" w:customStyle="1" w:styleId="ListLabel13">
    <w:name w:val="ListLabel 13"/>
    <w:qFormat/>
    <w:rsid w:val="000952B8"/>
    <w:rPr>
      <w:sz w:val="20"/>
    </w:rPr>
  </w:style>
  <w:style w:type="character" w:customStyle="1" w:styleId="ListLabel14">
    <w:name w:val="ListLabel 14"/>
    <w:qFormat/>
    <w:rsid w:val="000952B8"/>
    <w:rPr>
      <w:sz w:val="20"/>
    </w:rPr>
  </w:style>
  <w:style w:type="character" w:customStyle="1" w:styleId="ListLabel15">
    <w:name w:val="ListLabel 15"/>
    <w:qFormat/>
    <w:rsid w:val="000952B8"/>
    <w:rPr>
      <w:sz w:val="20"/>
    </w:rPr>
  </w:style>
  <w:style w:type="character" w:customStyle="1" w:styleId="ListLabel16">
    <w:name w:val="ListLabel 16"/>
    <w:qFormat/>
    <w:rsid w:val="000952B8"/>
    <w:rPr>
      <w:sz w:val="20"/>
    </w:rPr>
  </w:style>
  <w:style w:type="character" w:customStyle="1" w:styleId="ListLabel17">
    <w:name w:val="ListLabel 17"/>
    <w:qFormat/>
    <w:rsid w:val="000952B8"/>
    <w:rPr>
      <w:sz w:val="20"/>
    </w:rPr>
  </w:style>
  <w:style w:type="character" w:customStyle="1" w:styleId="ListLabel18">
    <w:name w:val="ListLabel 18"/>
    <w:qFormat/>
    <w:rsid w:val="000952B8"/>
    <w:rPr>
      <w:sz w:val="20"/>
    </w:rPr>
  </w:style>
  <w:style w:type="character" w:customStyle="1" w:styleId="ListLabel19">
    <w:name w:val="ListLabel 19"/>
    <w:qFormat/>
    <w:rsid w:val="000952B8"/>
    <w:rPr>
      <w:rFonts w:ascii="Times New Roman" w:hAnsi="Times New Roman"/>
      <w:sz w:val="24"/>
    </w:rPr>
  </w:style>
  <w:style w:type="character" w:customStyle="1" w:styleId="ListLabel20">
    <w:name w:val="ListLabel 20"/>
    <w:qFormat/>
    <w:rsid w:val="000952B8"/>
    <w:rPr>
      <w:sz w:val="20"/>
    </w:rPr>
  </w:style>
  <w:style w:type="character" w:customStyle="1" w:styleId="ListLabel21">
    <w:name w:val="ListLabel 21"/>
    <w:qFormat/>
    <w:rsid w:val="000952B8"/>
    <w:rPr>
      <w:sz w:val="20"/>
    </w:rPr>
  </w:style>
  <w:style w:type="character" w:customStyle="1" w:styleId="ListLabel22">
    <w:name w:val="ListLabel 22"/>
    <w:qFormat/>
    <w:rsid w:val="000952B8"/>
    <w:rPr>
      <w:sz w:val="20"/>
    </w:rPr>
  </w:style>
  <w:style w:type="character" w:customStyle="1" w:styleId="ListLabel23">
    <w:name w:val="ListLabel 23"/>
    <w:qFormat/>
    <w:rsid w:val="000952B8"/>
    <w:rPr>
      <w:sz w:val="20"/>
    </w:rPr>
  </w:style>
  <w:style w:type="character" w:customStyle="1" w:styleId="ListLabel24">
    <w:name w:val="ListLabel 24"/>
    <w:qFormat/>
    <w:rsid w:val="000952B8"/>
    <w:rPr>
      <w:sz w:val="20"/>
    </w:rPr>
  </w:style>
  <w:style w:type="character" w:customStyle="1" w:styleId="ListLabel25">
    <w:name w:val="ListLabel 25"/>
    <w:qFormat/>
    <w:rsid w:val="000952B8"/>
    <w:rPr>
      <w:sz w:val="20"/>
    </w:rPr>
  </w:style>
  <w:style w:type="character" w:customStyle="1" w:styleId="ListLabel26">
    <w:name w:val="ListLabel 26"/>
    <w:qFormat/>
    <w:rsid w:val="000952B8"/>
    <w:rPr>
      <w:sz w:val="20"/>
    </w:rPr>
  </w:style>
  <w:style w:type="character" w:customStyle="1" w:styleId="ListLabel27">
    <w:name w:val="ListLabel 27"/>
    <w:qFormat/>
    <w:rsid w:val="000952B8"/>
    <w:rPr>
      <w:sz w:val="20"/>
    </w:rPr>
  </w:style>
  <w:style w:type="character" w:customStyle="1" w:styleId="ListLabel28">
    <w:name w:val="ListLabel 28"/>
    <w:qFormat/>
    <w:rsid w:val="000952B8"/>
    <w:rPr>
      <w:rFonts w:ascii="Open Sans" w:eastAsia="Times New Roman" w:hAnsi="Open Sans" w:cs="Open Sans"/>
      <w:color w:val="000080"/>
      <w:sz w:val="20"/>
      <w:szCs w:val="20"/>
      <w:u w:val="single"/>
      <w:lang w:val="ca-ES-valencia" w:eastAsia="es-ES"/>
    </w:rPr>
  </w:style>
  <w:style w:type="character" w:styleId="Refdecomentario">
    <w:name w:val="annotation reference"/>
    <w:basedOn w:val="Fuentedeprrafopredeter"/>
    <w:uiPriority w:val="99"/>
    <w:semiHidden/>
    <w:unhideWhenUsed/>
    <w:qFormat/>
    <w:rsid w:val="000952B8"/>
    <w:rPr>
      <w:sz w:val="16"/>
      <w:szCs w:val="16"/>
    </w:rPr>
  </w:style>
  <w:style w:type="character" w:customStyle="1" w:styleId="TextocomentarioCar">
    <w:name w:val="Texto comentario Car"/>
    <w:basedOn w:val="Fuentedeprrafopredeter"/>
    <w:link w:val="Textocomentario"/>
    <w:uiPriority w:val="99"/>
    <w:semiHidden/>
    <w:qFormat/>
    <w:rsid w:val="000952B8"/>
    <w:rPr>
      <w:sz w:val="20"/>
      <w:szCs w:val="20"/>
    </w:rPr>
  </w:style>
  <w:style w:type="character" w:customStyle="1" w:styleId="AsuntodelcomentarioCar">
    <w:name w:val="Asunto del comentario Car"/>
    <w:basedOn w:val="TextocomentarioCar"/>
    <w:link w:val="Asuntodelcomentario"/>
    <w:uiPriority w:val="99"/>
    <w:semiHidden/>
    <w:qFormat/>
    <w:rsid w:val="000952B8"/>
    <w:rPr>
      <w:b/>
      <w:bCs/>
      <w:sz w:val="20"/>
      <w:szCs w:val="20"/>
    </w:rPr>
  </w:style>
  <w:style w:type="character" w:customStyle="1" w:styleId="ListLabel29">
    <w:name w:val="ListLabel 29"/>
    <w:qFormat/>
    <w:rsid w:val="000952B8"/>
    <w:rPr>
      <w:rFonts w:ascii="Times New Roman" w:hAnsi="Times New Roman" w:cs="Symbol"/>
      <w:sz w:val="24"/>
    </w:rPr>
  </w:style>
  <w:style w:type="character" w:customStyle="1" w:styleId="ListLabel30">
    <w:name w:val="ListLabel 30"/>
    <w:qFormat/>
    <w:rsid w:val="000952B8"/>
    <w:rPr>
      <w:rFonts w:cs="Courier New"/>
      <w:sz w:val="20"/>
    </w:rPr>
  </w:style>
  <w:style w:type="character" w:customStyle="1" w:styleId="ListLabel31">
    <w:name w:val="ListLabel 31"/>
    <w:qFormat/>
    <w:rsid w:val="000952B8"/>
    <w:rPr>
      <w:rFonts w:cs="Wingdings"/>
      <w:sz w:val="20"/>
    </w:rPr>
  </w:style>
  <w:style w:type="character" w:customStyle="1" w:styleId="ListLabel32">
    <w:name w:val="ListLabel 32"/>
    <w:qFormat/>
    <w:rsid w:val="000952B8"/>
    <w:rPr>
      <w:rFonts w:cs="Wingdings"/>
      <w:sz w:val="20"/>
    </w:rPr>
  </w:style>
  <w:style w:type="character" w:customStyle="1" w:styleId="ListLabel33">
    <w:name w:val="ListLabel 33"/>
    <w:qFormat/>
    <w:rsid w:val="000952B8"/>
    <w:rPr>
      <w:rFonts w:cs="Wingdings"/>
      <w:sz w:val="20"/>
    </w:rPr>
  </w:style>
  <w:style w:type="character" w:customStyle="1" w:styleId="ListLabel34">
    <w:name w:val="ListLabel 34"/>
    <w:qFormat/>
    <w:rsid w:val="000952B8"/>
    <w:rPr>
      <w:rFonts w:cs="Wingdings"/>
      <w:sz w:val="20"/>
    </w:rPr>
  </w:style>
  <w:style w:type="character" w:customStyle="1" w:styleId="ListLabel35">
    <w:name w:val="ListLabel 35"/>
    <w:qFormat/>
    <w:rsid w:val="000952B8"/>
    <w:rPr>
      <w:rFonts w:cs="Wingdings"/>
      <w:sz w:val="20"/>
    </w:rPr>
  </w:style>
  <w:style w:type="character" w:customStyle="1" w:styleId="ListLabel36">
    <w:name w:val="ListLabel 36"/>
    <w:qFormat/>
    <w:rsid w:val="000952B8"/>
    <w:rPr>
      <w:rFonts w:cs="Wingdings"/>
      <w:sz w:val="20"/>
    </w:rPr>
  </w:style>
  <w:style w:type="character" w:customStyle="1" w:styleId="ListLabel37">
    <w:name w:val="ListLabel 37"/>
    <w:qFormat/>
    <w:rsid w:val="000952B8"/>
    <w:rPr>
      <w:rFonts w:cs="Wingdings"/>
      <w:sz w:val="20"/>
    </w:rPr>
  </w:style>
  <w:style w:type="character" w:customStyle="1" w:styleId="ListLabel38">
    <w:name w:val="ListLabel 38"/>
    <w:qFormat/>
    <w:rsid w:val="000952B8"/>
    <w:rPr>
      <w:rFonts w:ascii="Times New Roman" w:hAnsi="Times New Roman" w:cs="Symbol"/>
      <w:sz w:val="24"/>
    </w:rPr>
  </w:style>
  <w:style w:type="character" w:customStyle="1" w:styleId="ListLabel39">
    <w:name w:val="ListLabel 39"/>
    <w:qFormat/>
    <w:rsid w:val="000952B8"/>
    <w:rPr>
      <w:rFonts w:cs="Courier New"/>
      <w:sz w:val="20"/>
    </w:rPr>
  </w:style>
  <w:style w:type="character" w:customStyle="1" w:styleId="ListLabel40">
    <w:name w:val="ListLabel 40"/>
    <w:qFormat/>
    <w:rsid w:val="000952B8"/>
    <w:rPr>
      <w:rFonts w:cs="Wingdings"/>
      <w:sz w:val="20"/>
    </w:rPr>
  </w:style>
  <w:style w:type="character" w:customStyle="1" w:styleId="ListLabel41">
    <w:name w:val="ListLabel 41"/>
    <w:qFormat/>
    <w:rsid w:val="000952B8"/>
    <w:rPr>
      <w:rFonts w:cs="Wingdings"/>
      <w:sz w:val="20"/>
    </w:rPr>
  </w:style>
  <w:style w:type="character" w:customStyle="1" w:styleId="ListLabel42">
    <w:name w:val="ListLabel 42"/>
    <w:qFormat/>
    <w:rsid w:val="000952B8"/>
    <w:rPr>
      <w:rFonts w:cs="Wingdings"/>
      <w:sz w:val="20"/>
    </w:rPr>
  </w:style>
  <w:style w:type="character" w:customStyle="1" w:styleId="ListLabel43">
    <w:name w:val="ListLabel 43"/>
    <w:qFormat/>
    <w:rsid w:val="000952B8"/>
    <w:rPr>
      <w:rFonts w:cs="Wingdings"/>
      <w:sz w:val="20"/>
    </w:rPr>
  </w:style>
  <w:style w:type="character" w:customStyle="1" w:styleId="ListLabel44">
    <w:name w:val="ListLabel 44"/>
    <w:qFormat/>
    <w:rsid w:val="000952B8"/>
    <w:rPr>
      <w:rFonts w:cs="Wingdings"/>
      <w:sz w:val="20"/>
    </w:rPr>
  </w:style>
  <w:style w:type="character" w:customStyle="1" w:styleId="ListLabel45">
    <w:name w:val="ListLabel 45"/>
    <w:qFormat/>
    <w:rsid w:val="000952B8"/>
    <w:rPr>
      <w:rFonts w:cs="Wingdings"/>
      <w:sz w:val="20"/>
    </w:rPr>
  </w:style>
  <w:style w:type="character" w:customStyle="1" w:styleId="ListLabel46">
    <w:name w:val="ListLabel 46"/>
    <w:qFormat/>
    <w:rsid w:val="000952B8"/>
    <w:rPr>
      <w:rFonts w:cs="Wingdings"/>
      <w:sz w:val="20"/>
    </w:rPr>
  </w:style>
  <w:style w:type="character" w:customStyle="1" w:styleId="ListLabel47">
    <w:name w:val="ListLabel 47"/>
    <w:qFormat/>
    <w:rsid w:val="000952B8"/>
    <w:rPr>
      <w:rFonts w:ascii="Times New Roman" w:hAnsi="Times New Roman" w:cs="Symbol"/>
      <w:sz w:val="24"/>
    </w:rPr>
  </w:style>
  <w:style w:type="character" w:customStyle="1" w:styleId="ListLabel48">
    <w:name w:val="ListLabel 48"/>
    <w:qFormat/>
    <w:rsid w:val="000952B8"/>
    <w:rPr>
      <w:rFonts w:cs="Courier New"/>
      <w:sz w:val="20"/>
    </w:rPr>
  </w:style>
  <w:style w:type="character" w:customStyle="1" w:styleId="ListLabel49">
    <w:name w:val="ListLabel 49"/>
    <w:qFormat/>
    <w:rsid w:val="000952B8"/>
    <w:rPr>
      <w:rFonts w:cs="Wingdings"/>
      <w:sz w:val="20"/>
    </w:rPr>
  </w:style>
  <w:style w:type="character" w:customStyle="1" w:styleId="ListLabel50">
    <w:name w:val="ListLabel 50"/>
    <w:qFormat/>
    <w:rsid w:val="000952B8"/>
    <w:rPr>
      <w:rFonts w:cs="Wingdings"/>
      <w:sz w:val="20"/>
    </w:rPr>
  </w:style>
  <w:style w:type="character" w:customStyle="1" w:styleId="ListLabel51">
    <w:name w:val="ListLabel 51"/>
    <w:qFormat/>
    <w:rsid w:val="000952B8"/>
    <w:rPr>
      <w:rFonts w:cs="Wingdings"/>
      <w:sz w:val="20"/>
    </w:rPr>
  </w:style>
  <w:style w:type="character" w:customStyle="1" w:styleId="ListLabel52">
    <w:name w:val="ListLabel 52"/>
    <w:qFormat/>
    <w:rsid w:val="000952B8"/>
    <w:rPr>
      <w:rFonts w:cs="Wingdings"/>
      <w:sz w:val="20"/>
    </w:rPr>
  </w:style>
  <w:style w:type="character" w:customStyle="1" w:styleId="ListLabel54">
    <w:name w:val="ListLabel 54"/>
    <w:qFormat/>
    <w:rsid w:val="000952B8"/>
    <w:rPr>
      <w:rFonts w:cs="Wingdings"/>
      <w:sz w:val="20"/>
    </w:rPr>
  </w:style>
  <w:style w:type="character" w:customStyle="1" w:styleId="ListLabel55">
    <w:name w:val="ListLabel 55"/>
    <w:qFormat/>
    <w:rsid w:val="000952B8"/>
    <w:rPr>
      <w:rFonts w:cs="Wingdings"/>
      <w:sz w:val="20"/>
    </w:rPr>
  </w:style>
  <w:style w:type="character" w:customStyle="1" w:styleId="ListLabel56">
    <w:name w:val="ListLabel 56"/>
    <w:qFormat/>
    <w:rsid w:val="000952B8"/>
  </w:style>
  <w:style w:type="character" w:customStyle="1" w:styleId="ListLabel57">
    <w:name w:val="ListLabel 57"/>
    <w:qFormat/>
    <w:rsid w:val="000952B8"/>
    <w:rPr>
      <w:rFonts w:cs="Symbol"/>
      <w:sz w:val="24"/>
    </w:rPr>
  </w:style>
  <w:style w:type="character" w:customStyle="1" w:styleId="ListLabel58">
    <w:name w:val="ListLabel 58"/>
    <w:qFormat/>
    <w:rsid w:val="000952B8"/>
    <w:rPr>
      <w:rFonts w:cs="Courier New"/>
      <w:sz w:val="20"/>
    </w:rPr>
  </w:style>
  <w:style w:type="character" w:customStyle="1" w:styleId="ListLabel59">
    <w:name w:val="ListLabel 59"/>
    <w:qFormat/>
    <w:rsid w:val="000952B8"/>
    <w:rPr>
      <w:rFonts w:cs="Wingdings"/>
      <w:sz w:val="20"/>
    </w:rPr>
  </w:style>
  <w:style w:type="character" w:customStyle="1" w:styleId="ListLabel60">
    <w:name w:val="ListLabel 60"/>
    <w:qFormat/>
    <w:rsid w:val="000952B8"/>
    <w:rPr>
      <w:rFonts w:cs="Wingdings"/>
      <w:sz w:val="20"/>
    </w:rPr>
  </w:style>
  <w:style w:type="character" w:customStyle="1" w:styleId="ListLabel61">
    <w:name w:val="ListLabel 61"/>
    <w:qFormat/>
    <w:rsid w:val="000952B8"/>
    <w:rPr>
      <w:rFonts w:cs="Wingdings"/>
      <w:sz w:val="20"/>
    </w:rPr>
  </w:style>
  <w:style w:type="character" w:customStyle="1" w:styleId="ListLabel62">
    <w:name w:val="ListLabel 62"/>
    <w:qFormat/>
    <w:rsid w:val="000952B8"/>
    <w:rPr>
      <w:rFonts w:cs="Wingdings"/>
      <w:sz w:val="20"/>
    </w:rPr>
  </w:style>
  <w:style w:type="character" w:customStyle="1" w:styleId="ListLabel63">
    <w:name w:val="ListLabel 63"/>
    <w:qFormat/>
    <w:rsid w:val="000952B8"/>
    <w:rPr>
      <w:rFonts w:cs="Wingdings"/>
      <w:sz w:val="20"/>
    </w:rPr>
  </w:style>
  <w:style w:type="character" w:customStyle="1" w:styleId="ListLabel64">
    <w:name w:val="ListLabel 64"/>
    <w:qFormat/>
    <w:rsid w:val="000952B8"/>
    <w:rPr>
      <w:rFonts w:cs="Wingdings"/>
      <w:sz w:val="20"/>
    </w:rPr>
  </w:style>
  <w:style w:type="character" w:customStyle="1" w:styleId="ListLabel65">
    <w:name w:val="ListLabel 65"/>
    <w:qFormat/>
    <w:rsid w:val="000952B8"/>
    <w:rPr>
      <w:rFonts w:cs="Wingdings"/>
      <w:sz w:val="20"/>
    </w:rPr>
  </w:style>
  <w:style w:type="character" w:customStyle="1" w:styleId="ListLabel66">
    <w:name w:val="ListLabel 66"/>
    <w:qFormat/>
    <w:rsid w:val="000952B8"/>
    <w:rPr>
      <w:rFonts w:ascii="Open Sans" w:hAnsi="Open Sans" w:cs="Symbol"/>
      <w:sz w:val="20"/>
    </w:rPr>
  </w:style>
  <w:style w:type="character" w:customStyle="1" w:styleId="ListLabel67">
    <w:name w:val="ListLabel 67"/>
    <w:qFormat/>
    <w:rsid w:val="000952B8"/>
    <w:rPr>
      <w:rFonts w:cs="Courier New"/>
      <w:sz w:val="20"/>
    </w:rPr>
  </w:style>
  <w:style w:type="character" w:customStyle="1" w:styleId="ListLabel68">
    <w:name w:val="ListLabel 68"/>
    <w:qFormat/>
    <w:rsid w:val="000952B8"/>
    <w:rPr>
      <w:rFonts w:cs="Wingdings"/>
      <w:sz w:val="20"/>
    </w:rPr>
  </w:style>
  <w:style w:type="character" w:customStyle="1" w:styleId="ListLabel69">
    <w:name w:val="ListLabel 69"/>
    <w:qFormat/>
    <w:rsid w:val="000952B8"/>
    <w:rPr>
      <w:rFonts w:cs="Wingdings"/>
      <w:sz w:val="20"/>
    </w:rPr>
  </w:style>
  <w:style w:type="character" w:customStyle="1" w:styleId="ListLabel70">
    <w:name w:val="ListLabel 70"/>
    <w:qFormat/>
    <w:rsid w:val="000952B8"/>
    <w:rPr>
      <w:rFonts w:cs="Wingdings"/>
      <w:sz w:val="20"/>
    </w:rPr>
  </w:style>
  <w:style w:type="character" w:customStyle="1" w:styleId="ListLabel71">
    <w:name w:val="ListLabel 71"/>
    <w:qFormat/>
    <w:rsid w:val="000952B8"/>
    <w:rPr>
      <w:rFonts w:cs="Wingdings"/>
      <w:sz w:val="20"/>
    </w:rPr>
  </w:style>
  <w:style w:type="character" w:customStyle="1" w:styleId="ListLabel72">
    <w:name w:val="ListLabel 72"/>
    <w:qFormat/>
    <w:rsid w:val="000952B8"/>
    <w:rPr>
      <w:rFonts w:cs="Wingdings"/>
      <w:sz w:val="20"/>
    </w:rPr>
  </w:style>
  <w:style w:type="character" w:customStyle="1" w:styleId="ListLabel73">
    <w:name w:val="ListLabel 73"/>
    <w:qFormat/>
    <w:rsid w:val="000952B8"/>
    <w:rPr>
      <w:rFonts w:cs="Wingdings"/>
      <w:sz w:val="20"/>
    </w:rPr>
  </w:style>
  <w:style w:type="character" w:customStyle="1" w:styleId="ListLabel74">
    <w:name w:val="ListLabel 74"/>
    <w:qFormat/>
    <w:rsid w:val="000952B8"/>
    <w:rPr>
      <w:rFonts w:cs="Wingdings"/>
      <w:sz w:val="20"/>
    </w:rPr>
  </w:style>
  <w:style w:type="character" w:customStyle="1" w:styleId="ListLabel75">
    <w:name w:val="ListLabel 75"/>
    <w:qFormat/>
    <w:rsid w:val="000952B8"/>
    <w:rPr>
      <w:rFonts w:ascii="Times New Roman" w:hAnsi="Times New Roman" w:cs="Symbol"/>
      <w:sz w:val="24"/>
    </w:rPr>
  </w:style>
  <w:style w:type="character" w:customStyle="1" w:styleId="ListLabel76">
    <w:name w:val="ListLabel 76"/>
    <w:qFormat/>
    <w:rsid w:val="000952B8"/>
    <w:rPr>
      <w:rFonts w:cs="Courier New"/>
      <w:sz w:val="20"/>
    </w:rPr>
  </w:style>
  <w:style w:type="character" w:customStyle="1" w:styleId="ListLabel77">
    <w:name w:val="ListLabel 77"/>
    <w:qFormat/>
    <w:rsid w:val="000952B8"/>
    <w:rPr>
      <w:rFonts w:cs="Wingdings"/>
      <w:sz w:val="20"/>
    </w:rPr>
  </w:style>
  <w:style w:type="character" w:customStyle="1" w:styleId="ListLabel78">
    <w:name w:val="ListLabel 78"/>
    <w:qFormat/>
    <w:rsid w:val="000952B8"/>
    <w:rPr>
      <w:rFonts w:cs="Wingdings"/>
      <w:sz w:val="20"/>
    </w:rPr>
  </w:style>
  <w:style w:type="character" w:customStyle="1" w:styleId="ListLabel79">
    <w:name w:val="ListLabel 79"/>
    <w:qFormat/>
    <w:rsid w:val="000952B8"/>
    <w:rPr>
      <w:rFonts w:cs="Wingdings"/>
      <w:sz w:val="20"/>
    </w:rPr>
  </w:style>
  <w:style w:type="character" w:customStyle="1" w:styleId="ListLabel80">
    <w:name w:val="ListLabel 80"/>
    <w:qFormat/>
    <w:rsid w:val="000952B8"/>
    <w:rPr>
      <w:rFonts w:cs="Wingdings"/>
      <w:sz w:val="20"/>
    </w:rPr>
  </w:style>
  <w:style w:type="character" w:customStyle="1" w:styleId="ListLabel81">
    <w:name w:val="ListLabel 81"/>
    <w:qFormat/>
    <w:rsid w:val="000952B8"/>
    <w:rPr>
      <w:rFonts w:cs="Wingdings"/>
      <w:sz w:val="20"/>
    </w:rPr>
  </w:style>
  <w:style w:type="character" w:customStyle="1" w:styleId="ListLabel82">
    <w:name w:val="ListLabel 82"/>
    <w:qFormat/>
    <w:rsid w:val="000952B8"/>
    <w:rPr>
      <w:rFonts w:cs="Wingdings"/>
      <w:sz w:val="20"/>
    </w:rPr>
  </w:style>
  <w:style w:type="character" w:customStyle="1" w:styleId="ListLabel83">
    <w:name w:val="ListLabel 83"/>
    <w:qFormat/>
    <w:rsid w:val="000952B8"/>
    <w:rPr>
      <w:rFonts w:cs="Wingdings"/>
      <w:sz w:val="20"/>
    </w:rPr>
  </w:style>
  <w:style w:type="character" w:customStyle="1" w:styleId="ListLabel84">
    <w:name w:val="ListLabel 84"/>
    <w:qFormat/>
    <w:rsid w:val="000952B8"/>
    <w:rPr>
      <w:rFonts w:eastAsia="Times New Roman" w:cs="Open Sans"/>
      <w:color w:val="000000"/>
      <w:sz w:val="20"/>
    </w:rPr>
  </w:style>
  <w:style w:type="character" w:customStyle="1" w:styleId="ListLabel85">
    <w:name w:val="ListLabel 85"/>
    <w:qFormat/>
    <w:rsid w:val="000952B8"/>
    <w:rPr>
      <w:rFonts w:cs="Courier New"/>
    </w:rPr>
  </w:style>
  <w:style w:type="character" w:customStyle="1" w:styleId="ListLabel86">
    <w:name w:val="ListLabel 86"/>
    <w:qFormat/>
    <w:rsid w:val="000952B8"/>
    <w:rPr>
      <w:rFonts w:cs="Courier New"/>
    </w:rPr>
  </w:style>
  <w:style w:type="character" w:customStyle="1" w:styleId="ListLabel87">
    <w:name w:val="ListLabel 87"/>
    <w:qFormat/>
    <w:rsid w:val="000952B8"/>
    <w:rPr>
      <w:rFonts w:cs="Courier New"/>
    </w:rPr>
  </w:style>
  <w:style w:type="character" w:customStyle="1" w:styleId="ListLabel88">
    <w:name w:val="ListLabel 88"/>
    <w:qFormat/>
    <w:rsid w:val="000952B8"/>
    <w:rPr>
      <w:rFonts w:ascii="Open Sans" w:eastAsia="Times New Roman" w:hAnsi="Open Sans" w:cs="Open Sans"/>
      <w:sz w:val="20"/>
    </w:rPr>
  </w:style>
  <w:style w:type="character" w:customStyle="1" w:styleId="ListLabel89">
    <w:name w:val="ListLabel 89"/>
    <w:qFormat/>
    <w:rsid w:val="000952B8"/>
    <w:rPr>
      <w:rFonts w:cs="Courier New"/>
    </w:rPr>
  </w:style>
  <w:style w:type="character" w:customStyle="1" w:styleId="ListLabel90">
    <w:name w:val="ListLabel 90"/>
    <w:qFormat/>
    <w:rsid w:val="000952B8"/>
    <w:rPr>
      <w:rFonts w:cs="Courier New"/>
    </w:rPr>
  </w:style>
  <w:style w:type="character" w:customStyle="1" w:styleId="ListLabel91">
    <w:name w:val="ListLabel 91"/>
    <w:qFormat/>
    <w:rsid w:val="000952B8"/>
    <w:rPr>
      <w:rFonts w:cs="Courier New"/>
    </w:rPr>
  </w:style>
  <w:style w:type="character" w:customStyle="1" w:styleId="ListLabel92">
    <w:name w:val="ListLabel 92"/>
    <w:qFormat/>
    <w:rsid w:val="000952B8"/>
    <w:rPr>
      <w:rFonts w:cs="Courier New"/>
    </w:rPr>
  </w:style>
  <w:style w:type="character" w:customStyle="1" w:styleId="ListLabel93">
    <w:name w:val="ListLabel 93"/>
    <w:qFormat/>
    <w:rsid w:val="000952B8"/>
    <w:rPr>
      <w:rFonts w:cs="Courier New"/>
    </w:rPr>
  </w:style>
  <w:style w:type="character" w:customStyle="1" w:styleId="ListLabel94">
    <w:name w:val="ListLabel 94"/>
    <w:qFormat/>
    <w:rsid w:val="000952B8"/>
    <w:rPr>
      <w:rFonts w:cs="Courier New"/>
    </w:rPr>
  </w:style>
  <w:style w:type="character" w:customStyle="1" w:styleId="ListLabel95">
    <w:name w:val="ListLabel 95"/>
    <w:qFormat/>
    <w:rsid w:val="000952B8"/>
    <w:rPr>
      <w:rFonts w:ascii="Open Sans" w:eastAsia="Times New Roman" w:hAnsi="Open Sans" w:cs="Open Sans"/>
      <w:sz w:val="20"/>
    </w:rPr>
  </w:style>
  <w:style w:type="character" w:customStyle="1" w:styleId="ListLabel96">
    <w:name w:val="ListLabel 96"/>
    <w:qFormat/>
    <w:rsid w:val="000952B8"/>
    <w:rPr>
      <w:rFonts w:cs="Courier New"/>
    </w:rPr>
  </w:style>
  <w:style w:type="character" w:customStyle="1" w:styleId="ListLabel97">
    <w:name w:val="ListLabel 97"/>
    <w:qFormat/>
    <w:rsid w:val="000952B8"/>
    <w:rPr>
      <w:rFonts w:cs="Courier New"/>
    </w:rPr>
  </w:style>
  <w:style w:type="character" w:customStyle="1" w:styleId="ListLabel98">
    <w:name w:val="ListLabel 98"/>
    <w:qFormat/>
    <w:rsid w:val="000952B8"/>
    <w:rPr>
      <w:rFonts w:cs="Courier New"/>
    </w:rPr>
  </w:style>
  <w:style w:type="character" w:customStyle="1" w:styleId="ListLabel99">
    <w:name w:val="ListLabel 99"/>
    <w:qFormat/>
    <w:rsid w:val="000952B8"/>
    <w:rPr>
      <w:rFonts w:eastAsia="Times New Roman" w:cs="Open Sans"/>
    </w:rPr>
  </w:style>
  <w:style w:type="character" w:customStyle="1" w:styleId="ListLabel100">
    <w:name w:val="ListLabel 100"/>
    <w:qFormat/>
    <w:rsid w:val="000952B8"/>
    <w:rPr>
      <w:rFonts w:cs="Courier New"/>
    </w:rPr>
  </w:style>
  <w:style w:type="character" w:customStyle="1" w:styleId="ListLabel101">
    <w:name w:val="ListLabel 101"/>
    <w:qFormat/>
    <w:rsid w:val="000952B8"/>
    <w:rPr>
      <w:rFonts w:cs="Courier New"/>
    </w:rPr>
  </w:style>
  <w:style w:type="character" w:customStyle="1" w:styleId="ListLabel102">
    <w:name w:val="ListLabel 102"/>
    <w:qFormat/>
    <w:rsid w:val="000952B8"/>
    <w:rPr>
      <w:rFonts w:cs="Courier New"/>
    </w:rPr>
  </w:style>
  <w:style w:type="character" w:customStyle="1" w:styleId="ListLabel103">
    <w:name w:val="ListLabel 103"/>
    <w:qFormat/>
    <w:rsid w:val="000952B8"/>
    <w:rPr>
      <w:rFonts w:eastAsia="Calibri"/>
      <w:lang w:val="ca-ES"/>
    </w:rPr>
  </w:style>
  <w:style w:type="character" w:customStyle="1" w:styleId="Hipervnculovisitado1">
    <w:name w:val="Hipervínculo visitado1"/>
    <w:basedOn w:val="Fuentedeprrafopredeter"/>
    <w:uiPriority w:val="99"/>
    <w:semiHidden/>
    <w:unhideWhenUsed/>
    <w:qFormat/>
    <w:rsid w:val="000952B8"/>
    <w:rPr>
      <w:color w:val="954F72"/>
      <w:u w:val="single"/>
    </w:rPr>
  </w:style>
  <w:style w:type="character" w:customStyle="1" w:styleId="ListLabel104">
    <w:name w:val="ListLabel 104"/>
    <w:qFormat/>
    <w:rsid w:val="000952B8"/>
    <w:rPr>
      <w:rFonts w:ascii="Open Sans" w:hAnsi="Open Sans" w:cs="Symbol"/>
      <w:sz w:val="20"/>
    </w:rPr>
  </w:style>
  <w:style w:type="character" w:customStyle="1" w:styleId="ListLabel105">
    <w:name w:val="ListLabel 105"/>
    <w:qFormat/>
    <w:rsid w:val="000952B8"/>
    <w:rPr>
      <w:rFonts w:cs="Courier New"/>
      <w:sz w:val="20"/>
    </w:rPr>
  </w:style>
  <w:style w:type="character" w:customStyle="1" w:styleId="ListLabel106">
    <w:name w:val="ListLabel 106"/>
    <w:qFormat/>
    <w:rsid w:val="000952B8"/>
    <w:rPr>
      <w:rFonts w:cs="Wingdings"/>
      <w:sz w:val="20"/>
    </w:rPr>
  </w:style>
  <w:style w:type="character" w:customStyle="1" w:styleId="ListLabel107">
    <w:name w:val="ListLabel 107"/>
    <w:qFormat/>
    <w:rsid w:val="000952B8"/>
    <w:rPr>
      <w:rFonts w:cs="Wingdings"/>
      <w:sz w:val="20"/>
    </w:rPr>
  </w:style>
  <w:style w:type="character" w:customStyle="1" w:styleId="ListLabel108">
    <w:name w:val="ListLabel 108"/>
    <w:qFormat/>
    <w:rsid w:val="000952B8"/>
    <w:rPr>
      <w:rFonts w:cs="Wingdings"/>
      <w:sz w:val="20"/>
    </w:rPr>
  </w:style>
  <w:style w:type="character" w:customStyle="1" w:styleId="ListLabel109">
    <w:name w:val="ListLabel 109"/>
    <w:qFormat/>
    <w:rsid w:val="000952B8"/>
    <w:rPr>
      <w:rFonts w:cs="Wingdings"/>
      <w:sz w:val="20"/>
    </w:rPr>
  </w:style>
  <w:style w:type="character" w:customStyle="1" w:styleId="ListLabel110">
    <w:name w:val="ListLabel 110"/>
    <w:qFormat/>
    <w:rsid w:val="000952B8"/>
    <w:rPr>
      <w:rFonts w:cs="Wingdings"/>
      <w:sz w:val="20"/>
    </w:rPr>
  </w:style>
  <w:style w:type="character" w:customStyle="1" w:styleId="ListLabel111">
    <w:name w:val="ListLabel 111"/>
    <w:qFormat/>
    <w:rsid w:val="000952B8"/>
    <w:rPr>
      <w:rFonts w:cs="Wingdings"/>
      <w:sz w:val="20"/>
    </w:rPr>
  </w:style>
  <w:style w:type="character" w:customStyle="1" w:styleId="ListLabel112">
    <w:name w:val="ListLabel 112"/>
    <w:qFormat/>
    <w:rsid w:val="000952B8"/>
    <w:rPr>
      <w:rFonts w:cs="Wingdings"/>
      <w:sz w:val="20"/>
    </w:rPr>
  </w:style>
  <w:style w:type="character" w:customStyle="1" w:styleId="ListLabel113">
    <w:name w:val="ListLabel 113"/>
    <w:qFormat/>
    <w:rsid w:val="000952B8"/>
    <w:rPr>
      <w:rFonts w:cs="Symbol"/>
      <w:sz w:val="24"/>
    </w:rPr>
  </w:style>
  <w:style w:type="character" w:customStyle="1" w:styleId="ListLabel114">
    <w:name w:val="ListLabel 114"/>
    <w:qFormat/>
    <w:rsid w:val="000952B8"/>
    <w:rPr>
      <w:rFonts w:cs="Courier New"/>
      <w:sz w:val="20"/>
    </w:rPr>
  </w:style>
  <w:style w:type="character" w:customStyle="1" w:styleId="ListLabel115">
    <w:name w:val="ListLabel 115"/>
    <w:qFormat/>
    <w:rsid w:val="000952B8"/>
    <w:rPr>
      <w:rFonts w:cs="Wingdings"/>
      <w:sz w:val="20"/>
    </w:rPr>
  </w:style>
  <w:style w:type="character" w:customStyle="1" w:styleId="ListLabel116">
    <w:name w:val="ListLabel 116"/>
    <w:qFormat/>
    <w:rsid w:val="000952B8"/>
    <w:rPr>
      <w:rFonts w:cs="Wingdings"/>
      <w:sz w:val="20"/>
    </w:rPr>
  </w:style>
  <w:style w:type="character" w:customStyle="1" w:styleId="ListLabel117">
    <w:name w:val="ListLabel 117"/>
    <w:qFormat/>
    <w:rsid w:val="000952B8"/>
    <w:rPr>
      <w:rFonts w:cs="Wingdings"/>
      <w:sz w:val="20"/>
    </w:rPr>
  </w:style>
  <w:style w:type="character" w:customStyle="1" w:styleId="ListLabel118">
    <w:name w:val="ListLabel 118"/>
    <w:qFormat/>
    <w:rsid w:val="000952B8"/>
    <w:rPr>
      <w:rFonts w:cs="Wingdings"/>
      <w:sz w:val="20"/>
    </w:rPr>
  </w:style>
  <w:style w:type="character" w:customStyle="1" w:styleId="ListLabel119">
    <w:name w:val="ListLabel 119"/>
    <w:qFormat/>
    <w:rsid w:val="000952B8"/>
    <w:rPr>
      <w:rFonts w:cs="Wingdings"/>
      <w:sz w:val="20"/>
    </w:rPr>
  </w:style>
  <w:style w:type="character" w:customStyle="1" w:styleId="ListLabel120">
    <w:name w:val="ListLabel 120"/>
    <w:qFormat/>
    <w:rsid w:val="000952B8"/>
    <w:rPr>
      <w:rFonts w:cs="Wingdings"/>
      <w:sz w:val="20"/>
    </w:rPr>
  </w:style>
  <w:style w:type="character" w:customStyle="1" w:styleId="ListLabel121">
    <w:name w:val="ListLabel 121"/>
    <w:qFormat/>
    <w:rsid w:val="000952B8"/>
    <w:rPr>
      <w:rFonts w:cs="Wingdings"/>
      <w:sz w:val="20"/>
    </w:rPr>
  </w:style>
  <w:style w:type="character" w:customStyle="1" w:styleId="ListLabel122">
    <w:name w:val="ListLabel 122"/>
    <w:qFormat/>
    <w:rsid w:val="000952B8"/>
    <w:rPr>
      <w:rFonts w:ascii="Open Sans" w:hAnsi="Open Sans" w:cs="Open Sans"/>
      <w:sz w:val="20"/>
    </w:rPr>
  </w:style>
  <w:style w:type="character" w:customStyle="1" w:styleId="ListLabel123">
    <w:name w:val="ListLabel 123"/>
    <w:qFormat/>
    <w:rsid w:val="000952B8"/>
    <w:rPr>
      <w:rFonts w:cs="Courier New"/>
    </w:rPr>
  </w:style>
  <w:style w:type="character" w:customStyle="1" w:styleId="ListLabel124">
    <w:name w:val="ListLabel 124"/>
    <w:qFormat/>
    <w:rsid w:val="000952B8"/>
    <w:rPr>
      <w:rFonts w:cs="Wingdings"/>
    </w:rPr>
  </w:style>
  <w:style w:type="character" w:customStyle="1" w:styleId="ListLabel125">
    <w:name w:val="ListLabel 125"/>
    <w:qFormat/>
    <w:rsid w:val="000952B8"/>
    <w:rPr>
      <w:rFonts w:cs="Symbol"/>
    </w:rPr>
  </w:style>
  <w:style w:type="character" w:customStyle="1" w:styleId="ListLabel126">
    <w:name w:val="ListLabel 126"/>
    <w:qFormat/>
    <w:rsid w:val="000952B8"/>
    <w:rPr>
      <w:rFonts w:cs="Courier New"/>
    </w:rPr>
  </w:style>
  <w:style w:type="character" w:customStyle="1" w:styleId="ListLabel127">
    <w:name w:val="ListLabel 127"/>
    <w:qFormat/>
    <w:rsid w:val="000952B8"/>
    <w:rPr>
      <w:rFonts w:cs="Wingdings"/>
    </w:rPr>
  </w:style>
  <w:style w:type="character" w:customStyle="1" w:styleId="ListLabel128">
    <w:name w:val="ListLabel 128"/>
    <w:qFormat/>
    <w:rsid w:val="000952B8"/>
    <w:rPr>
      <w:rFonts w:cs="Symbol"/>
    </w:rPr>
  </w:style>
  <w:style w:type="character" w:customStyle="1" w:styleId="ListLabel129">
    <w:name w:val="ListLabel 129"/>
    <w:qFormat/>
    <w:rsid w:val="000952B8"/>
    <w:rPr>
      <w:rFonts w:cs="Courier New"/>
    </w:rPr>
  </w:style>
  <w:style w:type="character" w:customStyle="1" w:styleId="ListLabel130">
    <w:name w:val="ListLabel 130"/>
    <w:qFormat/>
    <w:rsid w:val="000952B8"/>
    <w:rPr>
      <w:rFonts w:cs="Wingdings"/>
    </w:rPr>
  </w:style>
  <w:style w:type="character" w:customStyle="1" w:styleId="ListLabel131">
    <w:name w:val="ListLabel 131"/>
    <w:qFormat/>
    <w:rsid w:val="000952B8"/>
    <w:rPr>
      <w:rFonts w:cs="Open Sans"/>
      <w:sz w:val="20"/>
    </w:rPr>
  </w:style>
  <w:style w:type="character" w:customStyle="1" w:styleId="ListLabel132">
    <w:name w:val="ListLabel 132"/>
    <w:qFormat/>
    <w:rsid w:val="000952B8"/>
    <w:rPr>
      <w:rFonts w:cs="Courier New"/>
    </w:rPr>
  </w:style>
  <w:style w:type="character" w:customStyle="1" w:styleId="ListLabel133">
    <w:name w:val="ListLabel 133"/>
    <w:qFormat/>
    <w:rsid w:val="000952B8"/>
    <w:rPr>
      <w:rFonts w:cs="Wingdings"/>
    </w:rPr>
  </w:style>
  <w:style w:type="character" w:customStyle="1" w:styleId="ListLabel134">
    <w:name w:val="ListLabel 134"/>
    <w:qFormat/>
    <w:rsid w:val="000952B8"/>
    <w:rPr>
      <w:rFonts w:cs="Symbol"/>
    </w:rPr>
  </w:style>
  <w:style w:type="character" w:customStyle="1" w:styleId="ListLabel135">
    <w:name w:val="ListLabel 135"/>
    <w:qFormat/>
    <w:rsid w:val="000952B8"/>
    <w:rPr>
      <w:rFonts w:cs="Courier New"/>
    </w:rPr>
  </w:style>
  <w:style w:type="character" w:customStyle="1" w:styleId="ListLabel136">
    <w:name w:val="ListLabel 136"/>
    <w:qFormat/>
    <w:rsid w:val="000952B8"/>
    <w:rPr>
      <w:rFonts w:cs="Wingdings"/>
    </w:rPr>
  </w:style>
  <w:style w:type="character" w:customStyle="1" w:styleId="ListLabel137">
    <w:name w:val="ListLabel 137"/>
    <w:qFormat/>
    <w:rsid w:val="000952B8"/>
    <w:rPr>
      <w:rFonts w:cs="Symbol"/>
    </w:rPr>
  </w:style>
  <w:style w:type="character" w:customStyle="1" w:styleId="ListLabel138">
    <w:name w:val="ListLabel 138"/>
    <w:qFormat/>
    <w:rsid w:val="000952B8"/>
    <w:rPr>
      <w:rFonts w:cs="Courier New"/>
    </w:rPr>
  </w:style>
  <w:style w:type="character" w:customStyle="1" w:styleId="ListLabel139">
    <w:name w:val="ListLabel 139"/>
    <w:qFormat/>
    <w:rsid w:val="000952B8"/>
    <w:rPr>
      <w:rFonts w:cs="Wingdings"/>
    </w:rPr>
  </w:style>
  <w:style w:type="character" w:customStyle="1" w:styleId="ListLabel140">
    <w:name w:val="ListLabel 140"/>
    <w:qFormat/>
    <w:rsid w:val="000952B8"/>
    <w:rPr>
      <w:rFonts w:eastAsia="Times New Roman" w:cs="Open Sans"/>
    </w:rPr>
  </w:style>
  <w:style w:type="character" w:customStyle="1" w:styleId="ListLabel141">
    <w:name w:val="ListLabel 141"/>
    <w:qFormat/>
    <w:rsid w:val="000952B8"/>
    <w:rPr>
      <w:rFonts w:cs="Courier New"/>
    </w:rPr>
  </w:style>
  <w:style w:type="character" w:customStyle="1" w:styleId="ListLabel142">
    <w:name w:val="ListLabel 142"/>
    <w:qFormat/>
    <w:rsid w:val="000952B8"/>
    <w:rPr>
      <w:rFonts w:cs="Courier New"/>
    </w:rPr>
  </w:style>
  <w:style w:type="character" w:customStyle="1" w:styleId="ListLabel143">
    <w:name w:val="ListLabel 143"/>
    <w:qFormat/>
    <w:rsid w:val="000952B8"/>
    <w:rPr>
      <w:rFonts w:ascii="Open Sans" w:eastAsia="Times New Roman" w:hAnsi="Open Sans" w:cs="Open Sans"/>
      <w:b/>
      <w:sz w:val="18"/>
      <w:szCs w:val="18"/>
      <w:lang w:eastAsia="es-ES"/>
    </w:rPr>
  </w:style>
  <w:style w:type="character" w:customStyle="1" w:styleId="ListLabel144">
    <w:name w:val="ListLabel 144"/>
    <w:qFormat/>
    <w:rsid w:val="000952B8"/>
    <w:rPr>
      <w:rFonts w:ascii="Open Sans" w:eastAsia="Times New Roman" w:hAnsi="Open Sans" w:cs="Open Sans"/>
      <w:sz w:val="18"/>
      <w:szCs w:val="18"/>
      <w:lang w:eastAsia="es-ES"/>
    </w:rPr>
  </w:style>
  <w:style w:type="character" w:customStyle="1" w:styleId="ListLabel145">
    <w:name w:val="ListLabel 145"/>
    <w:qFormat/>
    <w:rsid w:val="000952B8"/>
    <w:rPr>
      <w:rFonts w:ascii="Open Sans" w:hAnsi="Open Sans" w:cs="Open Sans"/>
      <w:b/>
    </w:rPr>
  </w:style>
  <w:style w:type="character" w:customStyle="1" w:styleId="ListLabel146">
    <w:name w:val="ListLabel 146"/>
    <w:qFormat/>
    <w:rsid w:val="000952B8"/>
    <w:rPr>
      <w:rFonts w:ascii="Open Sans" w:eastAsia="Times New Roman" w:hAnsi="Open Sans" w:cs="Open Sans"/>
      <w:sz w:val="20"/>
      <w:szCs w:val="20"/>
      <w:lang w:eastAsia="es-ES"/>
    </w:rPr>
  </w:style>
  <w:style w:type="character" w:customStyle="1" w:styleId="ListLabel147">
    <w:name w:val="ListLabel 147"/>
    <w:qFormat/>
    <w:rsid w:val="000952B8"/>
    <w:rPr>
      <w:rFonts w:ascii="Open Sans" w:eastAsia="Times New Roman" w:hAnsi="Open Sans" w:cs="Open Sans"/>
      <w:i/>
      <w:sz w:val="18"/>
      <w:szCs w:val="18"/>
      <w:lang w:eastAsia="es-ES"/>
    </w:rPr>
  </w:style>
  <w:style w:type="character" w:customStyle="1" w:styleId="ListLabel148">
    <w:name w:val="ListLabel 148"/>
    <w:qFormat/>
    <w:rsid w:val="000952B8"/>
    <w:rPr>
      <w:rFonts w:ascii="Open Sans" w:hAnsi="Open Sans" w:cs="Open Sans"/>
    </w:rPr>
  </w:style>
  <w:style w:type="character" w:customStyle="1" w:styleId="ListLabel149">
    <w:name w:val="ListLabel 149"/>
    <w:qFormat/>
    <w:rsid w:val="000952B8"/>
    <w:rPr>
      <w:rFonts w:ascii="Open Sans" w:hAnsi="Open Sans" w:cs="Open Sans"/>
    </w:rPr>
  </w:style>
  <w:style w:type="character" w:customStyle="1" w:styleId="ListLabel150">
    <w:name w:val="ListLabel 150"/>
    <w:qFormat/>
    <w:rsid w:val="000952B8"/>
    <w:rPr>
      <w:rFonts w:ascii="Open Sans" w:hAnsi="Open Sans" w:cs="Symbol"/>
      <w:sz w:val="21"/>
    </w:rPr>
  </w:style>
  <w:style w:type="character" w:customStyle="1" w:styleId="ListLabel151">
    <w:name w:val="ListLabel 151"/>
    <w:qFormat/>
    <w:rsid w:val="000952B8"/>
    <w:rPr>
      <w:rFonts w:cs="Courier New"/>
      <w:sz w:val="20"/>
    </w:rPr>
  </w:style>
  <w:style w:type="character" w:customStyle="1" w:styleId="ListLabel152">
    <w:name w:val="ListLabel 152"/>
    <w:qFormat/>
    <w:rsid w:val="000952B8"/>
    <w:rPr>
      <w:rFonts w:cs="Wingdings"/>
      <w:sz w:val="20"/>
    </w:rPr>
  </w:style>
  <w:style w:type="character" w:customStyle="1" w:styleId="ListLabel153">
    <w:name w:val="ListLabel 153"/>
    <w:qFormat/>
    <w:rsid w:val="000952B8"/>
    <w:rPr>
      <w:rFonts w:cs="Wingdings"/>
      <w:sz w:val="20"/>
    </w:rPr>
  </w:style>
  <w:style w:type="character" w:customStyle="1" w:styleId="ListLabel154">
    <w:name w:val="ListLabel 154"/>
    <w:qFormat/>
    <w:rsid w:val="000952B8"/>
    <w:rPr>
      <w:rFonts w:cs="Wingdings"/>
      <w:sz w:val="20"/>
    </w:rPr>
  </w:style>
  <w:style w:type="character" w:customStyle="1" w:styleId="ListLabel155">
    <w:name w:val="ListLabel 155"/>
    <w:qFormat/>
    <w:rsid w:val="000952B8"/>
    <w:rPr>
      <w:rFonts w:cs="Wingdings"/>
      <w:sz w:val="20"/>
    </w:rPr>
  </w:style>
  <w:style w:type="character" w:customStyle="1" w:styleId="ListLabel156">
    <w:name w:val="ListLabel 156"/>
    <w:qFormat/>
    <w:rsid w:val="000952B8"/>
    <w:rPr>
      <w:rFonts w:cs="Wingdings"/>
      <w:sz w:val="20"/>
    </w:rPr>
  </w:style>
  <w:style w:type="character" w:customStyle="1" w:styleId="ListLabel157">
    <w:name w:val="ListLabel 157"/>
    <w:qFormat/>
    <w:rsid w:val="000952B8"/>
    <w:rPr>
      <w:rFonts w:cs="Wingdings"/>
      <w:sz w:val="20"/>
    </w:rPr>
  </w:style>
  <w:style w:type="character" w:customStyle="1" w:styleId="ListLabel158">
    <w:name w:val="ListLabel 158"/>
    <w:qFormat/>
    <w:rsid w:val="000952B8"/>
    <w:rPr>
      <w:rFonts w:cs="Wingdings"/>
      <w:sz w:val="20"/>
    </w:rPr>
  </w:style>
  <w:style w:type="character" w:customStyle="1" w:styleId="ListLabel159">
    <w:name w:val="ListLabel 159"/>
    <w:qFormat/>
    <w:rsid w:val="000952B8"/>
    <w:rPr>
      <w:rFonts w:ascii="Open Sans" w:hAnsi="Open Sans" w:cs="Open Sans"/>
      <w:sz w:val="21"/>
    </w:rPr>
  </w:style>
  <w:style w:type="character" w:customStyle="1" w:styleId="ListLabel160">
    <w:name w:val="ListLabel 160"/>
    <w:qFormat/>
    <w:rsid w:val="000952B8"/>
    <w:rPr>
      <w:rFonts w:cs="Courier New"/>
    </w:rPr>
  </w:style>
  <w:style w:type="character" w:customStyle="1" w:styleId="ListLabel161">
    <w:name w:val="ListLabel 161"/>
    <w:qFormat/>
    <w:rsid w:val="000952B8"/>
    <w:rPr>
      <w:rFonts w:cs="Wingdings"/>
    </w:rPr>
  </w:style>
  <w:style w:type="character" w:customStyle="1" w:styleId="ListLabel162">
    <w:name w:val="ListLabel 162"/>
    <w:qFormat/>
    <w:rsid w:val="000952B8"/>
    <w:rPr>
      <w:rFonts w:cs="Symbol"/>
    </w:rPr>
  </w:style>
  <w:style w:type="character" w:customStyle="1" w:styleId="ListLabel163">
    <w:name w:val="ListLabel 163"/>
    <w:qFormat/>
    <w:rsid w:val="000952B8"/>
    <w:rPr>
      <w:rFonts w:cs="Courier New"/>
    </w:rPr>
  </w:style>
  <w:style w:type="character" w:customStyle="1" w:styleId="ListLabel164">
    <w:name w:val="ListLabel 164"/>
    <w:qFormat/>
    <w:rsid w:val="000952B8"/>
    <w:rPr>
      <w:rFonts w:cs="Wingdings"/>
    </w:rPr>
  </w:style>
  <w:style w:type="character" w:customStyle="1" w:styleId="ListLabel165">
    <w:name w:val="ListLabel 165"/>
    <w:qFormat/>
    <w:rsid w:val="000952B8"/>
    <w:rPr>
      <w:rFonts w:cs="Symbol"/>
    </w:rPr>
  </w:style>
  <w:style w:type="character" w:customStyle="1" w:styleId="ListLabel166">
    <w:name w:val="ListLabel 166"/>
    <w:qFormat/>
    <w:rsid w:val="000952B8"/>
    <w:rPr>
      <w:rFonts w:cs="Courier New"/>
    </w:rPr>
  </w:style>
  <w:style w:type="character" w:customStyle="1" w:styleId="ListLabel167">
    <w:name w:val="ListLabel 167"/>
    <w:qFormat/>
    <w:rsid w:val="000952B8"/>
    <w:rPr>
      <w:rFonts w:cs="Wingdings"/>
    </w:rPr>
  </w:style>
  <w:style w:type="character" w:customStyle="1" w:styleId="ListLabel168">
    <w:name w:val="ListLabel 168"/>
    <w:qFormat/>
    <w:rsid w:val="000952B8"/>
    <w:rPr>
      <w:rFonts w:ascii="Open Sans" w:hAnsi="Open Sans" w:cs="Symbol"/>
      <w:sz w:val="21"/>
    </w:rPr>
  </w:style>
  <w:style w:type="character" w:customStyle="1" w:styleId="ListLabel169">
    <w:name w:val="ListLabel 169"/>
    <w:qFormat/>
    <w:rsid w:val="000952B8"/>
    <w:rPr>
      <w:rFonts w:cs="Open Sans"/>
    </w:rPr>
  </w:style>
  <w:style w:type="character" w:customStyle="1" w:styleId="ListLabel170">
    <w:name w:val="ListLabel 170"/>
    <w:qFormat/>
    <w:rsid w:val="000952B8"/>
    <w:rPr>
      <w:rFonts w:cs="Wingdings"/>
    </w:rPr>
  </w:style>
  <w:style w:type="character" w:customStyle="1" w:styleId="ListLabel171">
    <w:name w:val="ListLabel 171"/>
    <w:qFormat/>
    <w:rsid w:val="000952B8"/>
    <w:rPr>
      <w:rFonts w:cs="Symbol"/>
    </w:rPr>
  </w:style>
  <w:style w:type="character" w:customStyle="1" w:styleId="ListLabel172">
    <w:name w:val="ListLabel 172"/>
    <w:qFormat/>
    <w:rsid w:val="000952B8"/>
    <w:rPr>
      <w:rFonts w:cs="Courier New"/>
    </w:rPr>
  </w:style>
  <w:style w:type="character" w:customStyle="1" w:styleId="ListLabel173">
    <w:name w:val="ListLabel 173"/>
    <w:qFormat/>
    <w:rsid w:val="000952B8"/>
    <w:rPr>
      <w:rFonts w:cs="Wingdings"/>
    </w:rPr>
  </w:style>
  <w:style w:type="character" w:customStyle="1" w:styleId="ListLabel174">
    <w:name w:val="ListLabel 174"/>
    <w:qFormat/>
    <w:rsid w:val="000952B8"/>
    <w:rPr>
      <w:rFonts w:cs="Symbol"/>
    </w:rPr>
  </w:style>
  <w:style w:type="character" w:customStyle="1" w:styleId="ListLabel175">
    <w:name w:val="ListLabel 175"/>
    <w:qFormat/>
    <w:rsid w:val="000952B8"/>
    <w:rPr>
      <w:rFonts w:cs="Courier New"/>
    </w:rPr>
  </w:style>
  <w:style w:type="character" w:customStyle="1" w:styleId="ListLabel176">
    <w:name w:val="ListLabel 176"/>
    <w:qFormat/>
    <w:rsid w:val="000952B8"/>
    <w:rPr>
      <w:rFonts w:cs="Wingdings"/>
    </w:rPr>
  </w:style>
  <w:style w:type="character" w:customStyle="1" w:styleId="ListLabel177">
    <w:name w:val="ListLabel 177"/>
    <w:qFormat/>
    <w:rsid w:val="000952B8"/>
    <w:rPr>
      <w:rFonts w:cs="Courier New"/>
    </w:rPr>
  </w:style>
  <w:style w:type="character" w:customStyle="1" w:styleId="ListLabel178">
    <w:name w:val="ListLabel 178"/>
    <w:qFormat/>
    <w:rsid w:val="000952B8"/>
    <w:rPr>
      <w:rFonts w:cs="Courier New"/>
    </w:rPr>
  </w:style>
  <w:style w:type="character" w:customStyle="1" w:styleId="ListLabel179">
    <w:name w:val="ListLabel 179"/>
    <w:qFormat/>
    <w:rsid w:val="000952B8"/>
    <w:rPr>
      <w:rFonts w:cs="Courier New"/>
    </w:rPr>
  </w:style>
  <w:style w:type="character" w:customStyle="1" w:styleId="ListLabel180">
    <w:name w:val="ListLabel 180"/>
    <w:qFormat/>
    <w:rsid w:val="000952B8"/>
    <w:rPr>
      <w:rFonts w:cs="Courier New"/>
    </w:rPr>
  </w:style>
  <w:style w:type="character" w:customStyle="1" w:styleId="ListLabel181">
    <w:name w:val="ListLabel 181"/>
    <w:qFormat/>
    <w:rsid w:val="000952B8"/>
    <w:rPr>
      <w:rFonts w:cs="Courier New"/>
    </w:rPr>
  </w:style>
  <w:style w:type="character" w:customStyle="1" w:styleId="ListLabel182">
    <w:name w:val="ListLabel 182"/>
    <w:qFormat/>
    <w:rsid w:val="000952B8"/>
    <w:rPr>
      <w:rFonts w:cs="Courier New"/>
    </w:rPr>
  </w:style>
  <w:style w:type="character" w:customStyle="1" w:styleId="ListLabel183">
    <w:name w:val="ListLabel 183"/>
    <w:qFormat/>
    <w:rsid w:val="000952B8"/>
    <w:rPr>
      <w:rFonts w:ascii="Open Sans" w:eastAsia="Times New Roman" w:hAnsi="Open Sans" w:cs="Open Sans"/>
      <w:b/>
      <w:sz w:val="21"/>
      <w:szCs w:val="21"/>
      <w:lang w:eastAsia="es-ES"/>
    </w:rPr>
  </w:style>
  <w:style w:type="character" w:customStyle="1" w:styleId="ListLabel184">
    <w:name w:val="ListLabel 184"/>
    <w:qFormat/>
    <w:rsid w:val="000952B8"/>
    <w:rPr>
      <w:rFonts w:ascii="Open Sans" w:eastAsia="Times New Roman" w:hAnsi="Open Sans" w:cs="Open Sans"/>
      <w:b/>
      <w:sz w:val="21"/>
      <w:szCs w:val="21"/>
      <w:lang w:eastAsia="es-ES"/>
    </w:rPr>
  </w:style>
  <w:style w:type="character" w:customStyle="1" w:styleId="ListLabel185">
    <w:name w:val="ListLabel 185"/>
    <w:qFormat/>
    <w:rsid w:val="000952B8"/>
    <w:rPr>
      <w:rFonts w:ascii="Open Sans" w:eastAsia="Times New Roman" w:hAnsi="Open Sans" w:cs="Open Sans"/>
      <w:sz w:val="21"/>
      <w:szCs w:val="21"/>
      <w:lang w:eastAsia="es-ES"/>
    </w:rPr>
  </w:style>
  <w:style w:type="character" w:customStyle="1" w:styleId="ListLabel186">
    <w:name w:val="ListLabel 186"/>
    <w:qFormat/>
    <w:rsid w:val="000952B8"/>
    <w:rPr>
      <w:rFonts w:ascii="Open Sans" w:hAnsi="Open Sans" w:cs="Open Sans"/>
      <w:b/>
      <w:sz w:val="21"/>
      <w:szCs w:val="21"/>
    </w:rPr>
  </w:style>
  <w:style w:type="character" w:customStyle="1" w:styleId="ListLabel187">
    <w:name w:val="ListLabel 187"/>
    <w:qFormat/>
    <w:rsid w:val="000952B8"/>
    <w:rPr>
      <w:rFonts w:ascii="Open Sans" w:eastAsia="Times New Roman" w:hAnsi="Open Sans" w:cs="Open Sans"/>
      <w:sz w:val="21"/>
      <w:szCs w:val="21"/>
      <w:lang w:eastAsia="es-ES"/>
    </w:rPr>
  </w:style>
  <w:style w:type="character" w:customStyle="1" w:styleId="ListLabel188">
    <w:name w:val="ListLabel 188"/>
    <w:qFormat/>
    <w:rsid w:val="000952B8"/>
    <w:rPr>
      <w:rFonts w:ascii="Open Sans" w:hAnsi="Open Sans" w:cs="Open Sans"/>
      <w:sz w:val="21"/>
      <w:szCs w:val="21"/>
    </w:rPr>
  </w:style>
  <w:style w:type="character" w:customStyle="1" w:styleId="ListLabel189">
    <w:name w:val="ListLabel 189"/>
    <w:qFormat/>
    <w:rsid w:val="000952B8"/>
    <w:rPr>
      <w:rFonts w:ascii="Open Sans" w:eastAsia="Times New Roman" w:hAnsi="Open Sans" w:cs="Open Sans"/>
      <w:i/>
      <w:sz w:val="21"/>
      <w:szCs w:val="21"/>
      <w:lang w:eastAsia="es-ES"/>
    </w:rPr>
  </w:style>
  <w:style w:type="character" w:customStyle="1" w:styleId="ListLabel190">
    <w:name w:val="ListLabel 190"/>
    <w:qFormat/>
    <w:rsid w:val="000952B8"/>
    <w:rPr>
      <w:rFonts w:eastAsia="Calibri"/>
      <w:sz w:val="21"/>
      <w:szCs w:val="21"/>
    </w:rPr>
  </w:style>
  <w:style w:type="character" w:customStyle="1" w:styleId="ListLabel191">
    <w:name w:val="ListLabel 191"/>
    <w:qFormat/>
    <w:rsid w:val="000952B8"/>
    <w:rPr>
      <w:rFonts w:ascii="Open Sans" w:eastAsia="Times New Roman" w:hAnsi="Open Sans" w:cs="Open Sans"/>
      <w:sz w:val="21"/>
      <w:szCs w:val="21"/>
      <w:u w:val="none"/>
      <w:lang w:eastAsia="es-ES"/>
    </w:rPr>
  </w:style>
  <w:style w:type="character" w:customStyle="1" w:styleId="ListLabel192">
    <w:name w:val="ListLabel 192"/>
    <w:qFormat/>
    <w:rsid w:val="000952B8"/>
    <w:rPr>
      <w:rFonts w:ascii="Open Sans" w:hAnsi="Open Sans" w:cs="Open Sans"/>
      <w:sz w:val="21"/>
      <w:szCs w:val="21"/>
    </w:rPr>
  </w:style>
  <w:style w:type="character" w:customStyle="1" w:styleId="ListLabel193">
    <w:name w:val="ListLabel 193"/>
    <w:qFormat/>
    <w:rsid w:val="000952B8"/>
    <w:rPr>
      <w:rFonts w:ascii="Open Sans" w:hAnsi="Open Sans" w:cs="Symbol"/>
      <w:sz w:val="21"/>
    </w:rPr>
  </w:style>
  <w:style w:type="character" w:customStyle="1" w:styleId="ListLabel194">
    <w:name w:val="ListLabel 194"/>
    <w:qFormat/>
    <w:rsid w:val="000952B8"/>
    <w:rPr>
      <w:rFonts w:cs="Courier New"/>
      <w:sz w:val="20"/>
    </w:rPr>
  </w:style>
  <w:style w:type="character" w:customStyle="1" w:styleId="ListLabel195">
    <w:name w:val="ListLabel 195"/>
    <w:qFormat/>
    <w:rsid w:val="000952B8"/>
    <w:rPr>
      <w:rFonts w:cs="Wingdings"/>
      <w:sz w:val="20"/>
    </w:rPr>
  </w:style>
  <w:style w:type="character" w:customStyle="1" w:styleId="ListLabel196">
    <w:name w:val="ListLabel 196"/>
    <w:qFormat/>
    <w:rsid w:val="000952B8"/>
    <w:rPr>
      <w:rFonts w:cs="Wingdings"/>
      <w:sz w:val="20"/>
    </w:rPr>
  </w:style>
  <w:style w:type="character" w:customStyle="1" w:styleId="ListLabel197">
    <w:name w:val="ListLabel 197"/>
    <w:qFormat/>
    <w:rsid w:val="000952B8"/>
    <w:rPr>
      <w:rFonts w:cs="Wingdings"/>
      <w:sz w:val="20"/>
    </w:rPr>
  </w:style>
  <w:style w:type="character" w:customStyle="1" w:styleId="ListLabel198">
    <w:name w:val="ListLabel 198"/>
    <w:qFormat/>
    <w:rsid w:val="000952B8"/>
    <w:rPr>
      <w:rFonts w:cs="Wingdings"/>
      <w:sz w:val="20"/>
    </w:rPr>
  </w:style>
  <w:style w:type="character" w:customStyle="1" w:styleId="ListLabel199">
    <w:name w:val="ListLabel 199"/>
    <w:qFormat/>
    <w:rsid w:val="000952B8"/>
    <w:rPr>
      <w:rFonts w:cs="Wingdings"/>
      <w:sz w:val="20"/>
    </w:rPr>
  </w:style>
  <w:style w:type="character" w:customStyle="1" w:styleId="ListLabel200">
    <w:name w:val="ListLabel 200"/>
    <w:qFormat/>
    <w:rsid w:val="000952B8"/>
    <w:rPr>
      <w:rFonts w:cs="Wingdings"/>
      <w:sz w:val="20"/>
    </w:rPr>
  </w:style>
  <w:style w:type="character" w:customStyle="1" w:styleId="ListLabel201">
    <w:name w:val="ListLabel 201"/>
    <w:qFormat/>
    <w:rsid w:val="000952B8"/>
    <w:rPr>
      <w:rFonts w:cs="Wingdings"/>
      <w:sz w:val="20"/>
    </w:rPr>
  </w:style>
  <w:style w:type="character" w:customStyle="1" w:styleId="ListLabel202">
    <w:name w:val="ListLabel 202"/>
    <w:qFormat/>
    <w:rsid w:val="000952B8"/>
    <w:rPr>
      <w:rFonts w:ascii="Open Sans" w:hAnsi="Open Sans" w:cs="Open Sans"/>
      <w:sz w:val="21"/>
    </w:rPr>
  </w:style>
  <w:style w:type="character" w:customStyle="1" w:styleId="ListLabel203">
    <w:name w:val="ListLabel 203"/>
    <w:qFormat/>
    <w:rsid w:val="000952B8"/>
    <w:rPr>
      <w:rFonts w:cs="Courier New"/>
    </w:rPr>
  </w:style>
  <w:style w:type="character" w:customStyle="1" w:styleId="ListLabel204">
    <w:name w:val="ListLabel 204"/>
    <w:qFormat/>
    <w:rsid w:val="000952B8"/>
    <w:rPr>
      <w:rFonts w:cs="Wingdings"/>
    </w:rPr>
  </w:style>
  <w:style w:type="character" w:customStyle="1" w:styleId="ListLabel205">
    <w:name w:val="ListLabel 205"/>
    <w:qFormat/>
    <w:rsid w:val="000952B8"/>
    <w:rPr>
      <w:rFonts w:cs="Symbol"/>
    </w:rPr>
  </w:style>
  <w:style w:type="character" w:customStyle="1" w:styleId="ListLabel206">
    <w:name w:val="ListLabel 206"/>
    <w:qFormat/>
    <w:rsid w:val="000952B8"/>
    <w:rPr>
      <w:rFonts w:cs="Courier New"/>
    </w:rPr>
  </w:style>
  <w:style w:type="character" w:customStyle="1" w:styleId="ListLabel207">
    <w:name w:val="ListLabel 207"/>
    <w:qFormat/>
    <w:rsid w:val="000952B8"/>
    <w:rPr>
      <w:rFonts w:cs="Wingdings"/>
    </w:rPr>
  </w:style>
  <w:style w:type="character" w:customStyle="1" w:styleId="ListLabel208">
    <w:name w:val="ListLabel 208"/>
    <w:qFormat/>
    <w:rsid w:val="000952B8"/>
    <w:rPr>
      <w:rFonts w:cs="Symbol"/>
    </w:rPr>
  </w:style>
  <w:style w:type="character" w:customStyle="1" w:styleId="ListLabel209">
    <w:name w:val="ListLabel 209"/>
    <w:qFormat/>
    <w:rsid w:val="000952B8"/>
    <w:rPr>
      <w:rFonts w:cs="Courier New"/>
    </w:rPr>
  </w:style>
  <w:style w:type="character" w:customStyle="1" w:styleId="ListLabel210">
    <w:name w:val="ListLabel 210"/>
    <w:qFormat/>
    <w:rsid w:val="000952B8"/>
    <w:rPr>
      <w:rFonts w:cs="Wingdings"/>
    </w:rPr>
  </w:style>
  <w:style w:type="character" w:customStyle="1" w:styleId="ListLabel211">
    <w:name w:val="ListLabel 211"/>
    <w:qFormat/>
    <w:rsid w:val="000952B8"/>
    <w:rPr>
      <w:rFonts w:ascii="Open Sans" w:hAnsi="Open Sans" w:cs="Symbol"/>
      <w:sz w:val="21"/>
    </w:rPr>
  </w:style>
  <w:style w:type="character" w:customStyle="1" w:styleId="ListLabel212">
    <w:name w:val="ListLabel 212"/>
    <w:qFormat/>
    <w:rsid w:val="000952B8"/>
    <w:rPr>
      <w:rFonts w:cs="Open Sans"/>
    </w:rPr>
  </w:style>
  <w:style w:type="character" w:customStyle="1" w:styleId="ListLabel213">
    <w:name w:val="ListLabel 213"/>
    <w:qFormat/>
    <w:rsid w:val="000952B8"/>
    <w:rPr>
      <w:rFonts w:cs="Wingdings"/>
    </w:rPr>
  </w:style>
  <w:style w:type="character" w:customStyle="1" w:styleId="ListLabel214">
    <w:name w:val="ListLabel 214"/>
    <w:qFormat/>
    <w:rsid w:val="000952B8"/>
    <w:rPr>
      <w:rFonts w:cs="Symbol"/>
    </w:rPr>
  </w:style>
  <w:style w:type="character" w:customStyle="1" w:styleId="ListLabel215">
    <w:name w:val="ListLabel 215"/>
    <w:qFormat/>
    <w:rsid w:val="000952B8"/>
    <w:rPr>
      <w:rFonts w:cs="Courier New"/>
    </w:rPr>
  </w:style>
  <w:style w:type="character" w:customStyle="1" w:styleId="ListLabel216">
    <w:name w:val="ListLabel 216"/>
    <w:qFormat/>
    <w:rsid w:val="000952B8"/>
    <w:rPr>
      <w:rFonts w:cs="Wingdings"/>
    </w:rPr>
  </w:style>
  <w:style w:type="character" w:customStyle="1" w:styleId="ListLabel217">
    <w:name w:val="ListLabel 217"/>
    <w:qFormat/>
    <w:rsid w:val="000952B8"/>
    <w:rPr>
      <w:rFonts w:cs="Symbol"/>
    </w:rPr>
  </w:style>
  <w:style w:type="character" w:customStyle="1" w:styleId="ListLabel218">
    <w:name w:val="ListLabel 218"/>
    <w:qFormat/>
    <w:rsid w:val="000952B8"/>
    <w:rPr>
      <w:rFonts w:cs="Courier New"/>
    </w:rPr>
  </w:style>
  <w:style w:type="character" w:customStyle="1" w:styleId="ListLabel219">
    <w:name w:val="ListLabel 219"/>
    <w:qFormat/>
    <w:rsid w:val="000952B8"/>
    <w:rPr>
      <w:rFonts w:cs="Wingdings"/>
    </w:rPr>
  </w:style>
  <w:style w:type="character" w:customStyle="1" w:styleId="ListLabel220">
    <w:name w:val="ListLabel 220"/>
    <w:qFormat/>
    <w:rsid w:val="000952B8"/>
    <w:rPr>
      <w:rFonts w:cs="Courier New"/>
    </w:rPr>
  </w:style>
  <w:style w:type="character" w:customStyle="1" w:styleId="ListLabel221">
    <w:name w:val="ListLabel 221"/>
    <w:qFormat/>
    <w:rsid w:val="000952B8"/>
    <w:rPr>
      <w:rFonts w:cs="Wingdings"/>
    </w:rPr>
  </w:style>
  <w:style w:type="character" w:customStyle="1" w:styleId="ListLabel222">
    <w:name w:val="ListLabel 222"/>
    <w:qFormat/>
    <w:rsid w:val="000952B8"/>
    <w:rPr>
      <w:rFonts w:cs="Symbol"/>
    </w:rPr>
  </w:style>
  <w:style w:type="character" w:customStyle="1" w:styleId="ListLabel223">
    <w:name w:val="ListLabel 223"/>
    <w:qFormat/>
    <w:rsid w:val="000952B8"/>
    <w:rPr>
      <w:rFonts w:cs="Courier New"/>
    </w:rPr>
  </w:style>
  <w:style w:type="character" w:customStyle="1" w:styleId="ListLabel224">
    <w:name w:val="ListLabel 224"/>
    <w:qFormat/>
    <w:rsid w:val="000952B8"/>
    <w:rPr>
      <w:rFonts w:cs="Wingdings"/>
    </w:rPr>
  </w:style>
  <w:style w:type="character" w:customStyle="1" w:styleId="ListLabel225">
    <w:name w:val="ListLabel 225"/>
    <w:qFormat/>
    <w:rsid w:val="000952B8"/>
    <w:rPr>
      <w:rFonts w:cs="Symbol"/>
    </w:rPr>
  </w:style>
  <w:style w:type="character" w:customStyle="1" w:styleId="ListLabel226">
    <w:name w:val="ListLabel 226"/>
    <w:qFormat/>
    <w:rsid w:val="000952B8"/>
    <w:rPr>
      <w:rFonts w:cs="Courier New"/>
    </w:rPr>
  </w:style>
  <w:style w:type="character" w:customStyle="1" w:styleId="ListLabel227">
    <w:name w:val="ListLabel 227"/>
    <w:qFormat/>
    <w:rsid w:val="000952B8"/>
    <w:rPr>
      <w:rFonts w:cs="Wingdings"/>
    </w:rPr>
  </w:style>
  <w:style w:type="character" w:customStyle="1" w:styleId="ListLabel228">
    <w:name w:val="ListLabel 228"/>
    <w:qFormat/>
    <w:rsid w:val="000952B8"/>
    <w:rPr>
      <w:rFonts w:ascii="Open Sans" w:eastAsia="Times New Roman" w:hAnsi="Open Sans" w:cs="Open Sans"/>
      <w:b/>
      <w:sz w:val="21"/>
      <w:szCs w:val="21"/>
      <w:lang w:eastAsia="es-ES"/>
    </w:rPr>
  </w:style>
  <w:style w:type="character" w:customStyle="1" w:styleId="ListLabel229">
    <w:name w:val="ListLabel 229"/>
    <w:qFormat/>
    <w:rsid w:val="000952B8"/>
    <w:rPr>
      <w:rFonts w:ascii="Open Sans" w:eastAsia="Times New Roman" w:hAnsi="Open Sans" w:cs="Open Sans"/>
      <w:sz w:val="21"/>
      <w:szCs w:val="21"/>
      <w:lang w:eastAsia="es-ES"/>
    </w:rPr>
  </w:style>
  <w:style w:type="character" w:customStyle="1" w:styleId="ListLabel230">
    <w:name w:val="ListLabel 230"/>
    <w:qFormat/>
    <w:rsid w:val="000952B8"/>
    <w:rPr>
      <w:rFonts w:ascii="Open Sans" w:hAnsi="Open Sans" w:cs="Open Sans"/>
      <w:b/>
      <w:sz w:val="21"/>
      <w:szCs w:val="21"/>
    </w:rPr>
  </w:style>
  <w:style w:type="character" w:customStyle="1" w:styleId="ListLabel231">
    <w:name w:val="ListLabel 231"/>
    <w:qFormat/>
    <w:rsid w:val="000952B8"/>
    <w:rPr>
      <w:rFonts w:ascii="Open Sans" w:hAnsi="Open Sans" w:cs="Open Sans"/>
      <w:sz w:val="21"/>
      <w:szCs w:val="21"/>
    </w:rPr>
  </w:style>
  <w:style w:type="character" w:customStyle="1" w:styleId="ListLabel232">
    <w:name w:val="ListLabel 232"/>
    <w:qFormat/>
    <w:rsid w:val="000952B8"/>
    <w:rPr>
      <w:rFonts w:ascii="Open Sans" w:eastAsia="Times New Roman" w:hAnsi="Open Sans" w:cs="Open Sans"/>
      <w:i/>
      <w:sz w:val="21"/>
      <w:szCs w:val="21"/>
      <w:lang w:eastAsia="es-ES"/>
    </w:rPr>
  </w:style>
  <w:style w:type="character" w:customStyle="1" w:styleId="ListLabel233">
    <w:name w:val="ListLabel 233"/>
    <w:qFormat/>
    <w:rsid w:val="000952B8"/>
    <w:rPr>
      <w:rFonts w:eastAsia="Calibri"/>
      <w:sz w:val="21"/>
      <w:szCs w:val="21"/>
    </w:rPr>
  </w:style>
  <w:style w:type="character" w:customStyle="1" w:styleId="ListLabel234">
    <w:name w:val="ListLabel 234"/>
    <w:qFormat/>
    <w:rsid w:val="000952B8"/>
    <w:rPr>
      <w:rFonts w:ascii="Open Sans" w:eastAsia="Times New Roman" w:hAnsi="Open Sans" w:cs="Open Sans"/>
      <w:sz w:val="21"/>
      <w:szCs w:val="21"/>
      <w:u w:val="none"/>
      <w:lang w:eastAsia="es-ES"/>
    </w:rPr>
  </w:style>
  <w:style w:type="character" w:customStyle="1" w:styleId="ListLabel235">
    <w:name w:val="ListLabel 235"/>
    <w:qFormat/>
    <w:rsid w:val="000952B8"/>
    <w:rPr>
      <w:rFonts w:ascii="Open Sans" w:hAnsi="Open Sans" w:cs="Symbol"/>
      <w:sz w:val="21"/>
    </w:rPr>
  </w:style>
  <w:style w:type="character" w:customStyle="1" w:styleId="ListLabel236">
    <w:name w:val="ListLabel 236"/>
    <w:qFormat/>
    <w:rsid w:val="000952B8"/>
    <w:rPr>
      <w:rFonts w:cs="Courier New"/>
      <w:sz w:val="20"/>
    </w:rPr>
  </w:style>
  <w:style w:type="character" w:customStyle="1" w:styleId="ListLabel237">
    <w:name w:val="ListLabel 237"/>
    <w:qFormat/>
    <w:rsid w:val="000952B8"/>
    <w:rPr>
      <w:rFonts w:cs="Wingdings"/>
      <w:sz w:val="20"/>
    </w:rPr>
  </w:style>
  <w:style w:type="character" w:customStyle="1" w:styleId="ListLabel238">
    <w:name w:val="ListLabel 238"/>
    <w:qFormat/>
    <w:rsid w:val="000952B8"/>
    <w:rPr>
      <w:rFonts w:cs="Wingdings"/>
      <w:sz w:val="20"/>
    </w:rPr>
  </w:style>
  <w:style w:type="character" w:customStyle="1" w:styleId="ListLabel239">
    <w:name w:val="ListLabel 239"/>
    <w:qFormat/>
    <w:rsid w:val="000952B8"/>
    <w:rPr>
      <w:rFonts w:cs="Wingdings"/>
      <w:sz w:val="20"/>
    </w:rPr>
  </w:style>
  <w:style w:type="character" w:customStyle="1" w:styleId="ListLabel240">
    <w:name w:val="ListLabel 240"/>
    <w:qFormat/>
    <w:rsid w:val="000952B8"/>
    <w:rPr>
      <w:rFonts w:cs="Wingdings"/>
      <w:sz w:val="20"/>
    </w:rPr>
  </w:style>
  <w:style w:type="character" w:customStyle="1" w:styleId="ListLabel241">
    <w:name w:val="ListLabel 241"/>
    <w:qFormat/>
    <w:rsid w:val="000952B8"/>
    <w:rPr>
      <w:rFonts w:cs="Wingdings"/>
      <w:sz w:val="20"/>
    </w:rPr>
  </w:style>
  <w:style w:type="character" w:customStyle="1" w:styleId="ListLabel242">
    <w:name w:val="ListLabel 242"/>
    <w:qFormat/>
    <w:rsid w:val="000952B8"/>
    <w:rPr>
      <w:rFonts w:cs="Wingdings"/>
      <w:sz w:val="20"/>
    </w:rPr>
  </w:style>
  <w:style w:type="character" w:customStyle="1" w:styleId="ListLabel243">
    <w:name w:val="ListLabel 243"/>
    <w:qFormat/>
    <w:rsid w:val="000952B8"/>
    <w:rPr>
      <w:rFonts w:cs="Wingdings"/>
      <w:sz w:val="20"/>
    </w:rPr>
  </w:style>
  <w:style w:type="character" w:customStyle="1" w:styleId="ListLabel244">
    <w:name w:val="ListLabel 244"/>
    <w:qFormat/>
    <w:rsid w:val="000952B8"/>
    <w:rPr>
      <w:rFonts w:ascii="Open Sans" w:hAnsi="Open Sans" w:cs="Open Sans"/>
      <w:sz w:val="21"/>
    </w:rPr>
  </w:style>
  <w:style w:type="character" w:customStyle="1" w:styleId="ListLabel245">
    <w:name w:val="ListLabel 245"/>
    <w:qFormat/>
    <w:rsid w:val="000952B8"/>
    <w:rPr>
      <w:rFonts w:cs="Courier New"/>
    </w:rPr>
  </w:style>
  <w:style w:type="character" w:customStyle="1" w:styleId="ListLabel246">
    <w:name w:val="ListLabel 246"/>
    <w:qFormat/>
    <w:rsid w:val="000952B8"/>
    <w:rPr>
      <w:rFonts w:cs="Wingdings"/>
    </w:rPr>
  </w:style>
  <w:style w:type="character" w:customStyle="1" w:styleId="ListLabel247">
    <w:name w:val="ListLabel 247"/>
    <w:qFormat/>
    <w:rsid w:val="000952B8"/>
    <w:rPr>
      <w:rFonts w:cs="Symbol"/>
    </w:rPr>
  </w:style>
  <w:style w:type="character" w:customStyle="1" w:styleId="ListLabel248">
    <w:name w:val="ListLabel 248"/>
    <w:qFormat/>
    <w:rsid w:val="000952B8"/>
    <w:rPr>
      <w:rFonts w:cs="Courier New"/>
    </w:rPr>
  </w:style>
  <w:style w:type="character" w:customStyle="1" w:styleId="ListLabel249">
    <w:name w:val="ListLabel 249"/>
    <w:qFormat/>
    <w:rsid w:val="000952B8"/>
    <w:rPr>
      <w:rFonts w:cs="Wingdings"/>
    </w:rPr>
  </w:style>
  <w:style w:type="character" w:customStyle="1" w:styleId="ListLabel250">
    <w:name w:val="ListLabel 250"/>
    <w:qFormat/>
    <w:rsid w:val="000952B8"/>
    <w:rPr>
      <w:rFonts w:cs="Symbol"/>
    </w:rPr>
  </w:style>
  <w:style w:type="character" w:customStyle="1" w:styleId="ListLabel251">
    <w:name w:val="ListLabel 251"/>
    <w:qFormat/>
    <w:rsid w:val="000952B8"/>
    <w:rPr>
      <w:rFonts w:cs="Courier New"/>
    </w:rPr>
  </w:style>
  <w:style w:type="character" w:customStyle="1" w:styleId="ListLabel252">
    <w:name w:val="ListLabel 252"/>
    <w:qFormat/>
    <w:rsid w:val="000952B8"/>
    <w:rPr>
      <w:rFonts w:cs="Wingdings"/>
    </w:rPr>
  </w:style>
  <w:style w:type="character" w:customStyle="1" w:styleId="ListLabel253">
    <w:name w:val="ListLabel 253"/>
    <w:qFormat/>
    <w:rsid w:val="000952B8"/>
    <w:rPr>
      <w:rFonts w:ascii="Open Sans" w:hAnsi="Open Sans" w:cs="Symbol"/>
      <w:sz w:val="21"/>
    </w:rPr>
  </w:style>
  <w:style w:type="character" w:customStyle="1" w:styleId="ListLabel254">
    <w:name w:val="ListLabel 254"/>
    <w:qFormat/>
    <w:rsid w:val="000952B8"/>
    <w:rPr>
      <w:rFonts w:cs="Open Sans"/>
    </w:rPr>
  </w:style>
  <w:style w:type="character" w:customStyle="1" w:styleId="ListLabel255">
    <w:name w:val="ListLabel 255"/>
    <w:qFormat/>
    <w:rsid w:val="000952B8"/>
    <w:rPr>
      <w:rFonts w:cs="Wingdings"/>
    </w:rPr>
  </w:style>
  <w:style w:type="character" w:customStyle="1" w:styleId="ListLabel256">
    <w:name w:val="ListLabel 256"/>
    <w:qFormat/>
    <w:rsid w:val="000952B8"/>
    <w:rPr>
      <w:rFonts w:cs="Symbol"/>
    </w:rPr>
  </w:style>
  <w:style w:type="character" w:customStyle="1" w:styleId="ListLabel257">
    <w:name w:val="ListLabel 257"/>
    <w:qFormat/>
    <w:rsid w:val="000952B8"/>
    <w:rPr>
      <w:rFonts w:cs="Courier New"/>
    </w:rPr>
  </w:style>
  <w:style w:type="character" w:customStyle="1" w:styleId="ListLabel258">
    <w:name w:val="ListLabel 258"/>
    <w:qFormat/>
    <w:rsid w:val="000952B8"/>
    <w:rPr>
      <w:rFonts w:cs="Wingdings"/>
    </w:rPr>
  </w:style>
  <w:style w:type="character" w:customStyle="1" w:styleId="ListLabel259">
    <w:name w:val="ListLabel 259"/>
    <w:qFormat/>
    <w:rsid w:val="000952B8"/>
    <w:rPr>
      <w:rFonts w:cs="Symbol"/>
    </w:rPr>
  </w:style>
  <w:style w:type="character" w:customStyle="1" w:styleId="ListLabel260">
    <w:name w:val="ListLabel 260"/>
    <w:qFormat/>
    <w:rsid w:val="000952B8"/>
    <w:rPr>
      <w:rFonts w:cs="Courier New"/>
    </w:rPr>
  </w:style>
  <w:style w:type="character" w:customStyle="1" w:styleId="ListLabel261">
    <w:name w:val="ListLabel 261"/>
    <w:qFormat/>
    <w:rsid w:val="000952B8"/>
    <w:rPr>
      <w:rFonts w:cs="Wingdings"/>
    </w:rPr>
  </w:style>
  <w:style w:type="character" w:customStyle="1" w:styleId="ListLabel262">
    <w:name w:val="ListLabel 262"/>
    <w:qFormat/>
    <w:rsid w:val="000952B8"/>
    <w:rPr>
      <w:rFonts w:cs="Courier New"/>
    </w:rPr>
  </w:style>
  <w:style w:type="character" w:customStyle="1" w:styleId="ListLabel263">
    <w:name w:val="ListLabel 263"/>
    <w:qFormat/>
    <w:rsid w:val="000952B8"/>
    <w:rPr>
      <w:rFonts w:cs="Wingdings"/>
    </w:rPr>
  </w:style>
  <w:style w:type="character" w:customStyle="1" w:styleId="ListLabel264">
    <w:name w:val="ListLabel 264"/>
    <w:qFormat/>
    <w:rsid w:val="000952B8"/>
    <w:rPr>
      <w:rFonts w:cs="Symbol"/>
    </w:rPr>
  </w:style>
  <w:style w:type="character" w:customStyle="1" w:styleId="ListLabel265">
    <w:name w:val="ListLabel 265"/>
    <w:qFormat/>
    <w:rsid w:val="000952B8"/>
    <w:rPr>
      <w:rFonts w:cs="Courier New"/>
    </w:rPr>
  </w:style>
  <w:style w:type="character" w:customStyle="1" w:styleId="ListLabel266">
    <w:name w:val="ListLabel 266"/>
    <w:qFormat/>
    <w:rsid w:val="000952B8"/>
    <w:rPr>
      <w:rFonts w:cs="Wingdings"/>
    </w:rPr>
  </w:style>
  <w:style w:type="character" w:customStyle="1" w:styleId="ListLabel267">
    <w:name w:val="ListLabel 267"/>
    <w:qFormat/>
    <w:rsid w:val="000952B8"/>
    <w:rPr>
      <w:rFonts w:cs="Symbol"/>
    </w:rPr>
  </w:style>
  <w:style w:type="character" w:customStyle="1" w:styleId="ListLabel268">
    <w:name w:val="ListLabel 268"/>
    <w:qFormat/>
    <w:rsid w:val="000952B8"/>
    <w:rPr>
      <w:rFonts w:cs="Courier New"/>
    </w:rPr>
  </w:style>
  <w:style w:type="character" w:customStyle="1" w:styleId="ListLabel269">
    <w:name w:val="ListLabel 269"/>
    <w:qFormat/>
    <w:rsid w:val="000952B8"/>
    <w:rPr>
      <w:rFonts w:cs="Wingdings"/>
    </w:rPr>
  </w:style>
  <w:style w:type="character" w:customStyle="1" w:styleId="ListLabel270">
    <w:name w:val="ListLabel 270"/>
    <w:qFormat/>
    <w:rsid w:val="000952B8"/>
    <w:rPr>
      <w:rFonts w:cs="Courier New"/>
    </w:rPr>
  </w:style>
  <w:style w:type="character" w:customStyle="1" w:styleId="ListLabel271">
    <w:name w:val="ListLabel 271"/>
    <w:qFormat/>
    <w:rsid w:val="000952B8"/>
    <w:rPr>
      <w:rFonts w:cs="Courier New"/>
    </w:rPr>
  </w:style>
  <w:style w:type="character" w:customStyle="1" w:styleId="ListLabel272">
    <w:name w:val="ListLabel 272"/>
    <w:qFormat/>
    <w:rsid w:val="000952B8"/>
    <w:rPr>
      <w:rFonts w:cs="Courier New"/>
    </w:rPr>
  </w:style>
  <w:style w:type="character" w:customStyle="1" w:styleId="ListLabel273">
    <w:name w:val="ListLabel 273"/>
    <w:qFormat/>
    <w:rsid w:val="000952B8"/>
    <w:rPr>
      <w:rFonts w:ascii="Open Sans" w:eastAsia="Times New Roman" w:hAnsi="Open Sans" w:cs="Open Sans"/>
      <w:b/>
      <w:sz w:val="21"/>
      <w:szCs w:val="21"/>
      <w:lang w:eastAsia="es-ES"/>
    </w:rPr>
  </w:style>
  <w:style w:type="character" w:customStyle="1" w:styleId="ListLabel274">
    <w:name w:val="ListLabel 274"/>
    <w:qFormat/>
    <w:rsid w:val="000952B8"/>
    <w:rPr>
      <w:rFonts w:ascii="Open Sans" w:eastAsia="Times New Roman" w:hAnsi="Open Sans" w:cs="Open Sans"/>
      <w:sz w:val="21"/>
      <w:szCs w:val="21"/>
      <w:lang w:eastAsia="es-ES"/>
    </w:rPr>
  </w:style>
  <w:style w:type="character" w:customStyle="1" w:styleId="ListLabel275">
    <w:name w:val="ListLabel 275"/>
    <w:qFormat/>
    <w:rsid w:val="000952B8"/>
    <w:rPr>
      <w:rFonts w:ascii="Open Sans" w:hAnsi="Open Sans" w:cs="Open Sans"/>
      <w:b/>
      <w:sz w:val="21"/>
      <w:szCs w:val="21"/>
    </w:rPr>
  </w:style>
  <w:style w:type="character" w:customStyle="1" w:styleId="ListLabel276">
    <w:name w:val="ListLabel 276"/>
    <w:qFormat/>
    <w:rsid w:val="000952B8"/>
    <w:rPr>
      <w:rFonts w:ascii="Open Sans" w:hAnsi="Open Sans" w:cs="Open Sans"/>
      <w:sz w:val="21"/>
      <w:szCs w:val="21"/>
    </w:rPr>
  </w:style>
  <w:style w:type="character" w:customStyle="1" w:styleId="ListLabel277">
    <w:name w:val="ListLabel 277"/>
    <w:qFormat/>
    <w:rsid w:val="000952B8"/>
    <w:rPr>
      <w:rFonts w:ascii="Open Sans" w:hAnsi="Open Sans" w:cs="Open Sans"/>
      <w:sz w:val="21"/>
      <w:szCs w:val="21"/>
    </w:rPr>
  </w:style>
  <w:style w:type="character" w:customStyle="1" w:styleId="ListLabel278">
    <w:name w:val="ListLabel 278"/>
    <w:qFormat/>
    <w:rsid w:val="000952B8"/>
    <w:rPr>
      <w:rFonts w:ascii="Open Sans" w:eastAsia="Times New Roman" w:hAnsi="Open Sans" w:cs="Open Sans"/>
      <w:i/>
      <w:sz w:val="21"/>
      <w:szCs w:val="21"/>
      <w:lang w:eastAsia="es-ES"/>
    </w:rPr>
  </w:style>
  <w:style w:type="character" w:customStyle="1" w:styleId="ListLabel279">
    <w:name w:val="ListLabel 279"/>
    <w:qFormat/>
    <w:rsid w:val="000952B8"/>
    <w:rPr>
      <w:rFonts w:eastAsia="Calibri"/>
      <w:sz w:val="21"/>
      <w:szCs w:val="21"/>
    </w:rPr>
  </w:style>
  <w:style w:type="character" w:customStyle="1" w:styleId="ListLabel280">
    <w:name w:val="ListLabel 280"/>
    <w:qFormat/>
    <w:rsid w:val="000952B8"/>
    <w:rPr>
      <w:rFonts w:ascii="Open Sans" w:eastAsia="Times New Roman" w:hAnsi="Open Sans" w:cs="Open Sans"/>
      <w:sz w:val="21"/>
      <w:szCs w:val="21"/>
      <w:u w:val="none"/>
      <w:lang w:eastAsia="es-ES"/>
    </w:rPr>
  </w:style>
  <w:style w:type="character" w:customStyle="1" w:styleId="ListLabel281">
    <w:name w:val="ListLabel 281"/>
    <w:qFormat/>
    <w:rsid w:val="000952B8"/>
    <w:rPr>
      <w:b/>
      <w:color w:val="932224"/>
      <w:sz w:val="21"/>
      <w:szCs w:val="21"/>
      <w:lang w:val="es-ES"/>
    </w:rPr>
  </w:style>
  <w:style w:type="character" w:customStyle="1" w:styleId="ListLabel282">
    <w:name w:val="ListLabel 282"/>
    <w:qFormat/>
    <w:rsid w:val="000952B8"/>
    <w:rPr>
      <w:color w:val="932224"/>
      <w:sz w:val="21"/>
      <w:szCs w:val="21"/>
      <w:shd w:val="clear" w:color="auto" w:fill="FFFFFF"/>
      <w:lang w:val="es-ES"/>
    </w:rPr>
  </w:style>
  <w:style w:type="character" w:customStyle="1" w:styleId="TextocomentarioCar1">
    <w:name w:val="Texto comentario Car1"/>
    <w:basedOn w:val="Fuentedeprrafopredeter"/>
    <w:uiPriority w:val="99"/>
    <w:semiHidden/>
    <w:qFormat/>
    <w:rsid w:val="000952B8"/>
    <w:rPr>
      <w:sz w:val="20"/>
      <w:szCs w:val="20"/>
    </w:rPr>
  </w:style>
  <w:style w:type="character" w:customStyle="1" w:styleId="AsuntodelcomentarioCar1">
    <w:name w:val="Asunto del comentario Car1"/>
    <w:basedOn w:val="TextocomentarioCar1"/>
    <w:uiPriority w:val="99"/>
    <w:semiHidden/>
    <w:qFormat/>
    <w:rsid w:val="000952B8"/>
    <w:rPr>
      <w:b/>
      <w:bCs/>
      <w:sz w:val="20"/>
      <w:szCs w:val="20"/>
    </w:rPr>
  </w:style>
  <w:style w:type="character" w:customStyle="1" w:styleId="TextodegloboCar1">
    <w:name w:val="Texto de globo Car1"/>
    <w:basedOn w:val="Fuentedeprrafopredeter"/>
    <w:uiPriority w:val="99"/>
    <w:semiHidden/>
    <w:qFormat/>
    <w:rsid w:val="000952B8"/>
    <w:rPr>
      <w:rFonts w:ascii="Segoe UI" w:hAnsi="Segoe UI" w:cs="Segoe UI"/>
      <w:sz w:val="18"/>
      <w:szCs w:val="18"/>
    </w:rPr>
  </w:style>
  <w:style w:type="character" w:customStyle="1" w:styleId="ListLabel283">
    <w:name w:val="ListLabel 283"/>
    <w:qFormat/>
    <w:rsid w:val="000952B8"/>
    <w:rPr>
      <w:rFonts w:ascii="Open Sans" w:hAnsi="Open Sans" w:cs="Symbol"/>
      <w:sz w:val="21"/>
    </w:rPr>
  </w:style>
  <w:style w:type="character" w:customStyle="1" w:styleId="ListLabel284">
    <w:name w:val="ListLabel 284"/>
    <w:qFormat/>
    <w:rsid w:val="000952B8"/>
    <w:rPr>
      <w:rFonts w:cs="Courier New"/>
      <w:sz w:val="20"/>
    </w:rPr>
  </w:style>
  <w:style w:type="character" w:customStyle="1" w:styleId="ListLabel285">
    <w:name w:val="ListLabel 285"/>
    <w:qFormat/>
    <w:rsid w:val="000952B8"/>
    <w:rPr>
      <w:rFonts w:cs="Wingdings"/>
      <w:sz w:val="20"/>
    </w:rPr>
  </w:style>
  <w:style w:type="character" w:customStyle="1" w:styleId="ListLabel286">
    <w:name w:val="ListLabel 286"/>
    <w:qFormat/>
    <w:rsid w:val="000952B8"/>
    <w:rPr>
      <w:rFonts w:cs="Wingdings"/>
      <w:sz w:val="20"/>
    </w:rPr>
  </w:style>
  <w:style w:type="character" w:customStyle="1" w:styleId="ListLabel287">
    <w:name w:val="ListLabel 287"/>
    <w:qFormat/>
    <w:rsid w:val="000952B8"/>
    <w:rPr>
      <w:rFonts w:cs="Wingdings"/>
      <w:sz w:val="20"/>
    </w:rPr>
  </w:style>
  <w:style w:type="character" w:customStyle="1" w:styleId="ListLabel288">
    <w:name w:val="ListLabel 288"/>
    <w:qFormat/>
    <w:rsid w:val="000952B8"/>
    <w:rPr>
      <w:rFonts w:cs="Wingdings"/>
      <w:sz w:val="20"/>
    </w:rPr>
  </w:style>
  <w:style w:type="character" w:customStyle="1" w:styleId="ListLabel289">
    <w:name w:val="ListLabel 289"/>
    <w:qFormat/>
    <w:rsid w:val="000952B8"/>
    <w:rPr>
      <w:rFonts w:cs="Wingdings"/>
      <w:sz w:val="20"/>
    </w:rPr>
  </w:style>
  <w:style w:type="character" w:customStyle="1" w:styleId="ListLabel290">
    <w:name w:val="ListLabel 290"/>
    <w:qFormat/>
    <w:rsid w:val="000952B8"/>
    <w:rPr>
      <w:rFonts w:cs="Wingdings"/>
      <w:sz w:val="20"/>
    </w:rPr>
  </w:style>
  <w:style w:type="character" w:customStyle="1" w:styleId="ListLabel291">
    <w:name w:val="ListLabel 291"/>
    <w:qFormat/>
    <w:rsid w:val="000952B8"/>
    <w:rPr>
      <w:rFonts w:cs="Wingdings"/>
      <w:sz w:val="20"/>
    </w:rPr>
  </w:style>
  <w:style w:type="character" w:customStyle="1" w:styleId="ListLabel292">
    <w:name w:val="ListLabel 292"/>
    <w:qFormat/>
    <w:rsid w:val="000952B8"/>
    <w:rPr>
      <w:rFonts w:cs="Open Sans"/>
      <w:sz w:val="21"/>
    </w:rPr>
  </w:style>
  <w:style w:type="character" w:customStyle="1" w:styleId="ListLabel293">
    <w:name w:val="ListLabel 293"/>
    <w:qFormat/>
    <w:rsid w:val="000952B8"/>
    <w:rPr>
      <w:rFonts w:cs="Courier New"/>
    </w:rPr>
  </w:style>
  <w:style w:type="character" w:customStyle="1" w:styleId="ListLabel294">
    <w:name w:val="ListLabel 294"/>
    <w:qFormat/>
    <w:rsid w:val="000952B8"/>
    <w:rPr>
      <w:rFonts w:cs="Wingdings"/>
    </w:rPr>
  </w:style>
  <w:style w:type="character" w:customStyle="1" w:styleId="ListLabel295">
    <w:name w:val="ListLabel 295"/>
    <w:qFormat/>
    <w:rsid w:val="000952B8"/>
    <w:rPr>
      <w:rFonts w:cs="Symbol"/>
    </w:rPr>
  </w:style>
  <w:style w:type="character" w:customStyle="1" w:styleId="ListLabel296">
    <w:name w:val="ListLabel 296"/>
    <w:qFormat/>
    <w:rsid w:val="000952B8"/>
    <w:rPr>
      <w:rFonts w:cs="Courier New"/>
    </w:rPr>
  </w:style>
  <w:style w:type="character" w:customStyle="1" w:styleId="ListLabel297">
    <w:name w:val="ListLabel 297"/>
    <w:qFormat/>
    <w:rsid w:val="000952B8"/>
    <w:rPr>
      <w:rFonts w:cs="Wingdings"/>
    </w:rPr>
  </w:style>
  <w:style w:type="character" w:customStyle="1" w:styleId="ListLabel298">
    <w:name w:val="ListLabel 298"/>
    <w:qFormat/>
    <w:rsid w:val="000952B8"/>
    <w:rPr>
      <w:rFonts w:cs="Symbol"/>
    </w:rPr>
  </w:style>
  <w:style w:type="character" w:customStyle="1" w:styleId="ListLabel299">
    <w:name w:val="ListLabel 299"/>
    <w:qFormat/>
    <w:rsid w:val="000952B8"/>
    <w:rPr>
      <w:rFonts w:cs="Courier New"/>
    </w:rPr>
  </w:style>
  <w:style w:type="character" w:customStyle="1" w:styleId="ListLabel300">
    <w:name w:val="ListLabel 300"/>
    <w:qFormat/>
    <w:rsid w:val="000952B8"/>
    <w:rPr>
      <w:rFonts w:cs="Wingdings"/>
    </w:rPr>
  </w:style>
  <w:style w:type="character" w:customStyle="1" w:styleId="ListLabel301">
    <w:name w:val="ListLabel 301"/>
    <w:qFormat/>
    <w:rsid w:val="000952B8"/>
    <w:rPr>
      <w:rFonts w:ascii="Open Sans" w:hAnsi="Open Sans" w:cs="Symbol"/>
      <w:sz w:val="21"/>
    </w:rPr>
  </w:style>
  <w:style w:type="character" w:customStyle="1" w:styleId="ListLabel302">
    <w:name w:val="ListLabel 302"/>
    <w:qFormat/>
    <w:rsid w:val="000952B8"/>
    <w:rPr>
      <w:rFonts w:cs="Open Sans"/>
    </w:rPr>
  </w:style>
  <w:style w:type="character" w:customStyle="1" w:styleId="ListLabel303">
    <w:name w:val="ListLabel 303"/>
    <w:qFormat/>
    <w:rsid w:val="000952B8"/>
    <w:rPr>
      <w:rFonts w:cs="Wingdings"/>
    </w:rPr>
  </w:style>
  <w:style w:type="character" w:customStyle="1" w:styleId="ListLabel304">
    <w:name w:val="ListLabel 304"/>
    <w:qFormat/>
    <w:rsid w:val="000952B8"/>
    <w:rPr>
      <w:rFonts w:cs="Symbol"/>
    </w:rPr>
  </w:style>
  <w:style w:type="character" w:customStyle="1" w:styleId="ListLabel305">
    <w:name w:val="ListLabel 305"/>
    <w:qFormat/>
    <w:rsid w:val="000952B8"/>
    <w:rPr>
      <w:rFonts w:cs="Courier New"/>
    </w:rPr>
  </w:style>
  <w:style w:type="character" w:customStyle="1" w:styleId="ListLabel306">
    <w:name w:val="ListLabel 306"/>
    <w:qFormat/>
    <w:rsid w:val="000952B8"/>
    <w:rPr>
      <w:rFonts w:cs="Wingdings"/>
    </w:rPr>
  </w:style>
  <w:style w:type="character" w:customStyle="1" w:styleId="ListLabel307">
    <w:name w:val="ListLabel 307"/>
    <w:qFormat/>
    <w:rsid w:val="000952B8"/>
    <w:rPr>
      <w:rFonts w:cs="Symbol"/>
    </w:rPr>
  </w:style>
  <w:style w:type="character" w:customStyle="1" w:styleId="ListLabel308">
    <w:name w:val="ListLabel 308"/>
    <w:qFormat/>
    <w:rsid w:val="000952B8"/>
    <w:rPr>
      <w:rFonts w:cs="Courier New"/>
    </w:rPr>
  </w:style>
  <w:style w:type="character" w:customStyle="1" w:styleId="ListLabel309">
    <w:name w:val="ListLabel 309"/>
    <w:qFormat/>
    <w:rsid w:val="000952B8"/>
    <w:rPr>
      <w:rFonts w:cs="Wingdings"/>
    </w:rPr>
  </w:style>
  <w:style w:type="character" w:customStyle="1" w:styleId="ListLabel310">
    <w:name w:val="ListLabel 310"/>
    <w:qFormat/>
    <w:rsid w:val="000952B8"/>
    <w:rPr>
      <w:rFonts w:cs="Courier New"/>
    </w:rPr>
  </w:style>
  <w:style w:type="character" w:customStyle="1" w:styleId="ListLabel311">
    <w:name w:val="ListLabel 311"/>
    <w:qFormat/>
    <w:rsid w:val="000952B8"/>
    <w:rPr>
      <w:rFonts w:cs="Wingdings"/>
    </w:rPr>
  </w:style>
  <w:style w:type="character" w:customStyle="1" w:styleId="ListLabel312">
    <w:name w:val="ListLabel 312"/>
    <w:qFormat/>
    <w:rsid w:val="000952B8"/>
    <w:rPr>
      <w:rFonts w:cs="Symbol"/>
    </w:rPr>
  </w:style>
  <w:style w:type="character" w:customStyle="1" w:styleId="ListLabel313">
    <w:name w:val="ListLabel 313"/>
    <w:qFormat/>
    <w:rsid w:val="000952B8"/>
    <w:rPr>
      <w:rFonts w:cs="Courier New"/>
    </w:rPr>
  </w:style>
  <w:style w:type="character" w:customStyle="1" w:styleId="ListLabel314">
    <w:name w:val="ListLabel 314"/>
    <w:qFormat/>
    <w:rsid w:val="000952B8"/>
    <w:rPr>
      <w:rFonts w:cs="Wingdings"/>
    </w:rPr>
  </w:style>
  <w:style w:type="character" w:customStyle="1" w:styleId="ListLabel315">
    <w:name w:val="ListLabel 315"/>
    <w:qFormat/>
    <w:rsid w:val="000952B8"/>
    <w:rPr>
      <w:rFonts w:cs="Symbol"/>
    </w:rPr>
  </w:style>
  <w:style w:type="character" w:customStyle="1" w:styleId="ListLabel316">
    <w:name w:val="ListLabel 316"/>
    <w:qFormat/>
    <w:rsid w:val="000952B8"/>
    <w:rPr>
      <w:rFonts w:cs="Courier New"/>
    </w:rPr>
  </w:style>
  <w:style w:type="character" w:customStyle="1" w:styleId="ListLabel317">
    <w:name w:val="ListLabel 317"/>
    <w:qFormat/>
    <w:rsid w:val="000952B8"/>
    <w:rPr>
      <w:rFonts w:cs="Wingdings"/>
    </w:rPr>
  </w:style>
  <w:style w:type="character" w:customStyle="1" w:styleId="ListLabel318">
    <w:name w:val="ListLabel 318"/>
    <w:qFormat/>
    <w:rsid w:val="000952B8"/>
    <w:rPr>
      <w:rFonts w:ascii="Open Sans" w:hAnsi="Open Sans" w:cs="Symbol"/>
      <w:sz w:val="21"/>
    </w:rPr>
  </w:style>
  <w:style w:type="character" w:customStyle="1" w:styleId="ListLabel319">
    <w:name w:val="ListLabel 319"/>
    <w:qFormat/>
    <w:rsid w:val="000952B8"/>
    <w:rPr>
      <w:rFonts w:cs="Courier New"/>
    </w:rPr>
  </w:style>
  <w:style w:type="character" w:customStyle="1" w:styleId="ListLabel320">
    <w:name w:val="ListLabel 320"/>
    <w:qFormat/>
    <w:rsid w:val="000952B8"/>
    <w:rPr>
      <w:rFonts w:cs="Wingdings"/>
    </w:rPr>
  </w:style>
  <w:style w:type="character" w:customStyle="1" w:styleId="ListLabel321">
    <w:name w:val="ListLabel 321"/>
    <w:qFormat/>
    <w:rsid w:val="000952B8"/>
    <w:rPr>
      <w:rFonts w:cs="Symbol"/>
    </w:rPr>
  </w:style>
  <w:style w:type="character" w:customStyle="1" w:styleId="ListLabel322">
    <w:name w:val="ListLabel 322"/>
    <w:qFormat/>
    <w:rsid w:val="000952B8"/>
    <w:rPr>
      <w:rFonts w:cs="Courier New"/>
    </w:rPr>
  </w:style>
  <w:style w:type="character" w:customStyle="1" w:styleId="ListLabel323">
    <w:name w:val="ListLabel 323"/>
    <w:qFormat/>
    <w:rsid w:val="000952B8"/>
    <w:rPr>
      <w:rFonts w:cs="Wingdings"/>
    </w:rPr>
  </w:style>
  <w:style w:type="character" w:customStyle="1" w:styleId="ListLabel324">
    <w:name w:val="ListLabel 324"/>
    <w:qFormat/>
    <w:rsid w:val="000952B8"/>
    <w:rPr>
      <w:rFonts w:cs="Symbol"/>
    </w:rPr>
  </w:style>
  <w:style w:type="character" w:customStyle="1" w:styleId="ListLabel325">
    <w:name w:val="ListLabel 325"/>
    <w:qFormat/>
    <w:rsid w:val="000952B8"/>
    <w:rPr>
      <w:rFonts w:cs="Courier New"/>
    </w:rPr>
  </w:style>
  <w:style w:type="character" w:customStyle="1" w:styleId="ListLabel326">
    <w:name w:val="ListLabel 326"/>
    <w:qFormat/>
    <w:rsid w:val="000952B8"/>
    <w:rPr>
      <w:rFonts w:cs="Wingdings"/>
    </w:rPr>
  </w:style>
  <w:style w:type="character" w:customStyle="1" w:styleId="ListLabel327">
    <w:name w:val="ListLabel 327"/>
    <w:qFormat/>
    <w:rsid w:val="000952B8"/>
    <w:rPr>
      <w:rFonts w:ascii="Open Sans" w:hAnsi="Open Sans"/>
      <w:sz w:val="21"/>
    </w:rPr>
  </w:style>
  <w:style w:type="character" w:customStyle="1" w:styleId="ListLabel328">
    <w:name w:val="ListLabel 328"/>
    <w:qFormat/>
    <w:rsid w:val="000952B8"/>
    <w:rPr>
      <w:rFonts w:cs="Courier New"/>
    </w:rPr>
  </w:style>
  <w:style w:type="character" w:customStyle="1" w:styleId="ListLabel329">
    <w:name w:val="ListLabel 329"/>
    <w:qFormat/>
    <w:rsid w:val="000952B8"/>
    <w:rPr>
      <w:rFonts w:cs="Wingdings"/>
    </w:rPr>
  </w:style>
  <w:style w:type="character" w:customStyle="1" w:styleId="ListLabel330">
    <w:name w:val="ListLabel 330"/>
    <w:qFormat/>
    <w:rsid w:val="000952B8"/>
    <w:rPr>
      <w:rFonts w:cs="Symbol"/>
    </w:rPr>
  </w:style>
  <w:style w:type="character" w:customStyle="1" w:styleId="ListLabel331">
    <w:name w:val="ListLabel 331"/>
    <w:qFormat/>
    <w:rsid w:val="000952B8"/>
    <w:rPr>
      <w:rFonts w:cs="Courier New"/>
    </w:rPr>
  </w:style>
  <w:style w:type="character" w:customStyle="1" w:styleId="ListLabel332">
    <w:name w:val="ListLabel 332"/>
    <w:qFormat/>
    <w:rsid w:val="000952B8"/>
    <w:rPr>
      <w:rFonts w:cs="Wingdings"/>
    </w:rPr>
  </w:style>
  <w:style w:type="character" w:customStyle="1" w:styleId="ListLabel333">
    <w:name w:val="ListLabel 333"/>
    <w:qFormat/>
    <w:rsid w:val="000952B8"/>
    <w:rPr>
      <w:rFonts w:cs="Symbol"/>
    </w:rPr>
  </w:style>
  <w:style w:type="character" w:customStyle="1" w:styleId="ListLabel334">
    <w:name w:val="ListLabel 334"/>
    <w:qFormat/>
    <w:rsid w:val="000952B8"/>
    <w:rPr>
      <w:rFonts w:cs="Courier New"/>
    </w:rPr>
  </w:style>
  <w:style w:type="character" w:customStyle="1" w:styleId="ListLabel335">
    <w:name w:val="ListLabel 335"/>
    <w:qFormat/>
    <w:rsid w:val="000952B8"/>
    <w:rPr>
      <w:rFonts w:cs="Wingdings"/>
    </w:rPr>
  </w:style>
  <w:style w:type="character" w:customStyle="1" w:styleId="ListLabel336">
    <w:name w:val="ListLabel 336"/>
    <w:qFormat/>
    <w:rsid w:val="000952B8"/>
    <w:rPr>
      <w:rFonts w:ascii="Open Sans" w:hAnsi="Open Sans"/>
      <w:sz w:val="21"/>
    </w:rPr>
  </w:style>
  <w:style w:type="character" w:customStyle="1" w:styleId="ListLabel337">
    <w:name w:val="ListLabel 337"/>
    <w:qFormat/>
    <w:rsid w:val="000952B8"/>
    <w:rPr>
      <w:rFonts w:cs="Courier New"/>
    </w:rPr>
  </w:style>
  <w:style w:type="character" w:customStyle="1" w:styleId="ListLabel338">
    <w:name w:val="ListLabel 338"/>
    <w:qFormat/>
    <w:rsid w:val="000952B8"/>
    <w:rPr>
      <w:rFonts w:cs="Wingdings"/>
    </w:rPr>
  </w:style>
  <w:style w:type="character" w:customStyle="1" w:styleId="ListLabel339">
    <w:name w:val="ListLabel 339"/>
    <w:qFormat/>
    <w:rsid w:val="000952B8"/>
    <w:rPr>
      <w:rFonts w:cs="Symbol"/>
    </w:rPr>
  </w:style>
  <w:style w:type="character" w:customStyle="1" w:styleId="ListLabel340">
    <w:name w:val="ListLabel 340"/>
    <w:qFormat/>
    <w:rsid w:val="000952B8"/>
    <w:rPr>
      <w:rFonts w:cs="Courier New"/>
    </w:rPr>
  </w:style>
  <w:style w:type="character" w:customStyle="1" w:styleId="ListLabel341">
    <w:name w:val="ListLabel 341"/>
    <w:qFormat/>
    <w:rsid w:val="000952B8"/>
    <w:rPr>
      <w:rFonts w:cs="Wingdings"/>
    </w:rPr>
  </w:style>
  <w:style w:type="character" w:customStyle="1" w:styleId="ListLabel342">
    <w:name w:val="ListLabel 342"/>
    <w:qFormat/>
    <w:rsid w:val="000952B8"/>
    <w:rPr>
      <w:rFonts w:cs="Symbol"/>
    </w:rPr>
  </w:style>
  <w:style w:type="character" w:customStyle="1" w:styleId="ListLabel343">
    <w:name w:val="ListLabel 343"/>
    <w:qFormat/>
    <w:rsid w:val="000952B8"/>
    <w:rPr>
      <w:rFonts w:cs="Courier New"/>
    </w:rPr>
  </w:style>
  <w:style w:type="character" w:customStyle="1" w:styleId="ListLabel344">
    <w:name w:val="ListLabel 344"/>
    <w:qFormat/>
    <w:rsid w:val="000952B8"/>
    <w:rPr>
      <w:rFonts w:cs="Wingdings"/>
    </w:rPr>
  </w:style>
  <w:style w:type="character" w:customStyle="1" w:styleId="ListLabel345">
    <w:name w:val="ListLabel 345"/>
    <w:qFormat/>
    <w:rsid w:val="000952B8"/>
    <w:rPr>
      <w:rFonts w:ascii="Open Sans" w:eastAsia="Times New Roman" w:hAnsi="Open Sans" w:cs="Open Sans"/>
      <w:b/>
      <w:sz w:val="21"/>
      <w:szCs w:val="21"/>
      <w:lang w:eastAsia="es-ES"/>
    </w:rPr>
  </w:style>
  <w:style w:type="character" w:customStyle="1" w:styleId="ListLabel346">
    <w:name w:val="ListLabel 346"/>
    <w:qFormat/>
    <w:rsid w:val="000952B8"/>
    <w:rPr>
      <w:rFonts w:ascii="Open Sans" w:eastAsia="Times New Roman" w:hAnsi="Open Sans" w:cs="Open Sans"/>
      <w:sz w:val="21"/>
      <w:szCs w:val="21"/>
      <w:lang w:eastAsia="es-ES"/>
    </w:rPr>
  </w:style>
  <w:style w:type="character" w:customStyle="1" w:styleId="ListLabel347">
    <w:name w:val="ListLabel 347"/>
    <w:qFormat/>
    <w:rsid w:val="000952B8"/>
    <w:rPr>
      <w:rFonts w:ascii="Open Sans" w:eastAsia="Times New Roman" w:hAnsi="Open Sans" w:cs="Open Sans"/>
      <w:sz w:val="21"/>
      <w:szCs w:val="21"/>
      <w:lang w:eastAsia="es-ES"/>
    </w:rPr>
  </w:style>
  <w:style w:type="character" w:customStyle="1" w:styleId="ListLabel348">
    <w:name w:val="ListLabel 348"/>
    <w:qFormat/>
    <w:rsid w:val="000952B8"/>
    <w:rPr>
      <w:rFonts w:ascii="Open Sans" w:eastAsia="Times New Roman" w:hAnsi="Open Sans" w:cs="Open Sans"/>
      <w:sz w:val="20"/>
      <w:szCs w:val="20"/>
      <w:lang w:eastAsia="es-ES"/>
    </w:rPr>
  </w:style>
  <w:style w:type="character" w:customStyle="1" w:styleId="ListLabel349">
    <w:name w:val="ListLabel 349"/>
    <w:qFormat/>
    <w:rsid w:val="000952B8"/>
    <w:rPr>
      <w:rFonts w:ascii="Open Sans" w:hAnsi="Open Sans" w:cs="Open Sans"/>
      <w:sz w:val="21"/>
      <w:szCs w:val="21"/>
    </w:rPr>
  </w:style>
  <w:style w:type="character" w:customStyle="1" w:styleId="ListLabel350">
    <w:name w:val="ListLabel 350"/>
    <w:qFormat/>
    <w:rsid w:val="000952B8"/>
    <w:rPr>
      <w:rFonts w:ascii="Open Sans" w:eastAsia="Times New Roman" w:hAnsi="Open Sans" w:cs="Open Sans"/>
      <w:i/>
      <w:sz w:val="21"/>
      <w:szCs w:val="21"/>
      <w:lang w:eastAsia="es-ES"/>
    </w:rPr>
  </w:style>
  <w:style w:type="character" w:customStyle="1" w:styleId="ListLabel351">
    <w:name w:val="ListLabel 351"/>
    <w:qFormat/>
    <w:rsid w:val="000952B8"/>
    <w:rPr>
      <w:rFonts w:eastAsia="Calibri"/>
      <w:sz w:val="21"/>
      <w:szCs w:val="21"/>
    </w:rPr>
  </w:style>
  <w:style w:type="character" w:customStyle="1" w:styleId="ListLabel352">
    <w:name w:val="ListLabel 352"/>
    <w:qFormat/>
    <w:rsid w:val="000952B8"/>
    <w:rPr>
      <w:rFonts w:ascii="Open Sans" w:hAnsi="Open Sans" w:cs="Open Sans"/>
      <w:sz w:val="21"/>
      <w:szCs w:val="21"/>
    </w:rPr>
  </w:style>
  <w:style w:type="character" w:customStyle="1" w:styleId="ListLabel353">
    <w:name w:val="ListLabel 353"/>
    <w:qFormat/>
    <w:rsid w:val="000952B8"/>
  </w:style>
  <w:style w:type="character" w:customStyle="1" w:styleId="ListLabel354">
    <w:name w:val="ListLabel 354"/>
    <w:qFormat/>
    <w:rsid w:val="000952B8"/>
  </w:style>
  <w:style w:type="character" w:customStyle="1" w:styleId="ListLabel355">
    <w:name w:val="ListLabel 355"/>
    <w:qFormat/>
    <w:rsid w:val="000952B8"/>
    <w:rPr>
      <w:rFonts w:ascii="Open Sans" w:hAnsi="Open Sans" w:cs="Symbol"/>
      <w:sz w:val="21"/>
    </w:rPr>
  </w:style>
  <w:style w:type="character" w:customStyle="1" w:styleId="ListLabel356">
    <w:name w:val="ListLabel 356"/>
    <w:qFormat/>
    <w:rsid w:val="000952B8"/>
    <w:rPr>
      <w:rFonts w:cs="Courier New"/>
      <w:sz w:val="20"/>
    </w:rPr>
  </w:style>
  <w:style w:type="character" w:customStyle="1" w:styleId="ListLabel357">
    <w:name w:val="ListLabel 357"/>
    <w:qFormat/>
    <w:rsid w:val="000952B8"/>
    <w:rPr>
      <w:rFonts w:cs="Wingdings"/>
      <w:sz w:val="20"/>
    </w:rPr>
  </w:style>
  <w:style w:type="character" w:customStyle="1" w:styleId="ListLabel358">
    <w:name w:val="ListLabel 358"/>
    <w:qFormat/>
    <w:rsid w:val="000952B8"/>
    <w:rPr>
      <w:rFonts w:cs="Wingdings"/>
      <w:sz w:val="20"/>
    </w:rPr>
  </w:style>
  <w:style w:type="character" w:customStyle="1" w:styleId="ListLabel359">
    <w:name w:val="ListLabel 359"/>
    <w:qFormat/>
    <w:rsid w:val="000952B8"/>
    <w:rPr>
      <w:rFonts w:cs="Wingdings"/>
      <w:sz w:val="20"/>
    </w:rPr>
  </w:style>
  <w:style w:type="character" w:customStyle="1" w:styleId="ListLabel360">
    <w:name w:val="ListLabel 360"/>
    <w:qFormat/>
    <w:rsid w:val="000952B8"/>
    <w:rPr>
      <w:rFonts w:cs="Wingdings"/>
      <w:sz w:val="20"/>
    </w:rPr>
  </w:style>
  <w:style w:type="character" w:customStyle="1" w:styleId="ListLabel361">
    <w:name w:val="ListLabel 361"/>
    <w:qFormat/>
    <w:rsid w:val="000952B8"/>
    <w:rPr>
      <w:rFonts w:cs="Wingdings"/>
      <w:sz w:val="20"/>
    </w:rPr>
  </w:style>
  <w:style w:type="character" w:customStyle="1" w:styleId="ListLabel362">
    <w:name w:val="ListLabel 362"/>
    <w:qFormat/>
    <w:rsid w:val="000952B8"/>
    <w:rPr>
      <w:rFonts w:cs="Wingdings"/>
      <w:sz w:val="20"/>
    </w:rPr>
  </w:style>
  <w:style w:type="character" w:customStyle="1" w:styleId="ListLabel363">
    <w:name w:val="ListLabel 363"/>
    <w:qFormat/>
    <w:rsid w:val="000952B8"/>
    <w:rPr>
      <w:rFonts w:cs="Wingdings"/>
      <w:sz w:val="20"/>
    </w:rPr>
  </w:style>
  <w:style w:type="character" w:customStyle="1" w:styleId="ListLabel364">
    <w:name w:val="ListLabel 364"/>
    <w:qFormat/>
    <w:rsid w:val="000952B8"/>
    <w:rPr>
      <w:rFonts w:ascii="Open Sans" w:hAnsi="Open Sans" w:cs="Symbol"/>
      <w:sz w:val="21"/>
    </w:rPr>
  </w:style>
  <w:style w:type="character" w:customStyle="1" w:styleId="ListLabel365">
    <w:name w:val="ListLabel 365"/>
    <w:qFormat/>
    <w:rsid w:val="000952B8"/>
    <w:rPr>
      <w:rFonts w:cs="Open Sans"/>
    </w:rPr>
  </w:style>
  <w:style w:type="character" w:customStyle="1" w:styleId="ListLabel366">
    <w:name w:val="ListLabel 366"/>
    <w:qFormat/>
    <w:rsid w:val="000952B8"/>
    <w:rPr>
      <w:rFonts w:cs="Wingdings"/>
    </w:rPr>
  </w:style>
  <w:style w:type="character" w:customStyle="1" w:styleId="ListLabel367">
    <w:name w:val="ListLabel 367"/>
    <w:qFormat/>
    <w:rsid w:val="000952B8"/>
    <w:rPr>
      <w:rFonts w:cs="Symbol"/>
    </w:rPr>
  </w:style>
  <w:style w:type="character" w:customStyle="1" w:styleId="ListLabel368">
    <w:name w:val="ListLabel 368"/>
    <w:qFormat/>
    <w:rsid w:val="000952B8"/>
    <w:rPr>
      <w:rFonts w:cs="Courier New"/>
    </w:rPr>
  </w:style>
  <w:style w:type="character" w:customStyle="1" w:styleId="ListLabel369">
    <w:name w:val="ListLabel 369"/>
    <w:qFormat/>
    <w:rsid w:val="000952B8"/>
    <w:rPr>
      <w:rFonts w:cs="Wingdings"/>
    </w:rPr>
  </w:style>
  <w:style w:type="character" w:customStyle="1" w:styleId="ListLabel370">
    <w:name w:val="ListLabel 370"/>
    <w:qFormat/>
    <w:rsid w:val="000952B8"/>
    <w:rPr>
      <w:rFonts w:cs="Symbol"/>
    </w:rPr>
  </w:style>
  <w:style w:type="character" w:customStyle="1" w:styleId="ListLabel371">
    <w:name w:val="ListLabel 371"/>
    <w:qFormat/>
    <w:rsid w:val="000952B8"/>
    <w:rPr>
      <w:rFonts w:cs="Courier New"/>
    </w:rPr>
  </w:style>
  <w:style w:type="character" w:customStyle="1" w:styleId="ListLabel372">
    <w:name w:val="ListLabel 372"/>
    <w:qFormat/>
    <w:rsid w:val="000952B8"/>
    <w:rPr>
      <w:rFonts w:cs="Wingdings"/>
    </w:rPr>
  </w:style>
  <w:style w:type="character" w:customStyle="1" w:styleId="ListLabel373">
    <w:name w:val="ListLabel 373"/>
    <w:qFormat/>
    <w:rsid w:val="000952B8"/>
    <w:rPr>
      <w:rFonts w:ascii="Open Sans" w:hAnsi="Open Sans" w:cs="Symbol"/>
      <w:sz w:val="21"/>
    </w:rPr>
  </w:style>
  <w:style w:type="character" w:customStyle="1" w:styleId="ListLabel374">
    <w:name w:val="ListLabel 374"/>
    <w:qFormat/>
    <w:rsid w:val="000952B8"/>
    <w:rPr>
      <w:rFonts w:cs="Courier New"/>
    </w:rPr>
  </w:style>
  <w:style w:type="character" w:customStyle="1" w:styleId="ListLabel375">
    <w:name w:val="ListLabel 375"/>
    <w:qFormat/>
    <w:rsid w:val="000952B8"/>
    <w:rPr>
      <w:rFonts w:cs="Wingdings"/>
    </w:rPr>
  </w:style>
  <w:style w:type="character" w:customStyle="1" w:styleId="ListLabel376">
    <w:name w:val="ListLabel 376"/>
    <w:qFormat/>
    <w:rsid w:val="000952B8"/>
    <w:rPr>
      <w:rFonts w:cs="Symbol"/>
    </w:rPr>
  </w:style>
  <w:style w:type="character" w:customStyle="1" w:styleId="ListLabel377">
    <w:name w:val="ListLabel 377"/>
    <w:qFormat/>
    <w:rsid w:val="000952B8"/>
    <w:rPr>
      <w:rFonts w:cs="Courier New"/>
    </w:rPr>
  </w:style>
  <w:style w:type="character" w:customStyle="1" w:styleId="ListLabel378">
    <w:name w:val="ListLabel 378"/>
    <w:qFormat/>
    <w:rsid w:val="000952B8"/>
    <w:rPr>
      <w:rFonts w:cs="Wingdings"/>
    </w:rPr>
  </w:style>
  <w:style w:type="character" w:customStyle="1" w:styleId="ListLabel379">
    <w:name w:val="ListLabel 379"/>
    <w:qFormat/>
    <w:rsid w:val="000952B8"/>
    <w:rPr>
      <w:rFonts w:cs="Symbol"/>
    </w:rPr>
  </w:style>
  <w:style w:type="character" w:customStyle="1" w:styleId="ListLabel380">
    <w:name w:val="ListLabel 380"/>
    <w:qFormat/>
    <w:rsid w:val="000952B8"/>
    <w:rPr>
      <w:rFonts w:cs="Courier New"/>
    </w:rPr>
  </w:style>
  <w:style w:type="character" w:customStyle="1" w:styleId="ListLabel381">
    <w:name w:val="ListLabel 381"/>
    <w:qFormat/>
    <w:rsid w:val="000952B8"/>
    <w:rPr>
      <w:rFonts w:cs="Wingdings"/>
    </w:rPr>
  </w:style>
  <w:style w:type="character" w:customStyle="1" w:styleId="ListLabel382">
    <w:name w:val="ListLabel 382"/>
    <w:qFormat/>
    <w:rsid w:val="000952B8"/>
    <w:rPr>
      <w:rFonts w:ascii="Open Sans" w:hAnsi="Open Sans" w:cs="Symbol"/>
      <w:sz w:val="21"/>
    </w:rPr>
  </w:style>
  <w:style w:type="character" w:customStyle="1" w:styleId="ListLabel383">
    <w:name w:val="ListLabel 383"/>
    <w:qFormat/>
    <w:rsid w:val="000952B8"/>
    <w:rPr>
      <w:rFonts w:cs="Courier New"/>
    </w:rPr>
  </w:style>
  <w:style w:type="character" w:customStyle="1" w:styleId="ListLabel384">
    <w:name w:val="ListLabel 384"/>
    <w:qFormat/>
    <w:rsid w:val="000952B8"/>
    <w:rPr>
      <w:rFonts w:cs="Wingdings"/>
    </w:rPr>
  </w:style>
  <w:style w:type="character" w:customStyle="1" w:styleId="ListLabel385">
    <w:name w:val="ListLabel 385"/>
    <w:qFormat/>
    <w:rsid w:val="000952B8"/>
    <w:rPr>
      <w:rFonts w:cs="Symbol"/>
    </w:rPr>
  </w:style>
  <w:style w:type="character" w:customStyle="1" w:styleId="ListLabel386">
    <w:name w:val="ListLabel 386"/>
    <w:qFormat/>
    <w:rsid w:val="000952B8"/>
    <w:rPr>
      <w:rFonts w:cs="Courier New"/>
    </w:rPr>
  </w:style>
  <w:style w:type="character" w:customStyle="1" w:styleId="ListLabel387">
    <w:name w:val="ListLabel 387"/>
    <w:qFormat/>
    <w:rsid w:val="000952B8"/>
    <w:rPr>
      <w:rFonts w:cs="Wingdings"/>
    </w:rPr>
  </w:style>
  <w:style w:type="character" w:customStyle="1" w:styleId="ListLabel388">
    <w:name w:val="ListLabel 388"/>
    <w:qFormat/>
    <w:rsid w:val="000952B8"/>
    <w:rPr>
      <w:rFonts w:cs="Symbol"/>
    </w:rPr>
  </w:style>
  <w:style w:type="character" w:customStyle="1" w:styleId="ListLabel389">
    <w:name w:val="ListLabel 389"/>
    <w:qFormat/>
    <w:rsid w:val="000952B8"/>
    <w:rPr>
      <w:rFonts w:cs="Courier New"/>
    </w:rPr>
  </w:style>
  <w:style w:type="character" w:customStyle="1" w:styleId="ListLabel390">
    <w:name w:val="ListLabel 390"/>
    <w:qFormat/>
    <w:rsid w:val="000952B8"/>
    <w:rPr>
      <w:rFonts w:cs="Wingdings"/>
    </w:rPr>
  </w:style>
  <w:style w:type="character" w:customStyle="1" w:styleId="ListLabel391">
    <w:name w:val="ListLabel 391"/>
    <w:qFormat/>
    <w:rsid w:val="000952B8"/>
    <w:rPr>
      <w:rFonts w:ascii="Open Sans" w:hAnsi="Open Sans" w:cs="Symbol"/>
      <w:sz w:val="21"/>
    </w:rPr>
  </w:style>
  <w:style w:type="character" w:customStyle="1" w:styleId="ListLabel392">
    <w:name w:val="ListLabel 392"/>
    <w:qFormat/>
    <w:rsid w:val="000952B8"/>
    <w:rPr>
      <w:rFonts w:cs="Courier New"/>
    </w:rPr>
  </w:style>
  <w:style w:type="character" w:customStyle="1" w:styleId="ListLabel393">
    <w:name w:val="ListLabel 393"/>
    <w:qFormat/>
    <w:rsid w:val="000952B8"/>
    <w:rPr>
      <w:rFonts w:cs="Wingdings"/>
    </w:rPr>
  </w:style>
  <w:style w:type="character" w:customStyle="1" w:styleId="ListLabel394">
    <w:name w:val="ListLabel 394"/>
    <w:qFormat/>
    <w:rsid w:val="000952B8"/>
    <w:rPr>
      <w:rFonts w:cs="Symbol"/>
    </w:rPr>
  </w:style>
  <w:style w:type="character" w:customStyle="1" w:styleId="ListLabel395">
    <w:name w:val="ListLabel 395"/>
    <w:qFormat/>
    <w:rsid w:val="000952B8"/>
    <w:rPr>
      <w:rFonts w:cs="Courier New"/>
    </w:rPr>
  </w:style>
  <w:style w:type="character" w:customStyle="1" w:styleId="ListLabel396">
    <w:name w:val="ListLabel 396"/>
    <w:qFormat/>
    <w:rsid w:val="000952B8"/>
    <w:rPr>
      <w:rFonts w:cs="Wingdings"/>
    </w:rPr>
  </w:style>
  <w:style w:type="character" w:customStyle="1" w:styleId="ListLabel397">
    <w:name w:val="ListLabel 397"/>
    <w:qFormat/>
    <w:rsid w:val="000952B8"/>
    <w:rPr>
      <w:rFonts w:cs="Symbol"/>
    </w:rPr>
  </w:style>
  <w:style w:type="character" w:customStyle="1" w:styleId="ListLabel398">
    <w:name w:val="ListLabel 398"/>
    <w:qFormat/>
    <w:rsid w:val="000952B8"/>
    <w:rPr>
      <w:rFonts w:cs="Courier New"/>
    </w:rPr>
  </w:style>
  <w:style w:type="character" w:customStyle="1" w:styleId="ListLabel399">
    <w:name w:val="ListLabel 399"/>
    <w:qFormat/>
    <w:rsid w:val="000952B8"/>
    <w:rPr>
      <w:rFonts w:cs="Wingdings"/>
    </w:rPr>
  </w:style>
  <w:style w:type="character" w:customStyle="1" w:styleId="ListLabel400">
    <w:name w:val="ListLabel 400"/>
    <w:qFormat/>
    <w:rsid w:val="000952B8"/>
    <w:rPr>
      <w:rFonts w:ascii="Open Sans" w:eastAsia="Times New Roman" w:hAnsi="Open Sans" w:cs="Open Sans"/>
      <w:b/>
      <w:sz w:val="21"/>
      <w:szCs w:val="21"/>
      <w:lang w:eastAsia="es-ES"/>
    </w:rPr>
  </w:style>
  <w:style w:type="character" w:customStyle="1" w:styleId="ListLabel401">
    <w:name w:val="ListLabel 401"/>
    <w:qFormat/>
    <w:rsid w:val="000952B8"/>
    <w:rPr>
      <w:rFonts w:ascii="Open Sans" w:eastAsia="Times New Roman" w:hAnsi="Open Sans" w:cs="Open Sans"/>
      <w:sz w:val="21"/>
      <w:szCs w:val="21"/>
      <w:lang w:eastAsia="es-ES"/>
    </w:rPr>
  </w:style>
  <w:style w:type="character" w:customStyle="1" w:styleId="ListLabel402">
    <w:name w:val="ListLabel 402"/>
    <w:qFormat/>
    <w:rsid w:val="000952B8"/>
    <w:rPr>
      <w:rFonts w:ascii="Open Sans" w:eastAsia="Times New Roman" w:hAnsi="Open Sans" w:cs="Open Sans"/>
      <w:sz w:val="20"/>
      <w:szCs w:val="20"/>
      <w:lang w:eastAsia="es-ES"/>
    </w:rPr>
  </w:style>
  <w:style w:type="character" w:customStyle="1" w:styleId="ListLabel403">
    <w:name w:val="ListLabel 403"/>
    <w:qFormat/>
    <w:rsid w:val="000952B8"/>
    <w:rPr>
      <w:rFonts w:ascii="Open Sans" w:hAnsi="Open Sans" w:cs="Open Sans"/>
      <w:sz w:val="21"/>
      <w:szCs w:val="21"/>
    </w:rPr>
  </w:style>
  <w:style w:type="character" w:customStyle="1" w:styleId="ListLabel404">
    <w:name w:val="ListLabel 404"/>
    <w:qFormat/>
    <w:rsid w:val="000952B8"/>
    <w:rPr>
      <w:rFonts w:ascii="Open Sans" w:eastAsia="Times New Roman" w:hAnsi="Open Sans" w:cs="Open Sans"/>
      <w:i/>
      <w:sz w:val="21"/>
      <w:szCs w:val="21"/>
      <w:lang w:eastAsia="es-ES"/>
    </w:rPr>
  </w:style>
  <w:style w:type="character" w:customStyle="1" w:styleId="ListLabel405">
    <w:name w:val="ListLabel 405"/>
    <w:qFormat/>
    <w:rsid w:val="000952B8"/>
    <w:rPr>
      <w:rFonts w:eastAsia="Calibri"/>
      <w:sz w:val="21"/>
      <w:szCs w:val="21"/>
    </w:rPr>
  </w:style>
  <w:style w:type="character" w:customStyle="1" w:styleId="ListLabel406">
    <w:name w:val="ListLabel 406"/>
    <w:qFormat/>
    <w:rsid w:val="000952B8"/>
  </w:style>
  <w:style w:type="character" w:customStyle="1" w:styleId="ListLabel407">
    <w:name w:val="ListLabel 407"/>
    <w:qFormat/>
    <w:rsid w:val="000952B8"/>
  </w:style>
  <w:style w:type="character" w:customStyle="1" w:styleId="ListLabel408">
    <w:name w:val="ListLabel 408"/>
    <w:qFormat/>
    <w:rsid w:val="000952B8"/>
    <w:rPr>
      <w:rFonts w:ascii="Open Sans" w:hAnsi="Open Sans" w:cs="Symbol"/>
      <w:sz w:val="21"/>
    </w:rPr>
  </w:style>
  <w:style w:type="character" w:customStyle="1" w:styleId="ListLabel409">
    <w:name w:val="ListLabel 409"/>
    <w:qFormat/>
    <w:rsid w:val="000952B8"/>
    <w:rPr>
      <w:rFonts w:cs="Courier New"/>
      <w:sz w:val="20"/>
    </w:rPr>
  </w:style>
  <w:style w:type="character" w:customStyle="1" w:styleId="ListLabel410">
    <w:name w:val="ListLabel 410"/>
    <w:qFormat/>
    <w:rsid w:val="000952B8"/>
    <w:rPr>
      <w:rFonts w:cs="Wingdings"/>
      <w:sz w:val="20"/>
    </w:rPr>
  </w:style>
  <w:style w:type="character" w:customStyle="1" w:styleId="ListLabel411">
    <w:name w:val="ListLabel 411"/>
    <w:qFormat/>
    <w:rsid w:val="000952B8"/>
    <w:rPr>
      <w:rFonts w:cs="Wingdings"/>
      <w:sz w:val="20"/>
    </w:rPr>
  </w:style>
  <w:style w:type="character" w:customStyle="1" w:styleId="ListLabel412">
    <w:name w:val="ListLabel 412"/>
    <w:qFormat/>
    <w:rsid w:val="000952B8"/>
    <w:rPr>
      <w:rFonts w:cs="Wingdings"/>
      <w:sz w:val="20"/>
    </w:rPr>
  </w:style>
  <w:style w:type="character" w:customStyle="1" w:styleId="ListLabel413">
    <w:name w:val="ListLabel 413"/>
    <w:qFormat/>
    <w:rsid w:val="000952B8"/>
    <w:rPr>
      <w:rFonts w:cs="Wingdings"/>
      <w:sz w:val="20"/>
    </w:rPr>
  </w:style>
  <w:style w:type="character" w:customStyle="1" w:styleId="ListLabel414">
    <w:name w:val="ListLabel 414"/>
    <w:qFormat/>
    <w:rsid w:val="000952B8"/>
    <w:rPr>
      <w:rFonts w:cs="Wingdings"/>
      <w:sz w:val="20"/>
    </w:rPr>
  </w:style>
  <w:style w:type="character" w:customStyle="1" w:styleId="ListLabel415">
    <w:name w:val="ListLabel 415"/>
    <w:qFormat/>
    <w:rsid w:val="000952B8"/>
    <w:rPr>
      <w:rFonts w:cs="Wingdings"/>
      <w:sz w:val="20"/>
    </w:rPr>
  </w:style>
  <w:style w:type="character" w:customStyle="1" w:styleId="ListLabel416">
    <w:name w:val="ListLabel 416"/>
    <w:qFormat/>
    <w:rsid w:val="000952B8"/>
    <w:rPr>
      <w:rFonts w:cs="Wingdings"/>
      <w:sz w:val="20"/>
    </w:rPr>
  </w:style>
  <w:style w:type="character" w:customStyle="1" w:styleId="ListLabel417">
    <w:name w:val="ListLabel 417"/>
    <w:qFormat/>
    <w:rsid w:val="000952B8"/>
    <w:rPr>
      <w:rFonts w:ascii="Open Sans" w:hAnsi="Open Sans" w:cs="Symbol"/>
      <w:sz w:val="21"/>
    </w:rPr>
  </w:style>
  <w:style w:type="character" w:customStyle="1" w:styleId="ListLabel418">
    <w:name w:val="ListLabel 418"/>
    <w:qFormat/>
    <w:rsid w:val="000952B8"/>
    <w:rPr>
      <w:rFonts w:cs="Open Sans"/>
    </w:rPr>
  </w:style>
  <w:style w:type="character" w:customStyle="1" w:styleId="ListLabel419">
    <w:name w:val="ListLabel 419"/>
    <w:qFormat/>
    <w:rsid w:val="000952B8"/>
    <w:rPr>
      <w:rFonts w:cs="Wingdings"/>
    </w:rPr>
  </w:style>
  <w:style w:type="character" w:customStyle="1" w:styleId="ListLabel420">
    <w:name w:val="ListLabel 420"/>
    <w:qFormat/>
    <w:rsid w:val="000952B8"/>
    <w:rPr>
      <w:rFonts w:cs="Symbol"/>
    </w:rPr>
  </w:style>
  <w:style w:type="character" w:customStyle="1" w:styleId="ListLabel421">
    <w:name w:val="ListLabel 421"/>
    <w:qFormat/>
    <w:rsid w:val="000952B8"/>
    <w:rPr>
      <w:rFonts w:cs="Courier New"/>
    </w:rPr>
  </w:style>
  <w:style w:type="character" w:customStyle="1" w:styleId="ListLabel422">
    <w:name w:val="ListLabel 422"/>
    <w:qFormat/>
    <w:rsid w:val="000952B8"/>
    <w:rPr>
      <w:rFonts w:cs="Wingdings"/>
    </w:rPr>
  </w:style>
  <w:style w:type="character" w:customStyle="1" w:styleId="ListLabel423">
    <w:name w:val="ListLabel 423"/>
    <w:qFormat/>
    <w:rsid w:val="000952B8"/>
    <w:rPr>
      <w:rFonts w:cs="Symbol"/>
    </w:rPr>
  </w:style>
  <w:style w:type="character" w:customStyle="1" w:styleId="ListLabel424">
    <w:name w:val="ListLabel 424"/>
    <w:qFormat/>
    <w:rsid w:val="000952B8"/>
    <w:rPr>
      <w:rFonts w:cs="Courier New"/>
    </w:rPr>
  </w:style>
  <w:style w:type="character" w:customStyle="1" w:styleId="ListLabel425">
    <w:name w:val="ListLabel 425"/>
    <w:qFormat/>
    <w:rsid w:val="000952B8"/>
    <w:rPr>
      <w:rFonts w:cs="Wingdings"/>
    </w:rPr>
  </w:style>
  <w:style w:type="character" w:customStyle="1" w:styleId="ListLabel426">
    <w:name w:val="ListLabel 426"/>
    <w:qFormat/>
    <w:rsid w:val="000952B8"/>
    <w:rPr>
      <w:rFonts w:ascii="Open Sans" w:hAnsi="Open Sans" w:cs="Symbol"/>
      <w:sz w:val="21"/>
    </w:rPr>
  </w:style>
  <w:style w:type="character" w:customStyle="1" w:styleId="ListLabel427">
    <w:name w:val="ListLabel 427"/>
    <w:qFormat/>
    <w:rsid w:val="000952B8"/>
    <w:rPr>
      <w:rFonts w:cs="Courier New"/>
    </w:rPr>
  </w:style>
  <w:style w:type="character" w:customStyle="1" w:styleId="ListLabel428">
    <w:name w:val="ListLabel 428"/>
    <w:qFormat/>
    <w:rsid w:val="000952B8"/>
    <w:rPr>
      <w:rFonts w:cs="Wingdings"/>
    </w:rPr>
  </w:style>
  <w:style w:type="character" w:customStyle="1" w:styleId="ListLabel429">
    <w:name w:val="ListLabel 429"/>
    <w:qFormat/>
    <w:rsid w:val="000952B8"/>
    <w:rPr>
      <w:rFonts w:cs="Symbol"/>
    </w:rPr>
  </w:style>
  <w:style w:type="character" w:customStyle="1" w:styleId="ListLabel430">
    <w:name w:val="ListLabel 430"/>
    <w:qFormat/>
    <w:rsid w:val="000952B8"/>
    <w:rPr>
      <w:rFonts w:cs="Courier New"/>
    </w:rPr>
  </w:style>
  <w:style w:type="character" w:customStyle="1" w:styleId="ListLabel431">
    <w:name w:val="ListLabel 431"/>
    <w:qFormat/>
    <w:rsid w:val="000952B8"/>
    <w:rPr>
      <w:rFonts w:cs="Wingdings"/>
    </w:rPr>
  </w:style>
  <w:style w:type="character" w:customStyle="1" w:styleId="ListLabel432">
    <w:name w:val="ListLabel 432"/>
    <w:qFormat/>
    <w:rsid w:val="000952B8"/>
    <w:rPr>
      <w:rFonts w:cs="Symbol"/>
    </w:rPr>
  </w:style>
  <w:style w:type="character" w:customStyle="1" w:styleId="ListLabel433">
    <w:name w:val="ListLabel 433"/>
    <w:qFormat/>
    <w:rsid w:val="000952B8"/>
    <w:rPr>
      <w:rFonts w:cs="Courier New"/>
    </w:rPr>
  </w:style>
  <w:style w:type="character" w:customStyle="1" w:styleId="ListLabel434">
    <w:name w:val="ListLabel 434"/>
    <w:qFormat/>
    <w:rsid w:val="000952B8"/>
    <w:rPr>
      <w:rFonts w:cs="Wingdings"/>
    </w:rPr>
  </w:style>
  <w:style w:type="character" w:customStyle="1" w:styleId="ListLabel435">
    <w:name w:val="ListLabel 435"/>
    <w:qFormat/>
    <w:rsid w:val="000952B8"/>
    <w:rPr>
      <w:rFonts w:ascii="Open Sans" w:hAnsi="Open Sans" w:cs="Symbol"/>
      <w:sz w:val="21"/>
    </w:rPr>
  </w:style>
  <w:style w:type="character" w:customStyle="1" w:styleId="ListLabel436">
    <w:name w:val="ListLabel 436"/>
    <w:qFormat/>
    <w:rsid w:val="000952B8"/>
    <w:rPr>
      <w:rFonts w:cs="Courier New"/>
    </w:rPr>
  </w:style>
  <w:style w:type="character" w:customStyle="1" w:styleId="ListLabel437">
    <w:name w:val="ListLabel 437"/>
    <w:qFormat/>
    <w:rsid w:val="000952B8"/>
    <w:rPr>
      <w:rFonts w:cs="Wingdings"/>
    </w:rPr>
  </w:style>
  <w:style w:type="character" w:customStyle="1" w:styleId="ListLabel438">
    <w:name w:val="ListLabel 438"/>
    <w:qFormat/>
    <w:rsid w:val="000952B8"/>
    <w:rPr>
      <w:rFonts w:cs="Symbol"/>
    </w:rPr>
  </w:style>
  <w:style w:type="character" w:customStyle="1" w:styleId="ListLabel439">
    <w:name w:val="ListLabel 439"/>
    <w:qFormat/>
    <w:rsid w:val="000952B8"/>
    <w:rPr>
      <w:rFonts w:cs="Courier New"/>
    </w:rPr>
  </w:style>
  <w:style w:type="character" w:customStyle="1" w:styleId="ListLabel440">
    <w:name w:val="ListLabel 440"/>
    <w:qFormat/>
    <w:rsid w:val="000952B8"/>
    <w:rPr>
      <w:rFonts w:cs="Wingdings"/>
    </w:rPr>
  </w:style>
  <w:style w:type="character" w:customStyle="1" w:styleId="ListLabel441">
    <w:name w:val="ListLabel 441"/>
    <w:qFormat/>
    <w:rsid w:val="000952B8"/>
    <w:rPr>
      <w:rFonts w:cs="Symbol"/>
    </w:rPr>
  </w:style>
  <w:style w:type="character" w:customStyle="1" w:styleId="ListLabel442">
    <w:name w:val="ListLabel 442"/>
    <w:qFormat/>
    <w:rsid w:val="000952B8"/>
    <w:rPr>
      <w:rFonts w:cs="Courier New"/>
    </w:rPr>
  </w:style>
  <w:style w:type="character" w:customStyle="1" w:styleId="ListLabel443">
    <w:name w:val="ListLabel 443"/>
    <w:qFormat/>
    <w:rsid w:val="000952B8"/>
    <w:rPr>
      <w:rFonts w:cs="Wingdings"/>
    </w:rPr>
  </w:style>
  <w:style w:type="character" w:customStyle="1" w:styleId="ListLabel444">
    <w:name w:val="ListLabel 444"/>
    <w:qFormat/>
    <w:rsid w:val="000952B8"/>
    <w:rPr>
      <w:rFonts w:ascii="Open Sans" w:hAnsi="Open Sans" w:cs="Symbol"/>
      <w:sz w:val="21"/>
    </w:rPr>
  </w:style>
  <w:style w:type="character" w:customStyle="1" w:styleId="ListLabel445">
    <w:name w:val="ListLabel 445"/>
    <w:qFormat/>
    <w:rsid w:val="000952B8"/>
    <w:rPr>
      <w:rFonts w:cs="Courier New"/>
    </w:rPr>
  </w:style>
  <w:style w:type="character" w:customStyle="1" w:styleId="ListLabel446">
    <w:name w:val="ListLabel 446"/>
    <w:qFormat/>
    <w:rsid w:val="000952B8"/>
    <w:rPr>
      <w:rFonts w:cs="Wingdings"/>
    </w:rPr>
  </w:style>
  <w:style w:type="character" w:customStyle="1" w:styleId="ListLabel447">
    <w:name w:val="ListLabel 447"/>
    <w:qFormat/>
    <w:rsid w:val="000952B8"/>
    <w:rPr>
      <w:rFonts w:cs="Symbol"/>
    </w:rPr>
  </w:style>
  <w:style w:type="character" w:customStyle="1" w:styleId="ListLabel448">
    <w:name w:val="ListLabel 448"/>
    <w:qFormat/>
    <w:rsid w:val="000952B8"/>
    <w:rPr>
      <w:rFonts w:cs="Courier New"/>
    </w:rPr>
  </w:style>
  <w:style w:type="character" w:customStyle="1" w:styleId="ListLabel449">
    <w:name w:val="ListLabel 449"/>
    <w:qFormat/>
    <w:rsid w:val="000952B8"/>
    <w:rPr>
      <w:rFonts w:cs="Wingdings"/>
    </w:rPr>
  </w:style>
  <w:style w:type="character" w:customStyle="1" w:styleId="ListLabel450">
    <w:name w:val="ListLabel 450"/>
    <w:qFormat/>
    <w:rsid w:val="000952B8"/>
    <w:rPr>
      <w:rFonts w:cs="Symbol"/>
    </w:rPr>
  </w:style>
  <w:style w:type="character" w:customStyle="1" w:styleId="ListLabel451">
    <w:name w:val="ListLabel 451"/>
    <w:qFormat/>
    <w:rsid w:val="000952B8"/>
    <w:rPr>
      <w:rFonts w:cs="Courier New"/>
    </w:rPr>
  </w:style>
  <w:style w:type="character" w:customStyle="1" w:styleId="ListLabel452">
    <w:name w:val="ListLabel 452"/>
    <w:qFormat/>
    <w:rsid w:val="000952B8"/>
    <w:rPr>
      <w:rFonts w:cs="Wingdings"/>
    </w:rPr>
  </w:style>
  <w:style w:type="character" w:customStyle="1" w:styleId="ListLabel453">
    <w:name w:val="ListLabel 453"/>
    <w:qFormat/>
    <w:rsid w:val="000952B8"/>
    <w:rPr>
      <w:rFonts w:ascii="Open Sans" w:eastAsia="Times New Roman" w:hAnsi="Open Sans" w:cs="Open Sans"/>
      <w:b/>
      <w:sz w:val="21"/>
      <w:szCs w:val="21"/>
      <w:lang w:eastAsia="es-ES"/>
    </w:rPr>
  </w:style>
  <w:style w:type="character" w:customStyle="1" w:styleId="ListLabel454">
    <w:name w:val="ListLabel 454"/>
    <w:qFormat/>
    <w:rsid w:val="000952B8"/>
    <w:rPr>
      <w:rFonts w:ascii="Open Sans" w:eastAsia="Times New Roman" w:hAnsi="Open Sans" w:cs="Open Sans"/>
      <w:sz w:val="21"/>
      <w:szCs w:val="21"/>
      <w:lang w:eastAsia="es-ES"/>
    </w:rPr>
  </w:style>
  <w:style w:type="character" w:customStyle="1" w:styleId="ListLabel455">
    <w:name w:val="ListLabel 455"/>
    <w:qFormat/>
    <w:rsid w:val="000952B8"/>
    <w:rPr>
      <w:rFonts w:ascii="Open Sans" w:eastAsia="Times New Roman" w:hAnsi="Open Sans" w:cs="Open Sans"/>
      <w:sz w:val="20"/>
      <w:szCs w:val="20"/>
      <w:lang w:eastAsia="es-ES"/>
    </w:rPr>
  </w:style>
  <w:style w:type="character" w:customStyle="1" w:styleId="ListLabel456">
    <w:name w:val="ListLabel 456"/>
    <w:qFormat/>
    <w:rsid w:val="000952B8"/>
    <w:rPr>
      <w:rFonts w:ascii="Open Sans" w:hAnsi="Open Sans" w:cs="Open Sans"/>
      <w:sz w:val="21"/>
      <w:szCs w:val="21"/>
    </w:rPr>
  </w:style>
  <w:style w:type="character" w:customStyle="1" w:styleId="ListLabel457">
    <w:name w:val="ListLabel 457"/>
    <w:qFormat/>
    <w:rsid w:val="000952B8"/>
    <w:rPr>
      <w:rFonts w:ascii="Open Sans" w:eastAsia="Times New Roman" w:hAnsi="Open Sans" w:cs="Open Sans"/>
      <w:i/>
      <w:sz w:val="21"/>
      <w:szCs w:val="21"/>
      <w:lang w:eastAsia="es-ES"/>
    </w:rPr>
  </w:style>
  <w:style w:type="character" w:customStyle="1" w:styleId="ListLabel458">
    <w:name w:val="ListLabel 458"/>
    <w:qFormat/>
    <w:rsid w:val="000952B8"/>
    <w:rPr>
      <w:rFonts w:eastAsia="Calibri"/>
      <w:sz w:val="21"/>
      <w:szCs w:val="21"/>
    </w:rPr>
  </w:style>
  <w:style w:type="character" w:customStyle="1" w:styleId="ListLabel459">
    <w:name w:val="ListLabel 459"/>
    <w:qFormat/>
    <w:rsid w:val="000952B8"/>
  </w:style>
  <w:style w:type="character" w:customStyle="1" w:styleId="ListLabel460">
    <w:name w:val="ListLabel 460"/>
    <w:qFormat/>
    <w:rsid w:val="000952B8"/>
  </w:style>
  <w:style w:type="character" w:customStyle="1" w:styleId="ListLabel461">
    <w:name w:val="ListLabel 461"/>
    <w:qFormat/>
    <w:rsid w:val="000952B8"/>
    <w:rPr>
      <w:rFonts w:ascii="Open Sans" w:hAnsi="Open Sans" w:cs="Symbol"/>
      <w:sz w:val="21"/>
    </w:rPr>
  </w:style>
  <w:style w:type="character" w:customStyle="1" w:styleId="ListLabel462">
    <w:name w:val="ListLabel 462"/>
    <w:qFormat/>
    <w:rsid w:val="000952B8"/>
    <w:rPr>
      <w:rFonts w:cs="Courier New"/>
      <w:sz w:val="20"/>
    </w:rPr>
  </w:style>
  <w:style w:type="character" w:customStyle="1" w:styleId="ListLabel463">
    <w:name w:val="ListLabel 463"/>
    <w:qFormat/>
    <w:rsid w:val="000952B8"/>
    <w:rPr>
      <w:rFonts w:cs="Wingdings"/>
      <w:sz w:val="20"/>
    </w:rPr>
  </w:style>
  <w:style w:type="character" w:customStyle="1" w:styleId="ListLabel464">
    <w:name w:val="ListLabel 464"/>
    <w:qFormat/>
    <w:rsid w:val="000952B8"/>
    <w:rPr>
      <w:rFonts w:cs="Wingdings"/>
      <w:sz w:val="20"/>
    </w:rPr>
  </w:style>
  <w:style w:type="character" w:customStyle="1" w:styleId="ListLabel465">
    <w:name w:val="ListLabel 465"/>
    <w:qFormat/>
    <w:rsid w:val="000952B8"/>
    <w:rPr>
      <w:rFonts w:cs="Wingdings"/>
      <w:sz w:val="20"/>
    </w:rPr>
  </w:style>
  <w:style w:type="character" w:customStyle="1" w:styleId="ListLabel466">
    <w:name w:val="ListLabel 466"/>
    <w:qFormat/>
    <w:rsid w:val="000952B8"/>
    <w:rPr>
      <w:rFonts w:cs="Wingdings"/>
      <w:sz w:val="20"/>
    </w:rPr>
  </w:style>
  <w:style w:type="character" w:customStyle="1" w:styleId="ListLabel467">
    <w:name w:val="ListLabel 467"/>
    <w:qFormat/>
    <w:rsid w:val="000952B8"/>
    <w:rPr>
      <w:rFonts w:cs="Wingdings"/>
      <w:sz w:val="20"/>
    </w:rPr>
  </w:style>
  <w:style w:type="character" w:customStyle="1" w:styleId="ListLabel468">
    <w:name w:val="ListLabel 468"/>
    <w:qFormat/>
    <w:rsid w:val="000952B8"/>
    <w:rPr>
      <w:rFonts w:cs="Wingdings"/>
      <w:sz w:val="20"/>
    </w:rPr>
  </w:style>
  <w:style w:type="character" w:customStyle="1" w:styleId="ListLabel469">
    <w:name w:val="ListLabel 469"/>
    <w:qFormat/>
    <w:rsid w:val="000952B8"/>
    <w:rPr>
      <w:rFonts w:cs="Wingdings"/>
      <w:sz w:val="20"/>
    </w:rPr>
  </w:style>
  <w:style w:type="character" w:customStyle="1" w:styleId="ListLabel470">
    <w:name w:val="ListLabel 470"/>
    <w:qFormat/>
    <w:rsid w:val="000952B8"/>
    <w:rPr>
      <w:rFonts w:ascii="Open Sans" w:hAnsi="Open Sans" w:cs="Symbol"/>
      <w:sz w:val="21"/>
    </w:rPr>
  </w:style>
  <w:style w:type="character" w:customStyle="1" w:styleId="ListLabel471">
    <w:name w:val="ListLabel 471"/>
    <w:qFormat/>
    <w:rsid w:val="000952B8"/>
    <w:rPr>
      <w:rFonts w:cs="Open Sans"/>
    </w:rPr>
  </w:style>
  <w:style w:type="character" w:customStyle="1" w:styleId="ListLabel472">
    <w:name w:val="ListLabel 472"/>
    <w:qFormat/>
    <w:rsid w:val="000952B8"/>
    <w:rPr>
      <w:rFonts w:cs="Wingdings"/>
    </w:rPr>
  </w:style>
  <w:style w:type="character" w:customStyle="1" w:styleId="ListLabel473">
    <w:name w:val="ListLabel 473"/>
    <w:qFormat/>
    <w:rsid w:val="000952B8"/>
    <w:rPr>
      <w:rFonts w:cs="Symbol"/>
    </w:rPr>
  </w:style>
  <w:style w:type="character" w:customStyle="1" w:styleId="ListLabel474">
    <w:name w:val="ListLabel 474"/>
    <w:qFormat/>
    <w:rsid w:val="000952B8"/>
    <w:rPr>
      <w:rFonts w:cs="Courier New"/>
    </w:rPr>
  </w:style>
  <w:style w:type="character" w:customStyle="1" w:styleId="ListLabel475">
    <w:name w:val="ListLabel 475"/>
    <w:qFormat/>
    <w:rsid w:val="000952B8"/>
    <w:rPr>
      <w:rFonts w:cs="Wingdings"/>
    </w:rPr>
  </w:style>
  <w:style w:type="character" w:customStyle="1" w:styleId="ListLabel476">
    <w:name w:val="ListLabel 476"/>
    <w:qFormat/>
    <w:rsid w:val="000952B8"/>
    <w:rPr>
      <w:rFonts w:cs="Symbol"/>
    </w:rPr>
  </w:style>
  <w:style w:type="character" w:customStyle="1" w:styleId="ListLabel477">
    <w:name w:val="ListLabel 477"/>
    <w:qFormat/>
    <w:rsid w:val="000952B8"/>
    <w:rPr>
      <w:rFonts w:cs="Courier New"/>
    </w:rPr>
  </w:style>
  <w:style w:type="character" w:customStyle="1" w:styleId="ListLabel478">
    <w:name w:val="ListLabel 478"/>
    <w:qFormat/>
    <w:rsid w:val="000952B8"/>
    <w:rPr>
      <w:rFonts w:cs="Wingdings"/>
    </w:rPr>
  </w:style>
  <w:style w:type="character" w:customStyle="1" w:styleId="ListLabel479">
    <w:name w:val="ListLabel 479"/>
    <w:qFormat/>
    <w:rsid w:val="000952B8"/>
    <w:rPr>
      <w:rFonts w:ascii="Open Sans" w:hAnsi="Open Sans" w:cs="Symbol"/>
      <w:sz w:val="21"/>
    </w:rPr>
  </w:style>
  <w:style w:type="character" w:customStyle="1" w:styleId="ListLabel480">
    <w:name w:val="ListLabel 480"/>
    <w:qFormat/>
    <w:rsid w:val="000952B8"/>
    <w:rPr>
      <w:rFonts w:cs="Courier New"/>
    </w:rPr>
  </w:style>
  <w:style w:type="character" w:customStyle="1" w:styleId="ListLabel481">
    <w:name w:val="ListLabel 481"/>
    <w:qFormat/>
    <w:rsid w:val="000952B8"/>
    <w:rPr>
      <w:rFonts w:cs="Wingdings"/>
    </w:rPr>
  </w:style>
  <w:style w:type="character" w:customStyle="1" w:styleId="ListLabel482">
    <w:name w:val="ListLabel 482"/>
    <w:qFormat/>
    <w:rsid w:val="000952B8"/>
    <w:rPr>
      <w:rFonts w:cs="Symbol"/>
    </w:rPr>
  </w:style>
  <w:style w:type="character" w:customStyle="1" w:styleId="ListLabel483">
    <w:name w:val="ListLabel 483"/>
    <w:qFormat/>
    <w:rsid w:val="000952B8"/>
    <w:rPr>
      <w:rFonts w:cs="Courier New"/>
    </w:rPr>
  </w:style>
  <w:style w:type="character" w:customStyle="1" w:styleId="ListLabel484">
    <w:name w:val="ListLabel 484"/>
    <w:qFormat/>
    <w:rsid w:val="000952B8"/>
    <w:rPr>
      <w:rFonts w:cs="Wingdings"/>
    </w:rPr>
  </w:style>
  <w:style w:type="character" w:customStyle="1" w:styleId="ListLabel485">
    <w:name w:val="ListLabel 485"/>
    <w:qFormat/>
    <w:rsid w:val="000952B8"/>
    <w:rPr>
      <w:rFonts w:cs="Symbol"/>
    </w:rPr>
  </w:style>
  <w:style w:type="character" w:customStyle="1" w:styleId="ListLabel486">
    <w:name w:val="ListLabel 486"/>
    <w:qFormat/>
    <w:rsid w:val="000952B8"/>
    <w:rPr>
      <w:rFonts w:cs="Courier New"/>
    </w:rPr>
  </w:style>
  <w:style w:type="character" w:customStyle="1" w:styleId="ListLabel487">
    <w:name w:val="ListLabel 487"/>
    <w:qFormat/>
    <w:rsid w:val="000952B8"/>
    <w:rPr>
      <w:rFonts w:cs="Wingdings"/>
    </w:rPr>
  </w:style>
  <w:style w:type="character" w:customStyle="1" w:styleId="ListLabel488">
    <w:name w:val="ListLabel 488"/>
    <w:qFormat/>
    <w:rsid w:val="000952B8"/>
    <w:rPr>
      <w:rFonts w:ascii="Open Sans" w:hAnsi="Open Sans" w:cs="Symbol"/>
      <w:sz w:val="21"/>
    </w:rPr>
  </w:style>
  <w:style w:type="character" w:customStyle="1" w:styleId="ListLabel489">
    <w:name w:val="ListLabel 489"/>
    <w:qFormat/>
    <w:rsid w:val="000952B8"/>
    <w:rPr>
      <w:rFonts w:cs="Courier New"/>
    </w:rPr>
  </w:style>
  <w:style w:type="character" w:customStyle="1" w:styleId="ListLabel490">
    <w:name w:val="ListLabel 490"/>
    <w:qFormat/>
    <w:rsid w:val="000952B8"/>
    <w:rPr>
      <w:rFonts w:cs="Wingdings"/>
    </w:rPr>
  </w:style>
  <w:style w:type="character" w:customStyle="1" w:styleId="ListLabel491">
    <w:name w:val="ListLabel 491"/>
    <w:qFormat/>
    <w:rsid w:val="000952B8"/>
    <w:rPr>
      <w:rFonts w:cs="Symbol"/>
    </w:rPr>
  </w:style>
  <w:style w:type="character" w:customStyle="1" w:styleId="ListLabel492">
    <w:name w:val="ListLabel 492"/>
    <w:qFormat/>
    <w:rsid w:val="000952B8"/>
    <w:rPr>
      <w:rFonts w:cs="Courier New"/>
    </w:rPr>
  </w:style>
  <w:style w:type="character" w:customStyle="1" w:styleId="ListLabel493">
    <w:name w:val="ListLabel 493"/>
    <w:qFormat/>
    <w:rsid w:val="000952B8"/>
    <w:rPr>
      <w:rFonts w:cs="Wingdings"/>
    </w:rPr>
  </w:style>
  <w:style w:type="character" w:customStyle="1" w:styleId="ListLabel494">
    <w:name w:val="ListLabel 494"/>
    <w:qFormat/>
    <w:rsid w:val="000952B8"/>
    <w:rPr>
      <w:rFonts w:cs="Symbol"/>
    </w:rPr>
  </w:style>
  <w:style w:type="character" w:customStyle="1" w:styleId="ListLabel495">
    <w:name w:val="ListLabel 495"/>
    <w:qFormat/>
    <w:rsid w:val="000952B8"/>
    <w:rPr>
      <w:rFonts w:cs="Courier New"/>
    </w:rPr>
  </w:style>
  <w:style w:type="character" w:customStyle="1" w:styleId="ListLabel496">
    <w:name w:val="ListLabel 496"/>
    <w:qFormat/>
    <w:rsid w:val="000952B8"/>
    <w:rPr>
      <w:rFonts w:cs="Wingdings"/>
    </w:rPr>
  </w:style>
  <w:style w:type="character" w:customStyle="1" w:styleId="ListLabel497">
    <w:name w:val="ListLabel 497"/>
    <w:qFormat/>
    <w:rsid w:val="000952B8"/>
    <w:rPr>
      <w:rFonts w:ascii="Open Sans" w:hAnsi="Open Sans" w:cs="Symbol"/>
      <w:sz w:val="21"/>
    </w:rPr>
  </w:style>
  <w:style w:type="character" w:customStyle="1" w:styleId="ListLabel498">
    <w:name w:val="ListLabel 498"/>
    <w:qFormat/>
    <w:rsid w:val="000952B8"/>
    <w:rPr>
      <w:rFonts w:cs="Courier New"/>
    </w:rPr>
  </w:style>
  <w:style w:type="character" w:customStyle="1" w:styleId="ListLabel499">
    <w:name w:val="ListLabel 499"/>
    <w:qFormat/>
    <w:rsid w:val="000952B8"/>
    <w:rPr>
      <w:rFonts w:cs="Wingdings"/>
    </w:rPr>
  </w:style>
  <w:style w:type="character" w:customStyle="1" w:styleId="ListLabel500">
    <w:name w:val="ListLabel 500"/>
    <w:qFormat/>
    <w:rsid w:val="000952B8"/>
    <w:rPr>
      <w:rFonts w:cs="Symbol"/>
    </w:rPr>
  </w:style>
  <w:style w:type="character" w:customStyle="1" w:styleId="ListLabel501">
    <w:name w:val="ListLabel 501"/>
    <w:qFormat/>
    <w:rsid w:val="000952B8"/>
    <w:rPr>
      <w:rFonts w:cs="Courier New"/>
    </w:rPr>
  </w:style>
  <w:style w:type="character" w:customStyle="1" w:styleId="ListLabel502">
    <w:name w:val="ListLabel 502"/>
    <w:qFormat/>
    <w:rsid w:val="000952B8"/>
    <w:rPr>
      <w:rFonts w:cs="Wingdings"/>
    </w:rPr>
  </w:style>
  <w:style w:type="character" w:customStyle="1" w:styleId="ListLabel503">
    <w:name w:val="ListLabel 503"/>
    <w:qFormat/>
    <w:rsid w:val="000952B8"/>
    <w:rPr>
      <w:rFonts w:cs="Symbol"/>
    </w:rPr>
  </w:style>
  <w:style w:type="character" w:customStyle="1" w:styleId="ListLabel504">
    <w:name w:val="ListLabel 504"/>
    <w:qFormat/>
    <w:rsid w:val="000952B8"/>
    <w:rPr>
      <w:rFonts w:cs="Courier New"/>
    </w:rPr>
  </w:style>
  <w:style w:type="character" w:customStyle="1" w:styleId="ListLabel505">
    <w:name w:val="ListLabel 505"/>
    <w:qFormat/>
    <w:rsid w:val="000952B8"/>
    <w:rPr>
      <w:rFonts w:cs="Wingdings"/>
    </w:rPr>
  </w:style>
  <w:style w:type="character" w:customStyle="1" w:styleId="ListLabel506">
    <w:name w:val="ListLabel 506"/>
    <w:qFormat/>
    <w:rsid w:val="000952B8"/>
    <w:rPr>
      <w:rFonts w:ascii="Open Sans" w:eastAsia="Times New Roman" w:hAnsi="Open Sans" w:cs="Open Sans"/>
      <w:b/>
      <w:sz w:val="21"/>
      <w:szCs w:val="21"/>
      <w:lang w:eastAsia="es-ES"/>
    </w:rPr>
  </w:style>
  <w:style w:type="character" w:customStyle="1" w:styleId="ListLabel507">
    <w:name w:val="ListLabel 507"/>
    <w:qFormat/>
    <w:rsid w:val="000952B8"/>
    <w:rPr>
      <w:rFonts w:ascii="Open Sans" w:eastAsia="Times New Roman" w:hAnsi="Open Sans" w:cs="Open Sans"/>
      <w:sz w:val="21"/>
      <w:szCs w:val="21"/>
      <w:lang w:eastAsia="es-ES"/>
    </w:rPr>
  </w:style>
  <w:style w:type="character" w:customStyle="1" w:styleId="ListLabel508">
    <w:name w:val="ListLabel 508"/>
    <w:qFormat/>
    <w:rsid w:val="000952B8"/>
    <w:rPr>
      <w:rFonts w:ascii="Open Sans" w:eastAsia="Times New Roman" w:hAnsi="Open Sans" w:cs="Open Sans"/>
      <w:sz w:val="20"/>
      <w:szCs w:val="20"/>
      <w:lang w:eastAsia="es-ES"/>
    </w:rPr>
  </w:style>
  <w:style w:type="character" w:customStyle="1" w:styleId="ListLabel509">
    <w:name w:val="ListLabel 509"/>
    <w:qFormat/>
    <w:rsid w:val="000952B8"/>
    <w:rPr>
      <w:rFonts w:ascii="Open Sans" w:hAnsi="Open Sans" w:cs="Open Sans"/>
      <w:sz w:val="21"/>
      <w:szCs w:val="21"/>
    </w:rPr>
  </w:style>
  <w:style w:type="character" w:customStyle="1" w:styleId="ListLabel510">
    <w:name w:val="ListLabel 510"/>
    <w:qFormat/>
    <w:rsid w:val="000952B8"/>
    <w:rPr>
      <w:rFonts w:ascii="Open Sans" w:eastAsia="Times New Roman" w:hAnsi="Open Sans" w:cs="Open Sans"/>
      <w:i/>
      <w:sz w:val="21"/>
      <w:szCs w:val="21"/>
      <w:lang w:eastAsia="es-ES"/>
    </w:rPr>
  </w:style>
  <w:style w:type="character" w:customStyle="1" w:styleId="ListLabel511">
    <w:name w:val="ListLabel 511"/>
    <w:qFormat/>
    <w:rsid w:val="000952B8"/>
    <w:rPr>
      <w:rFonts w:eastAsia="Calibri"/>
      <w:sz w:val="21"/>
      <w:szCs w:val="21"/>
    </w:rPr>
  </w:style>
  <w:style w:type="character" w:customStyle="1" w:styleId="ListLabel512">
    <w:name w:val="ListLabel 512"/>
    <w:qFormat/>
    <w:rsid w:val="000952B8"/>
  </w:style>
  <w:style w:type="character" w:customStyle="1" w:styleId="ListLabel513">
    <w:name w:val="ListLabel 513"/>
    <w:qFormat/>
    <w:rsid w:val="000952B8"/>
  </w:style>
  <w:style w:type="character" w:customStyle="1" w:styleId="ListLabel514">
    <w:name w:val="ListLabel 514"/>
    <w:qFormat/>
    <w:rsid w:val="000952B8"/>
    <w:rPr>
      <w:rFonts w:ascii="Open Sans" w:hAnsi="Open Sans" w:cs="Symbol"/>
      <w:sz w:val="21"/>
    </w:rPr>
  </w:style>
  <w:style w:type="character" w:customStyle="1" w:styleId="ListLabel515">
    <w:name w:val="ListLabel 515"/>
    <w:qFormat/>
    <w:rsid w:val="000952B8"/>
    <w:rPr>
      <w:rFonts w:cs="Courier New"/>
      <w:sz w:val="20"/>
    </w:rPr>
  </w:style>
  <w:style w:type="character" w:customStyle="1" w:styleId="ListLabel516">
    <w:name w:val="ListLabel 516"/>
    <w:qFormat/>
    <w:rsid w:val="000952B8"/>
    <w:rPr>
      <w:rFonts w:cs="Wingdings"/>
      <w:sz w:val="20"/>
    </w:rPr>
  </w:style>
  <w:style w:type="character" w:customStyle="1" w:styleId="ListLabel517">
    <w:name w:val="ListLabel 517"/>
    <w:qFormat/>
    <w:rsid w:val="000952B8"/>
    <w:rPr>
      <w:rFonts w:cs="Wingdings"/>
      <w:sz w:val="20"/>
    </w:rPr>
  </w:style>
  <w:style w:type="character" w:customStyle="1" w:styleId="ListLabel518">
    <w:name w:val="ListLabel 518"/>
    <w:qFormat/>
    <w:rsid w:val="000952B8"/>
    <w:rPr>
      <w:rFonts w:cs="Wingdings"/>
      <w:sz w:val="20"/>
    </w:rPr>
  </w:style>
  <w:style w:type="character" w:customStyle="1" w:styleId="ListLabel519">
    <w:name w:val="ListLabel 519"/>
    <w:qFormat/>
    <w:rsid w:val="000952B8"/>
    <w:rPr>
      <w:rFonts w:cs="Wingdings"/>
      <w:sz w:val="20"/>
    </w:rPr>
  </w:style>
  <w:style w:type="character" w:customStyle="1" w:styleId="ListLabel520">
    <w:name w:val="ListLabel 520"/>
    <w:qFormat/>
    <w:rsid w:val="000952B8"/>
    <w:rPr>
      <w:rFonts w:cs="Wingdings"/>
      <w:sz w:val="20"/>
    </w:rPr>
  </w:style>
  <w:style w:type="character" w:customStyle="1" w:styleId="ListLabel521">
    <w:name w:val="ListLabel 521"/>
    <w:qFormat/>
    <w:rsid w:val="000952B8"/>
    <w:rPr>
      <w:rFonts w:cs="Wingdings"/>
      <w:sz w:val="20"/>
    </w:rPr>
  </w:style>
  <w:style w:type="character" w:customStyle="1" w:styleId="ListLabel522">
    <w:name w:val="ListLabel 522"/>
    <w:qFormat/>
    <w:rsid w:val="000952B8"/>
    <w:rPr>
      <w:rFonts w:cs="Wingdings"/>
      <w:sz w:val="20"/>
    </w:rPr>
  </w:style>
  <w:style w:type="character" w:customStyle="1" w:styleId="ListLabel523">
    <w:name w:val="ListLabel 523"/>
    <w:qFormat/>
    <w:rsid w:val="000952B8"/>
    <w:rPr>
      <w:rFonts w:ascii="Open Sans" w:hAnsi="Open Sans" w:cs="Symbol"/>
      <w:sz w:val="21"/>
    </w:rPr>
  </w:style>
  <w:style w:type="character" w:customStyle="1" w:styleId="ListLabel524">
    <w:name w:val="ListLabel 524"/>
    <w:qFormat/>
    <w:rsid w:val="000952B8"/>
    <w:rPr>
      <w:rFonts w:cs="Open Sans"/>
    </w:rPr>
  </w:style>
  <w:style w:type="character" w:customStyle="1" w:styleId="ListLabel525">
    <w:name w:val="ListLabel 525"/>
    <w:qFormat/>
    <w:rsid w:val="000952B8"/>
    <w:rPr>
      <w:rFonts w:cs="Wingdings"/>
    </w:rPr>
  </w:style>
  <w:style w:type="character" w:customStyle="1" w:styleId="ListLabel526">
    <w:name w:val="ListLabel 526"/>
    <w:qFormat/>
    <w:rsid w:val="000952B8"/>
    <w:rPr>
      <w:rFonts w:cs="Symbol"/>
    </w:rPr>
  </w:style>
  <w:style w:type="character" w:customStyle="1" w:styleId="ListLabel527">
    <w:name w:val="ListLabel 527"/>
    <w:qFormat/>
    <w:rsid w:val="000952B8"/>
    <w:rPr>
      <w:rFonts w:cs="Courier New"/>
    </w:rPr>
  </w:style>
  <w:style w:type="character" w:customStyle="1" w:styleId="ListLabel528">
    <w:name w:val="ListLabel 528"/>
    <w:qFormat/>
    <w:rsid w:val="000952B8"/>
    <w:rPr>
      <w:rFonts w:cs="Wingdings"/>
    </w:rPr>
  </w:style>
  <w:style w:type="character" w:customStyle="1" w:styleId="ListLabel529">
    <w:name w:val="ListLabel 529"/>
    <w:qFormat/>
    <w:rsid w:val="000952B8"/>
    <w:rPr>
      <w:rFonts w:cs="Symbol"/>
    </w:rPr>
  </w:style>
  <w:style w:type="character" w:customStyle="1" w:styleId="ListLabel530">
    <w:name w:val="ListLabel 530"/>
    <w:qFormat/>
    <w:rsid w:val="000952B8"/>
    <w:rPr>
      <w:rFonts w:cs="Courier New"/>
    </w:rPr>
  </w:style>
  <w:style w:type="character" w:customStyle="1" w:styleId="ListLabel531">
    <w:name w:val="ListLabel 531"/>
    <w:qFormat/>
    <w:rsid w:val="000952B8"/>
    <w:rPr>
      <w:rFonts w:cs="Wingdings"/>
    </w:rPr>
  </w:style>
  <w:style w:type="character" w:customStyle="1" w:styleId="ListLabel532">
    <w:name w:val="ListLabel 532"/>
    <w:qFormat/>
    <w:rsid w:val="000952B8"/>
    <w:rPr>
      <w:rFonts w:ascii="Open Sans" w:hAnsi="Open Sans" w:cs="Symbol"/>
      <w:sz w:val="21"/>
    </w:rPr>
  </w:style>
  <w:style w:type="character" w:customStyle="1" w:styleId="ListLabel533">
    <w:name w:val="ListLabel 533"/>
    <w:qFormat/>
    <w:rsid w:val="000952B8"/>
    <w:rPr>
      <w:rFonts w:cs="Courier New"/>
    </w:rPr>
  </w:style>
  <w:style w:type="character" w:customStyle="1" w:styleId="ListLabel534">
    <w:name w:val="ListLabel 534"/>
    <w:qFormat/>
    <w:rsid w:val="000952B8"/>
    <w:rPr>
      <w:rFonts w:cs="Wingdings"/>
    </w:rPr>
  </w:style>
  <w:style w:type="character" w:customStyle="1" w:styleId="ListLabel535">
    <w:name w:val="ListLabel 535"/>
    <w:qFormat/>
    <w:rsid w:val="000952B8"/>
    <w:rPr>
      <w:rFonts w:cs="Symbol"/>
    </w:rPr>
  </w:style>
  <w:style w:type="character" w:customStyle="1" w:styleId="ListLabel536">
    <w:name w:val="ListLabel 536"/>
    <w:qFormat/>
    <w:rsid w:val="000952B8"/>
    <w:rPr>
      <w:rFonts w:cs="Courier New"/>
    </w:rPr>
  </w:style>
  <w:style w:type="character" w:customStyle="1" w:styleId="ListLabel537">
    <w:name w:val="ListLabel 537"/>
    <w:qFormat/>
    <w:rsid w:val="000952B8"/>
    <w:rPr>
      <w:rFonts w:cs="Wingdings"/>
    </w:rPr>
  </w:style>
  <w:style w:type="character" w:customStyle="1" w:styleId="ListLabel538">
    <w:name w:val="ListLabel 538"/>
    <w:qFormat/>
    <w:rsid w:val="000952B8"/>
    <w:rPr>
      <w:rFonts w:cs="Symbol"/>
    </w:rPr>
  </w:style>
  <w:style w:type="character" w:customStyle="1" w:styleId="ListLabel539">
    <w:name w:val="ListLabel 539"/>
    <w:qFormat/>
    <w:rsid w:val="000952B8"/>
    <w:rPr>
      <w:rFonts w:cs="Courier New"/>
    </w:rPr>
  </w:style>
  <w:style w:type="character" w:customStyle="1" w:styleId="ListLabel540">
    <w:name w:val="ListLabel 540"/>
    <w:qFormat/>
    <w:rsid w:val="000952B8"/>
    <w:rPr>
      <w:rFonts w:cs="Wingdings"/>
    </w:rPr>
  </w:style>
  <w:style w:type="character" w:customStyle="1" w:styleId="ListLabel541">
    <w:name w:val="ListLabel 541"/>
    <w:qFormat/>
    <w:rsid w:val="000952B8"/>
    <w:rPr>
      <w:rFonts w:cs="Symbol"/>
      <w:sz w:val="21"/>
    </w:rPr>
  </w:style>
  <w:style w:type="character" w:customStyle="1" w:styleId="ListLabel542">
    <w:name w:val="ListLabel 542"/>
    <w:qFormat/>
    <w:rsid w:val="000952B8"/>
    <w:rPr>
      <w:rFonts w:cs="Courier New"/>
    </w:rPr>
  </w:style>
  <w:style w:type="character" w:customStyle="1" w:styleId="ListLabel543">
    <w:name w:val="ListLabel 543"/>
    <w:qFormat/>
    <w:rsid w:val="000952B8"/>
    <w:rPr>
      <w:rFonts w:cs="Wingdings"/>
    </w:rPr>
  </w:style>
  <w:style w:type="character" w:customStyle="1" w:styleId="ListLabel544">
    <w:name w:val="ListLabel 544"/>
    <w:qFormat/>
    <w:rsid w:val="000952B8"/>
    <w:rPr>
      <w:rFonts w:cs="Symbol"/>
    </w:rPr>
  </w:style>
  <w:style w:type="character" w:customStyle="1" w:styleId="ListLabel545">
    <w:name w:val="ListLabel 545"/>
    <w:qFormat/>
    <w:rsid w:val="000952B8"/>
    <w:rPr>
      <w:rFonts w:cs="Courier New"/>
    </w:rPr>
  </w:style>
  <w:style w:type="character" w:customStyle="1" w:styleId="ListLabel546">
    <w:name w:val="ListLabel 546"/>
    <w:qFormat/>
    <w:rsid w:val="000952B8"/>
    <w:rPr>
      <w:rFonts w:cs="Wingdings"/>
    </w:rPr>
  </w:style>
  <w:style w:type="character" w:customStyle="1" w:styleId="ListLabel547">
    <w:name w:val="ListLabel 547"/>
    <w:qFormat/>
    <w:rsid w:val="000952B8"/>
    <w:rPr>
      <w:rFonts w:cs="Symbol"/>
    </w:rPr>
  </w:style>
  <w:style w:type="character" w:customStyle="1" w:styleId="ListLabel548">
    <w:name w:val="ListLabel 548"/>
    <w:qFormat/>
    <w:rsid w:val="000952B8"/>
    <w:rPr>
      <w:rFonts w:cs="Courier New"/>
    </w:rPr>
  </w:style>
  <w:style w:type="character" w:customStyle="1" w:styleId="ListLabel549">
    <w:name w:val="ListLabel 549"/>
    <w:qFormat/>
    <w:rsid w:val="000952B8"/>
    <w:rPr>
      <w:rFonts w:cs="Wingdings"/>
    </w:rPr>
  </w:style>
  <w:style w:type="character" w:customStyle="1" w:styleId="ListLabel550">
    <w:name w:val="ListLabel 550"/>
    <w:qFormat/>
    <w:rsid w:val="000952B8"/>
    <w:rPr>
      <w:rFonts w:ascii="Open Sans" w:hAnsi="Open Sans" w:cs="Symbol"/>
      <w:sz w:val="21"/>
    </w:rPr>
  </w:style>
  <w:style w:type="character" w:customStyle="1" w:styleId="ListLabel551">
    <w:name w:val="ListLabel 551"/>
    <w:qFormat/>
    <w:rsid w:val="000952B8"/>
    <w:rPr>
      <w:rFonts w:cs="Courier New"/>
    </w:rPr>
  </w:style>
  <w:style w:type="character" w:customStyle="1" w:styleId="ListLabel552">
    <w:name w:val="ListLabel 552"/>
    <w:qFormat/>
    <w:rsid w:val="000952B8"/>
    <w:rPr>
      <w:rFonts w:cs="Wingdings"/>
    </w:rPr>
  </w:style>
  <w:style w:type="character" w:customStyle="1" w:styleId="ListLabel553">
    <w:name w:val="ListLabel 553"/>
    <w:qFormat/>
    <w:rsid w:val="000952B8"/>
    <w:rPr>
      <w:rFonts w:cs="Symbol"/>
    </w:rPr>
  </w:style>
  <w:style w:type="character" w:customStyle="1" w:styleId="ListLabel554">
    <w:name w:val="ListLabel 554"/>
    <w:qFormat/>
    <w:rsid w:val="000952B8"/>
    <w:rPr>
      <w:rFonts w:cs="Courier New"/>
    </w:rPr>
  </w:style>
  <w:style w:type="character" w:customStyle="1" w:styleId="ListLabel555">
    <w:name w:val="ListLabel 555"/>
    <w:qFormat/>
    <w:rsid w:val="000952B8"/>
    <w:rPr>
      <w:rFonts w:cs="Wingdings"/>
    </w:rPr>
  </w:style>
  <w:style w:type="character" w:customStyle="1" w:styleId="ListLabel556">
    <w:name w:val="ListLabel 556"/>
    <w:qFormat/>
    <w:rsid w:val="000952B8"/>
    <w:rPr>
      <w:rFonts w:cs="Symbol"/>
    </w:rPr>
  </w:style>
  <w:style w:type="character" w:customStyle="1" w:styleId="ListLabel557">
    <w:name w:val="ListLabel 557"/>
    <w:qFormat/>
    <w:rsid w:val="000952B8"/>
    <w:rPr>
      <w:rFonts w:cs="Courier New"/>
    </w:rPr>
  </w:style>
  <w:style w:type="character" w:customStyle="1" w:styleId="ListLabel558">
    <w:name w:val="ListLabel 558"/>
    <w:qFormat/>
    <w:rsid w:val="000952B8"/>
    <w:rPr>
      <w:rFonts w:cs="Wingdings"/>
    </w:rPr>
  </w:style>
  <w:style w:type="character" w:customStyle="1" w:styleId="ListLabel559">
    <w:name w:val="ListLabel 559"/>
    <w:qFormat/>
    <w:rsid w:val="000952B8"/>
    <w:rPr>
      <w:rFonts w:ascii="Open Sans" w:eastAsia="Times New Roman" w:hAnsi="Open Sans" w:cs="Open Sans"/>
      <w:b/>
      <w:sz w:val="21"/>
      <w:szCs w:val="21"/>
      <w:lang w:eastAsia="es-ES"/>
    </w:rPr>
  </w:style>
  <w:style w:type="character" w:customStyle="1" w:styleId="ListLabel560">
    <w:name w:val="ListLabel 560"/>
    <w:qFormat/>
    <w:rsid w:val="000952B8"/>
    <w:rPr>
      <w:rFonts w:ascii="Open Sans" w:eastAsia="Times New Roman" w:hAnsi="Open Sans" w:cs="Open Sans"/>
      <w:sz w:val="21"/>
      <w:szCs w:val="21"/>
      <w:lang w:eastAsia="es-ES"/>
    </w:rPr>
  </w:style>
  <w:style w:type="character" w:customStyle="1" w:styleId="ListLabel561">
    <w:name w:val="ListLabel 561"/>
    <w:qFormat/>
    <w:rsid w:val="000952B8"/>
    <w:rPr>
      <w:rFonts w:ascii="Open Sans" w:eastAsia="Times New Roman" w:hAnsi="Open Sans" w:cs="Open Sans"/>
      <w:sz w:val="20"/>
      <w:szCs w:val="20"/>
      <w:lang w:eastAsia="es-ES"/>
    </w:rPr>
  </w:style>
  <w:style w:type="character" w:customStyle="1" w:styleId="ListLabel562">
    <w:name w:val="ListLabel 562"/>
    <w:qFormat/>
    <w:rsid w:val="000952B8"/>
    <w:rPr>
      <w:rFonts w:ascii="Open Sans" w:hAnsi="Open Sans" w:cs="Open Sans"/>
      <w:sz w:val="21"/>
      <w:szCs w:val="21"/>
    </w:rPr>
  </w:style>
  <w:style w:type="character" w:customStyle="1" w:styleId="ListLabel563">
    <w:name w:val="ListLabel 563"/>
    <w:qFormat/>
    <w:rsid w:val="000952B8"/>
    <w:rPr>
      <w:rFonts w:ascii="Open Sans" w:eastAsia="Times New Roman" w:hAnsi="Open Sans" w:cs="Open Sans"/>
      <w:i w:val="0"/>
      <w:iCs w:val="0"/>
      <w:sz w:val="21"/>
      <w:szCs w:val="21"/>
      <w:lang w:eastAsia="es-ES"/>
    </w:rPr>
  </w:style>
  <w:style w:type="character" w:customStyle="1" w:styleId="ListLabel564">
    <w:name w:val="ListLabel 564"/>
    <w:qFormat/>
    <w:rsid w:val="000952B8"/>
    <w:rPr>
      <w:rFonts w:ascii="Open Sans" w:eastAsia="Times New Roman" w:hAnsi="Open Sans" w:cs="Open Sans"/>
      <w:i/>
      <w:sz w:val="21"/>
      <w:szCs w:val="21"/>
      <w:lang w:eastAsia="es-ES"/>
    </w:rPr>
  </w:style>
  <w:style w:type="character" w:customStyle="1" w:styleId="ListLabel565">
    <w:name w:val="ListLabel 565"/>
    <w:qFormat/>
    <w:rsid w:val="000952B8"/>
    <w:rPr>
      <w:rFonts w:eastAsia="Calibri"/>
      <w:sz w:val="21"/>
      <w:szCs w:val="21"/>
    </w:rPr>
  </w:style>
  <w:style w:type="character" w:customStyle="1" w:styleId="ListLabel566">
    <w:name w:val="ListLabel 566"/>
    <w:qFormat/>
    <w:rsid w:val="000952B8"/>
  </w:style>
  <w:style w:type="character" w:customStyle="1" w:styleId="ListLabel567">
    <w:name w:val="ListLabel 567"/>
    <w:qFormat/>
    <w:rsid w:val="000952B8"/>
  </w:style>
  <w:style w:type="paragraph" w:styleId="Textocomentario">
    <w:name w:val="annotation text"/>
    <w:basedOn w:val="Normal"/>
    <w:link w:val="TextocomentarioCar"/>
    <w:uiPriority w:val="99"/>
    <w:semiHidden/>
    <w:unhideWhenUsed/>
    <w:qFormat/>
    <w:rsid w:val="000952B8"/>
    <w:pPr>
      <w:spacing w:line="240" w:lineRule="auto"/>
    </w:pPr>
    <w:rPr>
      <w:sz w:val="20"/>
      <w:szCs w:val="20"/>
    </w:rPr>
  </w:style>
  <w:style w:type="character" w:customStyle="1" w:styleId="TextocomentarioCar2">
    <w:name w:val="Texto comentario Car2"/>
    <w:basedOn w:val="Fuentedeprrafopredeter"/>
    <w:uiPriority w:val="99"/>
    <w:semiHidden/>
    <w:rsid w:val="000952B8"/>
    <w:rPr>
      <w:sz w:val="20"/>
      <w:szCs w:val="20"/>
    </w:rPr>
  </w:style>
  <w:style w:type="paragraph" w:styleId="Asuntodelcomentario">
    <w:name w:val="annotation subject"/>
    <w:basedOn w:val="Textocomentario"/>
    <w:next w:val="Textocomentario"/>
    <w:link w:val="AsuntodelcomentarioCar"/>
    <w:uiPriority w:val="99"/>
    <w:semiHidden/>
    <w:unhideWhenUsed/>
    <w:qFormat/>
    <w:rsid w:val="000952B8"/>
    <w:rPr>
      <w:b/>
      <w:bCs/>
    </w:rPr>
  </w:style>
  <w:style w:type="character" w:customStyle="1" w:styleId="AsuntodelcomentarioCar2">
    <w:name w:val="Asunto del comentario Car2"/>
    <w:basedOn w:val="TextocomentarioCar2"/>
    <w:uiPriority w:val="99"/>
    <w:semiHidden/>
    <w:rsid w:val="000952B8"/>
    <w:rPr>
      <w:b/>
      <w:bCs/>
      <w:sz w:val="20"/>
      <w:szCs w:val="20"/>
    </w:rPr>
  </w:style>
  <w:style w:type="paragraph" w:customStyle="1" w:styleId="Ttulodelatabla">
    <w:name w:val="Título de la tabla"/>
    <w:basedOn w:val="Contenidodelatabla"/>
    <w:qFormat/>
    <w:rsid w:val="000952B8"/>
    <w:pPr>
      <w:suppressAutoHyphens w:val="0"/>
      <w:spacing w:line="259" w:lineRule="auto"/>
      <w:jc w:val="center"/>
    </w:pPr>
    <w:rPr>
      <w:b/>
      <w:bCs/>
      <w:lang w:eastAsia="en-US"/>
    </w:rPr>
  </w:style>
  <w:style w:type="character" w:styleId="Hipervnculovisitado">
    <w:name w:val="FollowedHyperlink"/>
    <w:basedOn w:val="Fuentedeprrafopredeter"/>
    <w:uiPriority w:val="99"/>
    <w:semiHidden/>
    <w:unhideWhenUsed/>
    <w:rsid w:val="000952B8"/>
    <w:rPr>
      <w:color w:val="954F72" w:themeColor="followedHyperlink"/>
      <w:u w:val="single"/>
    </w:rPr>
  </w:style>
  <w:style w:type="paragraph" w:customStyle="1" w:styleId="Standarduser">
    <w:name w:val="Standard (user)"/>
    <w:rsid w:val="002D0FF9"/>
    <w:pPr>
      <w:widowControl w:val="0"/>
      <w:suppressAutoHyphens/>
      <w:autoSpaceDN w:val="0"/>
      <w:spacing w:after="0" w:line="240" w:lineRule="auto"/>
      <w:textAlignment w:val="baseline"/>
    </w:pPr>
    <w:rPr>
      <w:rFonts w:ascii="Liberation Serif" w:eastAsia="NSimSun" w:hAnsi="Liberation Serif" w:cs="Arial"/>
      <w:kern w:val="3"/>
      <w:sz w:val="24"/>
      <w:szCs w:val="24"/>
      <w:lang w:eastAsia="zh-CN" w:bidi="hi-IN"/>
    </w:rPr>
  </w:style>
  <w:style w:type="paragraph" w:customStyle="1" w:styleId="TableContents">
    <w:name w:val="Table Contents"/>
    <w:basedOn w:val="Standard"/>
    <w:rsid w:val="00076BFE"/>
    <w:pPr>
      <w:suppressLineNumbers/>
      <w:autoSpaceDN w:val="0"/>
    </w:pPr>
    <w:rPr>
      <w:rFonts w:eastAsia="Droid Sans Fallback" w:cs="FreeSans"/>
      <w:kern w:val="3"/>
    </w:rPr>
  </w:style>
  <w:style w:type="numbering" w:customStyle="1" w:styleId="Sinlista4">
    <w:name w:val="Sin lista4"/>
    <w:next w:val="Sinlista"/>
    <w:uiPriority w:val="99"/>
    <w:semiHidden/>
    <w:unhideWhenUsed/>
    <w:rsid w:val="00D572EA"/>
  </w:style>
  <w:style w:type="paragraph" w:customStyle="1" w:styleId="Heading">
    <w:name w:val="Heading"/>
    <w:basedOn w:val="Standard"/>
    <w:next w:val="Textbody"/>
    <w:rsid w:val="00D572EA"/>
    <w:pPr>
      <w:keepNext/>
      <w:autoSpaceDN w:val="0"/>
      <w:spacing w:before="240" w:after="120"/>
    </w:pPr>
    <w:rPr>
      <w:rFonts w:ascii="Liberation Sans" w:eastAsia="Microsoft YaHei" w:hAnsi="Liberation Sans" w:cs="Lucida Sans"/>
      <w:kern w:val="3"/>
      <w:sz w:val="28"/>
      <w:szCs w:val="28"/>
    </w:rPr>
  </w:style>
  <w:style w:type="paragraph" w:customStyle="1" w:styleId="Index">
    <w:name w:val="Index"/>
    <w:basedOn w:val="Standard"/>
    <w:rsid w:val="00D572EA"/>
    <w:pPr>
      <w:suppressLineNumbers/>
      <w:autoSpaceDN w:val="0"/>
    </w:pPr>
    <w:rPr>
      <w:rFonts w:eastAsia="Droid Sans Fallback" w:cs="Lucida Sans"/>
      <w:kern w:val="3"/>
    </w:rPr>
  </w:style>
  <w:style w:type="paragraph" w:customStyle="1" w:styleId="LO-Normal">
    <w:name w:val="LO-Normal"/>
    <w:rsid w:val="00D572EA"/>
    <w:pPr>
      <w:widowControl w:val="0"/>
      <w:suppressAutoHyphens/>
      <w:autoSpaceDN w:val="0"/>
      <w:spacing w:after="0" w:line="240" w:lineRule="auto"/>
      <w:textAlignment w:val="baseline"/>
    </w:pPr>
    <w:rPr>
      <w:rFonts w:ascii="Liberation Serif" w:eastAsia="Droid Sans Fallback" w:hAnsi="Liberation Serif" w:cs="FreeSans"/>
      <w:kern w:val="3"/>
      <w:sz w:val="24"/>
      <w:szCs w:val="24"/>
      <w:lang w:eastAsia="zh-CN" w:bidi="hi-IN"/>
    </w:rPr>
  </w:style>
  <w:style w:type="paragraph" w:customStyle="1" w:styleId="Encabezado1">
    <w:name w:val="Encabezado1"/>
    <w:basedOn w:val="Standard"/>
    <w:rsid w:val="00D572EA"/>
    <w:pPr>
      <w:suppressLineNumbers/>
      <w:tabs>
        <w:tab w:val="center" w:pos="4819"/>
        <w:tab w:val="right" w:pos="9638"/>
      </w:tabs>
      <w:autoSpaceDN w:val="0"/>
    </w:pPr>
    <w:rPr>
      <w:rFonts w:eastAsia="Droid Sans Fallback" w:cs="FreeSans"/>
      <w:kern w:val="3"/>
    </w:rPr>
  </w:style>
  <w:style w:type="paragraph" w:customStyle="1" w:styleId="Footnote">
    <w:name w:val="Footnote"/>
    <w:basedOn w:val="Standard"/>
    <w:rsid w:val="00D572EA"/>
    <w:pPr>
      <w:suppressLineNumbers/>
      <w:autoSpaceDN w:val="0"/>
      <w:ind w:left="339" w:hanging="339"/>
    </w:pPr>
    <w:rPr>
      <w:rFonts w:eastAsia="Droid Sans Fallback" w:cs="FreeSans"/>
      <w:kern w:val="3"/>
      <w:sz w:val="20"/>
      <w:szCs w:val="20"/>
    </w:rPr>
  </w:style>
  <w:style w:type="paragraph" w:customStyle="1" w:styleId="TableHeading">
    <w:name w:val="Table Heading"/>
    <w:basedOn w:val="TableContents"/>
    <w:rsid w:val="00D572EA"/>
    <w:pPr>
      <w:jc w:val="center"/>
    </w:pPr>
    <w:rPr>
      <w:b/>
      <w:bCs/>
    </w:rPr>
  </w:style>
  <w:style w:type="character" w:customStyle="1" w:styleId="Internetlink">
    <w:name w:val="Internet link"/>
    <w:rsid w:val="00D572EA"/>
    <w:rPr>
      <w:color w:val="000080"/>
      <w:u w:val="single"/>
    </w:rPr>
  </w:style>
  <w:style w:type="character" w:customStyle="1" w:styleId="FootnoteSymbol">
    <w:name w:val="Footnote Symbol"/>
    <w:rsid w:val="00D572EA"/>
  </w:style>
  <w:style w:type="character" w:customStyle="1" w:styleId="Footnoteanchor">
    <w:name w:val="Footnote anchor"/>
    <w:rsid w:val="00D572EA"/>
    <w:rPr>
      <w:position w:val="0"/>
      <w:vertAlign w:val="superscript"/>
    </w:rPr>
  </w:style>
  <w:style w:type="character" w:customStyle="1" w:styleId="BulletSymbols">
    <w:name w:val="Bullet Symbols"/>
    <w:rsid w:val="00D572EA"/>
    <w:rPr>
      <w:rFonts w:ascii="OpenSymbol" w:eastAsia="OpenSymbol" w:hAnsi="OpenSymbol" w:cs="OpenSymbol"/>
    </w:rPr>
  </w:style>
  <w:style w:type="numbering" w:customStyle="1" w:styleId="Sinlista11">
    <w:name w:val="Sin lista11"/>
    <w:basedOn w:val="Sinlista"/>
    <w:rsid w:val="00D572EA"/>
    <w:pPr>
      <w:numPr>
        <w:numId w:val="38"/>
      </w:numPr>
    </w:pPr>
  </w:style>
  <w:style w:type="numbering" w:customStyle="1" w:styleId="WWNum1">
    <w:name w:val="WWNum1"/>
    <w:basedOn w:val="Sinlista"/>
    <w:rsid w:val="00D572EA"/>
    <w:pPr>
      <w:numPr>
        <w:numId w:val="39"/>
      </w:numPr>
    </w:pPr>
  </w:style>
  <w:style w:type="numbering" w:customStyle="1" w:styleId="WWNum2">
    <w:name w:val="WWNum2"/>
    <w:basedOn w:val="Sinlista"/>
    <w:rsid w:val="00D572EA"/>
    <w:pPr>
      <w:numPr>
        <w:numId w:val="40"/>
      </w:numPr>
    </w:pPr>
  </w:style>
  <w:style w:type="numbering" w:customStyle="1" w:styleId="WWNum3">
    <w:name w:val="WWNum3"/>
    <w:basedOn w:val="Sinlista"/>
    <w:rsid w:val="00D572EA"/>
    <w:pPr>
      <w:numPr>
        <w:numId w:val="41"/>
      </w:numPr>
    </w:pPr>
  </w:style>
  <w:style w:type="numbering" w:customStyle="1" w:styleId="WWNum4">
    <w:name w:val="WWNum4"/>
    <w:basedOn w:val="Sinlista"/>
    <w:rsid w:val="00D572EA"/>
    <w:pPr>
      <w:numPr>
        <w:numId w:val="42"/>
      </w:numPr>
    </w:pPr>
  </w:style>
  <w:style w:type="numbering" w:customStyle="1" w:styleId="WWNum5">
    <w:name w:val="WWNum5"/>
    <w:basedOn w:val="Sinlista"/>
    <w:rsid w:val="00D572EA"/>
    <w:pPr>
      <w:numPr>
        <w:numId w:val="43"/>
      </w:numPr>
    </w:pPr>
  </w:style>
  <w:style w:type="character" w:styleId="Refdenotaalpie">
    <w:name w:val="footnote reference"/>
    <w:basedOn w:val="Fuentedeprrafopredeter"/>
    <w:uiPriority w:val="99"/>
    <w:semiHidden/>
    <w:unhideWhenUsed/>
    <w:rsid w:val="00D572E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8082151">
      <w:bodyDiv w:val="1"/>
      <w:marLeft w:val="0"/>
      <w:marRight w:val="0"/>
      <w:marTop w:val="0"/>
      <w:marBottom w:val="0"/>
      <w:divBdr>
        <w:top w:val="none" w:sz="0" w:space="0" w:color="auto"/>
        <w:left w:val="none" w:sz="0" w:space="0" w:color="auto"/>
        <w:bottom w:val="none" w:sz="0" w:space="0" w:color="auto"/>
        <w:right w:val="none" w:sz="0" w:space="0" w:color="auto"/>
      </w:divBdr>
    </w:div>
    <w:div w:id="295110080">
      <w:bodyDiv w:val="1"/>
      <w:marLeft w:val="0"/>
      <w:marRight w:val="0"/>
      <w:marTop w:val="0"/>
      <w:marBottom w:val="0"/>
      <w:divBdr>
        <w:top w:val="none" w:sz="0" w:space="0" w:color="auto"/>
        <w:left w:val="none" w:sz="0" w:space="0" w:color="auto"/>
        <w:bottom w:val="none" w:sz="0" w:space="0" w:color="auto"/>
        <w:right w:val="none" w:sz="0" w:space="0" w:color="auto"/>
      </w:divBdr>
    </w:div>
    <w:div w:id="1140421065">
      <w:bodyDiv w:val="1"/>
      <w:marLeft w:val="0"/>
      <w:marRight w:val="0"/>
      <w:marTop w:val="0"/>
      <w:marBottom w:val="0"/>
      <w:divBdr>
        <w:top w:val="none" w:sz="0" w:space="0" w:color="auto"/>
        <w:left w:val="none" w:sz="0" w:space="0" w:color="auto"/>
        <w:bottom w:val="none" w:sz="0" w:space="0" w:color="auto"/>
        <w:right w:val="none" w:sz="0" w:space="0" w:color="auto"/>
      </w:divBdr>
    </w:div>
    <w:div w:id="1153519705">
      <w:bodyDiv w:val="1"/>
      <w:marLeft w:val="0"/>
      <w:marRight w:val="0"/>
      <w:marTop w:val="0"/>
      <w:marBottom w:val="0"/>
      <w:divBdr>
        <w:top w:val="none" w:sz="0" w:space="0" w:color="auto"/>
        <w:left w:val="none" w:sz="0" w:space="0" w:color="auto"/>
        <w:bottom w:val="none" w:sz="0" w:space="0" w:color="auto"/>
        <w:right w:val="none" w:sz="0" w:space="0" w:color="auto"/>
      </w:divBdr>
    </w:div>
    <w:div w:id="1161850481">
      <w:bodyDiv w:val="1"/>
      <w:marLeft w:val="0"/>
      <w:marRight w:val="0"/>
      <w:marTop w:val="0"/>
      <w:marBottom w:val="0"/>
      <w:divBdr>
        <w:top w:val="none" w:sz="0" w:space="0" w:color="auto"/>
        <w:left w:val="none" w:sz="0" w:space="0" w:color="auto"/>
        <w:bottom w:val="none" w:sz="0" w:space="0" w:color="auto"/>
        <w:right w:val="none" w:sz="0" w:space="0" w:color="auto"/>
      </w:divBdr>
    </w:div>
    <w:div w:id="1298607866">
      <w:bodyDiv w:val="1"/>
      <w:marLeft w:val="0"/>
      <w:marRight w:val="0"/>
      <w:marTop w:val="0"/>
      <w:marBottom w:val="0"/>
      <w:divBdr>
        <w:top w:val="none" w:sz="0" w:space="0" w:color="auto"/>
        <w:left w:val="none" w:sz="0" w:space="0" w:color="auto"/>
        <w:bottom w:val="none" w:sz="0" w:space="0" w:color="auto"/>
        <w:right w:val="none" w:sz="0" w:space="0" w:color="auto"/>
      </w:divBdr>
    </w:div>
    <w:div w:id="1484395126">
      <w:bodyDiv w:val="1"/>
      <w:marLeft w:val="0"/>
      <w:marRight w:val="0"/>
      <w:marTop w:val="0"/>
      <w:marBottom w:val="0"/>
      <w:divBdr>
        <w:top w:val="none" w:sz="0" w:space="0" w:color="auto"/>
        <w:left w:val="none" w:sz="0" w:space="0" w:color="auto"/>
        <w:bottom w:val="none" w:sz="0" w:space="0" w:color="auto"/>
        <w:right w:val="none" w:sz="0" w:space="0" w:color="auto"/>
      </w:divBdr>
    </w:div>
    <w:div w:id="1593008124">
      <w:bodyDiv w:val="1"/>
      <w:marLeft w:val="0"/>
      <w:marRight w:val="0"/>
      <w:marTop w:val="0"/>
      <w:marBottom w:val="0"/>
      <w:divBdr>
        <w:top w:val="none" w:sz="0" w:space="0" w:color="auto"/>
        <w:left w:val="none" w:sz="0" w:space="0" w:color="auto"/>
        <w:bottom w:val="none" w:sz="0" w:space="0" w:color="auto"/>
        <w:right w:val="none" w:sz="0" w:space="0" w:color="auto"/>
      </w:divBdr>
    </w:div>
    <w:div w:id="1665357419">
      <w:bodyDiv w:val="1"/>
      <w:marLeft w:val="0"/>
      <w:marRight w:val="0"/>
      <w:marTop w:val="0"/>
      <w:marBottom w:val="0"/>
      <w:divBdr>
        <w:top w:val="none" w:sz="0" w:space="0" w:color="auto"/>
        <w:left w:val="none" w:sz="0" w:space="0" w:color="auto"/>
        <w:bottom w:val="none" w:sz="0" w:space="0" w:color="auto"/>
        <w:right w:val="none" w:sz="0" w:space="0" w:color="auto"/>
      </w:divBdr>
    </w:div>
    <w:div w:id="1798645703">
      <w:bodyDiv w:val="1"/>
      <w:marLeft w:val="0"/>
      <w:marRight w:val="0"/>
      <w:marTop w:val="0"/>
      <w:marBottom w:val="0"/>
      <w:divBdr>
        <w:top w:val="none" w:sz="0" w:space="0" w:color="auto"/>
        <w:left w:val="none" w:sz="0" w:space="0" w:color="auto"/>
        <w:bottom w:val="none" w:sz="0" w:space="0" w:color="auto"/>
        <w:right w:val="none" w:sz="0" w:space="0" w:color="auto"/>
      </w:divBdr>
    </w:div>
    <w:div w:id="18953130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boe.es/diario_boe/txt.php?id=BOE-A-2006-13012" TargetMode="External"/><Relationship Id="rId21" Type="http://schemas.openxmlformats.org/officeDocument/2006/relationships/image" Target="media/image3.png"/><Relationship Id="rId324" Type="http://schemas.openxmlformats.org/officeDocument/2006/relationships/hyperlink" Target="https://twitter.com/AntifrauCV" TargetMode="External"/><Relationship Id="rId531" Type="http://schemas.microsoft.com/office/2007/relationships/hdphoto" Target="media/hdphoto47.wdp"/><Relationship Id="rId170" Type="http://schemas.openxmlformats.org/officeDocument/2006/relationships/hyperlink" Target="https://www.boe.es/buscar/pdf/2016/BOE-A-2016-12048-consolidado.pdf" TargetMode="External"/><Relationship Id="rId268" Type="http://schemas.openxmlformats.org/officeDocument/2006/relationships/hyperlink" Target="https://www.dogv.gva.es/datos/2019/03/31/pdf/2019_3204.pdf" TargetMode="External"/><Relationship Id="rId475" Type="http://schemas.microsoft.com/office/2007/relationships/hdphoto" Target="media/hdphoto20.wdp"/><Relationship Id="rId32" Type="http://schemas.openxmlformats.org/officeDocument/2006/relationships/image" Target="media/image8.png"/><Relationship Id="rId128" Type="http://schemas.openxmlformats.org/officeDocument/2006/relationships/hyperlink" Target="https://boe.es/buscar/pdf/2018/BOE-A-2018-7644-consolidado.pdf" TargetMode="External"/><Relationship Id="rId335" Type="http://schemas.openxmlformats.org/officeDocument/2006/relationships/hyperlink" Target="http://bit.ly/2HcHDnC" TargetMode="External"/><Relationship Id="rId542" Type="http://schemas.openxmlformats.org/officeDocument/2006/relationships/image" Target="media/image77.png"/><Relationship Id="rId181" Type="http://schemas.openxmlformats.org/officeDocument/2006/relationships/hyperlink" Target="https://www.boe.es/buscar/pdf/1978/BOE-A-1978-31229-consolidado.pdf" TargetMode="External"/><Relationship Id="rId402" Type="http://schemas.openxmlformats.org/officeDocument/2006/relationships/header" Target="header4.xml"/><Relationship Id="rId279" Type="http://schemas.openxmlformats.org/officeDocument/2006/relationships/hyperlink" Target="http://www.dogv.gva.es/datos/2019/08/30/pdf/2019_8299.pdf" TargetMode="External"/><Relationship Id="rId486" Type="http://schemas.openxmlformats.org/officeDocument/2006/relationships/image" Target="media/image50.png"/><Relationship Id="rId43" Type="http://schemas.openxmlformats.org/officeDocument/2006/relationships/hyperlink" Target="https://www.antifraucv.es/wp-content/uploads/2019/06/Memoria-2018_CAS_AVA.pdf" TargetMode="External"/><Relationship Id="rId139" Type="http://schemas.openxmlformats.org/officeDocument/2006/relationships/hyperlink" Target="https://www.jcyl.es/junta/cp/20200210-anteproyecto-agencia-lucha-fraude.pdf" TargetMode="External"/><Relationship Id="rId346" Type="http://schemas.openxmlformats.org/officeDocument/2006/relationships/hyperlink" Target="https://youtu.be/0n9XHPdigNs" TargetMode="External"/><Relationship Id="rId553" Type="http://schemas.microsoft.com/office/2007/relationships/hdphoto" Target="media/hdphoto58.wdp"/><Relationship Id="rId192" Type="http://schemas.openxmlformats.org/officeDocument/2006/relationships/hyperlink" Target="https://www.boe.es/buscar/pdf/2016/BOE-A-2016-12048-consolidado.pdf" TargetMode="External"/><Relationship Id="rId206" Type="http://schemas.openxmlformats.org/officeDocument/2006/relationships/hyperlink" Target="https://www.boe.es/buscar/pdf/2016/BOE-A-2016-12048-consolidado.pdf" TargetMode="External"/><Relationship Id="rId413" Type="http://schemas.openxmlformats.org/officeDocument/2006/relationships/chart" Target="charts/chart35.xml"/><Relationship Id="rId497" Type="http://schemas.microsoft.com/office/2007/relationships/hdphoto" Target="media/hdphoto31.wdp"/><Relationship Id="rId357" Type="http://schemas.openxmlformats.org/officeDocument/2006/relationships/hyperlink" Target="http://www.dogv.gva.es/datos/2019/02/27/pdf/2019_1473.pdf" TargetMode="External"/><Relationship Id="rId54" Type="http://schemas.openxmlformats.org/officeDocument/2006/relationships/image" Target="media/image10.png"/><Relationship Id="rId217" Type="http://schemas.openxmlformats.org/officeDocument/2006/relationships/hyperlink" Target="https://www.boe.es/buscar/pdf/2016/BOE-A-2016-12048-consolidado.pdf" TargetMode="External"/><Relationship Id="rId564" Type="http://schemas.openxmlformats.org/officeDocument/2006/relationships/image" Target="media/image88.png"/><Relationship Id="rId424" Type="http://schemas.openxmlformats.org/officeDocument/2006/relationships/header" Target="header7.xml"/><Relationship Id="rId270" Type="http://schemas.openxmlformats.org/officeDocument/2006/relationships/hyperlink" Target="https://www.antifraucv.es/wp-content/uploads/2020/03/2019_07_04_Informe-juridico-provision-puestos-Agencia.pdf" TargetMode="External"/><Relationship Id="rId65" Type="http://schemas.openxmlformats.org/officeDocument/2006/relationships/hyperlink" Target="http://www.dogv.gva.es/datos/2018/05/23/pdf/2018_4529.pdf" TargetMode="External"/><Relationship Id="rId130" Type="http://schemas.openxmlformats.org/officeDocument/2006/relationships/hyperlink" Target="https://boe.es/buscar/pdf/1985/BOE-A-1985-18554-consolidado.pdf" TargetMode="External"/><Relationship Id="rId368" Type="http://schemas.openxmlformats.org/officeDocument/2006/relationships/hyperlink" Target="https://www.cortsvalencianes.es/es/consulta_boc" TargetMode="External"/><Relationship Id="rId575" Type="http://schemas.microsoft.com/office/2007/relationships/hdphoto" Target="media/hdphoto69.wdp"/><Relationship Id="rId228" Type="http://schemas.openxmlformats.org/officeDocument/2006/relationships/hyperlink" Target="http://www.poderjudicial.es/search/AN/openDocument/918f524ddc263ceb/20190521" TargetMode="External"/><Relationship Id="rId435" Type="http://schemas.openxmlformats.org/officeDocument/2006/relationships/hyperlink" Target="https://www.antifraucv.es/wp-content/uploads/2019/02/ACUERDO-CORTS.-PCFP.pdf" TargetMode="External"/><Relationship Id="rId281" Type="http://schemas.openxmlformats.org/officeDocument/2006/relationships/hyperlink" Target="https://www.boe.es/buscar/pdf/2016/BOE-A-2016-12048-consolidado.pdf" TargetMode="External"/><Relationship Id="rId502" Type="http://schemas.openxmlformats.org/officeDocument/2006/relationships/image" Target="media/image58.png"/><Relationship Id="rId76" Type="http://schemas.openxmlformats.org/officeDocument/2006/relationships/hyperlink" Target="https://www.antifraucv.es/" TargetMode="External"/><Relationship Id="rId141" Type="http://schemas.openxmlformats.org/officeDocument/2006/relationships/hyperlink" Target="https://www.boe.es/buscar/pdf/2016/BOE-A-2016-12048-consolidado.pdf" TargetMode="External"/><Relationship Id="rId379" Type="http://schemas.openxmlformats.org/officeDocument/2006/relationships/hyperlink" Target="http://www.dogv.gva.es/datos/2019/10/28/pdf/2019_10039.pdf" TargetMode="External"/><Relationship Id="rId586" Type="http://schemas.openxmlformats.org/officeDocument/2006/relationships/image" Target="media/image99.png"/><Relationship Id="rId7" Type="http://schemas.openxmlformats.org/officeDocument/2006/relationships/header" Target="header1.xml"/><Relationship Id="rId239" Type="http://schemas.openxmlformats.org/officeDocument/2006/relationships/chart" Target="charts/chart16.xml"/><Relationship Id="rId446" Type="http://schemas.openxmlformats.org/officeDocument/2006/relationships/image" Target="media/image30.png"/><Relationship Id="rId292" Type="http://schemas.openxmlformats.org/officeDocument/2006/relationships/image" Target="media/image17.jpeg"/><Relationship Id="rId306" Type="http://schemas.openxmlformats.org/officeDocument/2006/relationships/hyperlink" Target="https://www.boe.es/doue/2019/305/L00017-00056.pdf" TargetMode="External"/><Relationship Id="rId45" Type="http://schemas.openxmlformats.org/officeDocument/2006/relationships/hyperlink" Target="http://www.dogv.gva.es/datos/2018/05/23/pdf/2018_4529.pdf" TargetMode="External"/><Relationship Id="rId87" Type="http://schemas.openxmlformats.org/officeDocument/2006/relationships/chart" Target="charts/chart7.xml"/><Relationship Id="rId110" Type="http://schemas.openxmlformats.org/officeDocument/2006/relationships/hyperlink" Target="https://www.boe.es/buscar/pdf/2016/BOE-A-2016-12048-consolidado.pdf" TargetMode="External"/><Relationship Id="rId348" Type="http://schemas.openxmlformats.org/officeDocument/2006/relationships/hyperlink" Target="https://www.cortsvalencianes.es/es/consulta_boc" TargetMode="External"/><Relationship Id="rId513" Type="http://schemas.microsoft.com/office/2007/relationships/hdphoto" Target="media/hdphoto38.wdp"/><Relationship Id="rId555" Type="http://schemas.microsoft.com/office/2007/relationships/hdphoto" Target="media/hdphoto59.wdp"/><Relationship Id="rId152" Type="http://schemas.openxmlformats.org/officeDocument/2006/relationships/hyperlink" Target="https://www.boe.es/buscar/pdf/2016/BOE-A-2016-12048-consolidado.pdf" TargetMode="External"/><Relationship Id="rId194" Type="http://schemas.openxmlformats.org/officeDocument/2006/relationships/hyperlink" Target="https://www.boe.es/doue/2019/305/L00017-00056.pdf" TargetMode="External"/><Relationship Id="rId208" Type="http://schemas.openxmlformats.org/officeDocument/2006/relationships/hyperlink" Target="http://www.poderjudicial.es/search/AN/openDocument/1ef1d8f6e2465047/20190211" TargetMode="External"/><Relationship Id="rId415" Type="http://schemas.openxmlformats.org/officeDocument/2006/relationships/chart" Target="charts/chart37.xml"/><Relationship Id="rId457" Type="http://schemas.microsoft.com/office/2007/relationships/hdphoto" Target="media/hdphoto11.wdp"/><Relationship Id="rId261" Type="http://schemas.openxmlformats.org/officeDocument/2006/relationships/hyperlink" Target="https://www.boe.es/doue/2019/305/L00017-00056.pdf" TargetMode="External"/><Relationship Id="rId499" Type="http://schemas.microsoft.com/office/2007/relationships/hdphoto" Target="media/hdphoto32.wdp"/><Relationship Id="rId14" Type="http://schemas.openxmlformats.org/officeDocument/2006/relationships/hyperlink" Target="http://www.antifraucv.es/" TargetMode="External"/><Relationship Id="rId56" Type="http://schemas.openxmlformats.org/officeDocument/2006/relationships/image" Target="media/image12.png"/><Relationship Id="rId317" Type="http://schemas.openxmlformats.org/officeDocument/2006/relationships/hyperlink" Target="https://www.consejodetransparencia.es/ct_Home/comunicacion/actualidadynoticias/hemeroteca/2019/Segundosemestre/20191917.html" TargetMode="External"/><Relationship Id="rId359" Type="http://schemas.openxmlformats.org/officeDocument/2006/relationships/hyperlink" Target="http://www.dogv.gva.es/datos/2019/04/15/pdf/2019_3774.pdf" TargetMode="External"/><Relationship Id="rId524" Type="http://schemas.openxmlformats.org/officeDocument/2006/relationships/image" Target="media/image68.png"/><Relationship Id="rId566" Type="http://schemas.openxmlformats.org/officeDocument/2006/relationships/image" Target="media/image89.png"/><Relationship Id="rId98" Type="http://schemas.openxmlformats.org/officeDocument/2006/relationships/hyperlink" Target="https://www.boe.es/buscar/pdf/2016/BOE-A-2016-12048-consolidado.pdf" TargetMode="External"/><Relationship Id="rId121" Type="http://schemas.openxmlformats.org/officeDocument/2006/relationships/hyperlink" Target="http://www.congreso.es/public_oficiales/L14/CONG/BOCG/B/BOCG-14-B-27-1.PDF" TargetMode="External"/><Relationship Id="rId163" Type="http://schemas.openxmlformats.org/officeDocument/2006/relationships/hyperlink" Target="http://www.dogv.gva.es/datos/2019/02/25/pdf/2019_1801.pdf" TargetMode="External"/><Relationship Id="rId219" Type="http://schemas.openxmlformats.org/officeDocument/2006/relationships/hyperlink" Target="https://www.boe.es/doue/2019/305/L00017-00056.pdf" TargetMode="External"/><Relationship Id="rId370" Type="http://schemas.openxmlformats.org/officeDocument/2006/relationships/hyperlink" Target="http://www.dogv.gva.es/datos/2019/08/01/pdf/2019_7378.pdf" TargetMode="External"/><Relationship Id="rId426" Type="http://schemas.openxmlformats.org/officeDocument/2006/relationships/hyperlink" Target="https://www.antifraucv.es/es/portal-transparencia/gestio-economica/" TargetMode="External"/><Relationship Id="rId230" Type="http://schemas.openxmlformats.org/officeDocument/2006/relationships/hyperlink" Target="https://www.boe.es/buscar/pdf/2016/BOE-A-2016-12048-consolidado.pdf" TargetMode="External"/><Relationship Id="rId468" Type="http://schemas.openxmlformats.org/officeDocument/2006/relationships/image" Target="media/image41.png"/><Relationship Id="rId25" Type="http://schemas.openxmlformats.org/officeDocument/2006/relationships/footer" Target="footer3.xml"/><Relationship Id="rId67" Type="http://schemas.openxmlformats.org/officeDocument/2006/relationships/hyperlink" Target="https://www.boe.es/buscar/pdf/2016/BOE-A-2016-12048-consolidado.pdf" TargetMode="External"/><Relationship Id="rId272" Type="http://schemas.openxmlformats.org/officeDocument/2006/relationships/hyperlink" Target="https://www.antifraucv.es/wp-content/uploads/2019/06/3_Informe-juridico-valoracion-dictamen-CJC_2019_05_28.pdf" TargetMode="External"/><Relationship Id="rId328" Type="http://schemas.openxmlformats.org/officeDocument/2006/relationships/hyperlink" Target="https://vimeo.com/349462132" TargetMode="External"/><Relationship Id="rId535" Type="http://schemas.microsoft.com/office/2007/relationships/hdphoto" Target="media/hdphoto49.wdp"/><Relationship Id="rId577" Type="http://schemas.microsoft.com/office/2007/relationships/hdphoto" Target="media/hdphoto70.wdp"/><Relationship Id="rId132" Type="http://schemas.openxmlformats.org/officeDocument/2006/relationships/hyperlink" Target="http://www.bocm.es/boletin/CM_Orden_BOCM/2017/01/13/BOCM-20170113-18.PDF" TargetMode="External"/><Relationship Id="rId174" Type="http://schemas.openxmlformats.org/officeDocument/2006/relationships/hyperlink" Target="https://www.boe.es/buscar/pdf/2016/BOE-A-2016-12048-consolidado.pdf" TargetMode="External"/><Relationship Id="rId381" Type="http://schemas.openxmlformats.org/officeDocument/2006/relationships/hyperlink" Target="https://www.cortsvalencianes.es/es/consulta_boc" TargetMode="External"/><Relationship Id="rId241" Type="http://schemas.openxmlformats.org/officeDocument/2006/relationships/chart" Target="charts/chart18.xml"/><Relationship Id="rId437" Type="http://schemas.microsoft.com/office/2007/relationships/hdphoto" Target="media/hdphoto1.wdp"/><Relationship Id="rId479" Type="http://schemas.microsoft.com/office/2007/relationships/hdphoto" Target="media/hdphoto22.wdp"/><Relationship Id="rId36" Type="http://schemas.openxmlformats.org/officeDocument/2006/relationships/chart" Target="charts/chart1.xml"/><Relationship Id="rId283" Type="http://schemas.openxmlformats.org/officeDocument/2006/relationships/hyperlink" Target="https://www.corrupcionorganismonocivo.com/" TargetMode="External"/><Relationship Id="rId339" Type="http://schemas.openxmlformats.org/officeDocument/2006/relationships/hyperlink" Target="https://www.antifraucv.es/wp-content/uploads/2018/05/M17_CAS_WEB_CORREGIDA-CORTS.pdf" TargetMode="External"/><Relationship Id="rId490" Type="http://schemas.openxmlformats.org/officeDocument/2006/relationships/image" Target="media/image52.png"/><Relationship Id="rId504" Type="http://schemas.openxmlformats.org/officeDocument/2006/relationships/image" Target="media/image59.png"/><Relationship Id="rId546" Type="http://schemas.openxmlformats.org/officeDocument/2006/relationships/image" Target="media/image79.png"/><Relationship Id="rId78" Type="http://schemas.openxmlformats.org/officeDocument/2006/relationships/chart" Target="charts/chart3.xml"/><Relationship Id="rId101" Type="http://schemas.openxmlformats.org/officeDocument/2006/relationships/hyperlink" Target="https://www.boe.es/buscar/pdf/2016/BOE-A-2016-12048-consolidado.pdf" TargetMode="External"/><Relationship Id="rId143" Type="http://schemas.openxmlformats.org/officeDocument/2006/relationships/hyperlink" Target="https://www.boe.es/buscar/pdf/2016/BOE-A-2016-12048-consolidado.pdf" TargetMode="External"/><Relationship Id="rId185" Type="http://schemas.openxmlformats.org/officeDocument/2006/relationships/hyperlink" Target="http://www.dogv.gva.es/auto/dogv/docvpub/rlgv/2019/RAF_20190627_ca_RAF_20190716.pdf" TargetMode="External"/><Relationship Id="rId350" Type="http://schemas.openxmlformats.org/officeDocument/2006/relationships/hyperlink" Target="http://www.dogv.gva.es/datos/2019/01/11/pdf/2018_12230.pdf" TargetMode="External"/><Relationship Id="rId406" Type="http://schemas.openxmlformats.org/officeDocument/2006/relationships/hyperlink" Target="http://www.dogv.gva.es/datos/2019/08/30/pdf/2019_8299.pdf" TargetMode="External"/><Relationship Id="rId588" Type="http://schemas.openxmlformats.org/officeDocument/2006/relationships/image" Target="media/image100.png"/><Relationship Id="rId9" Type="http://schemas.openxmlformats.org/officeDocument/2006/relationships/footer" Target="footer1.xml"/><Relationship Id="rId210" Type="http://schemas.openxmlformats.org/officeDocument/2006/relationships/hyperlink" Target="https://hj.tribunalconstitucional.es/docs/BOE/BOE-A-2019-11909.pdf" TargetMode="External"/><Relationship Id="rId392" Type="http://schemas.openxmlformats.org/officeDocument/2006/relationships/hyperlink" Target="https://www.cortsvalencianes.es/es/consulta_boc" TargetMode="External"/><Relationship Id="rId448" Type="http://schemas.openxmlformats.org/officeDocument/2006/relationships/image" Target="media/image31.png"/><Relationship Id="rId252" Type="http://schemas.openxmlformats.org/officeDocument/2006/relationships/chart" Target="charts/chart28.xml"/><Relationship Id="rId294" Type="http://schemas.openxmlformats.org/officeDocument/2006/relationships/hyperlink" Target="https://boe.es/buscar/pdf/2003/BOE-A-2003-20977-consolidado.pdf" TargetMode="External"/><Relationship Id="rId308" Type="http://schemas.openxmlformats.org/officeDocument/2006/relationships/hyperlink" Target="https://alertadores.funcionpublica.gob.mx/" TargetMode="External"/><Relationship Id="rId515" Type="http://schemas.microsoft.com/office/2007/relationships/hdphoto" Target="media/hdphoto39.wdp"/><Relationship Id="rId47" Type="http://schemas.openxmlformats.org/officeDocument/2006/relationships/hyperlink" Target="https://www.antifraucv.es/wp-content/uploads/2019/06/Memoria-2018_CAS_AVA.pdf" TargetMode="External"/><Relationship Id="rId89" Type="http://schemas.openxmlformats.org/officeDocument/2006/relationships/hyperlink" Target="https://www.boe.es/buscar/pdf/2016/BOE-A-2016-12048-consolidado.pdf" TargetMode="External"/><Relationship Id="rId112" Type="http://schemas.openxmlformats.org/officeDocument/2006/relationships/hyperlink" Target="https://www.boe.es/buscar/pdf/2016/BOE-A-2016-12048-consolidado.pdf" TargetMode="External"/><Relationship Id="rId154" Type="http://schemas.openxmlformats.org/officeDocument/2006/relationships/hyperlink" Target="https://www.gazzettaufficiale.it/eli/gu/2012/11/13/265/sg/pdf" TargetMode="External"/><Relationship Id="rId361" Type="http://schemas.openxmlformats.org/officeDocument/2006/relationships/hyperlink" Target="http://www.dogv.gva.es/datos/2019/06/07/pdf/2019_5817.pdf" TargetMode="External"/><Relationship Id="rId557" Type="http://schemas.microsoft.com/office/2007/relationships/hdphoto" Target="media/hdphoto60.wdp"/><Relationship Id="rId196" Type="http://schemas.openxmlformats.org/officeDocument/2006/relationships/hyperlink" Target="https://www.legifrance.gouv.fr/eli/loi/2016/12/9/2016-1691/jo/texte" TargetMode="External"/><Relationship Id="rId417" Type="http://schemas.openxmlformats.org/officeDocument/2006/relationships/hyperlink" Target="https://www.boe.es/buscar/pdf/2016/BOE-A-2016-12048-consolidado.pdf" TargetMode="External"/><Relationship Id="rId459" Type="http://schemas.microsoft.com/office/2007/relationships/hdphoto" Target="media/hdphoto12.wdp"/><Relationship Id="rId16" Type="http://schemas.openxmlformats.org/officeDocument/2006/relationships/hyperlink" Target="http://www.antifraucv.es/" TargetMode="External"/><Relationship Id="rId221" Type="http://schemas.openxmlformats.org/officeDocument/2006/relationships/hyperlink" Target="http://www.dogv.gva.es/auto/dogv/docvpub/rlgv/2019/RAF_20190627_ca_RAF_20190716.pdf" TargetMode="External"/><Relationship Id="rId263" Type="http://schemas.openxmlformats.org/officeDocument/2006/relationships/hyperlink" Target="https://www.boe.es/buscar/pdf/2018/BOE-A-2018-7644-consolidado.pdf" TargetMode="External"/><Relationship Id="rId319" Type="http://schemas.openxmlformats.org/officeDocument/2006/relationships/hyperlink" Target="https://www.antifraucv.es/wp-content/uploads/2019/11/191128_jornadas_anticorrupci&#243;n.pdf" TargetMode="External"/><Relationship Id="rId470" Type="http://schemas.openxmlformats.org/officeDocument/2006/relationships/image" Target="media/image42.png"/><Relationship Id="rId526" Type="http://schemas.openxmlformats.org/officeDocument/2006/relationships/image" Target="media/image69.png"/><Relationship Id="rId58" Type="http://schemas.openxmlformats.org/officeDocument/2006/relationships/hyperlink" Target="http://www.dogv.gva.es/auto/dogv/docvpub/rlgv/2019/RAF_20190627_ca_RAF_20190716.pdf" TargetMode="External"/><Relationship Id="rId123" Type="http://schemas.openxmlformats.org/officeDocument/2006/relationships/hyperlink" Target="http://www.congreso.es/public_oficiales/L14/CONG/BOCG/B/BOCG-14-B-56-1.PDF" TargetMode="External"/><Relationship Id="rId330" Type="http://schemas.openxmlformats.org/officeDocument/2006/relationships/hyperlink" Target="http://bit.ly/2OM1lKX" TargetMode="External"/><Relationship Id="rId568" Type="http://schemas.openxmlformats.org/officeDocument/2006/relationships/image" Target="media/image90.png"/><Relationship Id="rId165" Type="http://schemas.openxmlformats.org/officeDocument/2006/relationships/hyperlink" Target="https://www.boe.es/buscar/pdf/2016/BOE-A-2016-12048-consolidado.pdf" TargetMode="External"/><Relationship Id="rId372" Type="http://schemas.openxmlformats.org/officeDocument/2006/relationships/hyperlink" Target="https://www.cortsvalencianes.es/es/consulta_boc" TargetMode="External"/><Relationship Id="rId428" Type="http://schemas.openxmlformats.org/officeDocument/2006/relationships/hyperlink" Target="http://www.dogv.gva.es/auto/dogv/docvpub/rlgv/1990/D_1990_204_ca_L_2015_10.pdf" TargetMode="External"/><Relationship Id="rId232" Type="http://schemas.openxmlformats.org/officeDocument/2006/relationships/chart" Target="charts/chart9.xml"/><Relationship Id="rId274" Type="http://schemas.openxmlformats.org/officeDocument/2006/relationships/hyperlink" Target="https://www.boe.es/buscar/pdf/2016/BOE-A-2016-12048-consolidado.pdf" TargetMode="External"/><Relationship Id="rId481" Type="http://schemas.microsoft.com/office/2007/relationships/hdphoto" Target="media/hdphoto23.wdp"/><Relationship Id="rId27" Type="http://schemas.openxmlformats.org/officeDocument/2006/relationships/image" Target="media/image6.png"/><Relationship Id="rId69" Type="http://schemas.openxmlformats.org/officeDocument/2006/relationships/chart" Target="charts/chart2.xml"/><Relationship Id="rId134" Type="http://schemas.openxmlformats.org/officeDocument/2006/relationships/hyperlink" Target="https://www.juntadeandalucia.es/servicios/participacion/normativa/consulta-previa/detalle/169299.html" TargetMode="External"/><Relationship Id="rId537" Type="http://schemas.microsoft.com/office/2007/relationships/hdphoto" Target="media/hdphoto50.wdp"/><Relationship Id="rId579" Type="http://schemas.microsoft.com/office/2007/relationships/hdphoto" Target="media/hdphoto71.wdp"/><Relationship Id="rId80" Type="http://schemas.openxmlformats.org/officeDocument/2006/relationships/hyperlink" Target="http://www.dogv.gva.es/datos/2018/05/23/pdf/2018_4529.pdf" TargetMode="External"/><Relationship Id="rId176" Type="http://schemas.openxmlformats.org/officeDocument/2006/relationships/hyperlink" Target="https://www.antifraucv.es/wp-content/uploads/2020/03/Acuerdo_negociacion_sindical.pdf" TargetMode="External"/><Relationship Id="rId341" Type="http://schemas.openxmlformats.org/officeDocument/2006/relationships/hyperlink" Target="https://www.boe.es/buscar/pdf/2016/BOE-A-2016-12048-consolidado.pdf" TargetMode="External"/><Relationship Id="rId383" Type="http://schemas.openxmlformats.org/officeDocument/2006/relationships/hyperlink" Target="https://www.cortsvalencianes.es/es/consulta_boc" TargetMode="External"/><Relationship Id="rId439" Type="http://schemas.microsoft.com/office/2007/relationships/hdphoto" Target="media/hdphoto2.wdp"/><Relationship Id="rId590" Type="http://schemas.openxmlformats.org/officeDocument/2006/relationships/image" Target="media/image101.png"/><Relationship Id="rId201" Type="http://schemas.openxmlformats.org/officeDocument/2006/relationships/hyperlink" Target="https://www.boe.es/doue/2019/305/L00017-00056.pdf" TargetMode="External"/><Relationship Id="rId243" Type="http://schemas.openxmlformats.org/officeDocument/2006/relationships/chart" Target="charts/chart20.xml"/><Relationship Id="rId285" Type="http://schemas.openxmlformats.org/officeDocument/2006/relationships/hyperlink" Target="https://www.antifraucv.es/es-constitueix-el-consell-de-participacio-de-lagencia-de-prevencio-i-lluita-contra-el-frau-i-la-corrupcio-de-la-comunitat-valenciana/" TargetMode="External"/><Relationship Id="rId450" Type="http://schemas.openxmlformats.org/officeDocument/2006/relationships/image" Target="media/image32.png"/><Relationship Id="rId506" Type="http://schemas.openxmlformats.org/officeDocument/2006/relationships/image" Target="media/image60.png"/><Relationship Id="rId38" Type="http://schemas.openxmlformats.org/officeDocument/2006/relationships/hyperlink" Target="http://www.dogv.gva.es/auto/dogv/docvpub/rlgv/2019/RAF_20190627_ca_RAF_20190716.pdf" TargetMode="External"/><Relationship Id="rId103" Type="http://schemas.openxmlformats.org/officeDocument/2006/relationships/hyperlink" Target="https://www.boe.es/buscar/pdf/2016/BOE-A-2016-12048-consolidado.pdf" TargetMode="External"/><Relationship Id="rId310" Type="http://schemas.openxmlformats.org/officeDocument/2006/relationships/hyperlink" Target="https://www.lineex.es/es/ii-jornadas-sobre-delitos-economicos-y-blanqueo-de-capitales/" TargetMode="External"/><Relationship Id="rId492" Type="http://schemas.openxmlformats.org/officeDocument/2006/relationships/image" Target="media/image53.png"/><Relationship Id="rId548" Type="http://schemas.openxmlformats.org/officeDocument/2006/relationships/image" Target="media/image80.png"/><Relationship Id="rId91" Type="http://schemas.openxmlformats.org/officeDocument/2006/relationships/chart" Target="charts/chart8.xml"/><Relationship Id="rId145" Type="http://schemas.openxmlformats.org/officeDocument/2006/relationships/hyperlink" Target="https://www.boe.es/buscar/pdf/2017/BOE-A-2017-12902-consolidado.pdf" TargetMode="External"/><Relationship Id="rId187" Type="http://schemas.openxmlformats.org/officeDocument/2006/relationships/hyperlink" Target="https://www.antifraucv.es/wp-content/uploads/2018/10/InformerResultadosConsultaPublicaCS.pdf" TargetMode="External"/><Relationship Id="rId352" Type="http://schemas.openxmlformats.org/officeDocument/2006/relationships/hyperlink" Target="http://www.dogv.gva.es/datos/2019/02/01/pdf/2019_946.pdf" TargetMode="External"/><Relationship Id="rId394" Type="http://schemas.openxmlformats.org/officeDocument/2006/relationships/hyperlink" Target="http://www.dogv.gva.es/datos/2019/11/29/pdf/2019_11276.pdf" TargetMode="External"/><Relationship Id="rId408" Type="http://schemas.openxmlformats.org/officeDocument/2006/relationships/chart" Target="charts/chart33.xml"/><Relationship Id="rId212" Type="http://schemas.openxmlformats.org/officeDocument/2006/relationships/hyperlink" Target="https://www.boe.es/doue/2019/305/L00017-00056.pdf" TargetMode="External"/><Relationship Id="rId254" Type="http://schemas.openxmlformats.org/officeDocument/2006/relationships/chart" Target="charts/chart30.xml"/><Relationship Id="rId49" Type="http://schemas.openxmlformats.org/officeDocument/2006/relationships/diagramLayout" Target="diagrams/layout1.xml"/><Relationship Id="rId114" Type="http://schemas.openxmlformats.org/officeDocument/2006/relationships/hyperlink" Target="http://www.dogv.gva.es/datos/2019/10/28/pdf/2019_10039.pdf" TargetMode="External"/><Relationship Id="rId296" Type="http://schemas.openxmlformats.org/officeDocument/2006/relationships/hyperlink" Target="https://www.antifraucv.es/wp-content/uploads/2019/08/Publicaci&#243;n-BOCV31-07-2019.pdf" TargetMode="External"/><Relationship Id="rId461" Type="http://schemas.microsoft.com/office/2007/relationships/hdphoto" Target="media/hdphoto13.wdp"/><Relationship Id="rId517" Type="http://schemas.microsoft.com/office/2007/relationships/hdphoto" Target="media/hdphoto40.wdp"/><Relationship Id="rId559" Type="http://schemas.microsoft.com/office/2007/relationships/hdphoto" Target="media/hdphoto61.wdp"/><Relationship Id="rId60" Type="http://schemas.openxmlformats.org/officeDocument/2006/relationships/hyperlink" Target="https://www.boe.es/buscar/pdf/2016/BOE-A-2016-12048-consolidado.pdf" TargetMode="External"/><Relationship Id="rId156" Type="http://schemas.openxmlformats.org/officeDocument/2006/relationships/hyperlink" Target="https://www.boe.es/buscar/pdf/2016/BOE-A-2016-12048-consolidado.pdf" TargetMode="External"/><Relationship Id="rId198" Type="http://schemas.openxmlformats.org/officeDocument/2006/relationships/hyperlink" Target="https://www.boe.es/doue/2019/305/L00017-00056.pdf" TargetMode="External"/><Relationship Id="rId321" Type="http://schemas.openxmlformats.org/officeDocument/2006/relationships/hyperlink" Target="http://www.dogv.gva.es/datos/2018/05/23/pdf/2018_4529.pdf" TargetMode="External"/><Relationship Id="rId363" Type="http://schemas.openxmlformats.org/officeDocument/2006/relationships/hyperlink" Target="http://www.dogv.gva.es/datos/2019/07/02/pdf/2019_6610.pdf" TargetMode="External"/><Relationship Id="rId419" Type="http://schemas.openxmlformats.org/officeDocument/2006/relationships/hyperlink" Target="http://www.dogv.gva.es/auto/dogv/docvpub/rlgv/1990/D_1990_204_ca_L_2015_10.pdf" TargetMode="External"/><Relationship Id="rId570" Type="http://schemas.openxmlformats.org/officeDocument/2006/relationships/image" Target="media/image91.png"/><Relationship Id="rId223" Type="http://schemas.openxmlformats.org/officeDocument/2006/relationships/hyperlink" Target="http://www.poderjudicial.es/search/AN/openDocument/bb6e70ddd1871bda/20191211" TargetMode="External"/><Relationship Id="rId430" Type="http://schemas.openxmlformats.org/officeDocument/2006/relationships/hyperlink" Target="https://www.boe.es/buscar/pdf/2017/BOE-A-2017-12902-consolidado.pdf" TargetMode="External"/><Relationship Id="rId18" Type="http://schemas.openxmlformats.org/officeDocument/2006/relationships/hyperlink" Target="https://antifraucv.es/" TargetMode="External"/><Relationship Id="rId265" Type="http://schemas.openxmlformats.org/officeDocument/2006/relationships/hyperlink" Target="http://www.dogv.gva.es/auto/dogv/docvpub/rlgv/2019/RAF_20190627_ca_RAF_20190716.pdf" TargetMode="External"/><Relationship Id="rId472" Type="http://schemas.openxmlformats.org/officeDocument/2006/relationships/image" Target="media/image43.png"/><Relationship Id="rId528" Type="http://schemas.openxmlformats.org/officeDocument/2006/relationships/image" Target="media/image70.png"/><Relationship Id="rId125" Type="http://schemas.openxmlformats.org/officeDocument/2006/relationships/hyperlink" Target="https://www.boe.es/buscar/pdf/2016/BOE-A-2016-12048-consolidado.pdf" TargetMode="External"/><Relationship Id="rId167" Type="http://schemas.openxmlformats.org/officeDocument/2006/relationships/hyperlink" Target="http://www.dogv.gva.es/datos/2018/12/28/pdf/2018_12241.pdf" TargetMode="External"/><Relationship Id="rId332" Type="http://schemas.openxmlformats.org/officeDocument/2006/relationships/hyperlink" Target="http://bit.ly/2UEItRW" TargetMode="External"/><Relationship Id="rId374" Type="http://schemas.openxmlformats.org/officeDocument/2006/relationships/hyperlink" Target="https://www.cortsvalencianes.es/es/consulta_boc" TargetMode="External"/><Relationship Id="rId581" Type="http://schemas.microsoft.com/office/2007/relationships/hdphoto" Target="media/hdphoto72.wdp"/><Relationship Id="rId71" Type="http://schemas.openxmlformats.org/officeDocument/2006/relationships/hyperlink" Target="http://www.dogv.gva.es/auto/dogv/docvpub/rlgv/2019/RAF_20190627_ca_RAF_20190716.pdf" TargetMode="External"/><Relationship Id="rId234" Type="http://schemas.openxmlformats.org/officeDocument/2006/relationships/chart" Target="charts/chart11.xml"/><Relationship Id="rId2" Type="http://schemas.openxmlformats.org/officeDocument/2006/relationships/styles" Target="styles.xml"/><Relationship Id="rId29" Type="http://schemas.openxmlformats.org/officeDocument/2006/relationships/hyperlink" Target="http://www.dogv.gva.es/auto/dogv/docvpub/rlgv/2019/RAF_20190627_ca_RAF_20190716.pdf" TargetMode="External"/><Relationship Id="rId276" Type="http://schemas.openxmlformats.org/officeDocument/2006/relationships/hyperlink" Target="https://www.boe.es/boe/dias/2010/08/06/pdfs/BOE-A-2010-12629.pdf" TargetMode="External"/><Relationship Id="rId441" Type="http://schemas.microsoft.com/office/2007/relationships/hdphoto" Target="media/hdphoto3.wdp"/><Relationship Id="rId483" Type="http://schemas.microsoft.com/office/2007/relationships/hdphoto" Target="media/hdphoto24.wdp"/><Relationship Id="rId539" Type="http://schemas.microsoft.com/office/2007/relationships/hdphoto" Target="media/hdphoto51.wdp"/><Relationship Id="rId40" Type="http://schemas.openxmlformats.org/officeDocument/2006/relationships/hyperlink" Target="https://www.boe.es/buscar/pdf/2016/BOE-A-2016-11021-consolidado.pdf" TargetMode="External"/><Relationship Id="rId136" Type="http://schemas.openxmlformats.org/officeDocument/2006/relationships/hyperlink" Target="http://www.asambleamurcia.es/iniciativas/9lppl-0078" TargetMode="External"/><Relationship Id="rId178" Type="http://schemas.openxmlformats.org/officeDocument/2006/relationships/hyperlink" Target="https://www.antifraucv.es/wp-content/uploads/2019/05/Dictamen-CJC-266-Expte.-167-2019_firmado.pdf" TargetMode="External"/><Relationship Id="rId301" Type="http://schemas.openxmlformats.org/officeDocument/2006/relationships/hyperlink" Target="https://www.epac-eacn.org/latest-news/259-18th-epac-eacn-conference" TargetMode="External"/><Relationship Id="rId343" Type="http://schemas.openxmlformats.org/officeDocument/2006/relationships/hyperlink" Target="https://www.boe.es/buscar/pdf/2016/BOE-A-2016-12048-consolidado.pdf" TargetMode="External"/><Relationship Id="rId550" Type="http://schemas.openxmlformats.org/officeDocument/2006/relationships/image" Target="media/image81.png"/><Relationship Id="rId82" Type="http://schemas.openxmlformats.org/officeDocument/2006/relationships/chart" Target="charts/chart5.xml"/><Relationship Id="rId203" Type="http://schemas.openxmlformats.org/officeDocument/2006/relationships/hyperlink" Target="https://www.boe.es/buscar/pdf/2016/BOE-A-2016-12048-consolidado.pdf" TargetMode="External"/><Relationship Id="rId385" Type="http://schemas.openxmlformats.org/officeDocument/2006/relationships/hyperlink" Target="http://www.dogv.gva.es/datos/2019/10/30/pdf/2019_10047.pdf" TargetMode="External"/><Relationship Id="rId592" Type="http://schemas.openxmlformats.org/officeDocument/2006/relationships/theme" Target="theme/theme1.xml"/><Relationship Id="rId245" Type="http://schemas.openxmlformats.org/officeDocument/2006/relationships/chart" Target="charts/chart22.xml"/><Relationship Id="rId287" Type="http://schemas.openxmlformats.org/officeDocument/2006/relationships/image" Target="media/image14.jpeg"/><Relationship Id="rId410" Type="http://schemas.openxmlformats.org/officeDocument/2006/relationships/hyperlink" Target="https://www.boe.es/buscar/pdf/2010/BOE-A-2010-12629-consolidado.pdf" TargetMode="External"/><Relationship Id="rId452" Type="http://schemas.openxmlformats.org/officeDocument/2006/relationships/image" Target="media/image33.png"/><Relationship Id="rId494" Type="http://schemas.openxmlformats.org/officeDocument/2006/relationships/image" Target="media/image54.png"/><Relationship Id="rId508" Type="http://schemas.openxmlformats.org/officeDocument/2006/relationships/header" Target="header8.xml"/><Relationship Id="rId105" Type="http://schemas.openxmlformats.org/officeDocument/2006/relationships/hyperlink" Target="http://www.dogv.gva.es/datos/2019/10/28/pdf/2019_10039.pdf" TargetMode="External"/><Relationship Id="rId147" Type="http://schemas.openxmlformats.org/officeDocument/2006/relationships/hyperlink" Target="https://www.boe.es/buscar/pdf/2017/BOE-A-2017-12902-consolidado.pdf" TargetMode="External"/><Relationship Id="rId312" Type="http://schemas.openxmlformats.org/officeDocument/2006/relationships/hyperlink" Target="https://www.cnmc.es/espacio-compliance-el-denunciante-desamparado" TargetMode="External"/><Relationship Id="rId354" Type="http://schemas.openxmlformats.org/officeDocument/2006/relationships/hyperlink" Target="https://www.cortsvalencianes.es/es/consulta_boc" TargetMode="External"/><Relationship Id="rId51" Type="http://schemas.openxmlformats.org/officeDocument/2006/relationships/diagramColors" Target="diagrams/colors1.xml"/><Relationship Id="rId93" Type="http://schemas.openxmlformats.org/officeDocument/2006/relationships/hyperlink" Target="https://www.boe.es/buscar/pdf/2016/BOE-A-2016-12048-consolidado.pdf" TargetMode="External"/><Relationship Id="rId189" Type="http://schemas.openxmlformats.org/officeDocument/2006/relationships/hyperlink" Target="http://www.dogv.gva.es/auto/dogv/docvpub/rlgv/2019/RAF_20190627_ca_RAF_20190716.pdf" TargetMode="External"/><Relationship Id="rId396" Type="http://schemas.openxmlformats.org/officeDocument/2006/relationships/hyperlink" Target="https://www.cortsvalencianes.es/es/consulta_boc" TargetMode="External"/><Relationship Id="rId561" Type="http://schemas.microsoft.com/office/2007/relationships/hdphoto" Target="media/hdphoto62.wdp"/><Relationship Id="rId214" Type="http://schemas.openxmlformats.org/officeDocument/2006/relationships/hyperlink" Target="http://hj.tribunalconstitucional.es/docs/BOE/BOE-T-1981-29691.pdf" TargetMode="External"/><Relationship Id="rId256" Type="http://schemas.openxmlformats.org/officeDocument/2006/relationships/hyperlink" Target="https://www.boe.es/buscar/pdf/1978/BOE-A-1978-31229-consolidado.pdf" TargetMode="External"/><Relationship Id="rId298" Type="http://schemas.openxmlformats.org/officeDocument/2006/relationships/hyperlink" Target="https://www.cortsvalencianes.es/es/consulta_boc" TargetMode="External"/><Relationship Id="rId421" Type="http://schemas.openxmlformats.org/officeDocument/2006/relationships/footer" Target="footer4.xml"/><Relationship Id="rId463" Type="http://schemas.microsoft.com/office/2007/relationships/hdphoto" Target="media/hdphoto14.wdp"/><Relationship Id="rId519" Type="http://schemas.microsoft.com/office/2007/relationships/hdphoto" Target="media/hdphoto41.wdp"/><Relationship Id="rId116" Type="http://schemas.openxmlformats.org/officeDocument/2006/relationships/hyperlink" Target="https://boe.es/biblioteca_juridica/codigos/codigo.php?id=322&amp;modo=2&amp;nota=0&amp;tab=2" TargetMode="External"/><Relationship Id="rId158" Type="http://schemas.openxmlformats.org/officeDocument/2006/relationships/hyperlink" Target="https://www.boe.es/buscar/pdf/2016/BOE-A-2016-12048-consolidado.pdf" TargetMode="External"/><Relationship Id="rId323" Type="http://schemas.openxmlformats.org/officeDocument/2006/relationships/hyperlink" Target="https://www.youtube.com/channel/UCkDS5OEUZu3iTEWg7gu8XXQ" TargetMode="External"/><Relationship Id="rId530" Type="http://schemas.openxmlformats.org/officeDocument/2006/relationships/image" Target="media/image71.png"/><Relationship Id="rId20" Type="http://schemas.openxmlformats.org/officeDocument/2006/relationships/hyperlink" Target="https://www.antifraucv.es/es/denuncia/buzon-de-denuncias/" TargetMode="External"/><Relationship Id="rId62" Type="http://schemas.openxmlformats.org/officeDocument/2006/relationships/hyperlink" Target="http://www.dogv.gva.es/auto/dogv/docvpub/rlgv/2019/RAF_20190627_ca_RAF_20190716.pdf" TargetMode="External"/><Relationship Id="rId365" Type="http://schemas.openxmlformats.org/officeDocument/2006/relationships/hyperlink" Target="http://www.dogv.gva.es/datos/2019/07/02/pdf/2019_6610.pdf" TargetMode="External"/><Relationship Id="rId572" Type="http://schemas.openxmlformats.org/officeDocument/2006/relationships/image" Target="media/image92.png"/><Relationship Id="rId225" Type="http://schemas.openxmlformats.org/officeDocument/2006/relationships/hyperlink" Target="https://www.boe.es/doue/2019/305/L00017-00056.pdf" TargetMode="External"/><Relationship Id="rId267" Type="http://schemas.openxmlformats.org/officeDocument/2006/relationships/hyperlink" Target="https://www.boe.es/buscar/pdf/2016/BOE-A-2016-12048-consolidado.pdf" TargetMode="External"/><Relationship Id="rId432" Type="http://schemas.openxmlformats.org/officeDocument/2006/relationships/chart" Target="charts/chart39.xml"/><Relationship Id="rId474" Type="http://schemas.openxmlformats.org/officeDocument/2006/relationships/image" Target="media/image44.png"/><Relationship Id="rId127" Type="http://schemas.openxmlformats.org/officeDocument/2006/relationships/hyperlink" Target="https://boe.es/buscar/pdf/2017/BOE-A-2017-10292-consolidado.pdf" TargetMode="External"/><Relationship Id="rId31" Type="http://schemas.openxmlformats.org/officeDocument/2006/relationships/hyperlink" Target="https://www.oecd.org/gov/ethics/recomendacion-sobre-integridad-es.pdf" TargetMode="External"/><Relationship Id="rId73" Type="http://schemas.openxmlformats.org/officeDocument/2006/relationships/hyperlink" Target="http://www.dogv.gva.es/datos/2018/05/23/pdf/2018_4529.pdf" TargetMode="External"/><Relationship Id="rId169" Type="http://schemas.openxmlformats.org/officeDocument/2006/relationships/hyperlink" Target="https://www.antifraucv.es/wp-content/uploads/2019/06/Memoria-2018_CAS_AVA.pdf" TargetMode="External"/><Relationship Id="rId334" Type="http://schemas.openxmlformats.org/officeDocument/2006/relationships/hyperlink" Target="http://bit.ly/2UDUg2P" TargetMode="External"/><Relationship Id="rId376" Type="http://schemas.openxmlformats.org/officeDocument/2006/relationships/hyperlink" Target="https://www.cortsvalencianes.es/es/consulta_boc" TargetMode="External"/><Relationship Id="rId541" Type="http://schemas.microsoft.com/office/2007/relationships/hdphoto" Target="media/hdphoto52.wdp"/><Relationship Id="rId583" Type="http://schemas.microsoft.com/office/2007/relationships/hdphoto" Target="media/hdphoto73.wdp"/><Relationship Id="rId4" Type="http://schemas.openxmlformats.org/officeDocument/2006/relationships/webSettings" Target="webSettings.xml"/><Relationship Id="rId180" Type="http://schemas.openxmlformats.org/officeDocument/2006/relationships/hyperlink" Target="https://www.antifraucv.es/wp-content/uploads/2020/03/20190528_Informe_juridico_valoracion_dictamen_CJC_2019_05_28.pdf" TargetMode="External"/><Relationship Id="rId236" Type="http://schemas.openxmlformats.org/officeDocument/2006/relationships/chart" Target="charts/chart13.xml"/><Relationship Id="rId278" Type="http://schemas.openxmlformats.org/officeDocument/2006/relationships/hyperlink" Target="https://www.boe.es/buscar/pdf/2016/BOE-A-2016-12048-consolidado.pdf" TargetMode="External"/><Relationship Id="rId401" Type="http://schemas.openxmlformats.org/officeDocument/2006/relationships/hyperlink" Target="http://www.dogv.gva.es/auto/dogv/docvpub/rlgv/2019/RAF_20190627_ca_RAF_20190716.pdf" TargetMode="External"/><Relationship Id="rId443" Type="http://schemas.microsoft.com/office/2007/relationships/hdphoto" Target="media/hdphoto4.wdp"/><Relationship Id="rId303" Type="http://schemas.openxmlformats.org/officeDocument/2006/relationships/image" Target="media/image20.jpeg"/><Relationship Id="rId485" Type="http://schemas.microsoft.com/office/2007/relationships/hdphoto" Target="media/hdphoto25.wdp"/><Relationship Id="rId42" Type="http://schemas.openxmlformats.org/officeDocument/2006/relationships/hyperlink" Target="https://www.dogv.gva.es/datos/2018/05/28/pdf/2018_5181.pdf" TargetMode="External"/><Relationship Id="rId84" Type="http://schemas.openxmlformats.org/officeDocument/2006/relationships/chart" Target="charts/chart6.xml"/><Relationship Id="rId138" Type="http://schemas.openxmlformats.org/officeDocument/2006/relationships/hyperlink" Target="https://parlamento-cantabria.es/proyectos-de-ley/proposici%C3%B3n-de-ley-de-protecci%C3%B3n-integral-de-los-denunciantes-de-corrupci%C3%B3n" TargetMode="External"/><Relationship Id="rId345" Type="http://schemas.openxmlformats.org/officeDocument/2006/relationships/hyperlink" Target="https://www.antifraucv.es/wp-content/uploads/2019/06/Memoria-2018_CAS_AVA.pdf" TargetMode="External"/><Relationship Id="rId387" Type="http://schemas.openxmlformats.org/officeDocument/2006/relationships/hyperlink" Target="http://www.dogv.gva.es/datos/2019/11/15/pdf/2019_10813.pdf" TargetMode="External"/><Relationship Id="rId510" Type="http://schemas.openxmlformats.org/officeDocument/2006/relationships/image" Target="media/image61.png"/><Relationship Id="rId552" Type="http://schemas.openxmlformats.org/officeDocument/2006/relationships/image" Target="media/image82.png"/><Relationship Id="rId191" Type="http://schemas.openxmlformats.org/officeDocument/2006/relationships/hyperlink" Target="https://www.boe.es/buscar/pdf/2016/BOE-A-2016-12048-consolidado.pdf" TargetMode="External"/><Relationship Id="rId205" Type="http://schemas.openxmlformats.org/officeDocument/2006/relationships/hyperlink" Target="https://www.boe.es/buscar/pdf/2016/BOE-A-2016-12048-consolidado.pdf" TargetMode="External"/><Relationship Id="rId247" Type="http://schemas.openxmlformats.org/officeDocument/2006/relationships/chart" Target="charts/chart23.xml"/><Relationship Id="rId412" Type="http://schemas.openxmlformats.org/officeDocument/2006/relationships/chart" Target="charts/chart34.xml"/><Relationship Id="rId107" Type="http://schemas.openxmlformats.org/officeDocument/2006/relationships/hyperlink" Target="http://www.dogv.gva.es/auto/dogv/docvpub/rlgv/2019/RAF_20190627_ca_RAF_20190716.pdf" TargetMode="External"/><Relationship Id="rId289" Type="http://schemas.openxmlformats.org/officeDocument/2006/relationships/image" Target="media/image15.png"/><Relationship Id="rId454" Type="http://schemas.openxmlformats.org/officeDocument/2006/relationships/image" Target="media/image34.png"/><Relationship Id="rId496" Type="http://schemas.openxmlformats.org/officeDocument/2006/relationships/image" Target="media/image55.png"/><Relationship Id="rId11" Type="http://schemas.openxmlformats.org/officeDocument/2006/relationships/image" Target="media/image2.png"/><Relationship Id="rId53" Type="http://schemas.openxmlformats.org/officeDocument/2006/relationships/hyperlink" Target="http://www.dogv.gva.es/datos/2018/05/23/pdf/2018_4529.pdf" TargetMode="External"/><Relationship Id="rId149" Type="http://schemas.openxmlformats.org/officeDocument/2006/relationships/hyperlink" Target="https://www.boe.es/buscar/pdf/2017/BOE-A-2017-12902-consolidado.pdf" TargetMode="External"/><Relationship Id="rId314" Type="http://schemas.openxmlformats.org/officeDocument/2006/relationships/hyperlink" Target="https://congresos.adeituv.es/contratacion_publica_y_compliance19/paginas/pagina_537_1.es.html" TargetMode="External"/><Relationship Id="rId356" Type="http://schemas.openxmlformats.org/officeDocument/2006/relationships/hyperlink" Target="http://www.dogv.gva.es/datos/2019/07/02/pdf/2019_6610.pdf" TargetMode="External"/><Relationship Id="rId398" Type="http://schemas.openxmlformats.org/officeDocument/2006/relationships/hyperlink" Target="http://www.dogv.gva.es/datos/2019/12/31/pdf/2019_12091.pdf" TargetMode="External"/><Relationship Id="rId521" Type="http://schemas.microsoft.com/office/2007/relationships/hdphoto" Target="media/hdphoto42.wdp"/><Relationship Id="rId563" Type="http://schemas.microsoft.com/office/2007/relationships/hdphoto" Target="media/hdphoto63.wdp"/><Relationship Id="rId95" Type="http://schemas.openxmlformats.org/officeDocument/2006/relationships/hyperlink" Target="https://www.boe.es/buscar/pdf/2016/BOE-A-2016-12048-consolidado.pdf" TargetMode="External"/><Relationship Id="rId160" Type="http://schemas.openxmlformats.org/officeDocument/2006/relationships/hyperlink" Target="https://www.boe.es/buscar/pdf/2016/BOE-A-2016-12048-consolidado.pdf" TargetMode="External"/><Relationship Id="rId216" Type="http://schemas.openxmlformats.org/officeDocument/2006/relationships/hyperlink" Target="https://www.boe.es/boe/dias/1993/02/12/pdfs/T00057-00061.pdf" TargetMode="External"/><Relationship Id="rId423" Type="http://schemas.openxmlformats.org/officeDocument/2006/relationships/image" Target="media/image24.emf"/><Relationship Id="rId258" Type="http://schemas.openxmlformats.org/officeDocument/2006/relationships/hyperlink" Target="https://www.boe.es/buscar/pdf/2016/BOE-A-2016-12048-consolidado.pdf" TargetMode="External"/><Relationship Id="rId465" Type="http://schemas.microsoft.com/office/2007/relationships/hdphoto" Target="media/hdphoto15.wdp"/><Relationship Id="rId22" Type="http://schemas.openxmlformats.org/officeDocument/2006/relationships/image" Target="media/image4.png"/><Relationship Id="rId64" Type="http://schemas.openxmlformats.org/officeDocument/2006/relationships/hyperlink" Target="http://www.dogv.gva.es/auto/dogv/docvpub/rlgv/2019/RAF_20190627_ca_RAF_20190716.pdf" TargetMode="External"/><Relationship Id="rId118" Type="http://schemas.openxmlformats.org/officeDocument/2006/relationships/hyperlink" Target="http://www.congreso.es/public_oficiales/L13/CONG/BOCG/B/BOCG-13-B-29-1.PDF" TargetMode="External"/><Relationship Id="rId325" Type="http://schemas.openxmlformats.org/officeDocument/2006/relationships/hyperlink" Target="https://www.linkedin.com/company/antifraucv" TargetMode="External"/><Relationship Id="rId367" Type="http://schemas.openxmlformats.org/officeDocument/2006/relationships/hyperlink" Target="https://www.cortsvalencianes.es/es/consulta_boc" TargetMode="External"/><Relationship Id="rId532" Type="http://schemas.openxmlformats.org/officeDocument/2006/relationships/image" Target="media/image72.png"/><Relationship Id="rId574" Type="http://schemas.openxmlformats.org/officeDocument/2006/relationships/image" Target="media/image93.png"/><Relationship Id="rId171" Type="http://schemas.openxmlformats.org/officeDocument/2006/relationships/hyperlink" Target="https://www.antifraucv.es/es/portal-transparencia/informacion-de-relevancia-juridica/" TargetMode="External"/><Relationship Id="rId227" Type="http://schemas.openxmlformats.org/officeDocument/2006/relationships/hyperlink" Target="https://www.boe.es/buscar/pdf/1994/BOE-A-1994-28510-consolidado.pdf" TargetMode="External"/><Relationship Id="rId269" Type="http://schemas.openxmlformats.org/officeDocument/2006/relationships/hyperlink" Target="https://www.antifraucv.es/wp-content/uploads/2020/03/2019_04_18_Informe-Regulacion-personal-Agencia.pdf" TargetMode="External"/><Relationship Id="rId434" Type="http://schemas.openxmlformats.org/officeDocument/2006/relationships/hyperlink" Target="https://www.boe.es/boe/dias/2019/02/14/pdfs/BOE-A-2019-1987.pdf" TargetMode="External"/><Relationship Id="rId476" Type="http://schemas.openxmlformats.org/officeDocument/2006/relationships/image" Target="media/image45.png"/><Relationship Id="rId33" Type="http://schemas.openxmlformats.org/officeDocument/2006/relationships/hyperlink" Target="https://www.boe.es/buscar/pdf/2004/BOE-A-2004-4214-consolidado.pdf" TargetMode="External"/><Relationship Id="rId129" Type="http://schemas.openxmlformats.org/officeDocument/2006/relationships/hyperlink" Target="https://boe.es/buscar/pdf/2018/BOE-A-2018-14293-consolidado.pdf" TargetMode="External"/><Relationship Id="rId280" Type="http://schemas.openxmlformats.org/officeDocument/2006/relationships/hyperlink" Target="https://www.boe.es/buscar/pdf/2016/BOE-A-2016-12048-consolidado.pdf" TargetMode="External"/><Relationship Id="rId336" Type="http://schemas.openxmlformats.org/officeDocument/2006/relationships/hyperlink" Target="https://www.boe.es/buscar/pdf/2016/BOE-A-2016-12048-consolidado.pdf" TargetMode="External"/><Relationship Id="rId501" Type="http://schemas.microsoft.com/office/2007/relationships/hdphoto" Target="media/hdphoto33.wdp"/><Relationship Id="rId543" Type="http://schemas.microsoft.com/office/2007/relationships/hdphoto" Target="media/hdphoto53.wdp"/><Relationship Id="rId75" Type="http://schemas.openxmlformats.org/officeDocument/2006/relationships/hyperlink" Target="http://www.dogv.gva.es/datos/2018/05/23/pdf/2018_4529.pdf" TargetMode="External"/><Relationship Id="rId140" Type="http://schemas.openxmlformats.org/officeDocument/2006/relationships/hyperlink" Target="https://www.boe.es/buscar/pdf/2016/BOE-A-2016-12048-consolidado.pdf" TargetMode="External"/><Relationship Id="rId182" Type="http://schemas.openxmlformats.org/officeDocument/2006/relationships/hyperlink" Target="https://www.boe.es/buscar/pdf/2016/BOE-A-2016-12048-consolidado.pdf" TargetMode="External"/><Relationship Id="rId378" Type="http://schemas.openxmlformats.org/officeDocument/2006/relationships/hyperlink" Target="http://www.dogv.gva.es/datos/2019/10/28/pdf/2019_10039.pdf" TargetMode="External"/><Relationship Id="rId403" Type="http://schemas.openxmlformats.org/officeDocument/2006/relationships/image" Target="media/image22.png"/><Relationship Id="rId585" Type="http://schemas.microsoft.com/office/2007/relationships/hdphoto" Target="media/hdphoto74.wdp"/><Relationship Id="rId6" Type="http://schemas.openxmlformats.org/officeDocument/2006/relationships/endnotes" Target="endnotes.xml"/><Relationship Id="rId238" Type="http://schemas.openxmlformats.org/officeDocument/2006/relationships/chart" Target="charts/chart15.xml"/><Relationship Id="rId445" Type="http://schemas.microsoft.com/office/2007/relationships/hdphoto" Target="media/hdphoto5.wdp"/><Relationship Id="rId487" Type="http://schemas.microsoft.com/office/2007/relationships/hdphoto" Target="media/hdphoto26.wdp"/><Relationship Id="rId291" Type="http://schemas.openxmlformats.org/officeDocument/2006/relationships/hyperlink" Target="https://youtu.be/9WqIVUU6cOE" TargetMode="External"/><Relationship Id="rId305" Type="http://schemas.openxmlformats.org/officeDocument/2006/relationships/hyperlink" Target="https://www.antifraucv.es/es/declaracion-de-estocolmo-19th-annual-professional-conference-and-general-assembly-2/" TargetMode="External"/><Relationship Id="rId347" Type="http://schemas.openxmlformats.org/officeDocument/2006/relationships/hyperlink" Target="http://www.dogv.gva.es/datos/2019/05/16/pdf/2019_5007.pdf" TargetMode="External"/><Relationship Id="rId512" Type="http://schemas.openxmlformats.org/officeDocument/2006/relationships/image" Target="media/image62.png"/><Relationship Id="rId44" Type="http://schemas.openxmlformats.org/officeDocument/2006/relationships/hyperlink" Target="http://www.dogv.gva.es/datos/2018/05/23/pdf/2018_4529.pdf" TargetMode="External"/><Relationship Id="rId86" Type="http://schemas.openxmlformats.org/officeDocument/2006/relationships/hyperlink" Target="https://www.antifraucv.es/es/portal-transparencia/informes/" TargetMode="External"/><Relationship Id="rId151" Type="http://schemas.openxmlformats.org/officeDocument/2006/relationships/hyperlink" Target="https://www.boe.es/buscar/pdf/2016/BOE-A-2016-12048-consolidado.pdf" TargetMode="External"/><Relationship Id="rId389" Type="http://schemas.openxmlformats.org/officeDocument/2006/relationships/hyperlink" Target="https://www.cortsvalencianes.es/es/consulta_boc" TargetMode="External"/><Relationship Id="rId554" Type="http://schemas.openxmlformats.org/officeDocument/2006/relationships/image" Target="media/image83.png"/><Relationship Id="rId193" Type="http://schemas.openxmlformats.org/officeDocument/2006/relationships/hyperlink" Target="https://www.boe.es/doue/2019/305/L00017-00056.pdf" TargetMode="External"/><Relationship Id="rId207" Type="http://schemas.openxmlformats.org/officeDocument/2006/relationships/hyperlink" Target="https://www.boe.es/buscar/pdf/2016/BOE-A-2016-12048-consolidado.pdf" TargetMode="External"/><Relationship Id="rId249" Type="http://schemas.openxmlformats.org/officeDocument/2006/relationships/chart" Target="charts/chart25.xml"/><Relationship Id="rId414" Type="http://schemas.openxmlformats.org/officeDocument/2006/relationships/chart" Target="charts/chart36.xml"/><Relationship Id="rId456" Type="http://schemas.openxmlformats.org/officeDocument/2006/relationships/image" Target="media/image35.png"/><Relationship Id="rId498" Type="http://schemas.openxmlformats.org/officeDocument/2006/relationships/image" Target="media/image56.png"/><Relationship Id="rId13" Type="http://schemas.openxmlformats.org/officeDocument/2006/relationships/hyperlink" Target="http://www.antifraucv.es/" TargetMode="External"/><Relationship Id="rId109" Type="http://schemas.openxmlformats.org/officeDocument/2006/relationships/hyperlink" Target="https://www.boe.es/buscar/pdf/2016/BOE-A-2016-12048-consolidado.pdf" TargetMode="External"/><Relationship Id="rId260" Type="http://schemas.openxmlformats.org/officeDocument/2006/relationships/hyperlink" Target="https://www.boe.es/buscar/pdf/2016/BOE-A-2016-12048-consolidado.pdf" TargetMode="External"/><Relationship Id="rId316" Type="http://schemas.openxmlformats.org/officeDocument/2006/relationships/hyperlink" Target="https://www.consejodetransparencia.es/ct_Home/gl/comunicacion/actualidadynoticias/hemeroteca/2019/Segundosemestre/20191917.html" TargetMode="External"/><Relationship Id="rId523" Type="http://schemas.microsoft.com/office/2007/relationships/hdphoto" Target="media/hdphoto43.wdp"/><Relationship Id="rId55" Type="http://schemas.openxmlformats.org/officeDocument/2006/relationships/image" Target="media/image11.png"/><Relationship Id="rId97" Type="http://schemas.openxmlformats.org/officeDocument/2006/relationships/hyperlink" Target="https://www.boe.es/buscar/pdf/2013/BOE-A-2013-12887-consolidado.pdf" TargetMode="External"/><Relationship Id="rId120" Type="http://schemas.openxmlformats.org/officeDocument/2006/relationships/hyperlink" Target="http://www.congreso.es/public_oficiales/L13/CONG/BOCG/B/BOCG-13-B-72-1.PDF" TargetMode="External"/><Relationship Id="rId358" Type="http://schemas.openxmlformats.org/officeDocument/2006/relationships/hyperlink" Target="http://www.dogv.gva.es/datos/2019/04/10/pdf/2019_3653.pdf" TargetMode="External"/><Relationship Id="rId565" Type="http://schemas.microsoft.com/office/2007/relationships/hdphoto" Target="media/hdphoto64.wdp"/><Relationship Id="rId162" Type="http://schemas.openxmlformats.org/officeDocument/2006/relationships/hyperlink" Target="https://www.boe.es/buscar/pdf/2016/BOE-A-2016-12048-consolidado.pdf" TargetMode="External"/><Relationship Id="rId218" Type="http://schemas.openxmlformats.org/officeDocument/2006/relationships/hyperlink" Target="https://www.boe.es/buscar/pdf/2016/BOE-A-2016-12048-consolidado.pdf" TargetMode="External"/><Relationship Id="rId425" Type="http://schemas.openxmlformats.org/officeDocument/2006/relationships/footer" Target="footer5.xml"/><Relationship Id="rId467" Type="http://schemas.microsoft.com/office/2007/relationships/hdphoto" Target="media/hdphoto16.wdp"/><Relationship Id="rId271" Type="http://schemas.openxmlformats.org/officeDocument/2006/relationships/hyperlink" Target="https://www.antifraucv.es/wp-content/uploads/2020/03/2019_04_18_Infome-juridico-SEC-AACC-direccion.pdf" TargetMode="External"/><Relationship Id="rId24" Type="http://schemas.openxmlformats.org/officeDocument/2006/relationships/header" Target="header3.xml"/><Relationship Id="rId66" Type="http://schemas.openxmlformats.org/officeDocument/2006/relationships/hyperlink" Target="https://www.boe.es/buscar/pdf/2016/BOE-A-2016-12048-consolidado.pdf" TargetMode="External"/><Relationship Id="rId131" Type="http://schemas.openxmlformats.org/officeDocument/2006/relationships/hyperlink" Target="https://bcnroc.ajuntament.barcelona.cat/jspui/bitstream/11703/104943/1/Creaci%c3%b3_Oficina_Transpar%c3%a8ncia_Bones_Pr%c3%a0ctiques.pdf" TargetMode="External"/><Relationship Id="rId327" Type="http://schemas.openxmlformats.org/officeDocument/2006/relationships/chart" Target="charts/chart32.xml"/><Relationship Id="rId369" Type="http://schemas.openxmlformats.org/officeDocument/2006/relationships/hyperlink" Target="http://www.dogv.gva.es/datos/2019/08/01/pdf/2019_7378.pdf" TargetMode="External"/><Relationship Id="rId534" Type="http://schemas.openxmlformats.org/officeDocument/2006/relationships/image" Target="media/image73.png"/><Relationship Id="rId576" Type="http://schemas.openxmlformats.org/officeDocument/2006/relationships/image" Target="media/image94.png"/><Relationship Id="rId173" Type="http://schemas.openxmlformats.org/officeDocument/2006/relationships/hyperlink" Target="https://www.antifraucv.es/wp-content/uploads/2019/04/20190131_Informe_resultados_tramite_informacion_publica.pdf" TargetMode="External"/><Relationship Id="rId229" Type="http://schemas.openxmlformats.org/officeDocument/2006/relationships/hyperlink" Target="https://www.boe.es/buscar/pdf/2016/BOE-A-2016-12048-consolidado.pdf" TargetMode="External"/><Relationship Id="rId380" Type="http://schemas.openxmlformats.org/officeDocument/2006/relationships/hyperlink" Target="https://www.cortsvalencianes.es/es/consulta_boc" TargetMode="External"/><Relationship Id="rId436" Type="http://schemas.openxmlformats.org/officeDocument/2006/relationships/image" Target="media/image25.png"/><Relationship Id="rId240" Type="http://schemas.openxmlformats.org/officeDocument/2006/relationships/chart" Target="charts/chart17.xml"/><Relationship Id="rId478" Type="http://schemas.openxmlformats.org/officeDocument/2006/relationships/image" Target="media/image46.png"/><Relationship Id="rId35" Type="http://schemas.openxmlformats.org/officeDocument/2006/relationships/image" Target="media/image9.png"/><Relationship Id="rId77" Type="http://schemas.openxmlformats.org/officeDocument/2006/relationships/hyperlink" Target="http://www.dogv.gva.es/datos/2018/05/23/pdf/2018_4529.pdf" TargetMode="External"/><Relationship Id="rId100" Type="http://schemas.openxmlformats.org/officeDocument/2006/relationships/hyperlink" Target="https://www.boe.es/buscar/pdf/2016/BOE-A-2016-12048-consolidado.pdf" TargetMode="External"/><Relationship Id="rId282" Type="http://schemas.openxmlformats.org/officeDocument/2006/relationships/hyperlink" Target="http://www.dogv.gva.es/auto/dogv/docvpub/rlgv/2019/RAF_20190627_ca_RAF_20190716.pdf" TargetMode="External"/><Relationship Id="rId338" Type="http://schemas.openxmlformats.org/officeDocument/2006/relationships/hyperlink" Target="https://www.cortsvalencianes.es/sites/default/files/section_docs/doc/RCV_web_maig_2019_cas.pdf" TargetMode="External"/><Relationship Id="rId503" Type="http://schemas.microsoft.com/office/2007/relationships/hdphoto" Target="media/hdphoto34.wdp"/><Relationship Id="rId545" Type="http://schemas.microsoft.com/office/2007/relationships/hdphoto" Target="media/hdphoto54.wdp"/><Relationship Id="rId587" Type="http://schemas.microsoft.com/office/2007/relationships/hdphoto" Target="media/hdphoto75.wdp"/><Relationship Id="rId8" Type="http://schemas.openxmlformats.org/officeDocument/2006/relationships/header" Target="header2.xml"/><Relationship Id="rId142" Type="http://schemas.openxmlformats.org/officeDocument/2006/relationships/hyperlink" Target="https://www.boe.es/buscar/pdf/2017/BOE-A-2017-12902-consolidado.pdf" TargetMode="External"/><Relationship Id="rId184" Type="http://schemas.openxmlformats.org/officeDocument/2006/relationships/hyperlink" Target="https://www.boe.es/buscar/pdf/2016/BOE-A-2016-12048-consolidado.pdf" TargetMode="External"/><Relationship Id="rId391" Type="http://schemas.openxmlformats.org/officeDocument/2006/relationships/hyperlink" Target="http://www.dogv.gva.es/datos/2019/11/26/pdf/2019_11073.pdf" TargetMode="External"/><Relationship Id="rId405" Type="http://schemas.openxmlformats.org/officeDocument/2006/relationships/hyperlink" Target="http://www.dogv.gva.es/datos/2018/12/31/pdf/2018_12323.pdf" TargetMode="External"/><Relationship Id="rId447" Type="http://schemas.microsoft.com/office/2007/relationships/hdphoto" Target="media/hdphoto6.wdp"/><Relationship Id="rId251" Type="http://schemas.openxmlformats.org/officeDocument/2006/relationships/chart" Target="charts/chart27.xml"/><Relationship Id="rId489" Type="http://schemas.microsoft.com/office/2007/relationships/hdphoto" Target="media/hdphoto27.wdp"/><Relationship Id="rId46" Type="http://schemas.openxmlformats.org/officeDocument/2006/relationships/hyperlink" Target="http://www.dogv.gva.es/auto/dogv/docvpub/rlgv/2019/RAF_20190627_ca_RAF_20190716.pdf" TargetMode="External"/><Relationship Id="rId293" Type="http://schemas.openxmlformats.org/officeDocument/2006/relationships/image" Target="media/image18.jpeg"/><Relationship Id="rId307" Type="http://schemas.openxmlformats.org/officeDocument/2006/relationships/hyperlink" Target="https://www.huisvoorklokkenluiders.nl/Publicaties/publicaties/2019/12/03/neiwa-declaration-2-december-2019" TargetMode="External"/><Relationship Id="rId349" Type="http://schemas.openxmlformats.org/officeDocument/2006/relationships/hyperlink" Target="http://www.dogv.gva.es/datos/2019/01/09/pdf/2018_11710.pdf" TargetMode="External"/><Relationship Id="rId514" Type="http://schemas.openxmlformats.org/officeDocument/2006/relationships/image" Target="media/image63.png"/><Relationship Id="rId556" Type="http://schemas.openxmlformats.org/officeDocument/2006/relationships/image" Target="media/image84.png"/><Relationship Id="rId88" Type="http://schemas.openxmlformats.org/officeDocument/2006/relationships/hyperlink" Target="https://www.boe.es/buscar/pdf/2016/BOE-A-2016-12048-consolidado.pdf" TargetMode="External"/><Relationship Id="rId111" Type="http://schemas.openxmlformats.org/officeDocument/2006/relationships/hyperlink" Target="http://www.dogv.gva.es/auto/dogv/docvpub/rlgv/2019/RAF_20190627_ca_RAF_20190716.pdf" TargetMode="External"/><Relationship Id="rId153" Type="http://schemas.openxmlformats.org/officeDocument/2006/relationships/hyperlink" Target="https://www.boe.es/buscar/pdf/2016/BOE-A-2016-12048-consolidado.pdf" TargetMode="External"/><Relationship Id="rId195" Type="http://schemas.openxmlformats.org/officeDocument/2006/relationships/hyperlink" Target="https://www.gazzettaufficiale.it/eli/gu/2012/11/13/265/sg/pdf" TargetMode="External"/><Relationship Id="rId209" Type="http://schemas.openxmlformats.org/officeDocument/2006/relationships/hyperlink" Target="http://www.poderjudicial.es/search/AN/openDocument/e5631ef00cd5e6ce/20200213" TargetMode="External"/><Relationship Id="rId360" Type="http://schemas.openxmlformats.org/officeDocument/2006/relationships/hyperlink" Target="https://www.cortsvalencianes.es/es/consulta_boc" TargetMode="External"/><Relationship Id="rId416" Type="http://schemas.openxmlformats.org/officeDocument/2006/relationships/chart" Target="charts/chart38.xml"/><Relationship Id="rId220" Type="http://schemas.openxmlformats.org/officeDocument/2006/relationships/hyperlink" Target="https://www.boe.es/buscar/pdf/2016/BOE-A-2016-12048-consolidado.pdf" TargetMode="External"/><Relationship Id="rId458" Type="http://schemas.openxmlformats.org/officeDocument/2006/relationships/image" Target="media/image36.png"/><Relationship Id="rId15" Type="http://schemas.openxmlformats.org/officeDocument/2006/relationships/hyperlink" Target="http://www.antifraucv.es/" TargetMode="External"/><Relationship Id="rId57" Type="http://schemas.openxmlformats.org/officeDocument/2006/relationships/hyperlink" Target="https://www.antifraucv.es/wp-content/uploads/2019/06/Memoria-2018_CAS_AVA.pdf" TargetMode="External"/><Relationship Id="rId262" Type="http://schemas.openxmlformats.org/officeDocument/2006/relationships/hyperlink" Target="https://boe.es/buscar/pdf/2017/BOE-A-2017-267-consolidado.pdf" TargetMode="External"/><Relationship Id="rId318" Type="http://schemas.openxmlformats.org/officeDocument/2006/relationships/hyperlink" Target="http://www.worldcomplianceassociation.com/evento.php?id=747" TargetMode="External"/><Relationship Id="rId525" Type="http://schemas.microsoft.com/office/2007/relationships/hdphoto" Target="media/hdphoto44.wdp"/><Relationship Id="rId567" Type="http://schemas.microsoft.com/office/2007/relationships/hdphoto" Target="media/hdphoto65.wdp"/><Relationship Id="rId99" Type="http://schemas.openxmlformats.org/officeDocument/2006/relationships/hyperlink" Target="https://www.boe.es/buscar/pdf/2016/BOE-A-2016-12048-consolidado.pdf" TargetMode="External"/><Relationship Id="rId122" Type="http://schemas.openxmlformats.org/officeDocument/2006/relationships/hyperlink" Target="http://www.congreso.es/public_oficiales/L14/CONG/BOCG/B/BOCG-14-B-35-1.PDF" TargetMode="External"/><Relationship Id="rId164" Type="http://schemas.openxmlformats.org/officeDocument/2006/relationships/hyperlink" Target="https://www.boe.es/buscar/pdf/2016/BOE-A-2016-12048-consolidado.pdf" TargetMode="External"/><Relationship Id="rId371" Type="http://schemas.openxmlformats.org/officeDocument/2006/relationships/hyperlink" Target="http://www.dogv.gva.es/datos/2019/09/12/pdf/2019_8582.pdf" TargetMode="External"/><Relationship Id="rId427" Type="http://schemas.openxmlformats.org/officeDocument/2006/relationships/hyperlink" Target="http://www.dogv.gva.es/auto/dogv/docvpub/rlgv/2019/RAF_20190627_ca_RAF_20190716.pdf" TargetMode="External"/><Relationship Id="rId469" Type="http://schemas.microsoft.com/office/2007/relationships/hdphoto" Target="media/hdphoto17.wdp"/><Relationship Id="rId26" Type="http://schemas.openxmlformats.org/officeDocument/2006/relationships/hyperlink" Target="https://www.antifraucv.es/wp-content/uploads/2019/06/Memoria-2018_CAS_AVA.pdf" TargetMode="External"/><Relationship Id="rId231" Type="http://schemas.openxmlformats.org/officeDocument/2006/relationships/hyperlink" Target="https://www.boe.es/buscar/pdf/2016/BOE-A-2016-12048-consolidado.pdf" TargetMode="External"/><Relationship Id="rId273" Type="http://schemas.openxmlformats.org/officeDocument/2006/relationships/hyperlink" Target="http://www.dogv.gva.es/auto/dogv/docvpub/rlgv/2019/RAF_20190627_ca_RAF_20190716.pdf" TargetMode="External"/><Relationship Id="rId329" Type="http://schemas.openxmlformats.org/officeDocument/2006/relationships/hyperlink" Target="http://bit.ly/2HgFVS1" TargetMode="External"/><Relationship Id="rId480" Type="http://schemas.openxmlformats.org/officeDocument/2006/relationships/image" Target="media/image47.png"/><Relationship Id="rId536" Type="http://schemas.openxmlformats.org/officeDocument/2006/relationships/image" Target="media/image74.png"/><Relationship Id="rId68" Type="http://schemas.openxmlformats.org/officeDocument/2006/relationships/hyperlink" Target="https://www.boe.es/buscar/pdf/2016/BOE-A-2016-12048-consolidado.pdf" TargetMode="External"/><Relationship Id="rId133" Type="http://schemas.openxmlformats.org/officeDocument/2006/relationships/hyperlink" Target="http://www.legebiltzarra.eus/ords/f?p=120:18:111031880523800::NO:RP,RIR:P18_ID,P18_EXPAND:63765,N" TargetMode="External"/><Relationship Id="rId175" Type="http://schemas.openxmlformats.org/officeDocument/2006/relationships/hyperlink" Target="https://www.cortsvalencianes.es/es/consulta_boc" TargetMode="External"/><Relationship Id="rId340" Type="http://schemas.openxmlformats.org/officeDocument/2006/relationships/hyperlink" Target="https://www.antifraucv.es/wp-content/uploads/2019/06/Memoria-2018_CAS_AVA.pdf" TargetMode="External"/><Relationship Id="rId578" Type="http://schemas.openxmlformats.org/officeDocument/2006/relationships/image" Target="media/image95.png"/><Relationship Id="rId200" Type="http://schemas.openxmlformats.org/officeDocument/2006/relationships/hyperlink" Target="https://www.boe.es/doue/2019/305/L00017-00056.pdf" TargetMode="External"/><Relationship Id="rId382" Type="http://schemas.openxmlformats.org/officeDocument/2006/relationships/hyperlink" Target="https://www.cortsvalencianes.es/es/consulta_boc" TargetMode="External"/><Relationship Id="rId438" Type="http://schemas.openxmlformats.org/officeDocument/2006/relationships/image" Target="media/image26.png"/><Relationship Id="rId242" Type="http://schemas.openxmlformats.org/officeDocument/2006/relationships/chart" Target="charts/chart19.xml"/><Relationship Id="rId284" Type="http://schemas.openxmlformats.org/officeDocument/2006/relationships/hyperlink" Target="https://www.dogv.gva.es/portal/ficha_disposicion_pc.jsp?sig=001789/2019&amp;L=1" TargetMode="External"/><Relationship Id="rId491" Type="http://schemas.microsoft.com/office/2007/relationships/hdphoto" Target="media/hdphoto28.wdp"/><Relationship Id="rId505" Type="http://schemas.microsoft.com/office/2007/relationships/hdphoto" Target="media/hdphoto35.wdp"/><Relationship Id="rId37" Type="http://schemas.openxmlformats.org/officeDocument/2006/relationships/hyperlink" Target="https://www.boe.es/buscar/pdf/2016/BOE-A-2016-12048-consolidado.pdf" TargetMode="External"/><Relationship Id="rId79" Type="http://schemas.openxmlformats.org/officeDocument/2006/relationships/hyperlink" Target="http://www.dogv.gva.es/datos/2018/05/23/pdf/2018_4529.pdf" TargetMode="External"/><Relationship Id="rId102" Type="http://schemas.openxmlformats.org/officeDocument/2006/relationships/hyperlink" Target="https://www.boe.es/buscar/pdf/2015/BOE-A-2015-4547-consolidado.pdf" TargetMode="External"/><Relationship Id="rId144" Type="http://schemas.openxmlformats.org/officeDocument/2006/relationships/hyperlink" Target="https://www.boe.es/buscar/pdf/2016/BOE-A-2016-12048-consolidado.pdf" TargetMode="External"/><Relationship Id="rId547" Type="http://schemas.microsoft.com/office/2007/relationships/hdphoto" Target="media/hdphoto55.wdp"/><Relationship Id="rId589" Type="http://schemas.microsoft.com/office/2007/relationships/hdphoto" Target="media/hdphoto76.wdp"/><Relationship Id="rId90" Type="http://schemas.openxmlformats.org/officeDocument/2006/relationships/hyperlink" Target="https://www.boe.es/buscar/pdf/2016/BOE-A-2016-12048-consolidado.pdf" TargetMode="External"/><Relationship Id="rId186" Type="http://schemas.openxmlformats.org/officeDocument/2006/relationships/hyperlink" Target="https://www.antifraucv.es/wp-content/uploads/2020/03/Nota-Letrado-Corts-2.07.2019-1.pdf" TargetMode="External"/><Relationship Id="rId351" Type="http://schemas.openxmlformats.org/officeDocument/2006/relationships/hyperlink" Target="http://www.dogv.gva.es/datos/2019/02/01/pdf/2019_714.pdf" TargetMode="External"/><Relationship Id="rId393" Type="http://schemas.openxmlformats.org/officeDocument/2006/relationships/hyperlink" Target="https://www.cortsvalencianes.es/es/consulta_boc" TargetMode="External"/><Relationship Id="rId407" Type="http://schemas.openxmlformats.org/officeDocument/2006/relationships/hyperlink" Target="https://www.antifraucv.es/portal-de-transparencia/informacio-institucional/" TargetMode="External"/><Relationship Id="rId449" Type="http://schemas.microsoft.com/office/2007/relationships/hdphoto" Target="media/hdphoto7.wdp"/><Relationship Id="rId211" Type="http://schemas.openxmlformats.org/officeDocument/2006/relationships/hyperlink" Target="https://www.boe.es/doue/2019/305/L00017-00056.pdf" TargetMode="External"/><Relationship Id="rId253" Type="http://schemas.openxmlformats.org/officeDocument/2006/relationships/chart" Target="charts/chart29.xml"/><Relationship Id="rId295" Type="http://schemas.openxmlformats.org/officeDocument/2006/relationships/hyperlink" Target="https://boe.es/buscar/pdf/2003/BOE-A-2003-20977-consolidado.pdf" TargetMode="External"/><Relationship Id="rId309" Type="http://schemas.openxmlformats.org/officeDocument/2006/relationships/hyperlink" Target="http://www.mapainfoparticipa.com/index/home/" TargetMode="External"/><Relationship Id="rId460" Type="http://schemas.openxmlformats.org/officeDocument/2006/relationships/image" Target="media/image37.png"/><Relationship Id="rId516" Type="http://schemas.openxmlformats.org/officeDocument/2006/relationships/image" Target="media/image64.png"/><Relationship Id="rId48" Type="http://schemas.openxmlformats.org/officeDocument/2006/relationships/diagramData" Target="diagrams/data1.xml"/><Relationship Id="rId113" Type="http://schemas.openxmlformats.org/officeDocument/2006/relationships/hyperlink" Target="http://www.dogv.gva.es/auto/dogv/docvpub/rlgv/2019/RAF_20190627_ca_RAF_20190716.pdf" TargetMode="External"/><Relationship Id="rId320" Type="http://schemas.openxmlformats.org/officeDocument/2006/relationships/chart" Target="charts/chart31.xml"/><Relationship Id="rId558" Type="http://schemas.openxmlformats.org/officeDocument/2006/relationships/image" Target="media/image85.png"/><Relationship Id="rId155" Type="http://schemas.openxmlformats.org/officeDocument/2006/relationships/hyperlink" Target="https://www.giurisprudenzapenale.com/wp-content/uploads/2017/12/legge-179-30-11-2017.pdf" TargetMode="External"/><Relationship Id="rId197" Type="http://schemas.openxmlformats.org/officeDocument/2006/relationships/hyperlink" Target="https://www.boe.es/buscar/pdf/2016/BOE-A-2016-12048-consolidado.pdf" TargetMode="External"/><Relationship Id="rId362" Type="http://schemas.openxmlformats.org/officeDocument/2006/relationships/hyperlink" Target="https://www.cortsvalencianes.es/es/consulta_boc" TargetMode="External"/><Relationship Id="rId418" Type="http://schemas.openxmlformats.org/officeDocument/2006/relationships/hyperlink" Target="http://www.dogv.gva.es/datos/2018/12/31/pdf/2018_12323.pdf" TargetMode="External"/><Relationship Id="rId222" Type="http://schemas.openxmlformats.org/officeDocument/2006/relationships/hyperlink" Target="https://www.boe.es/doue/2019/305/L00017-00056.pdf" TargetMode="External"/><Relationship Id="rId264" Type="http://schemas.openxmlformats.org/officeDocument/2006/relationships/hyperlink" Target="https://www.boe.es/buscar/pdf/2016/BOE-A-2016-12048-consolidado.pdf" TargetMode="External"/><Relationship Id="rId471" Type="http://schemas.microsoft.com/office/2007/relationships/hdphoto" Target="media/hdphoto18.wdp"/><Relationship Id="rId17" Type="http://schemas.openxmlformats.org/officeDocument/2006/relationships/hyperlink" Target="http://www.antifraucv.es/" TargetMode="External"/><Relationship Id="rId59" Type="http://schemas.openxmlformats.org/officeDocument/2006/relationships/hyperlink" Target="https://www.boe.es/buscar/pdf/2016/BOE-A-2016-12048-consolidado.pdf" TargetMode="External"/><Relationship Id="rId124" Type="http://schemas.openxmlformats.org/officeDocument/2006/relationships/hyperlink" Target="https://boe.es/buscar/pdf/2008/BOE-A-2008-19527-consolidado.pdf" TargetMode="External"/><Relationship Id="rId527" Type="http://schemas.microsoft.com/office/2007/relationships/hdphoto" Target="media/hdphoto45.wdp"/><Relationship Id="rId569" Type="http://schemas.microsoft.com/office/2007/relationships/hdphoto" Target="media/hdphoto66.wdp"/><Relationship Id="rId70" Type="http://schemas.openxmlformats.org/officeDocument/2006/relationships/hyperlink" Target="https://www.boe.es/buscar/pdf/2016/BOE-A-2016-12048-consolidado.pdf" TargetMode="External"/><Relationship Id="rId166" Type="http://schemas.openxmlformats.org/officeDocument/2006/relationships/hyperlink" Target="https://www.boe.es/buscar/pdf/2016/BOE-A-2016-12048-consolidado.pdf" TargetMode="External"/><Relationship Id="rId331" Type="http://schemas.openxmlformats.org/officeDocument/2006/relationships/hyperlink" Target="http://bit.ly/2OCGDgH" TargetMode="External"/><Relationship Id="rId373" Type="http://schemas.openxmlformats.org/officeDocument/2006/relationships/hyperlink" Target="http://www.dogv.gva.es/datos/2019/08/30/pdf/2019_8299.pdf" TargetMode="External"/><Relationship Id="rId429" Type="http://schemas.openxmlformats.org/officeDocument/2006/relationships/hyperlink" Target="https://boe.es/boe/dias/2017/12/23/pdfs/BOE-A-2017-15364.pdf" TargetMode="External"/><Relationship Id="rId580" Type="http://schemas.openxmlformats.org/officeDocument/2006/relationships/image" Target="media/image96.png"/><Relationship Id="rId1" Type="http://schemas.openxmlformats.org/officeDocument/2006/relationships/numbering" Target="numbering.xml"/><Relationship Id="rId233" Type="http://schemas.openxmlformats.org/officeDocument/2006/relationships/chart" Target="charts/chart10.xml"/><Relationship Id="rId440" Type="http://schemas.openxmlformats.org/officeDocument/2006/relationships/image" Target="media/image27.png"/><Relationship Id="rId28" Type="http://schemas.openxmlformats.org/officeDocument/2006/relationships/hyperlink" Target="https://www.boe.es/buscar/pdf/2016/BOE-A-2016-12048-consolidado.pdf" TargetMode="External"/><Relationship Id="rId275" Type="http://schemas.openxmlformats.org/officeDocument/2006/relationships/hyperlink" Target="https://www.boe.es/buscar/pdf/2015/BOE-A-2015-11719-consolidado.pdf" TargetMode="External"/><Relationship Id="rId300" Type="http://schemas.openxmlformats.org/officeDocument/2006/relationships/hyperlink" Target="https://www.epac-eacn.org/" TargetMode="External"/><Relationship Id="rId482" Type="http://schemas.openxmlformats.org/officeDocument/2006/relationships/image" Target="media/image48.png"/><Relationship Id="rId538" Type="http://schemas.openxmlformats.org/officeDocument/2006/relationships/image" Target="media/image75.png"/><Relationship Id="rId81" Type="http://schemas.openxmlformats.org/officeDocument/2006/relationships/chart" Target="charts/chart4.xml"/><Relationship Id="rId135" Type="http://schemas.openxmlformats.org/officeDocument/2006/relationships/hyperlink" Target="https://www.comunidad.madrid/transparencia/normativa/consulta-publica-del-anteproyecto-ley-defensor-denunciantes-corrupcion-politica-comunidad" TargetMode="External"/><Relationship Id="rId177" Type="http://schemas.openxmlformats.org/officeDocument/2006/relationships/hyperlink" Target="https://www.antifraucv.es/wp-content/uploads/2020/03/Acuerdo_negociacion_sindical.pdf" TargetMode="External"/><Relationship Id="rId342" Type="http://schemas.openxmlformats.org/officeDocument/2006/relationships/hyperlink" Target="https://boe.es/buscar/pdf/2013/BOE-A-2013-12887-consolidado.pdf" TargetMode="External"/><Relationship Id="rId384" Type="http://schemas.openxmlformats.org/officeDocument/2006/relationships/hyperlink" Target="http://www.dogv.gva.es/datos/2019/10/30/pdf/2019_10047.pdf" TargetMode="External"/><Relationship Id="rId591" Type="http://schemas.openxmlformats.org/officeDocument/2006/relationships/fontTable" Target="fontTable.xml"/><Relationship Id="rId202" Type="http://schemas.openxmlformats.org/officeDocument/2006/relationships/hyperlink" Target="https://www.boe.es/doue/2019/305/L00017-00056.pdf" TargetMode="External"/><Relationship Id="rId244" Type="http://schemas.openxmlformats.org/officeDocument/2006/relationships/chart" Target="charts/chart21.xml"/><Relationship Id="rId39" Type="http://schemas.openxmlformats.org/officeDocument/2006/relationships/hyperlink" Target="https://www.boe.es/buscar/pdf/2016/BOE-A-2016-11021-consolidado.pdf" TargetMode="External"/><Relationship Id="rId286" Type="http://schemas.openxmlformats.org/officeDocument/2006/relationships/hyperlink" Target="http://www.dogv.gva.es/datos/2019/07/02/pdf/2019_6610.pdf" TargetMode="External"/><Relationship Id="rId451" Type="http://schemas.microsoft.com/office/2007/relationships/hdphoto" Target="media/hdphoto8.wdp"/><Relationship Id="rId493" Type="http://schemas.microsoft.com/office/2007/relationships/hdphoto" Target="media/hdphoto29.wdp"/><Relationship Id="rId507" Type="http://schemas.microsoft.com/office/2007/relationships/hdphoto" Target="media/hdphoto36.wdp"/><Relationship Id="rId549" Type="http://schemas.microsoft.com/office/2007/relationships/hdphoto" Target="media/hdphoto56.wdp"/><Relationship Id="rId50" Type="http://schemas.openxmlformats.org/officeDocument/2006/relationships/diagramQuickStyle" Target="diagrams/quickStyle1.xml"/><Relationship Id="rId104" Type="http://schemas.openxmlformats.org/officeDocument/2006/relationships/hyperlink" Target="http://www.dogv.gva.es/auto/dogv/docvpub/rlgv/2019/RAF_20190627_ca_RAF_20190716.pdf" TargetMode="External"/><Relationship Id="rId146" Type="http://schemas.openxmlformats.org/officeDocument/2006/relationships/hyperlink" Target="https://www.boe.es/buscar/pdf/2017/BOE-A-2017-12902-consolidado.pdf" TargetMode="External"/><Relationship Id="rId188" Type="http://schemas.openxmlformats.org/officeDocument/2006/relationships/hyperlink" Target="http://www.dogv.gva.es/auto/dogv/docvpub/rlgv/2019/RAF_20190627_ca_RAF_20190716.pdf" TargetMode="External"/><Relationship Id="rId311" Type="http://schemas.openxmlformats.org/officeDocument/2006/relationships/hyperlink" Target="https://www.uchceu.es/actividades/2019/congresos/iii-congreso-internacional-sobre-calidad-democratica-buen-gobierno-y-lucha-contra-la-corrupcion" TargetMode="External"/><Relationship Id="rId353" Type="http://schemas.openxmlformats.org/officeDocument/2006/relationships/hyperlink" Target="https://www.cortsvalencianes.es/es/consulta_boc" TargetMode="External"/><Relationship Id="rId395" Type="http://schemas.openxmlformats.org/officeDocument/2006/relationships/hyperlink" Target="https://www.cortsvalencianes.es/es/consulta_boc" TargetMode="External"/><Relationship Id="rId409" Type="http://schemas.openxmlformats.org/officeDocument/2006/relationships/hyperlink" Target="https://www.boe.es/buscar/pdf/2016/BOE-A-2016-12048-consolidado.pdf" TargetMode="External"/><Relationship Id="rId560" Type="http://schemas.openxmlformats.org/officeDocument/2006/relationships/image" Target="media/image86.png"/><Relationship Id="rId92" Type="http://schemas.openxmlformats.org/officeDocument/2006/relationships/hyperlink" Target="https://www.boe.es/buscar/pdf/2016/BOE-A-2016-12048-consolidado.pdf" TargetMode="External"/><Relationship Id="rId213" Type="http://schemas.openxmlformats.org/officeDocument/2006/relationships/hyperlink" Target="http://www.dogv.gva.es/auto/dogv/docvpub/rlgv/2019/RAF_20190627_ca_RAF_20190716.pdf" TargetMode="External"/><Relationship Id="rId420" Type="http://schemas.openxmlformats.org/officeDocument/2006/relationships/header" Target="header6.xml"/><Relationship Id="rId255" Type="http://schemas.openxmlformats.org/officeDocument/2006/relationships/hyperlink" Target="http://hj.tribunalconstitucional.es/docs/BOE/BOE-T-1987-10811.pdf" TargetMode="External"/><Relationship Id="rId297" Type="http://schemas.openxmlformats.org/officeDocument/2006/relationships/image" Target="media/image19.jpeg"/><Relationship Id="rId462" Type="http://schemas.openxmlformats.org/officeDocument/2006/relationships/image" Target="media/image38.png"/><Relationship Id="rId518" Type="http://schemas.openxmlformats.org/officeDocument/2006/relationships/image" Target="media/image65.png"/><Relationship Id="rId115" Type="http://schemas.openxmlformats.org/officeDocument/2006/relationships/hyperlink" Target="http://www.dogv.gva.es/datos/2018/05/23/pdf/2018_4529.pdf" TargetMode="External"/><Relationship Id="rId157" Type="http://schemas.openxmlformats.org/officeDocument/2006/relationships/hyperlink" Target="https://www.boe.es/buscar/pdf/2016/BOE-A-2016-12048-consolidado.pdf" TargetMode="External"/><Relationship Id="rId322" Type="http://schemas.openxmlformats.org/officeDocument/2006/relationships/hyperlink" Target="https://twitter.com/AntifrauCV" TargetMode="External"/><Relationship Id="rId364" Type="http://schemas.openxmlformats.org/officeDocument/2006/relationships/hyperlink" Target="http://www.dogv.gva.es/datos/2019/07/02/pdf/2019_6610.pdf" TargetMode="External"/><Relationship Id="rId61" Type="http://schemas.openxmlformats.org/officeDocument/2006/relationships/hyperlink" Target="https://www.boe.es/buscar/pdf/2016/BOE-A-2016-12048-consolidado.pdf" TargetMode="External"/><Relationship Id="rId199" Type="http://schemas.openxmlformats.org/officeDocument/2006/relationships/hyperlink" Target="https://www.boe.es/doue/2019/305/L00017-00056.pdf" TargetMode="External"/><Relationship Id="rId571" Type="http://schemas.microsoft.com/office/2007/relationships/hdphoto" Target="media/hdphoto67.wdp"/><Relationship Id="rId19" Type="http://schemas.openxmlformats.org/officeDocument/2006/relationships/hyperlink" Target="https://www.antifraucv.es/es/portal-transparencia/acceso-a-la-informacion/" TargetMode="External"/><Relationship Id="rId224" Type="http://schemas.openxmlformats.org/officeDocument/2006/relationships/hyperlink" Target="https://www.boe.es/doue/2019/305/L00017-00056.pdf" TargetMode="External"/><Relationship Id="rId266" Type="http://schemas.openxmlformats.org/officeDocument/2006/relationships/hyperlink" Target="https://www.boe.es/buscar/pdf/2016/BOE-A-2016-12048-consolidado.pdf" TargetMode="External"/><Relationship Id="rId431" Type="http://schemas.openxmlformats.org/officeDocument/2006/relationships/hyperlink" Target="https://www.antifraucv.es/portal-de-transparencia/contractacio/" TargetMode="External"/><Relationship Id="rId473" Type="http://schemas.microsoft.com/office/2007/relationships/hdphoto" Target="media/hdphoto19.wdp"/><Relationship Id="rId529" Type="http://schemas.microsoft.com/office/2007/relationships/hdphoto" Target="media/hdphoto46.wdp"/><Relationship Id="rId30" Type="http://schemas.openxmlformats.org/officeDocument/2006/relationships/image" Target="media/image7.png"/><Relationship Id="rId126" Type="http://schemas.openxmlformats.org/officeDocument/2006/relationships/hyperlink" Target="https://boe.es/buscar/pdf/2017/BOE-A-2017-267-consolidado.pdf" TargetMode="External"/><Relationship Id="rId168" Type="http://schemas.openxmlformats.org/officeDocument/2006/relationships/hyperlink" Target="https://www.boe.es/buscar/pdf/2016/BOE-A-2016-12048-consolidado.pdf" TargetMode="External"/><Relationship Id="rId333" Type="http://schemas.openxmlformats.org/officeDocument/2006/relationships/hyperlink" Target="http://bit.ly/2SxIrZr" TargetMode="External"/><Relationship Id="rId540" Type="http://schemas.openxmlformats.org/officeDocument/2006/relationships/image" Target="media/image76.png"/><Relationship Id="rId72" Type="http://schemas.openxmlformats.org/officeDocument/2006/relationships/hyperlink" Target="https://www.boe.es/buscar/pdf/2016/BOE-A-2016-12048-consolidado.pdf" TargetMode="External"/><Relationship Id="rId375" Type="http://schemas.openxmlformats.org/officeDocument/2006/relationships/hyperlink" Target="http://www.dogv.gva.es/datos/2019/09/24/pdf/2019_8845.pdf" TargetMode="External"/><Relationship Id="rId582" Type="http://schemas.openxmlformats.org/officeDocument/2006/relationships/image" Target="media/image97.png"/><Relationship Id="rId3" Type="http://schemas.openxmlformats.org/officeDocument/2006/relationships/settings" Target="settings.xml"/><Relationship Id="rId235" Type="http://schemas.openxmlformats.org/officeDocument/2006/relationships/chart" Target="charts/chart12.xml"/><Relationship Id="rId277" Type="http://schemas.openxmlformats.org/officeDocument/2006/relationships/hyperlink" Target="http://www.dogv.gva.es/auto/dogv/docvpub/rlgv/2019/RAF_20190627_ca_RAF_20190716.pdf" TargetMode="External"/><Relationship Id="rId400" Type="http://schemas.openxmlformats.org/officeDocument/2006/relationships/hyperlink" Target="https://www.boe.es/buscar/pdf/2016/BOE-A-2016-12048-consolidado.pdf" TargetMode="External"/><Relationship Id="rId442" Type="http://schemas.openxmlformats.org/officeDocument/2006/relationships/image" Target="media/image28.png"/><Relationship Id="rId484" Type="http://schemas.openxmlformats.org/officeDocument/2006/relationships/image" Target="media/image49.png"/><Relationship Id="rId137" Type="http://schemas.openxmlformats.org/officeDocument/2006/relationships/hyperlink" Target="http://hermes.asambleamurcia.es/documentos/pdfs/boar/Boar.09/190227.181.pdf" TargetMode="External"/><Relationship Id="rId302" Type="http://schemas.openxmlformats.org/officeDocument/2006/relationships/hyperlink" Target="https://www.epac-eacn.org/images/news_images/EPAC_EACN%20Newsletter_03-Dec-2019.pdf" TargetMode="External"/><Relationship Id="rId344" Type="http://schemas.openxmlformats.org/officeDocument/2006/relationships/hyperlink" Target="https://www.boe.es/buscar/pdf/2016/BOE-A-2016-12048-consolidado.pdf" TargetMode="External"/><Relationship Id="rId41" Type="http://schemas.openxmlformats.org/officeDocument/2006/relationships/hyperlink" Target="https://www.boe.es/buscar/pdf/2016/BOE-A-2016-12048-consolidado.pdf" TargetMode="External"/><Relationship Id="rId83" Type="http://schemas.openxmlformats.org/officeDocument/2006/relationships/hyperlink" Target="https://www.boe.es/buscar/pdf/2016/BOE-A-2016-12048-consolidado.pdf" TargetMode="External"/><Relationship Id="rId179" Type="http://schemas.openxmlformats.org/officeDocument/2006/relationships/hyperlink" Target="https://www.antifraucv.es/wp-content/uploads/2019/06/2_Adenda-Memoria-econ%C3%B3mica_CAS.pdf" TargetMode="External"/><Relationship Id="rId386" Type="http://schemas.openxmlformats.org/officeDocument/2006/relationships/hyperlink" Target="http://www.dogv.gva.es/datos/2019/10/30/pdf/2019_10047.pdf" TargetMode="External"/><Relationship Id="rId551" Type="http://schemas.microsoft.com/office/2007/relationships/hdphoto" Target="media/hdphoto57.wdp"/><Relationship Id="rId190" Type="http://schemas.openxmlformats.org/officeDocument/2006/relationships/hyperlink" Target="https://www.boe.es/buscar/pdf/2016/BOE-A-2016-12048-consolidado.pdf" TargetMode="External"/><Relationship Id="rId204" Type="http://schemas.openxmlformats.org/officeDocument/2006/relationships/hyperlink" Target="https://www.boe.es/buscar/pdf/2016/BOE-A-2016-12048-consolidado.pdf" TargetMode="External"/><Relationship Id="rId246" Type="http://schemas.openxmlformats.org/officeDocument/2006/relationships/image" Target="media/image13.png"/><Relationship Id="rId288" Type="http://schemas.openxmlformats.org/officeDocument/2006/relationships/hyperlink" Target="http://www.dogv.gva.es/datos/2019/10/28/pdf/2019_10039.pdf" TargetMode="External"/><Relationship Id="rId411" Type="http://schemas.openxmlformats.org/officeDocument/2006/relationships/hyperlink" Target="https://www.antifraucv.es/es/portal-transparencia/informacion-institucional/" TargetMode="External"/><Relationship Id="rId453" Type="http://schemas.microsoft.com/office/2007/relationships/hdphoto" Target="media/hdphoto9.wdp"/><Relationship Id="rId509" Type="http://schemas.openxmlformats.org/officeDocument/2006/relationships/footer" Target="footer6.xml"/><Relationship Id="rId106" Type="http://schemas.openxmlformats.org/officeDocument/2006/relationships/hyperlink" Target="http://www.dogv.gva.es/auto/dogv/docvpub/rlgv/2019/RAF_20190627_ca_RAF_20190716.pdf" TargetMode="External"/><Relationship Id="rId313" Type="http://schemas.openxmlformats.org/officeDocument/2006/relationships/hyperlink" Target="http://www.ctranspa.webs.upv.es/whistleblowing/programa-whistleblowing/" TargetMode="External"/><Relationship Id="rId495" Type="http://schemas.microsoft.com/office/2007/relationships/hdphoto" Target="media/hdphoto30.wdp"/><Relationship Id="rId10" Type="http://schemas.openxmlformats.org/officeDocument/2006/relationships/footer" Target="footer2.xml"/><Relationship Id="rId52" Type="http://schemas.microsoft.com/office/2007/relationships/diagramDrawing" Target="diagrams/drawing1.xml"/><Relationship Id="rId94" Type="http://schemas.openxmlformats.org/officeDocument/2006/relationships/hyperlink" Target="https://www.boe.es/buscar/pdf/2016/BOE-A-2016-12048-consolidado.pdf" TargetMode="External"/><Relationship Id="rId148" Type="http://schemas.openxmlformats.org/officeDocument/2006/relationships/hyperlink" Target="https://www.boe.es/buscar/pdf/2017/BOE-A-2017-12902-consolidado.pdf" TargetMode="External"/><Relationship Id="rId355" Type="http://schemas.openxmlformats.org/officeDocument/2006/relationships/hyperlink" Target="http://www.dogv.gva.es/datos/2019/07/02/pdf/2019_6610.pdf" TargetMode="External"/><Relationship Id="rId397" Type="http://schemas.openxmlformats.org/officeDocument/2006/relationships/hyperlink" Target="http://www.dogv.gva.es/datos/2019/12/31/pdf/2019_12091.pdf" TargetMode="External"/><Relationship Id="rId520" Type="http://schemas.openxmlformats.org/officeDocument/2006/relationships/image" Target="media/image66.png"/><Relationship Id="rId562" Type="http://schemas.openxmlformats.org/officeDocument/2006/relationships/image" Target="media/image87.png"/><Relationship Id="rId215" Type="http://schemas.openxmlformats.org/officeDocument/2006/relationships/hyperlink" Target="https://www.boe.es/boe/dias/1993/02/12/pdfs/T00030-00035.pdf" TargetMode="External"/><Relationship Id="rId257" Type="http://schemas.openxmlformats.org/officeDocument/2006/relationships/hyperlink" Target="https://www.boe.es/buscar/pdf/2008/BOE-A-2008-19527-consolidado.pdf" TargetMode="External"/><Relationship Id="rId422" Type="http://schemas.openxmlformats.org/officeDocument/2006/relationships/image" Target="media/image23.emf"/><Relationship Id="rId464" Type="http://schemas.openxmlformats.org/officeDocument/2006/relationships/image" Target="media/image39.png"/><Relationship Id="rId299" Type="http://schemas.openxmlformats.org/officeDocument/2006/relationships/hyperlink" Target="https://www.cnmc.es/espacio-compliance-el-denunciante-desamparado" TargetMode="External"/><Relationship Id="rId63" Type="http://schemas.openxmlformats.org/officeDocument/2006/relationships/hyperlink" Target="https://www.boe.es/buscar/pdf/2016/BOE-A-2016-12048-consolidado.pdf" TargetMode="External"/><Relationship Id="rId159" Type="http://schemas.openxmlformats.org/officeDocument/2006/relationships/hyperlink" Target="https://www.boe.es/buscar/pdf/2016/BOE-A-2016-12048-consolidado.pdf" TargetMode="External"/><Relationship Id="rId366" Type="http://schemas.openxmlformats.org/officeDocument/2006/relationships/hyperlink" Target="http://www.dogv.gva.es/datos/2019/07/15/pdf/2019_7107.pdf" TargetMode="External"/><Relationship Id="rId573" Type="http://schemas.microsoft.com/office/2007/relationships/hdphoto" Target="media/hdphoto68.wdp"/><Relationship Id="rId226" Type="http://schemas.openxmlformats.org/officeDocument/2006/relationships/hyperlink" Target="https://www.boe.es/buscar/pdf/2016/BOE-A-2016-12048-consolidado.pdf" TargetMode="External"/><Relationship Id="rId433" Type="http://schemas.openxmlformats.org/officeDocument/2006/relationships/chart" Target="charts/chart40.xml"/><Relationship Id="rId74" Type="http://schemas.openxmlformats.org/officeDocument/2006/relationships/hyperlink" Target="http://www.dogv.gva.es/datos/2018/05/23/pdf/2018_4529.pdf" TargetMode="External"/><Relationship Id="rId377" Type="http://schemas.openxmlformats.org/officeDocument/2006/relationships/hyperlink" Target="http://www.dogv.gva.es/datos/2019/10/28/pdf/2019_10039.pdf" TargetMode="External"/><Relationship Id="rId500" Type="http://schemas.openxmlformats.org/officeDocument/2006/relationships/image" Target="media/image57.png"/><Relationship Id="rId584" Type="http://schemas.openxmlformats.org/officeDocument/2006/relationships/image" Target="media/image98.png"/><Relationship Id="rId5" Type="http://schemas.openxmlformats.org/officeDocument/2006/relationships/footnotes" Target="footnotes.xml"/><Relationship Id="rId237" Type="http://schemas.openxmlformats.org/officeDocument/2006/relationships/chart" Target="charts/chart14.xml"/><Relationship Id="rId444" Type="http://schemas.openxmlformats.org/officeDocument/2006/relationships/image" Target="media/image29.png"/><Relationship Id="rId290" Type="http://schemas.openxmlformats.org/officeDocument/2006/relationships/image" Target="media/image16.png"/><Relationship Id="rId304" Type="http://schemas.openxmlformats.org/officeDocument/2006/relationships/image" Target="media/image21.png"/><Relationship Id="rId388" Type="http://schemas.openxmlformats.org/officeDocument/2006/relationships/hyperlink" Target="http://www.dogv.gva.es/datos/2019/11/15/pdf/2019_10814.pdf" TargetMode="External"/><Relationship Id="rId511" Type="http://schemas.microsoft.com/office/2007/relationships/hdphoto" Target="media/hdphoto37.wdp"/><Relationship Id="rId85" Type="http://schemas.openxmlformats.org/officeDocument/2006/relationships/hyperlink" Target="http://www.dogv.gva.es/datos/2018/05/23/pdf/2018_4529.pdf" TargetMode="External"/><Relationship Id="rId150" Type="http://schemas.openxmlformats.org/officeDocument/2006/relationships/hyperlink" Target="https://www.boe.es/buscar/pdf/2017/BOE-A-2017-12902-consolidado.pdf" TargetMode="External"/><Relationship Id="rId248" Type="http://schemas.openxmlformats.org/officeDocument/2006/relationships/chart" Target="charts/chart24.xml"/><Relationship Id="rId455" Type="http://schemas.microsoft.com/office/2007/relationships/hdphoto" Target="media/hdphoto10.wdp"/><Relationship Id="rId12" Type="http://schemas.openxmlformats.org/officeDocument/2006/relationships/hyperlink" Target="http://www.antifraucv.es/" TargetMode="External"/><Relationship Id="rId108" Type="http://schemas.openxmlformats.org/officeDocument/2006/relationships/hyperlink" Target="http://www.dogv.gva.es/auto/dogv/docvpub/rlgv/2019/RAF_20190627_ca_RAF_20190716.pdf" TargetMode="External"/><Relationship Id="rId315" Type="http://schemas.openxmlformats.org/officeDocument/2006/relationships/hyperlink" Target="https://www.ub.edu/portal/documents/620105/0/Seminari+Corrupcion+y+buen+gobierno+4.pdf/a1e06cc1-473c-1ba4-e23d-fa13e8051c2d" TargetMode="External"/><Relationship Id="rId522" Type="http://schemas.openxmlformats.org/officeDocument/2006/relationships/image" Target="media/image67.png"/><Relationship Id="rId96" Type="http://schemas.openxmlformats.org/officeDocument/2006/relationships/hyperlink" Target="http://www.dogv.gva.es/datos/2018/05/23/pdf/2018_4529.pdf" TargetMode="External"/><Relationship Id="rId161" Type="http://schemas.openxmlformats.org/officeDocument/2006/relationships/hyperlink" Target="http://www.dogv.gva.es/datos/2018/12/28/pdf/2018_12241.pdf" TargetMode="External"/><Relationship Id="rId399" Type="http://schemas.openxmlformats.org/officeDocument/2006/relationships/hyperlink" Target="https://www.cortsvalencianes.es/es/consulta_boc" TargetMode="External"/><Relationship Id="rId259" Type="http://schemas.openxmlformats.org/officeDocument/2006/relationships/hyperlink" Target="https://www.boe.es/buscar/pdf/2017/BOE-A-2017-10292-consolidado.pdf" TargetMode="External"/><Relationship Id="rId466" Type="http://schemas.openxmlformats.org/officeDocument/2006/relationships/image" Target="media/image40.png"/><Relationship Id="rId23" Type="http://schemas.openxmlformats.org/officeDocument/2006/relationships/image" Target="media/image5.png"/><Relationship Id="rId119" Type="http://schemas.openxmlformats.org/officeDocument/2006/relationships/hyperlink" Target="http://www.congreso.es/public_oficiales/L13/CONG/BOCG/B/BOCG-13-B-35-1.PDF" TargetMode="External"/><Relationship Id="rId326" Type="http://schemas.openxmlformats.org/officeDocument/2006/relationships/hyperlink" Target="https://www.youtube.com/channel/UCkDS5OEUZu3iTEWg7gu8XXQ" TargetMode="External"/><Relationship Id="rId533" Type="http://schemas.microsoft.com/office/2007/relationships/hdphoto" Target="media/hdphoto48.wdp"/><Relationship Id="rId172" Type="http://schemas.openxmlformats.org/officeDocument/2006/relationships/hyperlink" Target="http://www.dogv.gva.es/datos/2018/10/24/pdf/2018_9507.pdf" TargetMode="External"/><Relationship Id="rId477" Type="http://schemas.microsoft.com/office/2007/relationships/hdphoto" Target="media/hdphoto21.wdp"/><Relationship Id="rId337" Type="http://schemas.openxmlformats.org/officeDocument/2006/relationships/hyperlink" Target="https://www.boe.es/buscar/pdf/2016/BOE-A-2016-12048-consolidado.pdf" TargetMode="External"/><Relationship Id="rId34" Type="http://schemas.openxmlformats.org/officeDocument/2006/relationships/hyperlink" Target="https://www.antifraucv.es/es/recomanacio-als-carrecs/" TargetMode="External"/><Relationship Id="rId544" Type="http://schemas.openxmlformats.org/officeDocument/2006/relationships/image" Target="media/image78.png"/><Relationship Id="rId183" Type="http://schemas.openxmlformats.org/officeDocument/2006/relationships/hyperlink" Target="http://www.dogv.gva.es/auto/dogv/docvpub/rlgv/2019/RAF_20190627_ca_RAF_20190716.pdf" TargetMode="External"/><Relationship Id="rId390" Type="http://schemas.openxmlformats.org/officeDocument/2006/relationships/hyperlink" Target="https://www.cortsvalencianes.es/es/consulta_boc" TargetMode="External"/><Relationship Id="rId404" Type="http://schemas.openxmlformats.org/officeDocument/2006/relationships/header" Target="header5.xml"/><Relationship Id="rId250" Type="http://schemas.openxmlformats.org/officeDocument/2006/relationships/chart" Target="charts/chart26.xml"/><Relationship Id="rId488" Type="http://schemas.openxmlformats.org/officeDocument/2006/relationships/image" Target="media/image51.png"/></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_rels/footer5.xml.rels><?xml version="1.0" encoding="UTF-8" standalone="yes"?>
<Relationships xmlns="http://schemas.openxmlformats.org/package/2006/relationships"><Relationship Id="rId1" Type="http://schemas.openxmlformats.org/officeDocument/2006/relationships/image" Target="media/image1.png"/></Relationships>
</file>

<file path=word/_rels/footer6.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einstein\juridico\MEMORIA\2019\Gr&#225;ficos\GRAFICOS%20MEMORIA%202019%20CHAMALI.xlsx" TargetMode="Externa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3.xlsx"/></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12.xm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5.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einstein\juridico\MEMORIA\2019\Gr&#225;ficos\GRAFICOS%20MEMORIA%202019%20CHAMALI.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einstein\juridico\MEMORIA\2019\Gr&#225;ficos\GRAFICOS%20MEMORIA%202019%20CHAMALI.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18.xml.rels><?xml version="1.0" encoding="UTF-8" standalone="yes"?>
<Relationships xmlns="http://schemas.openxmlformats.org/package/2006/relationships"><Relationship Id="rId2" Type="http://schemas.openxmlformats.org/officeDocument/2006/relationships/oleObject" Target="file:///\\einstein\juridico\MEMORIA\2019\Gr&#225;ficos\GRAFICOS%20MEMORIA%202019%20CHAMALI.xlsx" TargetMode="External"/><Relationship Id="rId1" Type="http://schemas.openxmlformats.org/officeDocument/2006/relationships/themeOverride" Target="../theme/themeOverride17.xm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einstein\juridico\MEMORIA\2019\Gr&#225;ficos\GRAFICOS%20MEMORIA%202019%20CHAMALI.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D:\MEMORIA_Denuncias%20a%2023-01-2020.xlsx" TargetMode="External"/><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7.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8.xlsx"/></Relationships>
</file>

<file path=word/charts/_rels/chart22.xml.rels><?xml version="1.0" encoding="UTF-8" standalone="yes"?>
<Relationships xmlns="http://schemas.openxmlformats.org/package/2006/relationships"><Relationship Id="rId2" Type="http://schemas.openxmlformats.org/officeDocument/2006/relationships/oleObject" Target="file:///\\einstein\juridico\MEMORIA\2019\Gr&#225;ficos\GRAFICOS%20MEMORIA%202019%20CHAMALI.xlsx" TargetMode="External"/><Relationship Id="rId1" Type="http://schemas.openxmlformats.org/officeDocument/2006/relationships/themeOverride" Target="../theme/themeOverride21.xm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9.xlsx"/></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23.xm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1.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embeddings/oleObject1.bin"/></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einstein\juridico\MEMORIA\2019\Gr&#225;ficos\GRAFICOS%20MEMORIA%202019%20CHAMALI.xlsx" TargetMode="Externa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27.xml"/></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3.xlsx"/></Relationships>
</file>

<file path=word/charts/_rels/chart3.xml.rels><?xml version="1.0" encoding="UTF-8" standalone="yes"?>
<Relationships xmlns="http://schemas.openxmlformats.org/package/2006/relationships"><Relationship Id="rId2" Type="http://schemas.openxmlformats.org/officeDocument/2006/relationships/oleObject" Target="file:///D:\MEMORIA_Denuncias%20a%2023-01-2020.xlsx" TargetMode="External"/><Relationship Id="rId1" Type="http://schemas.openxmlformats.org/officeDocument/2006/relationships/themeOverride" Target="../theme/themeOverride2.xm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4.xlsx"/></Relationships>
</file>

<file path=word/charts/_rels/chart31.xml.rels><?xml version="1.0" encoding="UTF-8" standalone="yes"?>
<Relationships xmlns="http://schemas.openxmlformats.org/package/2006/relationships"><Relationship Id="rId1" Type="http://schemas.openxmlformats.org/officeDocument/2006/relationships/themeOverride" Target="../theme/themeOverride30.xml"/></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einstein\frc\MEMORIA%202019\estadistica%20medios.xlsx" TargetMode="Externa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32.xml"/></Relationships>
</file>

<file path=word/charts/_rels/chart34.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33.xml"/></Relationships>
</file>

<file path=word/charts/_rels/chart35.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34.xml"/></Relationships>
</file>

<file path=word/charts/_rels/chart36.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35.xml"/></Relationships>
</file>

<file path=word/charts/_rels/chart37.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36.xml"/></Relationships>
</file>

<file path=word/charts/_rels/chart38.xml.rels><?xml version="1.0" encoding="UTF-8" standalone="yes"?>
<Relationships xmlns="http://schemas.openxmlformats.org/package/2006/relationships"><Relationship Id="rId3" Type="http://schemas.openxmlformats.org/officeDocument/2006/relationships/oleObject" Target="file:///C:\Users\araceli.chana\Downloads\grafico%20n&#250;mero%2039%20administracion%20de%20procedencia.xlsx" TargetMode="External"/><Relationship Id="rId2" Type="http://schemas.microsoft.com/office/2011/relationships/chartColorStyle" Target="colors18.xml"/><Relationship Id="rId1" Type="http://schemas.microsoft.com/office/2011/relationships/chartStyle" Target="style18.xml"/></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file:///C:\Users\araceli.chana\Desktop\MEMORIA%202019\0.%20TELETRABAJO\ADMINISTRACION\GR&#193;FICOS\UGE_PRESUEST_CONTRATACI&#211;N\GR&#193;FICOS%20CONTRATACI&#211;N\Memoria2019_acumulatT4_dadesEstad&#237;stiquesVolumContractesAdjudicats.xlsx" TargetMode="External"/></Relationships>
</file>

<file path=word/charts/_rels/chart4.xml.rels><?xml version="1.0" encoding="UTF-8" standalone="yes"?>
<Relationships xmlns="http://schemas.openxmlformats.org/package/2006/relationships"><Relationship Id="rId2" Type="http://schemas.openxmlformats.org/officeDocument/2006/relationships/oleObject" Target="file:///D:\MEMORIA_Denuncias%20a%2023-01-2020.xlsx" TargetMode="External"/><Relationship Id="rId1" Type="http://schemas.openxmlformats.org/officeDocument/2006/relationships/themeOverride" Target="../theme/themeOverride3.xml"/></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6.xlsx"/></Relationships>
</file>

<file path=word/charts/_rels/chart5.xml.rels><?xml version="1.0" encoding="UTF-8" standalone="yes"?>
<Relationships xmlns="http://schemas.openxmlformats.org/package/2006/relationships"><Relationship Id="rId2" Type="http://schemas.openxmlformats.org/officeDocument/2006/relationships/oleObject" Target="file:///D:\MEMORIA_Denuncias%20a%2023-01-2020.xlsx" TargetMode="External"/><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oleObject" Target="file:///D:\MEMORIA_Denuncias%20a%2023-01-2020.xlsx" TargetMode="External"/><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oleObject" Target="file:///D:\MEMORIA_Denuncias%20a%2023-01-2020.xlsx" TargetMode="External"/><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oleObject" Target="file:///D:\MEMORIA_Denuncias%20a%2023-01-2020.xlsx" TargetMode="External"/><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8038650707209422E-2"/>
          <c:y val="1.888926754315164E-2"/>
          <c:w val="0.56573911160898782"/>
          <c:h val="0.87717970333434958"/>
        </c:manualLayout>
      </c:layout>
      <c:pie3DChart>
        <c:varyColors val="1"/>
        <c:ser>
          <c:idx val="0"/>
          <c:order val="0"/>
          <c:dPt>
            <c:idx val="0"/>
            <c:bubble3D val="0"/>
            <c:spPr>
              <a:solidFill>
                <a:srgbClr val="9D223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5AAE-413E-93FF-AEAB25556FD2}"/>
              </c:ext>
            </c:extLst>
          </c:dPt>
          <c:dPt>
            <c:idx val="1"/>
            <c:bubble3D val="0"/>
            <c:spPr>
              <a:solidFill>
                <a:srgbClr val="D83A2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5AAE-413E-93FF-AEAB25556FD2}"/>
              </c:ext>
            </c:extLst>
          </c:dPt>
          <c:dPt>
            <c:idx val="2"/>
            <c:bubble3D val="0"/>
            <c:spPr>
              <a:solidFill>
                <a:srgbClr val="E7957F"/>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5AAE-413E-93FF-AEAB25556FD2}"/>
              </c:ext>
            </c:extLst>
          </c:dPt>
          <c:dPt>
            <c:idx val="3"/>
            <c:bubble3D val="0"/>
            <c:spPr>
              <a:solidFill>
                <a:srgbClr val="EABAC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5AAE-413E-93FF-AEAB25556FD2}"/>
              </c:ext>
            </c:extLst>
          </c:dPt>
          <c:dPt>
            <c:idx val="4"/>
            <c:bubble3D val="0"/>
            <c:spPr>
              <a:solidFill>
                <a:srgbClr val="9C8C9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5AAE-413E-93FF-AEAB25556FD2}"/>
              </c:ext>
            </c:extLst>
          </c:dPt>
          <c:dPt>
            <c:idx val="5"/>
            <c:bubble3D val="0"/>
            <c:spPr>
              <a:solidFill>
                <a:srgbClr val="5B6770"/>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5AAE-413E-93FF-AEAB25556FD2}"/>
              </c:ext>
            </c:extLst>
          </c:dPt>
          <c:dPt>
            <c:idx val="6"/>
            <c:bubble3D val="0"/>
            <c:spPr>
              <a:solidFill>
                <a:srgbClr val="ABABAB"/>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D-5AAE-413E-93FF-AEAB25556FD2}"/>
              </c:ext>
            </c:extLst>
          </c:dPt>
          <c:dLbls>
            <c:dLbl>
              <c:idx val="0"/>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AAE-413E-93FF-AEAB25556FD2}"/>
                </c:ext>
              </c:extLst>
            </c:dLbl>
            <c:dLbl>
              <c:idx val="1"/>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AAE-413E-93FF-AEAB25556FD2}"/>
                </c:ext>
              </c:extLst>
            </c:dLbl>
            <c:dLbl>
              <c:idx val="2"/>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AAE-413E-93FF-AEAB25556FD2}"/>
                </c:ext>
              </c:extLst>
            </c:dLbl>
            <c:dLbl>
              <c:idx val="3"/>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AAE-413E-93FF-AEAB25556FD2}"/>
                </c:ext>
              </c:extLst>
            </c:dLbl>
            <c:dLbl>
              <c:idx val="4"/>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AAE-413E-93FF-AEAB25556FD2}"/>
                </c:ext>
              </c:extLst>
            </c:dLbl>
            <c:dLbl>
              <c:idx val="5"/>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AAE-413E-93FF-AEAB25556FD2}"/>
                </c:ext>
              </c:extLst>
            </c:dLbl>
            <c:dLbl>
              <c:idx val="6"/>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AAE-413E-93FF-AEAB25556FD2}"/>
                </c:ext>
              </c:extLst>
            </c:dLbl>
            <c:spPr>
              <a:noFill/>
              <a:ln>
                <a:noFill/>
              </a:ln>
              <a:effectLst>
                <a:outerShdw blurRad="50800" dist="38100" dir="2700000" algn="tl" rotWithShape="0">
                  <a:prstClr val="black">
                    <a:alpha val="40000"/>
                  </a:prstClr>
                </a:outerShdw>
              </a:effectLst>
            </c:spPr>
            <c:txPr>
              <a:bodyPr rot="0" spcFirstLastPara="1" vertOverflow="overflow" horzOverflow="overflow"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inEnd"/>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'DATOS MEMORIA 2019'!$A$111:$A$117</c:f>
              <c:strCache>
                <c:ptCount val="7"/>
                <c:pt idx="0">
                  <c:v>Contratación pública</c:v>
                </c:pt>
                <c:pt idx="1">
                  <c:v>Gestión de activos / Patrimonio</c:v>
                </c:pt>
                <c:pt idx="2">
                  <c:v>Gestión de personal</c:v>
                </c:pt>
                <c:pt idx="3">
                  <c:v>Otros</c:v>
                </c:pt>
                <c:pt idx="4">
                  <c:v>Subvenciones</c:v>
                </c:pt>
                <c:pt idx="5">
                  <c:v>Urbanismo / M. Ambiente</c:v>
                </c:pt>
                <c:pt idx="6">
                  <c:v>Uso indebido de recursos públicos</c:v>
                </c:pt>
              </c:strCache>
            </c:strRef>
          </c:cat>
          <c:val>
            <c:numRef>
              <c:f>'DATOS MEMORIA 2019'!$B$111:$B$117</c:f>
              <c:numCache>
                <c:formatCode>0%</c:formatCode>
                <c:ptCount val="7"/>
                <c:pt idx="0">
                  <c:v>0.25748502994011974</c:v>
                </c:pt>
                <c:pt idx="1">
                  <c:v>1.1976047904191617E-2</c:v>
                </c:pt>
                <c:pt idx="2">
                  <c:v>0.40119760479041916</c:v>
                </c:pt>
                <c:pt idx="3">
                  <c:v>0.16167664670658682</c:v>
                </c:pt>
                <c:pt idx="4">
                  <c:v>4.1916167664670656E-2</c:v>
                </c:pt>
                <c:pt idx="5">
                  <c:v>9.580838323353294E-2</c:v>
                </c:pt>
                <c:pt idx="6">
                  <c:v>2.9940119760479042E-2</c:v>
                </c:pt>
              </c:numCache>
            </c:numRef>
          </c:val>
          <c:extLst>
            <c:ext xmlns:c16="http://schemas.microsoft.com/office/drawing/2014/chart" uri="{C3380CC4-5D6E-409C-BE32-E72D297353CC}">
              <c16:uniqueId val="{0000000E-5AAE-413E-93FF-AEAB25556FD2}"/>
            </c:ext>
          </c:extLst>
        </c:ser>
        <c:dLbls>
          <c:dLblPos val="inEnd"/>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3900947750517634"/>
          <c:y val="2.5449074963190571E-2"/>
          <c:w val="0.34915612125613399"/>
          <c:h val="0.97455090237614106"/>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Open Sans" panose="020B0606030504020204" pitchFamily="34" charset="0"/>
              <a:ea typeface="Open Sans" panose="020B0606030504020204" pitchFamily="34" charset="0"/>
              <a:cs typeface="Open Sans" panose="020B0606030504020204" pitchFamily="34" charset="0"/>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solidFill>
        <a:schemeClr val="bg1">
          <a:lumMod val="85000"/>
        </a:schemeClr>
      </a:solidFill>
      <a:round/>
    </a:ln>
    <a:effectLst/>
  </c:spPr>
  <c:txPr>
    <a:bodyPr/>
    <a:lstStyle/>
    <a:p>
      <a:pPr>
        <a:defRPr/>
      </a:pPr>
      <a:endParaRPr lang="es-E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240105580022837"/>
          <c:y val="0.13341367111719732"/>
          <c:w val="0.57081846475701969"/>
          <c:h val="0.77252089071904873"/>
        </c:manualLayout>
      </c:layout>
      <c:doughnutChart>
        <c:varyColors val="1"/>
        <c:ser>
          <c:idx val="0"/>
          <c:order val="0"/>
          <c:spPr>
            <a:ln w="25400" cmpd="dbl">
              <a:solidFill>
                <a:srgbClr val="C6C6C6"/>
              </a:solidFill>
              <a:round/>
            </a:ln>
            <a:effectLst>
              <a:glow rad="127000">
                <a:schemeClr val="tx1">
                  <a:alpha val="0"/>
                </a:schemeClr>
              </a:glow>
              <a:outerShdw blurRad="50800" dist="38100" dir="5400000" algn="t" rotWithShape="0">
                <a:prstClr val="black">
                  <a:alpha val="40000"/>
                </a:prstClr>
              </a:outerShdw>
              <a:softEdge rad="0"/>
            </a:effectLst>
            <a:scene3d>
              <a:camera prst="orthographicFront"/>
              <a:lightRig rig="threePt" dir="t"/>
            </a:scene3d>
            <a:sp3d prstMaterial="matte"/>
          </c:spPr>
          <c:explosion val="9"/>
          <c:dPt>
            <c:idx val="0"/>
            <c:bubble3D val="0"/>
            <c:spPr>
              <a:solidFill>
                <a:srgbClr val="ABABAB"/>
              </a:solidFill>
              <a:ln w="25400" cmpd="dbl">
                <a:solidFill>
                  <a:srgbClr val="C6C6C6"/>
                </a:solidFill>
                <a:round/>
              </a:ln>
              <a:effectLst>
                <a:glow rad="127000">
                  <a:schemeClr val="tx1">
                    <a:alpha val="0"/>
                  </a:schemeClr>
                </a:glow>
                <a:outerShdw blurRad="50800" dist="38100" dir="5400000" algn="t" rotWithShape="0">
                  <a:prstClr val="black">
                    <a:alpha val="40000"/>
                  </a:prstClr>
                </a:outerShdw>
                <a:softEdge rad="0"/>
              </a:effectLst>
              <a:scene3d>
                <a:camera prst="orthographicFront"/>
                <a:lightRig rig="threePt" dir="t"/>
              </a:scene3d>
              <a:sp3d prstMaterial="matte"/>
            </c:spPr>
            <c:extLst>
              <c:ext xmlns:c16="http://schemas.microsoft.com/office/drawing/2014/chart" uri="{C3380CC4-5D6E-409C-BE32-E72D297353CC}">
                <c16:uniqueId val="{00000001-79CD-4714-ABAF-CB0B11BFB030}"/>
              </c:ext>
            </c:extLst>
          </c:dPt>
          <c:dPt>
            <c:idx val="1"/>
            <c:bubble3D val="0"/>
            <c:spPr>
              <a:solidFill>
                <a:srgbClr val="EABAC2"/>
              </a:solidFill>
              <a:ln w="25400" cmpd="dbl">
                <a:solidFill>
                  <a:srgbClr val="C6C6C6"/>
                </a:solidFill>
                <a:round/>
              </a:ln>
              <a:effectLst>
                <a:glow rad="127000">
                  <a:schemeClr val="tx1">
                    <a:alpha val="0"/>
                  </a:schemeClr>
                </a:glow>
                <a:outerShdw blurRad="50800" dist="38100" dir="5400000" algn="t" rotWithShape="0">
                  <a:prstClr val="black">
                    <a:alpha val="40000"/>
                  </a:prstClr>
                </a:outerShdw>
                <a:softEdge rad="0"/>
              </a:effectLst>
              <a:scene3d>
                <a:camera prst="orthographicFront"/>
                <a:lightRig rig="threePt" dir="t"/>
              </a:scene3d>
              <a:sp3d prstMaterial="matte"/>
            </c:spPr>
            <c:extLst>
              <c:ext xmlns:c16="http://schemas.microsoft.com/office/drawing/2014/chart" uri="{C3380CC4-5D6E-409C-BE32-E72D297353CC}">
                <c16:uniqueId val="{00000003-79CD-4714-ABAF-CB0B11BFB030}"/>
              </c:ext>
            </c:extLst>
          </c:dPt>
          <c:dPt>
            <c:idx val="2"/>
            <c:bubble3D val="0"/>
            <c:spPr>
              <a:solidFill>
                <a:srgbClr val="9D2235"/>
              </a:solidFill>
              <a:ln w="25400" cmpd="dbl">
                <a:solidFill>
                  <a:srgbClr val="C6C6C6"/>
                </a:solidFill>
                <a:round/>
              </a:ln>
              <a:effectLst>
                <a:glow rad="127000">
                  <a:schemeClr val="tx1">
                    <a:alpha val="0"/>
                  </a:schemeClr>
                </a:glow>
                <a:outerShdw blurRad="50800" dist="38100" dir="5400000" algn="t" rotWithShape="0">
                  <a:prstClr val="black">
                    <a:alpha val="40000"/>
                  </a:prstClr>
                </a:outerShdw>
                <a:softEdge rad="0"/>
              </a:effectLst>
              <a:scene3d>
                <a:camera prst="orthographicFront"/>
                <a:lightRig rig="threePt" dir="t"/>
              </a:scene3d>
              <a:sp3d prstMaterial="matte"/>
            </c:spPr>
            <c:extLst>
              <c:ext xmlns:c16="http://schemas.microsoft.com/office/drawing/2014/chart" uri="{C3380CC4-5D6E-409C-BE32-E72D297353CC}">
                <c16:uniqueId val="{00000005-79CD-4714-ABAF-CB0B11BFB030}"/>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Open Sans" panose="020B0606030504020204" pitchFamily="34" charset="0"/>
                    <a:ea typeface="+mn-ea"/>
                    <a:cs typeface="+mn-cs"/>
                  </a:defRPr>
                </a:pPr>
                <a:endParaRPr lang="es-E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Hoja1!$M$49:$M$51</c:f>
              <c:numCache>
                <c:formatCode>General</c:formatCode>
                <c:ptCount val="3"/>
                <c:pt idx="0">
                  <c:v>1</c:v>
                </c:pt>
                <c:pt idx="1">
                  <c:v>4</c:v>
                </c:pt>
                <c:pt idx="2">
                  <c:v>5</c:v>
                </c:pt>
              </c:numCache>
            </c:numRef>
          </c:val>
          <c:extLst>
            <c:ext xmlns:c15="http://schemas.microsoft.com/office/drawing/2012/chart" uri="{02D57815-91ED-43cb-92C2-25804820EDAC}">
              <c15:filteredCategoryTitle>
                <c15:cat>
                  <c:strRef>
                    <c:extLst>
                      <c:ext uri="{02D57815-91ED-43cb-92C2-25804820EDAC}">
                        <c15:formulaRef>
                          <c15:sqref>Hoja1!$L$49:$L$51</c15:sqref>
                        </c15:formulaRef>
                      </c:ext>
                    </c:extLst>
                    <c:strCache>
                      <c:ptCount val="3"/>
                      <c:pt idx="0">
                        <c:v>Buzón denuncias</c:v>
                      </c:pt>
                      <c:pt idx="1">
                        <c:v>Correo electrónico</c:v>
                      </c:pt>
                      <c:pt idx="2">
                        <c:v>Registro Agencia</c:v>
                      </c:pt>
                    </c:strCache>
                  </c:strRef>
                </c15:cat>
              </c15:filteredCategoryTitle>
            </c:ext>
            <c:ext xmlns:c16="http://schemas.microsoft.com/office/drawing/2014/chart" uri="{C3380CC4-5D6E-409C-BE32-E72D297353CC}">
              <c16:uniqueId val="{00000006-79CD-4714-ABAF-CB0B11BFB030}"/>
            </c:ext>
          </c:extLst>
        </c:ser>
        <c:dLbls>
          <c:showLegendKey val="0"/>
          <c:showVal val="1"/>
          <c:showCatName val="0"/>
          <c:showSerName val="0"/>
          <c:showPercent val="0"/>
          <c:showBubbleSize val="0"/>
          <c:showLeaderLines val="1"/>
        </c:dLbls>
        <c:firstSliceAng val="61"/>
        <c:holeSize val="44"/>
      </c:doughnutChart>
      <c:spPr>
        <a:noFill/>
        <a:ln>
          <a:noFill/>
        </a:ln>
        <a:effectLst/>
      </c:spPr>
    </c:plotArea>
    <c:legend>
      <c:legendPos val="r"/>
      <c:layout>
        <c:manualLayout>
          <c:xMode val="edge"/>
          <c:yMode val="edge"/>
          <c:x val="0.66355061922245051"/>
          <c:y val="0.67189876627740375"/>
          <c:w val="0.32862924392515452"/>
          <c:h val="0.3260892388451443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F5F5F5"/>
    </a:solidFill>
    <a:ln w="9525" cap="flat" cmpd="sng" algn="ctr">
      <a:noFill/>
      <a:round/>
    </a:ln>
    <a:effectLst/>
  </c:spPr>
  <c:txPr>
    <a:bodyPr/>
    <a:lstStyle/>
    <a:p>
      <a:pPr>
        <a:defRPr/>
      </a:pPr>
      <a:endParaRPr lang="es-E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spPr>
        <a:solidFill>
          <a:srgbClr val="E8E8E8"/>
        </a:solidFill>
        <a:ln>
          <a:solidFill>
            <a:srgbClr val="B3B3B3"/>
          </a:solidFill>
        </a:ln>
      </c:spPr>
    </c:floor>
    <c:sideWall>
      <c:thickness val="0"/>
      <c:spPr>
        <a:noFill/>
        <a:ln w="25400">
          <a:noFill/>
        </a:ln>
      </c:spPr>
    </c:sideWall>
    <c:backWall>
      <c:thickness val="0"/>
      <c:spPr>
        <a:noFill/>
        <a:ln w="25400">
          <a:noFill/>
        </a:ln>
      </c:spPr>
    </c:backWall>
    <c:plotArea>
      <c:layout>
        <c:manualLayout>
          <c:layoutTarget val="inner"/>
          <c:xMode val="edge"/>
          <c:yMode val="edge"/>
          <c:x val="6.2439922282441968E-2"/>
          <c:y val="1.1438495838577792E-2"/>
          <c:w val="0.91301070320755362"/>
          <c:h val="0.6207597734493715"/>
        </c:manualLayout>
      </c:layout>
      <c:bar3DChart>
        <c:barDir val="col"/>
        <c:grouping val="clustered"/>
        <c:varyColors val="0"/>
        <c:ser>
          <c:idx val="0"/>
          <c:order val="0"/>
          <c:spPr>
            <a:solidFill>
              <a:srgbClr val="666666"/>
            </a:solidFill>
            <a:ln>
              <a:noFill/>
            </a:ln>
          </c:spPr>
          <c:invertIfNegative val="0"/>
          <c:dPt>
            <c:idx val="0"/>
            <c:invertIfNegative val="0"/>
            <c:bubble3D val="0"/>
            <c:spPr>
              <a:solidFill>
                <a:srgbClr val="800000"/>
              </a:solidFill>
              <a:ln>
                <a:noFill/>
              </a:ln>
            </c:spPr>
            <c:extLst>
              <c:ext xmlns:c16="http://schemas.microsoft.com/office/drawing/2014/chart" uri="{C3380CC4-5D6E-409C-BE32-E72D297353CC}">
                <c16:uniqueId val="{00000001-54F5-4C72-94CF-27DDD63CB289}"/>
              </c:ext>
            </c:extLst>
          </c:dPt>
          <c:dPt>
            <c:idx val="1"/>
            <c:invertIfNegative val="0"/>
            <c:bubble3D val="0"/>
            <c:spPr>
              <a:solidFill>
                <a:srgbClr val="D17486"/>
              </a:solidFill>
              <a:ln>
                <a:noFill/>
              </a:ln>
            </c:spPr>
            <c:extLst>
              <c:ext xmlns:c16="http://schemas.microsoft.com/office/drawing/2014/chart" uri="{C3380CC4-5D6E-409C-BE32-E72D297353CC}">
                <c16:uniqueId val="{00000003-54F5-4C72-94CF-27DDD63CB289}"/>
              </c:ext>
            </c:extLst>
          </c:dPt>
          <c:dPt>
            <c:idx val="2"/>
            <c:invertIfNegative val="0"/>
            <c:bubble3D val="0"/>
            <c:spPr>
              <a:solidFill>
                <a:srgbClr val="BBA7A1"/>
              </a:solidFill>
              <a:ln>
                <a:noFill/>
              </a:ln>
            </c:spPr>
            <c:extLst>
              <c:ext xmlns:c16="http://schemas.microsoft.com/office/drawing/2014/chart" uri="{C3380CC4-5D6E-409C-BE32-E72D297353CC}">
                <c16:uniqueId val="{00000005-54F5-4C72-94CF-27DDD63CB289}"/>
              </c:ext>
            </c:extLst>
          </c:dPt>
          <c:dPt>
            <c:idx val="3"/>
            <c:invertIfNegative val="0"/>
            <c:bubble3D val="0"/>
            <c:spPr>
              <a:solidFill>
                <a:srgbClr val="C17F78"/>
              </a:solidFill>
              <a:ln>
                <a:noFill/>
              </a:ln>
            </c:spPr>
            <c:extLst>
              <c:ext xmlns:c16="http://schemas.microsoft.com/office/drawing/2014/chart" uri="{C3380CC4-5D6E-409C-BE32-E72D297353CC}">
                <c16:uniqueId val="{00000007-54F5-4C72-94CF-27DDD63CB289}"/>
              </c:ext>
            </c:extLst>
          </c:dPt>
          <c:dLbls>
            <c:dLbl>
              <c:idx val="0"/>
              <c:layout>
                <c:manualLayout>
                  <c:x val="2.050795127181594E-3"/>
                  <c:y val="0.2556836440158902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4F5-4C72-94CF-27DDD63CB289}"/>
                </c:ext>
              </c:extLst>
            </c:dLbl>
            <c:dLbl>
              <c:idx val="1"/>
              <c:layout>
                <c:manualLayout>
                  <c:x val="4.1015902543631126E-3"/>
                  <c:y val="8.19498859025288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4F5-4C72-94CF-27DDD63CB289}"/>
                </c:ext>
              </c:extLst>
            </c:dLbl>
            <c:dLbl>
              <c:idx val="2"/>
              <c:layout>
                <c:manualLayout>
                  <c:x val="6.1523853815447817E-3"/>
                  <c:y val="8.85058767747312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4F5-4C72-94CF-27DDD63CB289}"/>
                </c:ext>
              </c:extLst>
            </c:dLbl>
            <c:dLbl>
              <c:idx val="3"/>
              <c:layout>
                <c:manualLayout>
                  <c:x val="4.1015902543630372E-3"/>
                  <c:y val="7.86718904664276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4F5-4C72-94CF-27DDD63CB289}"/>
                </c:ext>
              </c:extLst>
            </c:dLbl>
            <c:dLbl>
              <c:idx val="4"/>
              <c:layout>
                <c:manualLayout>
                  <c:x val="4.1015902543631881E-3"/>
                  <c:y val="6.91823899371069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4F5-4C72-94CF-27DDD63CB289}"/>
                </c:ext>
              </c:extLst>
            </c:dLbl>
            <c:spPr>
              <a:noFill/>
              <a:ln>
                <a:noFill/>
              </a:ln>
              <a:effectLst/>
            </c:spPr>
            <c:txPr>
              <a:bodyPr rot="0" vert="horz" wrap="square" lIns="38100" tIns="19050" rIns="38100" bIns="19050" anchor="ctr">
                <a:spAutoFit/>
              </a:bodyPr>
              <a:lstStyle/>
              <a:p>
                <a:pPr>
                  <a:defRPr sz="1050" b="1" baseline="0">
                    <a:solidFill>
                      <a:schemeClr val="bg1"/>
                    </a:solidFill>
                    <a:latin typeface="Open San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0"/>
              </c:ext>
            </c:extLst>
          </c:dLbls>
          <c:val>
            <c:numRef>
              <c:f>Hoja1!$M$96:$M$101</c:f>
              <c:numCache>
                <c:formatCode>General</c:formatCode>
                <c:ptCount val="5"/>
                <c:pt idx="0">
                  <c:v>6</c:v>
                </c:pt>
                <c:pt idx="1">
                  <c:v>1</c:v>
                </c:pt>
                <c:pt idx="2">
                  <c:v>1</c:v>
                </c:pt>
                <c:pt idx="3">
                  <c:v>1</c:v>
                </c:pt>
                <c:pt idx="4">
                  <c:v>1</c:v>
                </c:pt>
              </c:numCache>
            </c:numRef>
          </c:val>
          <c:shape val="cylinder"/>
          <c:extLst>
            <c:ext xmlns:c15="http://schemas.microsoft.com/office/drawing/2012/chart" uri="{02D57815-91ED-43cb-92C2-25804820EDAC}">
              <c15:filteredSeriesTitle>
                <c15:tx>
                  <c:strRef>
                    <c:extLst>
                      <c:ext uri="{02D57815-91ED-43cb-92C2-25804820EDAC}">
                        <c15:formulaRef>
                          <c15:sqref>Hoja1!$M$94</c15:sqref>
                        </c15:formulaRef>
                      </c:ext>
                    </c:extLst>
                    <c:strCache>
                      <c:ptCount val="1"/>
                    </c:strCache>
                  </c:strRef>
                </c15:tx>
              </c15:filteredSeriesTitle>
            </c:ext>
            <c:ext xmlns:c15="http://schemas.microsoft.com/office/drawing/2012/chart" uri="{02D57815-91ED-43cb-92C2-25804820EDAC}">
              <c15:filteredCategoryTitle>
                <c15:cat>
                  <c:strRef>
                    <c:extLst>
                      <c:ext uri="{02D57815-91ED-43cb-92C2-25804820EDAC}">
                        <c15:formulaRef>
                          <c15:sqref>Hoja1!$L$96:$L$101</c15:sqref>
                        </c15:formulaRef>
                      </c:ext>
                    </c:extLst>
                    <c:strCache>
                      <c:ptCount val="5"/>
                      <c:pt idx="0">
                        <c:v>Admón. Local</c:v>
                      </c:pt>
                      <c:pt idx="1">
                        <c:v>Corporaciones de derecho público</c:v>
                      </c:pt>
                      <c:pt idx="2">
                        <c:v>Admón. GVA</c:v>
                      </c:pt>
                      <c:pt idx="3">
                        <c:v>Empresas contratistas GVA</c:v>
                      </c:pt>
                      <c:pt idx="4">
                        <c:v>Sector público instrumental- GVA</c:v>
                      </c:pt>
                    </c:strCache>
                  </c:strRef>
                </c15:cat>
              </c15:filteredCategoryTitle>
            </c:ext>
            <c:ext xmlns:c16="http://schemas.microsoft.com/office/drawing/2014/chart" uri="{C3380CC4-5D6E-409C-BE32-E72D297353CC}">
              <c16:uniqueId val="{00000009-54F5-4C72-94CF-27DDD63CB289}"/>
            </c:ext>
          </c:extLst>
        </c:ser>
        <c:dLbls>
          <c:showLegendKey val="0"/>
          <c:showVal val="0"/>
          <c:showCatName val="0"/>
          <c:showSerName val="0"/>
          <c:showPercent val="0"/>
          <c:showBubbleSize val="0"/>
        </c:dLbls>
        <c:gapWidth val="150"/>
        <c:shape val="box"/>
        <c:axId val="948562047"/>
        <c:axId val="946010479"/>
        <c:axId val="0"/>
      </c:bar3DChart>
      <c:valAx>
        <c:axId val="946010479"/>
        <c:scaling>
          <c:orientation val="minMax"/>
        </c:scaling>
        <c:delete val="1"/>
        <c:axPos val="l"/>
        <c:numFmt formatCode="General" sourceLinked="1"/>
        <c:majorTickMark val="none"/>
        <c:minorTickMark val="none"/>
        <c:tickLblPos val="nextTo"/>
        <c:crossAx val="948562047"/>
        <c:crossesAt val="1"/>
        <c:crossBetween val="between"/>
      </c:valAx>
      <c:catAx>
        <c:axId val="948562047"/>
        <c:scaling>
          <c:orientation val="minMax"/>
        </c:scaling>
        <c:delete val="0"/>
        <c:axPos val="b"/>
        <c:numFmt formatCode="General" sourceLinked="1"/>
        <c:majorTickMark val="none"/>
        <c:minorTickMark val="none"/>
        <c:tickLblPos val="nextTo"/>
        <c:spPr>
          <a:ln>
            <a:solidFill>
              <a:srgbClr val="B3B3B3"/>
            </a:solidFill>
          </a:ln>
        </c:spPr>
        <c:txPr>
          <a:bodyPr/>
          <a:lstStyle/>
          <a:p>
            <a:pPr>
              <a:defRPr sz="800" b="1" baseline="0">
                <a:solidFill>
                  <a:srgbClr val="990000"/>
                </a:solidFill>
                <a:latin typeface="Open Sans" panose="020B0606030504020204" pitchFamily="34" charset="0"/>
              </a:defRPr>
            </a:pPr>
            <a:endParaRPr lang="es-ES"/>
          </a:p>
        </c:txPr>
        <c:crossAx val="946010479"/>
        <c:crossesAt val="0"/>
        <c:auto val="1"/>
        <c:lblAlgn val="ctr"/>
        <c:lblOffset val="100"/>
        <c:noMultiLvlLbl val="0"/>
      </c:catAx>
    </c:plotArea>
    <c:plotVisOnly val="1"/>
    <c:dispBlanksAs val="gap"/>
    <c:showDLblsOverMax val="0"/>
  </c:chart>
  <c:spPr>
    <a:ln>
      <a:no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40"/>
      <c:rotY val="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527777777777778"/>
          <c:y val="6.5283886146356065E-2"/>
          <c:w val="0.8847221933669901"/>
          <c:h val="0.75622750764401869"/>
        </c:manualLayout>
      </c:layout>
      <c:pie3DChart>
        <c:varyColors val="1"/>
        <c:ser>
          <c:idx val="0"/>
          <c:order val="0"/>
          <c:spPr>
            <a:solidFill>
              <a:schemeClr val="accent1"/>
            </a:solidFill>
            <a:ln>
              <a:solidFill>
                <a:schemeClr val="tx1"/>
              </a:solidFill>
            </a:ln>
            <a:effectLst>
              <a:innerShdw blurRad="63500" dist="50800" dir="8100000">
                <a:srgbClr val="C17F78">
                  <a:alpha val="50000"/>
                </a:srgbClr>
              </a:innerShdw>
            </a:effectLst>
          </c:spPr>
          <c:explosion val="15"/>
          <c:dPt>
            <c:idx val="0"/>
            <c:bubble3D val="0"/>
            <c:spPr>
              <a:solidFill>
                <a:srgbClr val="9D2235"/>
              </a:solidFill>
              <a:ln>
                <a:solidFill>
                  <a:schemeClr val="tx1"/>
                </a:solidFill>
              </a:ln>
              <a:effectLst>
                <a:innerShdw blurRad="63500" dist="50800" dir="8100000">
                  <a:srgbClr val="C17F78">
                    <a:alpha val="50000"/>
                  </a:srgbClr>
                </a:innerShdw>
              </a:effectLst>
              <a:scene3d>
                <a:camera prst="orthographicFront"/>
                <a:lightRig rig="threePt" dir="t"/>
              </a:scene3d>
              <a:sp3d prstMaterial="matte">
                <a:bevelT w="0" prst="angle"/>
                <a:contourClr>
                  <a:schemeClr val="tx1"/>
                </a:contourClr>
              </a:sp3d>
            </c:spPr>
            <c:extLst>
              <c:ext xmlns:c16="http://schemas.microsoft.com/office/drawing/2014/chart" uri="{C3380CC4-5D6E-409C-BE32-E72D297353CC}">
                <c16:uniqueId val="{00000001-9113-4CEA-AEB7-B20D0F1D3318}"/>
              </c:ext>
            </c:extLst>
          </c:dPt>
          <c:dPt>
            <c:idx val="1"/>
            <c:bubble3D val="0"/>
            <c:spPr>
              <a:solidFill>
                <a:srgbClr val="EABAC2"/>
              </a:solidFill>
              <a:ln>
                <a:solidFill>
                  <a:schemeClr val="tx1"/>
                </a:solidFill>
              </a:ln>
              <a:effectLst>
                <a:innerShdw blurRad="63500" dist="50800" dir="8100000">
                  <a:srgbClr val="C17F78">
                    <a:alpha val="50000"/>
                  </a:srgbClr>
                </a:innerShdw>
              </a:effectLst>
              <a:scene3d>
                <a:camera prst="orthographicFront"/>
                <a:lightRig rig="threePt" dir="t"/>
              </a:scene3d>
              <a:sp3d prstMaterial="matte">
                <a:contourClr>
                  <a:schemeClr val="tx1"/>
                </a:contourClr>
              </a:sp3d>
            </c:spPr>
            <c:extLst>
              <c:ext xmlns:c16="http://schemas.microsoft.com/office/drawing/2014/chart" uri="{C3380CC4-5D6E-409C-BE32-E72D297353CC}">
                <c16:uniqueId val="{00000003-9113-4CEA-AEB7-B20D0F1D3318}"/>
              </c:ext>
            </c:extLst>
          </c:dPt>
          <c:dPt>
            <c:idx val="2"/>
            <c:bubble3D val="0"/>
            <c:spPr>
              <a:solidFill>
                <a:srgbClr val="666666"/>
              </a:solidFill>
              <a:ln>
                <a:solidFill>
                  <a:schemeClr val="tx1"/>
                </a:solidFill>
              </a:ln>
              <a:effectLst>
                <a:innerShdw blurRad="63500" dist="50800" dir="8100000">
                  <a:srgbClr val="C17F78">
                    <a:alpha val="50000"/>
                  </a:srgbClr>
                </a:innerShdw>
              </a:effectLst>
              <a:scene3d>
                <a:camera prst="orthographicFront"/>
                <a:lightRig rig="threePt" dir="t"/>
              </a:scene3d>
              <a:sp3d prstMaterial="matte">
                <a:contourClr>
                  <a:schemeClr val="tx1"/>
                </a:contourClr>
              </a:sp3d>
            </c:spPr>
            <c:extLst>
              <c:ext xmlns:c16="http://schemas.microsoft.com/office/drawing/2014/chart" uri="{C3380CC4-5D6E-409C-BE32-E72D297353CC}">
                <c16:uniqueId val="{00000005-9113-4CEA-AEB7-B20D0F1D3318}"/>
              </c:ext>
            </c:extLst>
          </c:dPt>
          <c:dLbls>
            <c:dLbl>
              <c:idx val="0"/>
              <c:layout>
                <c:manualLayout>
                  <c:x val="-0.15721327710025693"/>
                  <c:y val="-0.11161900099275156"/>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113-4CEA-AEB7-B20D0F1D3318}"/>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Open Sans" panose="020B0606030504020204" pitchFamily="34" charset="0"/>
                    <a:ea typeface="+mn-ea"/>
                    <a:cs typeface="+mn-cs"/>
                  </a:defRPr>
                </a:pPr>
                <a:endParaRPr lang="es-ES"/>
              </a:p>
            </c:txPr>
            <c:dLblPos val="ctr"/>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val>
            <c:numRef>
              <c:f>Hoja1!$M$145:$M$147</c:f>
              <c:numCache>
                <c:formatCode>General</c:formatCode>
                <c:ptCount val="3"/>
                <c:pt idx="0">
                  <c:v>6</c:v>
                </c:pt>
                <c:pt idx="1">
                  <c:v>2</c:v>
                </c:pt>
                <c:pt idx="2">
                  <c:v>2</c:v>
                </c:pt>
              </c:numCache>
            </c:numRef>
          </c:val>
          <c:extLst>
            <c:ext xmlns:c15="http://schemas.microsoft.com/office/drawing/2012/chart" uri="{02D57815-91ED-43cb-92C2-25804820EDAC}">
              <c15:filteredCategoryTitle>
                <c15:cat>
                  <c:strRef>
                    <c:extLst>
                      <c:ext uri="{02D57815-91ED-43cb-92C2-25804820EDAC}">
                        <c15:formulaRef>
                          <c15:sqref>Hoja1!$L$145:$L$147</c15:sqref>
                        </c15:formulaRef>
                      </c:ext>
                    </c:extLst>
                    <c:strCache>
                      <c:ptCount val="3"/>
                      <c:pt idx="0">
                        <c:v>Alicante</c:v>
                      </c:pt>
                      <c:pt idx="1">
                        <c:v>Castellón</c:v>
                      </c:pt>
                      <c:pt idx="2">
                        <c:v>Valencia</c:v>
                      </c:pt>
                    </c:strCache>
                  </c:strRef>
                </c15:cat>
              </c15:filteredCategoryTitle>
            </c:ext>
            <c:ext xmlns:c16="http://schemas.microsoft.com/office/drawing/2014/chart" uri="{C3380CC4-5D6E-409C-BE32-E72D297353CC}">
              <c16:uniqueId val="{00000006-9113-4CEA-AEB7-B20D0F1D3318}"/>
            </c:ext>
          </c:extLst>
        </c:ser>
        <c:dLbls>
          <c:showLegendKey val="0"/>
          <c:showVal val="0"/>
          <c:showCatName val="0"/>
          <c:showSerName val="0"/>
          <c:showPercent val="1"/>
          <c:showBubbleSize val="0"/>
          <c:showLeaderLines val="1"/>
        </c:dLbls>
      </c:pie3DChart>
      <c:spPr>
        <a:noFill/>
        <a:ln>
          <a:noFill/>
        </a:ln>
        <a:effectLst>
          <a:softEdge rad="342900"/>
        </a:effectLst>
      </c:spPr>
    </c:plotArea>
    <c:legend>
      <c:legendPos val="r"/>
      <c:layout>
        <c:manualLayout>
          <c:xMode val="edge"/>
          <c:yMode val="edge"/>
          <c:x val="5.7460231719056003E-3"/>
          <c:y val="0.62556022466103656"/>
          <c:w val="0.19917921869265023"/>
          <c:h val="0.37046876912406673"/>
        </c:manualLayout>
      </c:layout>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Open Sans" panose="020B0606030504020204" pitchFamily="34" charset="0"/>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pct5">
      <a:fgClr>
        <a:srgbClr val="C6C6C6"/>
      </a:fgClr>
      <a:bgClr>
        <a:schemeClr val="bg1">
          <a:lumMod val="95000"/>
        </a:schemeClr>
      </a:bgClr>
    </a:pattFill>
    <a:ln w="9525" cap="flat" cmpd="sng" algn="ctr">
      <a:noFill/>
      <a:round/>
    </a:ln>
    <a:effectLst/>
  </c:spPr>
  <c:txPr>
    <a:bodyPr/>
    <a:lstStyle/>
    <a:p>
      <a:pPr>
        <a:defRPr/>
      </a:pPr>
      <a:endParaRPr lang="es-E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5854573400927624"/>
          <c:y val="3.5295130206213145E-2"/>
          <c:w val="0.38592852263330096"/>
          <c:h val="0.96434820647419073"/>
        </c:manualLayout>
      </c:layout>
      <c:barChart>
        <c:barDir val="bar"/>
        <c:grouping val="clustered"/>
        <c:varyColors val="0"/>
        <c:ser>
          <c:idx val="0"/>
          <c:order val="0"/>
          <c:invertIfNegative val="0"/>
          <c:dPt>
            <c:idx val="0"/>
            <c:invertIfNegative val="0"/>
            <c:bubble3D val="0"/>
            <c:spPr>
              <a:solidFill>
                <a:srgbClr val="613D35"/>
              </a:solidFill>
            </c:spPr>
            <c:extLst>
              <c:ext xmlns:c16="http://schemas.microsoft.com/office/drawing/2014/chart" uri="{C3380CC4-5D6E-409C-BE32-E72D297353CC}">
                <c16:uniqueId val="{00000001-F1AE-4FBC-835D-ECDBFDA0761E}"/>
              </c:ext>
            </c:extLst>
          </c:dPt>
          <c:dPt>
            <c:idx val="1"/>
            <c:invertIfNegative val="0"/>
            <c:bubble3D val="0"/>
            <c:spPr>
              <a:solidFill>
                <a:srgbClr val="C2505D"/>
              </a:solidFill>
            </c:spPr>
            <c:extLst>
              <c:ext xmlns:c16="http://schemas.microsoft.com/office/drawing/2014/chart" uri="{C3380CC4-5D6E-409C-BE32-E72D297353CC}">
                <c16:uniqueId val="{00000003-F1AE-4FBC-835D-ECDBFDA0761E}"/>
              </c:ext>
            </c:extLst>
          </c:dPt>
          <c:dPt>
            <c:idx val="2"/>
            <c:invertIfNegative val="0"/>
            <c:bubble3D val="0"/>
            <c:spPr>
              <a:solidFill>
                <a:srgbClr val="9D2235"/>
              </a:solidFill>
            </c:spPr>
            <c:extLst>
              <c:ext xmlns:c16="http://schemas.microsoft.com/office/drawing/2014/chart" uri="{C3380CC4-5D6E-409C-BE32-E72D297353CC}">
                <c16:uniqueId val="{00000005-F1AE-4FBC-835D-ECDBFDA0761E}"/>
              </c:ext>
            </c:extLst>
          </c:dPt>
          <c:dPt>
            <c:idx val="3"/>
            <c:invertIfNegative val="0"/>
            <c:bubble3D val="0"/>
            <c:spPr>
              <a:solidFill>
                <a:srgbClr val="976B73"/>
              </a:solidFill>
            </c:spPr>
            <c:extLst>
              <c:ext xmlns:c16="http://schemas.microsoft.com/office/drawing/2014/chart" uri="{C3380CC4-5D6E-409C-BE32-E72D297353CC}">
                <c16:uniqueId val="{00000007-F1AE-4FBC-835D-ECDBFDA0761E}"/>
              </c:ext>
            </c:extLst>
          </c:dPt>
          <c:dPt>
            <c:idx val="4"/>
            <c:invertIfNegative val="0"/>
            <c:bubble3D val="0"/>
            <c:spPr>
              <a:solidFill>
                <a:srgbClr val="D9C1C1"/>
              </a:solidFill>
            </c:spPr>
            <c:extLst>
              <c:ext xmlns:c16="http://schemas.microsoft.com/office/drawing/2014/chart" uri="{C3380CC4-5D6E-409C-BE32-E72D297353CC}">
                <c16:uniqueId val="{00000009-F1AE-4FBC-835D-ECDBFDA0761E}"/>
              </c:ext>
            </c:extLst>
          </c:dPt>
          <c:dLbls>
            <c:spPr>
              <a:noFill/>
              <a:ln>
                <a:noFill/>
              </a:ln>
              <a:effectLst/>
            </c:spPr>
            <c:txPr>
              <a:bodyPr wrap="square" lIns="38100" tIns="19050" rIns="38100" bIns="19050" anchor="ctr">
                <a:spAutoFit/>
              </a:bodyPr>
              <a:lstStyle/>
              <a:p>
                <a:pPr>
                  <a:defRPr sz="1000" b="1" i="0" baseline="0">
                    <a:latin typeface="Open Sans" panose="020B0606030504020204" pitchFamily="34" charset="0"/>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Hoja1!$P$166:$P$174</c:f>
              <c:numCache>
                <c:formatCode>General</c:formatCode>
                <c:ptCount val="5"/>
                <c:pt idx="0">
                  <c:v>1</c:v>
                </c:pt>
                <c:pt idx="1">
                  <c:v>2</c:v>
                </c:pt>
                <c:pt idx="2">
                  <c:v>4</c:v>
                </c:pt>
                <c:pt idx="3">
                  <c:v>2</c:v>
                </c:pt>
                <c:pt idx="4">
                  <c:v>1</c:v>
                </c:pt>
              </c:numCache>
            </c:numRef>
          </c:val>
          <c:extLst>
            <c:ext xmlns:c15="http://schemas.microsoft.com/office/drawing/2012/chart" uri="{02D57815-91ED-43cb-92C2-25804820EDAC}">
              <c15:filteredCategoryTitle>
                <c15:cat>
                  <c:strRef>
                    <c:extLst>
                      <c:ext uri="{02D57815-91ED-43cb-92C2-25804820EDAC}">
                        <c15:formulaRef>
                          <c15:sqref>Hoja1!$M$166:$M$174</c15:sqref>
                        </c15:formulaRef>
                      </c:ext>
                    </c:extLst>
                    <c:strCache>
                      <c:ptCount val="5"/>
                      <c:pt idx="0">
                        <c:v>Acceso función pública y selección personal</c:v>
                      </c:pt>
                      <c:pt idx="1">
                        <c:v>Gestión de personal (provisión, retribuciones, etc)</c:v>
                      </c:pt>
                      <c:pt idx="2">
                        <c:v>Contratación administrativa</c:v>
                      </c:pt>
                      <c:pt idx="3">
                        <c:v>Subvenciones</c:v>
                      </c:pt>
                      <c:pt idx="4">
                        <c:v>Funcionamiento de servicios sociales</c:v>
                      </c:pt>
                    </c:strCache>
                  </c:strRef>
                </c15:cat>
              </c15:filteredCategoryTitle>
            </c:ext>
            <c:ext xmlns:c16="http://schemas.microsoft.com/office/drawing/2014/chart" uri="{C3380CC4-5D6E-409C-BE32-E72D297353CC}">
              <c16:uniqueId val="{0000000A-F1AE-4FBC-835D-ECDBFDA0761E}"/>
            </c:ext>
          </c:extLst>
        </c:ser>
        <c:dLbls>
          <c:dLblPos val="outEnd"/>
          <c:showLegendKey val="0"/>
          <c:showVal val="1"/>
          <c:showCatName val="0"/>
          <c:showSerName val="0"/>
          <c:showPercent val="0"/>
          <c:showBubbleSize val="0"/>
        </c:dLbls>
        <c:gapWidth val="121"/>
        <c:overlap val="-32"/>
        <c:axId val="1290807200"/>
        <c:axId val="1"/>
      </c:barChart>
      <c:catAx>
        <c:axId val="1290807200"/>
        <c:scaling>
          <c:orientation val="minMax"/>
        </c:scaling>
        <c:delete val="0"/>
        <c:axPos val="l"/>
        <c:numFmt formatCode="General" sourceLinked="1"/>
        <c:majorTickMark val="out"/>
        <c:minorTickMark val="none"/>
        <c:tickLblPos val="nextTo"/>
        <c:spPr>
          <a:ln w="3175">
            <a:solidFill>
              <a:srgbClr val="C0C0C0"/>
            </a:solidFill>
            <a:prstDash val="solid"/>
          </a:ln>
        </c:spPr>
        <c:txPr>
          <a:bodyPr rot="0" vert="horz"/>
          <a:lstStyle/>
          <a:p>
            <a:pPr>
              <a:defRPr sz="900" b="1" i="0" u="none" strike="noStrike" baseline="0">
                <a:solidFill>
                  <a:srgbClr val="9D2235"/>
                </a:solidFill>
                <a:latin typeface="Open Sans" panose="020B0606030504020204" pitchFamily="34" charset="0"/>
                <a:ea typeface="Calibri"/>
                <a:cs typeface="Calibri"/>
              </a:defRPr>
            </a:pPr>
            <a:endParaRPr lang="es-ES"/>
          </a:p>
        </c:txPr>
        <c:crossAx val="1"/>
        <c:crossesAt val="0"/>
        <c:auto val="1"/>
        <c:lblAlgn val="ctr"/>
        <c:lblOffset val="100"/>
        <c:tickLblSkip val="1"/>
        <c:tickMarkSkip val="1"/>
        <c:noMultiLvlLbl val="0"/>
      </c:catAx>
      <c:valAx>
        <c:axId val="1"/>
        <c:scaling>
          <c:orientation val="minMax"/>
          <c:max val="8"/>
        </c:scaling>
        <c:delete val="1"/>
        <c:axPos val="b"/>
        <c:numFmt formatCode="General" sourceLinked="1"/>
        <c:majorTickMark val="out"/>
        <c:minorTickMark val="none"/>
        <c:tickLblPos val="nextTo"/>
        <c:crossAx val="1290807200"/>
        <c:crossesAt val="1"/>
        <c:crossBetween val="between"/>
        <c:majorUnit val="1"/>
        <c:minorUnit val="0.5"/>
      </c:valAx>
      <c:spPr>
        <a:noFill/>
        <a:ln w="12700">
          <a:solidFill>
            <a:srgbClr val="C0C0C0"/>
          </a:solidFill>
          <a:prstDash val="solid"/>
        </a:ln>
      </c:spPr>
    </c:plotArea>
    <c:plotVisOnly val="1"/>
    <c:dispBlanksAs val="gap"/>
    <c:showDLblsOverMax val="0"/>
  </c:chart>
  <c:spPr>
    <a:solidFill>
      <a:srgbClr val="FFFFFF"/>
    </a:solidFill>
    <a:ln w="6350">
      <a:noFill/>
    </a:ln>
  </c:spPr>
  <c:txPr>
    <a:bodyPr/>
    <a:lstStyle/>
    <a:p>
      <a:pPr>
        <a:defRPr sz="1100" b="0" i="0" u="none" strike="noStrike" baseline="0">
          <a:solidFill>
            <a:srgbClr val="000000"/>
          </a:solidFill>
          <a:latin typeface="Arial"/>
          <a:ea typeface="Arial"/>
          <a:cs typeface="Arial"/>
        </a:defRPr>
      </a:pPr>
      <a:endParaRPr lang="es-E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49116076514776424"/>
          <c:y val="7.4766703439842222E-2"/>
          <c:w val="0.47292307528496058"/>
          <c:h val="0.83596628664352002"/>
        </c:manualLayout>
      </c:layout>
      <c:bar3DChart>
        <c:barDir val="bar"/>
        <c:grouping val="clustered"/>
        <c:varyColors val="0"/>
        <c:ser>
          <c:idx val="0"/>
          <c:order val="0"/>
          <c:spPr>
            <a:solidFill>
              <a:srgbClr val="9D2235"/>
            </a:solidFill>
            <a:ln>
              <a:noFill/>
            </a:ln>
            <a:effectLst/>
            <a:sp3d>
              <a:contourClr>
                <a:schemeClr val="tx1"/>
              </a:contourClr>
            </a:sp3d>
          </c:spPr>
          <c:invertIfNegative val="0"/>
          <c:dPt>
            <c:idx val="0"/>
            <c:invertIfNegative val="0"/>
            <c:bubble3D val="0"/>
            <c:spPr>
              <a:solidFill>
                <a:schemeClr val="bg2">
                  <a:lumMod val="50000"/>
                </a:schemeClr>
              </a:solidFill>
              <a:ln>
                <a:noFill/>
              </a:ln>
              <a:effectLst/>
              <a:sp3d>
                <a:contourClr>
                  <a:schemeClr val="tx1"/>
                </a:contourClr>
              </a:sp3d>
            </c:spPr>
            <c:extLst>
              <c:ext xmlns:c16="http://schemas.microsoft.com/office/drawing/2014/chart" uri="{C3380CC4-5D6E-409C-BE32-E72D297353CC}">
                <c16:uniqueId val="{00000001-9A4E-4228-85A0-D28AF9E1D111}"/>
              </c:ext>
            </c:extLst>
          </c:dPt>
          <c:dPt>
            <c:idx val="1"/>
            <c:invertIfNegative val="0"/>
            <c:bubble3D val="0"/>
            <c:spPr>
              <a:solidFill>
                <a:srgbClr val="D83A23"/>
              </a:solidFill>
              <a:ln>
                <a:noFill/>
              </a:ln>
              <a:effectLst/>
              <a:sp3d>
                <a:contourClr>
                  <a:schemeClr val="tx1"/>
                </a:contourClr>
              </a:sp3d>
            </c:spPr>
            <c:extLst>
              <c:ext xmlns:c16="http://schemas.microsoft.com/office/drawing/2014/chart" uri="{C3380CC4-5D6E-409C-BE32-E72D297353CC}">
                <c16:uniqueId val="{00000003-9A4E-4228-85A0-D28AF9E1D111}"/>
              </c:ext>
            </c:extLst>
          </c:dPt>
          <c:dPt>
            <c:idx val="2"/>
            <c:invertIfNegative val="0"/>
            <c:bubble3D val="0"/>
            <c:spPr>
              <a:solidFill>
                <a:srgbClr val="EC9289"/>
              </a:solidFill>
              <a:ln>
                <a:noFill/>
              </a:ln>
              <a:effectLst/>
              <a:sp3d>
                <a:contourClr>
                  <a:schemeClr val="tx1"/>
                </a:contourClr>
              </a:sp3d>
            </c:spPr>
            <c:extLst>
              <c:ext xmlns:c16="http://schemas.microsoft.com/office/drawing/2014/chart" uri="{C3380CC4-5D6E-409C-BE32-E72D297353CC}">
                <c16:uniqueId val="{00000005-9A4E-4228-85A0-D28AF9E1D111}"/>
              </c:ext>
            </c:extLst>
          </c:dPt>
          <c:dPt>
            <c:idx val="3"/>
            <c:invertIfNegative val="0"/>
            <c:bubble3D val="0"/>
            <c:spPr>
              <a:solidFill>
                <a:srgbClr val="F1D3D8"/>
              </a:solidFill>
              <a:ln>
                <a:noFill/>
              </a:ln>
              <a:effectLst/>
              <a:sp3d>
                <a:contourClr>
                  <a:schemeClr val="tx1"/>
                </a:contourClr>
              </a:sp3d>
            </c:spPr>
            <c:extLst>
              <c:ext xmlns:c16="http://schemas.microsoft.com/office/drawing/2014/chart" uri="{C3380CC4-5D6E-409C-BE32-E72D297353CC}">
                <c16:uniqueId val="{00000007-9A4E-4228-85A0-D28AF9E1D111}"/>
              </c:ext>
            </c:extLst>
          </c:dPt>
          <c:dLbls>
            <c:dLbl>
              <c:idx val="0"/>
              <c:layout>
                <c:manualLayout>
                  <c:x val="-0.14874915483434745"/>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A4E-4228-85A0-D28AF9E1D111}"/>
                </c:ext>
              </c:extLst>
            </c:dLbl>
            <c:dLbl>
              <c:idx val="1"/>
              <c:layout>
                <c:manualLayout>
                  <c:x val="-5.4090601757944556E-2"/>
                  <c:y val="-7.0163441116232264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A4E-4228-85A0-D28AF9E1D111}"/>
                </c:ext>
              </c:extLst>
            </c:dLbl>
            <c:dLbl>
              <c:idx val="2"/>
              <c:layout>
                <c:manualLayout>
                  <c:x val="-5.6795131845841784E-2"/>
                  <c:y val="-3.827140999106799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A4E-4228-85A0-D28AF9E1D111}"/>
                </c:ext>
              </c:extLst>
            </c:dLbl>
            <c:dLbl>
              <c:idx val="3"/>
              <c:layout>
                <c:manualLayout>
                  <c:x val="-5.1386071670047329E-2"/>
                  <c:y val="-3.827140999106799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A4E-4228-85A0-D28AF9E1D111}"/>
                </c:ext>
              </c:extLst>
            </c:dLbl>
            <c:dLbl>
              <c:idx val="4"/>
              <c:layout>
                <c:manualLayout>
                  <c:x val="-0.20554428668018943"/>
                  <c:y val="-3.827140999106834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A4E-4228-85A0-D28AF9E1D111}"/>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Open Sans" panose="020B0606030504020204" pitchFamily="34" charset="0"/>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Hoja1!$M$195:$M$199</c:f>
              <c:numCache>
                <c:formatCode>General</c:formatCode>
                <c:ptCount val="5"/>
                <c:pt idx="0">
                  <c:v>3</c:v>
                </c:pt>
                <c:pt idx="1">
                  <c:v>1</c:v>
                </c:pt>
                <c:pt idx="2">
                  <c:v>1</c:v>
                </c:pt>
                <c:pt idx="3">
                  <c:v>1</c:v>
                </c:pt>
                <c:pt idx="4">
                  <c:v>4</c:v>
                </c:pt>
              </c:numCache>
            </c:numRef>
          </c:val>
          <c:extLst>
            <c:ext xmlns:c15="http://schemas.microsoft.com/office/drawing/2012/chart" uri="{02D57815-91ED-43cb-92C2-25804820EDAC}">
              <c15:filteredCategoryTitle>
                <c15:cat>
                  <c:strRef>
                    <c:extLst>
                      <c:ext uri="{02D57815-91ED-43cb-92C2-25804820EDAC}">
                        <c15:formulaRef>
                          <c15:sqref>Hoja1!$L$195:$L$199</c15:sqref>
                        </c15:formulaRef>
                      </c:ext>
                    </c:extLst>
                    <c:strCache>
                      <c:ptCount val="5"/>
                      <c:pt idx="0">
                        <c:v>Ninguno de los anteriores</c:v>
                      </c:pt>
                      <c:pt idx="1">
                        <c:v>Sindicato</c:v>
                      </c:pt>
                      <c:pt idx="2">
                        <c:v>Personal laboral sector publico instrumental GVA</c:v>
                      </c:pt>
                      <c:pt idx="3">
                        <c:v>Personal laboral corporación derecho publico</c:v>
                      </c:pt>
                      <c:pt idx="4">
                        <c:v>Funcionarios de carrera</c:v>
                      </c:pt>
                    </c:strCache>
                  </c:strRef>
                </c15:cat>
              </c15:filteredCategoryTitle>
            </c:ext>
            <c:ext xmlns:c16="http://schemas.microsoft.com/office/drawing/2014/chart" uri="{C3380CC4-5D6E-409C-BE32-E72D297353CC}">
              <c16:uniqueId val="{00000009-9A4E-4228-85A0-D28AF9E1D111}"/>
            </c:ext>
          </c:extLst>
        </c:ser>
        <c:dLbls>
          <c:showLegendKey val="0"/>
          <c:showVal val="1"/>
          <c:showCatName val="0"/>
          <c:showSerName val="0"/>
          <c:showPercent val="0"/>
          <c:showBubbleSize val="0"/>
        </c:dLbls>
        <c:gapWidth val="150"/>
        <c:shape val="box"/>
        <c:axId val="1507626416"/>
        <c:axId val="1464656752"/>
        <c:axId val="0"/>
      </c:bar3DChart>
      <c:catAx>
        <c:axId val="150762641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t" anchorCtr="0"/>
          <a:lstStyle/>
          <a:p>
            <a:pPr>
              <a:defRPr sz="850" b="1" i="0" u="none" strike="noStrike" kern="1200" baseline="0">
                <a:solidFill>
                  <a:sysClr val="windowText" lastClr="000000"/>
                </a:solidFill>
                <a:latin typeface="Open Sans" panose="020B0606030504020204" pitchFamily="34" charset="0"/>
                <a:ea typeface="+mn-ea"/>
                <a:cs typeface="+mn-cs"/>
              </a:defRPr>
            </a:pPr>
            <a:endParaRPr lang="es-ES"/>
          </a:p>
        </c:txPr>
        <c:crossAx val="1464656752"/>
        <c:crosses val="autoZero"/>
        <c:auto val="1"/>
        <c:lblAlgn val="ctr"/>
        <c:lblOffset val="100"/>
        <c:noMultiLvlLbl val="0"/>
      </c:catAx>
      <c:valAx>
        <c:axId val="1464656752"/>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5076264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20"/>
      <c:hPercent val="40"/>
      <c:rotY val="30"/>
      <c:depthPercent val="100"/>
      <c:rAngAx val="1"/>
    </c:view3D>
    <c:floor>
      <c:thickness val="0"/>
      <c:spPr>
        <a:solidFill>
          <a:srgbClr val="BBA7A1"/>
        </a:solidFill>
        <a:ln>
          <a:noFill/>
        </a:ln>
        <a:effectLst/>
        <a:scene3d>
          <a:camera prst="orthographicFront"/>
          <a:lightRig rig="threePt" dir="t"/>
        </a:scene3d>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9386153285863187E-2"/>
          <c:y val="0"/>
          <c:w val="0.92279948260056011"/>
          <c:h val="0.77299200828595982"/>
        </c:manualLayout>
      </c:layout>
      <c:bar3DChart>
        <c:barDir val="col"/>
        <c:grouping val="stack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6350">
              <a:solidFill>
                <a:srgbClr val="EABAC2"/>
              </a:solidFill>
            </a:ln>
            <a:effectLst>
              <a:outerShdw blurRad="50800" dist="38100" dir="2700000" algn="tl" rotWithShape="0">
                <a:srgbClr val="EABAC2">
                  <a:alpha val="40000"/>
                </a:srgbClr>
              </a:outerShdw>
            </a:effectLst>
            <a:sp3d contourW="6350">
              <a:contourClr>
                <a:srgbClr val="EABAC2"/>
              </a:contourClr>
            </a:sp3d>
          </c:spPr>
          <c:invertIfNegative val="0"/>
          <c:dPt>
            <c:idx val="0"/>
            <c:invertIfNegative val="0"/>
            <c:bubble3D val="0"/>
            <c:spPr>
              <a:solidFill>
                <a:srgbClr val="C17F78"/>
              </a:solidFill>
              <a:ln w="6350">
                <a:solidFill>
                  <a:srgbClr val="666666"/>
                </a:solidFill>
              </a:ln>
              <a:effectLst>
                <a:outerShdw blurRad="50800" dist="38100" dir="2700000" algn="tl" rotWithShape="0">
                  <a:srgbClr val="EABAC2">
                    <a:alpha val="40000"/>
                  </a:srgbClr>
                </a:outerShdw>
              </a:effectLst>
              <a:sp3d contourW="6350">
                <a:contourClr>
                  <a:srgbClr val="666666"/>
                </a:contourClr>
              </a:sp3d>
            </c:spPr>
            <c:extLst>
              <c:ext xmlns:c16="http://schemas.microsoft.com/office/drawing/2014/chart" uri="{C3380CC4-5D6E-409C-BE32-E72D297353CC}">
                <c16:uniqueId val="{00000001-B083-4AE3-883A-B0A7867AEAF1}"/>
              </c:ext>
            </c:extLst>
          </c:dPt>
          <c:dPt>
            <c:idx val="1"/>
            <c:invertIfNegative val="0"/>
            <c:bubble3D val="0"/>
            <c:spPr>
              <a:solidFill>
                <a:srgbClr val="5B6770"/>
              </a:solidFill>
              <a:ln w="6350">
                <a:noFill/>
              </a:ln>
              <a:effectLst>
                <a:outerShdw blurRad="50800" dist="38100" dir="2700000" algn="tl" rotWithShape="0">
                  <a:srgbClr val="EABAC2">
                    <a:alpha val="40000"/>
                  </a:srgbClr>
                </a:outerShdw>
              </a:effectLst>
              <a:sp3d>
                <a:contourClr>
                  <a:srgbClr val="EABAC2"/>
                </a:contourClr>
              </a:sp3d>
            </c:spPr>
            <c:extLst>
              <c:ext xmlns:c16="http://schemas.microsoft.com/office/drawing/2014/chart" uri="{C3380CC4-5D6E-409C-BE32-E72D297353CC}">
                <c16:uniqueId val="{00000003-B083-4AE3-883A-B0A7867AEAF1}"/>
              </c:ext>
            </c:extLst>
          </c:dPt>
          <c:dLbls>
            <c:dLbl>
              <c:idx val="0"/>
              <c:layout>
                <c:manualLayout>
                  <c:x val="6.6115702479338035E-3"/>
                  <c:y val="-3.52941176470588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083-4AE3-883A-B0A7867AEAF1}"/>
                </c:ext>
              </c:extLst>
            </c:dLbl>
            <c:dLbl>
              <c:idx val="1"/>
              <c:layout>
                <c:manualLayout>
                  <c:x val="2.2038567493112948E-2"/>
                  <c:y val="-1.56862745098039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083-4AE3-883A-B0A7867AEAF1}"/>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Open Sans" panose="020B0606030504020204" pitchFamily="34" charset="0"/>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Hoja1!$O$228:$O$229</c:f>
              <c:numCache>
                <c:formatCode>General</c:formatCode>
                <c:ptCount val="2"/>
                <c:pt idx="0">
                  <c:v>5</c:v>
                </c:pt>
                <c:pt idx="1">
                  <c:v>5</c:v>
                </c:pt>
              </c:numCache>
            </c:numRef>
          </c:val>
          <c:extLst>
            <c:ext xmlns:c15="http://schemas.microsoft.com/office/drawing/2012/chart" uri="{02D57815-91ED-43cb-92C2-25804820EDAC}">
              <c15:filteredCategoryTitle>
                <c15:cat>
                  <c:strRef>
                    <c:extLst>
                      <c:ext uri="{02D57815-91ED-43cb-92C2-25804820EDAC}">
                        <c15:formulaRef>
                          <c15:sqref>Hoja1!$N$228:$N$229</c15:sqref>
                        </c15:formulaRef>
                      </c:ext>
                    </c:extLst>
                    <c:strCache>
                      <c:ptCount val="2"/>
                      <c:pt idx="0">
                        <c:v>Resoluciones estimatorias</c:v>
                      </c:pt>
                      <c:pt idx="1">
                        <c:v>Expedientes en tramitación</c:v>
                      </c:pt>
                    </c:strCache>
                  </c:strRef>
                </c15:cat>
              </c15:filteredCategoryTitle>
            </c:ext>
            <c:ext xmlns:c16="http://schemas.microsoft.com/office/drawing/2014/chart" uri="{C3380CC4-5D6E-409C-BE32-E72D297353CC}">
              <c16:uniqueId val="{00000004-B083-4AE3-883A-B0A7867AEAF1}"/>
            </c:ext>
          </c:extLst>
        </c:ser>
        <c:dLbls>
          <c:showLegendKey val="0"/>
          <c:showVal val="0"/>
          <c:showCatName val="0"/>
          <c:showSerName val="0"/>
          <c:showPercent val="0"/>
          <c:showBubbleSize val="0"/>
        </c:dLbls>
        <c:gapWidth val="155"/>
        <c:gapDepth val="93"/>
        <c:shape val="cylinder"/>
        <c:axId val="1290816000"/>
        <c:axId val="1"/>
        <c:axId val="0"/>
      </c:bar3DChart>
      <c:catAx>
        <c:axId val="1290816000"/>
        <c:scaling>
          <c:orientation val="minMax"/>
        </c:scaling>
        <c:delete val="0"/>
        <c:axPos val="b"/>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0" spcFirstLastPara="1" vertOverflow="ellipsis" wrap="square" anchor="ctr" anchorCtr="0"/>
          <a:lstStyle/>
          <a:p>
            <a:pPr>
              <a:defRPr sz="900" b="1" i="0" u="none" strike="noStrike" kern="1200" baseline="0">
                <a:solidFill>
                  <a:srgbClr val="9D2235"/>
                </a:solidFill>
                <a:latin typeface="+mn-lt"/>
                <a:ea typeface="+mn-ea"/>
                <a:cs typeface="+mn-cs"/>
              </a:defRPr>
            </a:pPr>
            <a:endParaRPr lang="es-ES"/>
          </a:p>
        </c:txPr>
        <c:crossAx val="1"/>
        <c:crossesAt val="0"/>
        <c:auto val="1"/>
        <c:lblAlgn val="ctr"/>
        <c:lblOffset val="100"/>
        <c:noMultiLvlLbl val="0"/>
      </c:catAx>
      <c:valAx>
        <c:axId val="1"/>
        <c:scaling>
          <c:orientation val="minMax"/>
        </c:scaling>
        <c:delete val="1"/>
        <c:axPos val="l"/>
        <c:majorGridlines>
          <c:spPr>
            <a:ln w="9525" cap="flat" cmpd="sng" algn="ctr">
              <a:noFill/>
              <a:round/>
            </a:ln>
            <a:effectLst/>
          </c:spPr>
        </c:majorGridlines>
        <c:numFmt formatCode="General" sourceLinked="1"/>
        <c:majorTickMark val="out"/>
        <c:minorTickMark val="none"/>
        <c:tickLblPos val="nextTo"/>
        <c:crossAx val="1290816000"/>
        <c:crossesAt val="1"/>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133"/>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4019486436598985E-4"/>
          <c:y val="0.10194425523799144"/>
          <c:w val="0.87923713170868489"/>
          <c:h val="0.6744974525243167"/>
        </c:manualLayout>
      </c:layout>
      <c:pie3DChart>
        <c:varyColors val="1"/>
        <c:ser>
          <c:idx val="0"/>
          <c:order val="0"/>
          <c:spPr>
            <a:solidFill>
              <a:srgbClr val="666666"/>
            </a:solidFill>
          </c:spPr>
          <c:explosion val="24"/>
          <c:dPt>
            <c:idx val="0"/>
            <c:bubble3D val="0"/>
            <c:spPr>
              <a:noFill/>
              <a:ln w="25400">
                <a:noFill/>
              </a:ln>
              <a:effectLst/>
              <a:sp3d/>
            </c:spPr>
            <c:extLst>
              <c:ext xmlns:c16="http://schemas.microsoft.com/office/drawing/2014/chart" uri="{C3380CC4-5D6E-409C-BE32-E72D297353CC}">
                <c16:uniqueId val="{00000001-B4AA-472D-A30C-F3452C84F851}"/>
              </c:ext>
            </c:extLst>
          </c:dPt>
          <c:dPt>
            <c:idx val="1"/>
            <c:bubble3D val="0"/>
            <c:spPr>
              <a:solidFill>
                <a:srgbClr val="9D2235"/>
              </a:solidFill>
              <a:ln w="12700">
                <a:solidFill>
                  <a:schemeClr val="lt1"/>
                </a:solidFill>
              </a:ln>
              <a:effectLst/>
              <a:sp3d contourW="12700">
                <a:contourClr>
                  <a:schemeClr val="lt1"/>
                </a:contourClr>
              </a:sp3d>
            </c:spPr>
            <c:extLst>
              <c:ext xmlns:c16="http://schemas.microsoft.com/office/drawing/2014/chart" uri="{C3380CC4-5D6E-409C-BE32-E72D297353CC}">
                <c16:uniqueId val="{00000003-B4AA-472D-A30C-F3452C84F851}"/>
              </c:ext>
            </c:extLst>
          </c:dPt>
          <c:dPt>
            <c:idx val="2"/>
            <c:bubble3D val="0"/>
            <c:spPr>
              <a:solidFill>
                <a:srgbClr val="EC9289"/>
              </a:solidFill>
              <a:ln w="12700">
                <a:solidFill>
                  <a:schemeClr val="lt1"/>
                </a:solidFill>
              </a:ln>
              <a:effectLst/>
              <a:sp3d contourW="12700">
                <a:contourClr>
                  <a:schemeClr val="lt1"/>
                </a:contourClr>
              </a:sp3d>
            </c:spPr>
            <c:extLst>
              <c:ext xmlns:c16="http://schemas.microsoft.com/office/drawing/2014/chart" uri="{C3380CC4-5D6E-409C-BE32-E72D297353CC}">
                <c16:uniqueId val="{00000005-B4AA-472D-A30C-F3452C84F851}"/>
              </c:ext>
            </c:extLst>
          </c:dPt>
          <c:dPt>
            <c:idx val="3"/>
            <c:bubble3D val="0"/>
            <c:spPr>
              <a:solidFill>
                <a:srgbClr val="666666"/>
              </a:solidFill>
              <a:ln w="12700">
                <a:solidFill>
                  <a:schemeClr val="lt1"/>
                </a:solidFill>
              </a:ln>
              <a:effectLst/>
              <a:sp3d contourW="12700">
                <a:contourClr>
                  <a:schemeClr val="lt1"/>
                </a:contourClr>
              </a:sp3d>
            </c:spPr>
            <c:extLst>
              <c:ext xmlns:c16="http://schemas.microsoft.com/office/drawing/2014/chart" uri="{C3380CC4-5D6E-409C-BE32-E72D297353CC}">
                <c16:uniqueId val="{00000007-B4AA-472D-A30C-F3452C84F851}"/>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Open Sans" panose="020B0606030504020204" pitchFamily="34" charset="0"/>
                    <a:ea typeface="+mn-ea"/>
                    <a:cs typeface="+mn-cs"/>
                  </a:defRPr>
                </a:pPr>
                <a:endParaRPr lang="es-ES"/>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Hoja1!$M$343:$M$346</c:f>
              <c:numCache>
                <c:formatCode>General</c:formatCode>
                <c:ptCount val="4"/>
                <c:pt idx="1">
                  <c:v>5</c:v>
                </c:pt>
                <c:pt idx="2">
                  <c:v>4</c:v>
                </c:pt>
                <c:pt idx="3">
                  <c:v>1</c:v>
                </c:pt>
              </c:numCache>
            </c:numRef>
          </c:val>
          <c:extLst>
            <c:ext xmlns:c15="http://schemas.microsoft.com/office/drawing/2012/chart" uri="{02D57815-91ED-43cb-92C2-25804820EDAC}">
              <c15:filteredCategoryTitle>
                <c15:cat>
                  <c:strRef>
                    <c:extLst>
                      <c:ext uri="{02D57815-91ED-43cb-92C2-25804820EDAC}">
                        <c15:formulaRef>
                          <c15:sqref>Hoja1!$L$343:$L$346</c15:sqref>
                        </c15:formulaRef>
                      </c:ext>
                    </c:extLst>
                    <c:strCache>
                      <c:ptCount val="4"/>
                      <c:pt idx="0">
                        <c:v>Personas fisicas</c:v>
                      </c:pt>
                      <c:pt idx="1">
                        <c:v>Hombres</c:v>
                      </c:pt>
                      <c:pt idx="2">
                        <c:v>Mujeres</c:v>
                      </c:pt>
                      <c:pt idx="3">
                        <c:v>Persona jurídica</c:v>
                      </c:pt>
                    </c:strCache>
                  </c:strRef>
                </c15:cat>
              </c15:filteredCategoryTitle>
            </c:ext>
            <c:ext xmlns:c16="http://schemas.microsoft.com/office/drawing/2014/chart" uri="{C3380CC4-5D6E-409C-BE32-E72D297353CC}">
              <c16:uniqueId val="{00000008-B4AA-472D-A30C-F3452C84F851}"/>
            </c:ext>
          </c:extLst>
        </c:ser>
        <c:dLbls>
          <c:dLblPos val="ctr"/>
          <c:showLegendKey val="0"/>
          <c:showVal val="1"/>
          <c:showCatName val="0"/>
          <c:showSerName val="0"/>
          <c:showPercent val="0"/>
          <c:showBubbleSize val="0"/>
          <c:showLeaderLines val="1"/>
        </c:dLbls>
      </c:pie3DChart>
      <c:spPr>
        <a:noFill/>
        <a:ln>
          <a:noFill/>
        </a:ln>
        <a:effectLst/>
      </c:spPr>
    </c:plotArea>
    <c:legend>
      <c:legendPos val="b"/>
      <c:legendEntry>
        <c:idx val="0"/>
        <c:delete val="1"/>
      </c:legendEntry>
      <c:legendEntry>
        <c:idx val="1"/>
        <c:txPr>
          <a:bodyPr rot="0" spcFirstLastPara="1" vertOverflow="ellipsis" vert="horz" wrap="square" anchor="ctr" anchorCtr="1"/>
          <a:lstStyle/>
          <a:p>
            <a:pPr>
              <a:defRPr sz="900" b="0" i="0" u="none" strike="noStrike" kern="1200" baseline="0">
                <a:solidFill>
                  <a:schemeClr val="tx1"/>
                </a:solidFill>
                <a:latin typeface="Open Sans" panose="020B0606030504020204" pitchFamily="34" charset="0"/>
                <a:ea typeface="+mn-ea"/>
                <a:cs typeface="+mn-cs"/>
              </a:defRPr>
            </a:pPr>
            <a:endParaRPr lang="es-ES"/>
          </a:p>
        </c:txPr>
      </c:legendEntry>
      <c:legendEntry>
        <c:idx val="2"/>
        <c:txPr>
          <a:bodyPr rot="0" spcFirstLastPara="1" vertOverflow="ellipsis" vert="horz" wrap="square" anchor="ctr" anchorCtr="1"/>
          <a:lstStyle/>
          <a:p>
            <a:pPr>
              <a:defRPr sz="900" b="0" i="0" u="none" strike="noStrike" kern="1200" baseline="0">
                <a:solidFill>
                  <a:sysClr val="windowText" lastClr="000000"/>
                </a:solidFill>
                <a:latin typeface="Open Sans" panose="020B0606030504020204" pitchFamily="34" charset="0"/>
                <a:ea typeface="+mn-ea"/>
                <a:cs typeface="+mn-cs"/>
              </a:defRPr>
            </a:pPr>
            <a:endParaRPr lang="es-ES"/>
          </a:p>
        </c:txPr>
      </c:legendEntry>
      <c:legendEntry>
        <c:idx val="3"/>
        <c:txPr>
          <a:bodyPr rot="0" spcFirstLastPara="1" vertOverflow="ellipsis" vert="horz" wrap="square" anchor="ctr" anchorCtr="1"/>
          <a:lstStyle/>
          <a:p>
            <a:pPr>
              <a:defRPr sz="900" b="0" i="0" u="none" strike="noStrike" kern="1200" baseline="0">
                <a:solidFill>
                  <a:schemeClr val="tx1"/>
                </a:solidFill>
                <a:latin typeface="Open Sans" panose="020B0606030504020204" pitchFamily="34" charset="0"/>
                <a:ea typeface="+mn-ea"/>
                <a:cs typeface="+mn-cs"/>
              </a:defRPr>
            </a:pPr>
            <a:endParaRPr lang="es-ES"/>
          </a:p>
        </c:txPr>
      </c:legendEntry>
      <c:layout>
        <c:manualLayout>
          <c:xMode val="edge"/>
          <c:yMode val="edge"/>
          <c:x val="0.67123320638332673"/>
          <c:y val="0.55168024412173389"/>
          <c:w val="0.32420034995625541"/>
          <c:h val="0.3188662875473898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pct30">
      <a:fgClr>
        <a:srgbClr val="F0F0F0"/>
      </a:fgClr>
      <a:bgClr>
        <a:schemeClr val="bg1"/>
      </a:bgClr>
    </a:patt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hPercent val="40"/>
      <c:rotY val="20"/>
      <c:depthPercent val="90"/>
      <c:rAngAx val="1"/>
    </c:view3D>
    <c:floor>
      <c:thickness val="0"/>
      <c:spPr>
        <a:solidFill>
          <a:srgbClr val="C6C6C6"/>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0394467914892691E-2"/>
          <c:y val="2.5733715103793842E-2"/>
          <c:w val="0.91385252956740737"/>
          <c:h val="0.80874425100532155"/>
        </c:manualLayout>
      </c:layout>
      <c:bar3DChart>
        <c:barDir val="col"/>
        <c:grouping val="clustered"/>
        <c:varyColors val="0"/>
        <c:ser>
          <c:idx val="0"/>
          <c:order val="0"/>
          <c:spPr>
            <a:solidFill>
              <a:schemeClr val="accent1"/>
            </a:solidFill>
            <a:ln>
              <a:noFill/>
            </a:ln>
            <a:effectLst/>
            <a:sp3d/>
          </c:spPr>
          <c:invertIfNegative val="0"/>
          <c:dPt>
            <c:idx val="0"/>
            <c:invertIfNegative val="0"/>
            <c:bubble3D val="0"/>
            <c:spPr>
              <a:solidFill>
                <a:srgbClr val="EABAC2"/>
              </a:solidFill>
              <a:ln>
                <a:noFill/>
              </a:ln>
              <a:effectLst/>
              <a:sp3d/>
            </c:spPr>
            <c:extLst>
              <c:ext xmlns:c16="http://schemas.microsoft.com/office/drawing/2014/chart" uri="{C3380CC4-5D6E-409C-BE32-E72D297353CC}">
                <c16:uniqueId val="{00000001-2569-4961-A86A-2B1570002065}"/>
              </c:ext>
            </c:extLst>
          </c:dPt>
          <c:dPt>
            <c:idx val="1"/>
            <c:invertIfNegative val="0"/>
            <c:bubble3D val="0"/>
            <c:spPr>
              <a:solidFill>
                <a:srgbClr val="9D2235"/>
              </a:solidFill>
              <a:ln>
                <a:noFill/>
              </a:ln>
              <a:effectLst/>
              <a:sp3d/>
            </c:spPr>
            <c:extLst>
              <c:ext xmlns:c16="http://schemas.microsoft.com/office/drawing/2014/chart" uri="{C3380CC4-5D6E-409C-BE32-E72D297353CC}">
                <c16:uniqueId val="{00000003-2569-4961-A86A-2B1570002065}"/>
              </c:ext>
            </c:extLst>
          </c:dPt>
          <c:dPt>
            <c:idx val="2"/>
            <c:invertIfNegative val="0"/>
            <c:bubble3D val="0"/>
            <c:spPr>
              <a:solidFill>
                <a:srgbClr val="EC9289"/>
              </a:solidFill>
              <a:ln>
                <a:noFill/>
              </a:ln>
              <a:effectLst/>
              <a:sp3d/>
            </c:spPr>
            <c:extLst>
              <c:ext xmlns:c16="http://schemas.microsoft.com/office/drawing/2014/chart" uri="{C3380CC4-5D6E-409C-BE32-E72D297353CC}">
                <c16:uniqueId val="{00000005-2569-4961-A86A-2B1570002065}"/>
              </c:ext>
            </c:extLst>
          </c:dPt>
          <c:dLbls>
            <c:dLbl>
              <c:idx val="0"/>
              <c:layout>
                <c:manualLayout>
                  <c:x val="5.8484118056671489E-3"/>
                  <c:y val="4.35350965744665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569-4961-A86A-2B1570002065}"/>
                </c:ext>
              </c:extLst>
            </c:dLbl>
            <c:dLbl>
              <c:idx val="1"/>
              <c:layout>
                <c:manualLayout>
                  <c:x val="1.3888888888888788E-2"/>
                  <c:y val="0.2407407407407406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569-4961-A86A-2B1570002065}"/>
                </c:ext>
              </c:extLst>
            </c:dLbl>
            <c:dLbl>
              <c:idx val="2"/>
              <c:layout>
                <c:manualLayout>
                  <c:x val="1.1111111111111112E-2"/>
                  <c:y val="0.152777777777777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569-4961-A86A-2B1570002065}"/>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Open Sans" panose="020B0606030504020204" pitchFamily="34" charset="0"/>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Hoja1!$J$7:$J$9</c:f>
              <c:numCache>
                <c:formatCode>General</c:formatCode>
                <c:ptCount val="3"/>
                <c:pt idx="0">
                  <c:v>1</c:v>
                </c:pt>
                <c:pt idx="1">
                  <c:v>21</c:v>
                </c:pt>
                <c:pt idx="2">
                  <c:v>10</c:v>
                </c:pt>
              </c:numCache>
            </c:numRef>
          </c:val>
          <c:shape val="cylinder"/>
          <c:extLst>
            <c:ext xmlns:c15="http://schemas.microsoft.com/office/drawing/2012/chart" uri="{02D57815-91ED-43cb-92C2-25804820EDAC}">
              <c15:filteredSeriesTitle>
                <c15:tx>
                  <c:strRef>
                    <c:extLst>
                      <c:ext uri="{02D57815-91ED-43cb-92C2-25804820EDAC}">
                        <c15:formulaRef>
                          <c15:sqref>Hoja1!$J$6</c15:sqref>
                        </c15:formulaRef>
                      </c:ext>
                    </c:extLst>
                    <c:strCache>
                      <c:ptCount val="1"/>
                      <c:pt idx="0">
                        <c:v>Nº Solicitudes</c:v>
                      </c:pt>
                    </c:strCache>
                  </c:strRef>
                </c15:tx>
              </c15:filteredSeriesTitle>
            </c:ext>
            <c:ext xmlns:c15="http://schemas.microsoft.com/office/drawing/2012/chart" uri="{02D57815-91ED-43cb-92C2-25804820EDAC}">
              <c15:filteredCategoryTitle>
                <c15:cat>
                  <c:numRef>
                    <c:extLst>
                      <c:ext uri="{02D57815-91ED-43cb-92C2-25804820EDAC}">
                        <c15:formulaRef>
                          <c15:sqref>Hoja1!$I$7:$I$9</c15:sqref>
                        </c15:formulaRef>
                      </c:ext>
                    </c:extLst>
                    <c:numCache>
                      <c:formatCode>General</c:formatCode>
                      <c:ptCount val="3"/>
                      <c:pt idx="0">
                        <c:v>2017</c:v>
                      </c:pt>
                      <c:pt idx="1">
                        <c:v>2018</c:v>
                      </c:pt>
                      <c:pt idx="2">
                        <c:v>2019</c:v>
                      </c:pt>
                    </c:numCache>
                  </c:numRef>
                </c15:cat>
              </c15:filteredCategoryTitle>
            </c:ext>
            <c:ext xmlns:c16="http://schemas.microsoft.com/office/drawing/2014/chart" uri="{C3380CC4-5D6E-409C-BE32-E72D297353CC}">
              <c16:uniqueId val="{00000006-2569-4961-A86A-2B1570002065}"/>
            </c:ext>
          </c:extLst>
        </c:ser>
        <c:dLbls>
          <c:showLegendKey val="0"/>
          <c:showVal val="0"/>
          <c:showCatName val="0"/>
          <c:showSerName val="0"/>
          <c:showPercent val="0"/>
          <c:showBubbleSize val="0"/>
        </c:dLbls>
        <c:gapWidth val="150"/>
        <c:shape val="box"/>
        <c:axId val="618459359"/>
        <c:axId val="754563647"/>
        <c:axId val="0"/>
      </c:bar3DChart>
      <c:catAx>
        <c:axId val="618459359"/>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1" i="0" u="none" strike="noStrike" kern="1200" baseline="0">
                <a:solidFill>
                  <a:srgbClr val="9D2235"/>
                </a:solidFill>
                <a:latin typeface="Open Sans" panose="020B0606030504020204" pitchFamily="34" charset="0"/>
                <a:ea typeface="Open Sans" panose="020B0606030504020204" pitchFamily="34" charset="0"/>
                <a:cs typeface="Open Sans" panose="020B0606030504020204" pitchFamily="34" charset="0"/>
              </a:defRPr>
            </a:pPr>
            <a:endParaRPr lang="es-ES"/>
          </a:p>
        </c:txPr>
        <c:crossAx val="754563647"/>
        <c:crosses val="autoZero"/>
        <c:auto val="1"/>
        <c:lblAlgn val="ctr"/>
        <c:lblOffset val="100"/>
        <c:noMultiLvlLbl val="0"/>
      </c:catAx>
      <c:valAx>
        <c:axId val="754563647"/>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61845935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E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2683691308096473E-2"/>
          <c:y val="1.6577984570110553E-2"/>
          <c:w val="0.94054204335569169"/>
          <c:h val="0.603408462831035"/>
        </c:manualLayout>
      </c:layout>
      <c:lineChart>
        <c:grouping val="standard"/>
        <c:varyColors val="0"/>
        <c:ser>
          <c:idx val="0"/>
          <c:order val="0"/>
          <c:spPr>
            <a:ln>
              <a:solidFill>
                <a:srgbClr val="9D2235"/>
              </a:solidFill>
            </a:ln>
            <a:effectLst>
              <a:outerShdw blurRad="50800" dist="38100" algn="ctr" rotWithShape="0">
                <a:srgbClr val="C00000">
                  <a:alpha val="40000"/>
                </a:srgbClr>
              </a:outerShdw>
            </a:effectLst>
          </c:spPr>
          <c:marker>
            <c:symbol val="none"/>
          </c:marker>
          <c:dLbls>
            <c:dLbl>
              <c:idx val="2"/>
              <c:layout>
                <c:manualLayout>
                  <c:x val="-3.47369373746612E-2"/>
                  <c:y val="-5.438993710691823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A0D-4651-8AF8-E5F1551A1518}"/>
                </c:ext>
              </c:extLst>
            </c:dLbl>
            <c:dLbl>
              <c:idx val="6"/>
              <c:layout>
                <c:manualLayout>
                  <c:x val="-2.0217944979099834E-2"/>
                  <c:y val="-2.829201905317390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E98-40E2-A727-C6647B1FF51A}"/>
                </c:ext>
              </c:extLst>
            </c:dLbl>
            <c:spPr>
              <a:noFill/>
              <a:ln>
                <a:noFill/>
              </a:ln>
              <a:effectLst/>
            </c:spPr>
            <c:txPr>
              <a:bodyPr wrap="square" lIns="38100" tIns="19050" rIns="38100" bIns="19050" anchor="ctr">
                <a:spAutoFit/>
              </a:bodyPr>
              <a:lstStyle/>
              <a:p>
                <a:pPr>
                  <a:defRPr sz="950" b="1" i="0" baseline="0">
                    <a:latin typeface="Open Sans" panose="020B0606030504020204" pitchFamily="34" charset="0"/>
                  </a:defRPr>
                </a:pPr>
                <a:endParaRPr lang="es-E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Hoja1!$O$28:$O$39</c:f>
              <c:numCache>
                <c:formatCode>General</c:formatCode>
                <c:ptCount val="12"/>
                <c:pt idx="0">
                  <c:v>0</c:v>
                </c:pt>
                <c:pt idx="1">
                  <c:v>2</c:v>
                </c:pt>
                <c:pt idx="2">
                  <c:v>6</c:v>
                </c:pt>
                <c:pt idx="3">
                  <c:v>1</c:v>
                </c:pt>
                <c:pt idx="4">
                  <c:v>3</c:v>
                </c:pt>
                <c:pt idx="5">
                  <c:v>6</c:v>
                </c:pt>
                <c:pt idx="6">
                  <c:v>7</c:v>
                </c:pt>
                <c:pt idx="7">
                  <c:v>1</c:v>
                </c:pt>
                <c:pt idx="8">
                  <c:v>2</c:v>
                </c:pt>
                <c:pt idx="9">
                  <c:v>2</c:v>
                </c:pt>
                <c:pt idx="10">
                  <c:v>2</c:v>
                </c:pt>
                <c:pt idx="11">
                  <c:v>0</c:v>
                </c:pt>
              </c:numCache>
            </c:numRef>
          </c:val>
          <c:smooth val="0"/>
          <c:extLst>
            <c:ext xmlns:c15="http://schemas.microsoft.com/office/drawing/2012/chart" uri="{02D57815-91ED-43cb-92C2-25804820EDAC}">
              <c15:filteredCategoryTitle>
                <c15:cat>
                  <c:strRef>
                    <c:extLst>
                      <c:ext uri="{02D57815-91ED-43cb-92C2-25804820EDAC}">
                        <c15:formulaRef>
                          <c15:sqref>Hoja1!$M$28:$M$39</c15:sqref>
                        </c15:formulaRef>
                      </c:ext>
                    </c:extLst>
                    <c:strCache>
                      <c:ptCount val="12"/>
                      <c:pt idx="0">
                        <c:v>enero</c:v>
                      </c:pt>
                      <c:pt idx="1">
                        <c:v>febrero</c:v>
                      </c:pt>
                      <c:pt idx="2">
                        <c:v>marzo</c:v>
                      </c:pt>
                      <c:pt idx="3">
                        <c:v>abril</c:v>
                      </c:pt>
                      <c:pt idx="4">
                        <c:v>mayo</c:v>
                      </c:pt>
                      <c:pt idx="5">
                        <c:v>juny</c:v>
                      </c:pt>
                      <c:pt idx="6">
                        <c:v>julio</c:v>
                      </c:pt>
                      <c:pt idx="7">
                        <c:v>agosto</c:v>
                      </c:pt>
                      <c:pt idx="8">
                        <c:v>septiembre</c:v>
                      </c:pt>
                      <c:pt idx="9">
                        <c:v>octubre</c:v>
                      </c:pt>
                      <c:pt idx="10">
                        <c:v>noviembre</c:v>
                      </c:pt>
                      <c:pt idx="11">
                        <c:v>diciembre</c:v>
                      </c:pt>
                    </c:strCache>
                  </c:strRef>
                </c15:cat>
              </c15:filteredCategoryTitle>
            </c:ext>
            <c:ext xmlns:c16="http://schemas.microsoft.com/office/drawing/2014/chart" uri="{C3380CC4-5D6E-409C-BE32-E72D297353CC}">
              <c16:uniqueId val="{00000001-BE98-40E2-A727-C6647B1FF51A}"/>
            </c:ext>
          </c:extLst>
        </c:ser>
        <c:dLbls>
          <c:dLblPos val="t"/>
          <c:showLegendKey val="0"/>
          <c:showVal val="1"/>
          <c:showCatName val="0"/>
          <c:showSerName val="0"/>
          <c:showPercent val="0"/>
          <c:showBubbleSize val="0"/>
        </c:dLbls>
        <c:smooth val="0"/>
        <c:axId val="277454015"/>
        <c:axId val="1"/>
      </c:lineChart>
      <c:catAx>
        <c:axId val="277454015"/>
        <c:scaling>
          <c:orientation val="minMax"/>
        </c:scaling>
        <c:delete val="0"/>
        <c:axPos val="b"/>
        <c:numFmt formatCode="General" sourceLinked="1"/>
        <c:majorTickMark val="none"/>
        <c:minorTickMark val="none"/>
        <c:tickLblPos val="nextTo"/>
        <c:spPr>
          <a:ln w="3175">
            <a:solidFill>
              <a:srgbClr val="C0C0C0"/>
            </a:solidFill>
            <a:prstDash val="solid"/>
          </a:ln>
        </c:spPr>
        <c:txPr>
          <a:bodyPr rot="-2700000" vert="horz"/>
          <a:lstStyle/>
          <a:p>
            <a:pPr>
              <a:defRPr sz="850" b="1" i="0" u="none" strike="noStrike" baseline="0">
                <a:solidFill>
                  <a:srgbClr val="800000"/>
                </a:solidFill>
                <a:latin typeface="Open Sans" panose="020B0606030504020204" pitchFamily="34" charset="0"/>
                <a:ea typeface="Open Sans" panose="020B0606030504020204" pitchFamily="34" charset="0"/>
                <a:cs typeface="Open Sans" panose="020B0606030504020204" pitchFamily="34" charset="0"/>
              </a:defRPr>
            </a:pPr>
            <a:endParaRPr lang="es-ES"/>
          </a:p>
        </c:txPr>
        <c:crossAx val="1"/>
        <c:crossesAt val="0"/>
        <c:auto val="1"/>
        <c:lblAlgn val="ctr"/>
        <c:lblOffset val="100"/>
        <c:noMultiLvlLbl val="0"/>
      </c:catAx>
      <c:valAx>
        <c:axId val="1"/>
        <c:scaling>
          <c:orientation val="minMax"/>
        </c:scaling>
        <c:delete val="1"/>
        <c:axPos val="l"/>
        <c:numFmt formatCode="General" sourceLinked="1"/>
        <c:majorTickMark val="out"/>
        <c:minorTickMark val="none"/>
        <c:tickLblPos val="nextTo"/>
        <c:crossAx val="277454015"/>
        <c:crossesAt val="1"/>
        <c:crossBetween val="between"/>
      </c:valAx>
      <c:spPr>
        <a:noFill/>
        <a:ln w="12700">
          <a:solidFill>
            <a:srgbClr val="C0C0C0"/>
          </a:solidFill>
          <a:prstDash val="solid"/>
        </a:ln>
      </c:spPr>
    </c:plotArea>
    <c:plotVisOnly val="1"/>
    <c:dispBlanksAs val="gap"/>
    <c:showDLblsOverMax val="0"/>
  </c:chart>
  <c:spPr>
    <a:solidFill>
      <a:srgbClr val="FFFFFF"/>
    </a:solidFill>
    <a:ln w="6350">
      <a:noFill/>
    </a:ln>
  </c:spPr>
  <c:txPr>
    <a:bodyPr/>
    <a:lstStyle/>
    <a:p>
      <a:pPr>
        <a:defRPr sz="1100" b="0" i="0" u="none" strike="noStrike" baseline="0">
          <a:solidFill>
            <a:srgbClr val="000000"/>
          </a:solidFill>
          <a:latin typeface="Arial"/>
          <a:ea typeface="Arial"/>
          <a:cs typeface="Arial"/>
        </a:defRPr>
      </a:pPr>
      <a:endParaRPr lang="es-E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285922864499757"/>
          <c:y val="0"/>
          <c:w val="0.37489014628503192"/>
          <c:h val="0.97468550932481146"/>
        </c:manualLayout>
      </c:layout>
      <c:doughnutChart>
        <c:varyColors val="1"/>
        <c:ser>
          <c:idx val="0"/>
          <c:order val="0"/>
          <c:spPr>
            <a:ln w="25400" cmpd="dbl">
              <a:solidFill>
                <a:schemeClr val="bg1">
                  <a:lumMod val="85000"/>
                </a:schemeClr>
              </a:solidFill>
            </a:ln>
            <a:effectLst>
              <a:outerShdw blurRad="50800" dist="38100" dir="5400000" algn="t" rotWithShape="0">
                <a:prstClr val="black">
                  <a:alpha val="40000"/>
                </a:prstClr>
              </a:outerShdw>
            </a:effectLst>
            <a:scene3d>
              <a:camera prst="orthographicFront"/>
              <a:lightRig rig="threePt" dir="t"/>
            </a:scene3d>
            <a:sp3d prstMaterial="matte"/>
          </c:spPr>
          <c:explosion val="9"/>
          <c:dPt>
            <c:idx val="0"/>
            <c:bubble3D val="0"/>
            <c:spPr>
              <a:solidFill>
                <a:srgbClr val="613D35"/>
              </a:solidFill>
              <a:ln w="25400" cmpd="dbl">
                <a:solidFill>
                  <a:schemeClr val="bg1">
                    <a:lumMod val="85000"/>
                  </a:schemeClr>
                </a:solidFill>
              </a:ln>
              <a:effectLst>
                <a:outerShdw blurRad="50800" dist="38100" dir="5400000" algn="t" rotWithShape="0">
                  <a:prstClr val="black">
                    <a:alpha val="40000"/>
                  </a:prstClr>
                </a:outerShdw>
              </a:effectLst>
              <a:scene3d>
                <a:camera prst="orthographicFront"/>
                <a:lightRig rig="threePt" dir="t"/>
              </a:scene3d>
              <a:sp3d prstMaterial="matte"/>
            </c:spPr>
            <c:extLst>
              <c:ext xmlns:c16="http://schemas.microsoft.com/office/drawing/2014/chart" uri="{C3380CC4-5D6E-409C-BE32-E72D297353CC}">
                <c16:uniqueId val="{00000001-29F3-41D8-9574-7F051CA5D670}"/>
              </c:ext>
            </c:extLst>
          </c:dPt>
          <c:dPt>
            <c:idx val="1"/>
            <c:bubble3D val="0"/>
            <c:explosion val="15"/>
            <c:spPr>
              <a:solidFill>
                <a:srgbClr val="C6C6C6"/>
              </a:solidFill>
              <a:ln w="25400" cmpd="dbl">
                <a:solidFill>
                  <a:schemeClr val="bg1">
                    <a:lumMod val="85000"/>
                  </a:schemeClr>
                </a:solidFill>
              </a:ln>
              <a:effectLst>
                <a:outerShdw blurRad="50800" dist="38100" dir="5400000" algn="t" rotWithShape="0">
                  <a:prstClr val="black">
                    <a:alpha val="40000"/>
                  </a:prstClr>
                </a:outerShdw>
              </a:effectLst>
              <a:scene3d>
                <a:camera prst="orthographicFront"/>
                <a:lightRig rig="threePt" dir="t"/>
              </a:scene3d>
              <a:sp3d prstMaterial="matte"/>
            </c:spPr>
            <c:extLst>
              <c:ext xmlns:c16="http://schemas.microsoft.com/office/drawing/2014/chart" uri="{C3380CC4-5D6E-409C-BE32-E72D297353CC}">
                <c16:uniqueId val="{00000003-29F3-41D8-9574-7F051CA5D670}"/>
              </c:ext>
            </c:extLst>
          </c:dPt>
          <c:dPt>
            <c:idx val="2"/>
            <c:bubble3D val="0"/>
            <c:spPr>
              <a:solidFill>
                <a:srgbClr val="EABAC2"/>
              </a:solidFill>
              <a:ln w="25400" cmpd="dbl">
                <a:solidFill>
                  <a:schemeClr val="bg1">
                    <a:lumMod val="85000"/>
                  </a:schemeClr>
                </a:solidFill>
              </a:ln>
              <a:effectLst>
                <a:outerShdw blurRad="50800" dist="38100" dir="5400000" algn="t" rotWithShape="0">
                  <a:prstClr val="black">
                    <a:alpha val="40000"/>
                  </a:prstClr>
                </a:outerShdw>
              </a:effectLst>
              <a:scene3d>
                <a:camera prst="orthographicFront"/>
                <a:lightRig rig="threePt" dir="t"/>
              </a:scene3d>
              <a:sp3d prstMaterial="matte"/>
            </c:spPr>
            <c:extLst>
              <c:ext xmlns:c16="http://schemas.microsoft.com/office/drawing/2014/chart" uri="{C3380CC4-5D6E-409C-BE32-E72D297353CC}">
                <c16:uniqueId val="{00000005-29F3-41D8-9574-7F051CA5D670}"/>
              </c:ext>
            </c:extLst>
          </c:dPt>
          <c:dPt>
            <c:idx val="3"/>
            <c:bubble3D val="0"/>
            <c:spPr>
              <a:solidFill>
                <a:srgbClr val="9D2235"/>
              </a:solidFill>
              <a:ln w="25400" cmpd="dbl">
                <a:solidFill>
                  <a:schemeClr val="bg1">
                    <a:lumMod val="85000"/>
                  </a:schemeClr>
                </a:solidFill>
              </a:ln>
              <a:effectLst>
                <a:outerShdw blurRad="50800" dist="38100" dir="5400000" algn="t" rotWithShape="0">
                  <a:prstClr val="black">
                    <a:alpha val="40000"/>
                  </a:prstClr>
                </a:outerShdw>
              </a:effectLst>
              <a:scene3d>
                <a:camera prst="orthographicFront"/>
                <a:lightRig rig="threePt" dir="t"/>
              </a:scene3d>
              <a:sp3d prstMaterial="matte"/>
            </c:spPr>
            <c:extLst>
              <c:ext xmlns:c16="http://schemas.microsoft.com/office/drawing/2014/chart" uri="{C3380CC4-5D6E-409C-BE32-E72D297353CC}">
                <c16:uniqueId val="{00000007-29F3-41D8-9574-7F051CA5D670}"/>
              </c:ext>
            </c:extLst>
          </c:dPt>
          <c:dLbls>
            <c:spPr>
              <a:noFill/>
              <a:ln>
                <a:noFill/>
              </a:ln>
              <a:effectLst/>
            </c:spPr>
            <c:txPr>
              <a:bodyPr rot="0" spcFirstLastPara="1" vertOverflow="ellipsis" vert="horz" wrap="square" lIns="38100" tIns="19050" rIns="38100" bIns="19050" anchor="ctr" anchorCtr="1">
                <a:spAutoFit/>
              </a:bodyPr>
              <a:lstStyle/>
              <a:p>
                <a:pPr>
                  <a:defRPr sz="950" b="1" i="0" u="none" strike="noStrike" kern="1200" baseline="0">
                    <a:solidFill>
                      <a:schemeClr val="bg1"/>
                    </a:solidFill>
                    <a:latin typeface="Open Sans" panose="020B0606030504020204" pitchFamily="34" charset="0"/>
                    <a:ea typeface="+mn-ea"/>
                    <a:cs typeface="+mn-cs"/>
                  </a:defRPr>
                </a:pPr>
                <a:endParaRPr lang="es-E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Hoja1!$N$48:$N$51</c:f>
              <c:numCache>
                <c:formatCode>General</c:formatCode>
                <c:ptCount val="4"/>
                <c:pt idx="0">
                  <c:v>1</c:v>
                </c:pt>
                <c:pt idx="1">
                  <c:v>4</c:v>
                </c:pt>
                <c:pt idx="2">
                  <c:v>10</c:v>
                </c:pt>
                <c:pt idx="3">
                  <c:v>17</c:v>
                </c:pt>
              </c:numCache>
            </c:numRef>
          </c:val>
          <c:extLst>
            <c:ext xmlns:c15="http://schemas.microsoft.com/office/drawing/2012/chart" uri="{02D57815-91ED-43cb-92C2-25804820EDAC}">
              <c15:filteredCategoryTitle>
                <c15:cat>
                  <c:strRef>
                    <c:extLst>
                      <c:ext uri="{02D57815-91ED-43cb-92C2-25804820EDAC}">
                        <c15:formulaRef>
                          <c15:sqref>Hoja1!$L$48:$L$51</c15:sqref>
                        </c15:formulaRef>
                      </c:ext>
                    </c:extLst>
                    <c:strCache>
                      <c:ptCount val="4"/>
                      <c:pt idx="0">
                        <c:v>Remisión fiscalia</c:v>
                      </c:pt>
                      <c:pt idx="1">
                        <c:v>Buzón denuncias</c:v>
                      </c:pt>
                      <c:pt idx="2">
                        <c:v>Correo electrónico</c:v>
                      </c:pt>
                      <c:pt idx="3">
                        <c:v>Registro Agencia</c:v>
                      </c:pt>
                    </c:strCache>
                  </c:strRef>
                </c15:cat>
              </c15:filteredCategoryTitle>
            </c:ext>
            <c:ext xmlns:c16="http://schemas.microsoft.com/office/drawing/2014/chart" uri="{C3380CC4-5D6E-409C-BE32-E72D297353CC}">
              <c16:uniqueId val="{00000008-29F3-41D8-9574-7F051CA5D670}"/>
            </c:ext>
          </c:extLst>
        </c:ser>
        <c:dLbls>
          <c:showLegendKey val="0"/>
          <c:showVal val="1"/>
          <c:showCatName val="0"/>
          <c:showSerName val="0"/>
          <c:showPercent val="0"/>
          <c:showBubbleSize val="0"/>
          <c:showLeaderLines val="1"/>
        </c:dLbls>
        <c:firstSliceAng val="61"/>
        <c:holeSize val="44"/>
      </c:doughnutChart>
      <c:spPr>
        <a:solidFill>
          <a:srgbClr val="F5F5F5"/>
        </a:solidFill>
        <a:ln>
          <a:noFill/>
        </a:ln>
        <a:effectLst/>
      </c:spPr>
    </c:plotArea>
    <c:legend>
      <c:legendPos val="r"/>
      <c:layout>
        <c:manualLayout>
          <c:xMode val="edge"/>
          <c:yMode val="edge"/>
          <c:x val="0.6818170169673673"/>
          <c:y val="0.54807685447086107"/>
          <c:w val="0.29718560770454872"/>
          <c:h val="0.43459062762785722"/>
        </c:manualLayout>
      </c:layout>
      <c:overlay val="0"/>
      <c:spPr>
        <a:solidFill>
          <a:schemeClr val="bg1"/>
        </a:solidFill>
        <a:ln>
          <a:solidFill>
            <a:schemeClr val="bg2">
              <a:lumMod val="50000"/>
            </a:schemeClr>
          </a:solidFill>
        </a:ln>
        <a:effectLst/>
      </c:spPr>
      <c:txPr>
        <a:bodyPr rot="0" spcFirstLastPara="1" vertOverflow="ellipsis" vert="horz" wrap="square" anchor="ctr" anchorCtr="1"/>
        <a:lstStyle/>
        <a:p>
          <a:pPr rtl="0">
            <a:defRPr sz="800" b="0" i="0" u="none" strike="noStrike" kern="1200" baseline="0">
              <a:ln>
                <a:noFill/>
              </a:ln>
              <a:solidFill>
                <a:schemeClr val="tx1">
                  <a:lumMod val="65000"/>
                  <a:lumOff val="35000"/>
                </a:schemeClr>
              </a:solidFill>
              <a:latin typeface="Open Sans" panose="020B0606030504020204" pitchFamily="34" charset="0"/>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F5F5F5"/>
    </a:solidFill>
    <a:ln w="9525" cap="flat" cmpd="sng" algn="ctr">
      <a:noFill/>
      <a:round/>
    </a:ln>
    <a:effectLst/>
  </c:spPr>
  <c:txPr>
    <a:bodyPr/>
    <a:lstStyle/>
    <a:p>
      <a:pPr>
        <a:defRPr/>
      </a:pPr>
      <a:endParaRPr lang="es-E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0"/>
    <c:view3D>
      <c:rotX val="15"/>
      <c:rotY val="20"/>
      <c:rAngAx val="0"/>
    </c:view3D>
    <c:floor>
      <c:thickness val="0"/>
    </c:floor>
    <c:sideWall>
      <c:thickness val="0"/>
    </c:sideWall>
    <c:backWall>
      <c:thickness val="0"/>
    </c:backWall>
    <c:plotArea>
      <c:layout/>
      <c:bar3DChart>
        <c:barDir val="col"/>
        <c:grouping val="standard"/>
        <c:varyColors val="0"/>
        <c:ser>
          <c:idx val="0"/>
          <c:order val="0"/>
          <c:tx>
            <c:strRef>
              <c:f>'entes denunciados'!$B$33</c:f>
              <c:strCache>
                <c:ptCount val="1"/>
                <c:pt idx="0">
                  <c:v>2017</c:v>
                </c:pt>
              </c:strCache>
            </c:strRef>
          </c:tx>
          <c:invertIfNegative val="0"/>
          <c:cat>
            <c:strRef>
              <c:f>'entes denunciados'!$A$34:$A$45</c:f>
              <c:strCache>
                <c:ptCount val="12"/>
                <c:pt idx="0">
                  <c:v>Instituciones estatutarias</c:v>
                </c:pt>
                <c:pt idx="1">
                  <c:v>Generalitat Valenciana</c:v>
                </c:pt>
                <c:pt idx="2">
                  <c:v>Administración Municipal</c:v>
                </c:pt>
                <c:pt idx="3">
                  <c:v>Diputaciones Provinciales</c:v>
                </c:pt>
                <c:pt idx="4">
                  <c:v>Sector Público Generalitat</c:v>
                </c:pt>
                <c:pt idx="5">
                  <c:v>Sector Público Provincial</c:v>
                </c:pt>
                <c:pt idx="6">
                  <c:v>Sector Público Municipal</c:v>
                </c:pt>
                <c:pt idx="7">
                  <c:v>Universidades</c:v>
                </c:pt>
                <c:pt idx="8">
                  <c:v>Corporaciones Públicas</c:v>
                </c:pt>
                <c:pt idx="9">
                  <c:v>Sector Privado</c:v>
                </c:pt>
                <c:pt idx="10">
                  <c:v>Partidos Políticos, Sindicatos</c:v>
                </c:pt>
                <c:pt idx="11">
                  <c:v>Otros</c:v>
                </c:pt>
              </c:strCache>
            </c:strRef>
          </c:cat>
          <c:val>
            <c:numRef>
              <c:f>'entes denunciados'!$B$34:$B$45</c:f>
              <c:numCache>
                <c:formatCode>General</c:formatCode>
                <c:ptCount val="12"/>
                <c:pt idx="0">
                  <c:v>1</c:v>
                </c:pt>
                <c:pt idx="1">
                  <c:v>8</c:v>
                </c:pt>
                <c:pt idx="2">
                  <c:v>21</c:v>
                </c:pt>
                <c:pt idx="3">
                  <c:v>1</c:v>
                </c:pt>
                <c:pt idx="4">
                  <c:v>0</c:v>
                </c:pt>
                <c:pt idx="5">
                  <c:v>0</c:v>
                </c:pt>
                <c:pt idx="6">
                  <c:v>3</c:v>
                </c:pt>
                <c:pt idx="7">
                  <c:v>0</c:v>
                </c:pt>
                <c:pt idx="8">
                  <c:v>0</c:v>
                </c:pt>
                <c:pt idx="9">
                  <c:v>0</c:v>
                </c:pt>
                <c:pt idx="10">
                  <c:v>0</c:v>
                </c:pt>
                <c:pt idx="11">
                  <c:v>1</c:v>
                </c:pt>
              </c:numCache>
            </c:numRef>
          </c:val>
          <c:extLst>
            <c:ext xmlns:c16="http://schemas.microsoft.com/office/drawing/2014/chart" uri="{C3380CC4-5D6E-409C-BE32-E72D297353CC}">
              <c16:uniqueId val="{00000000-F091-47CE-A3BB-E74C355FB544}"/>
            </c:ext>
          </c:extLst>
        </c:ser>
        <c:ser>
          <c:idx val="1"/>
          <c:order val="1"/>
          <c:tx>
            <c:strRef>
              <c:f>'entes denunciados'!$C$33</c:f>
              <c:strCache>
                <c:ptCount val="1"/>
                <c:pt idx="0">
                  <c:v>2018</c:v>
                </c:pt>
              </c:strCache>
            </c:strRef>
          </c:tx>
          <c:invertIfNegative val="0"/>
          <c:cat>
            <c:strRef>
              <c:f>'entes denunciados'!$A$34:$A$45</c:f>
              <c:strCache>
                <c:ptCount val="12"/>
                <c:pt idx="0">
                  <c:v>Instituciones estatutarias</c:v>
                </c:pt>
                <c:pt idx="1">
                  <c:v>Generalitat Valenciana</c:v>
                </c:pt>
                <c:pt idx="2">
                  <c:v>Administración Municipal</c:v>
                </c:pt>
                <c:pt idx="3">
                  <c:v>Diputaciones Provinciales</c:v>
                </c:pt>
                <c:pt idx="4">
                  <c:v>Sector Público Generalitat</c:v>
                </c:pt>
                <c:pt idx="5">
                  <c:v>Sector Público Provincial</c:v>
                </c:pt>
                <c:pt idx="6">
                  <c:v>Sector Público Municipal</c:v>
                </c:pt>
                <c:pt idx="7">
                  <c:v>Universidades</c:v>
                </c:pt>
                <c:pt idx="8">
                  <c:v>Corporaciones Públicas</c:v>
                </c:pt>
                <c:pt idx="9">
                  <c:v>Sector Privado</c:v>
                </c:pt>
                <c:pt idx="10">
                  <c:v>Partidos Políticos, Sindicatos</c:v>
                </c:pt>
                <c:pt idx="11">
                  <c:v>Otros</c:v>
                </c:pt>
              </c:strCache>
            </c:strRef>
          </c:cat>
          <c:val>
            <c:numRef>
              <c:f>'entes denunciados'!$C$34:$C$45</c:f>
              <c:numCache>
                <c:formatCode>General</c:formatCode>
                <c:ptCount val="12"/>
                <c:pt idx="0">
                  <c:v>3</c:v>
                </c:pt>
                <c:pt idx="1">
                  <c:v>52</c:v>
                </c:pt>
                <c:pt idx="2">
                  <c:v>81</c:v>
                </c:pt>
                <c:pt idx="3">
                  <c:v>16</c:v>
                </c:pt>
                <c:pt idx="4">
                  <c:v>9</c:v>
                </c:pt>
                <c:pt idx="5">
                  <c:v>5</c:v>
                </c:pt>
                <c:pt idx="6">
                  <c:v>3</c:v>
                </c:pt>
                <c:pt idx="7">
                  <c:v>7</c:v>
                </c:pt>
                <c:pt idx="8">
                  <c:v>0</c:v>
                </c:pt>
                <c:pt idx="9">
                  <c:v>5</c:v>
                </c:pt>
                <c:pt idx="10">
                  <c:v>0</c:v>
                </c:pt>
                <c:pt idx="11">
                  <c:v>0</c:v>
                </c:pt>
              </c:numCache>
            </c:numRef>
          </c:val>
          <c:extLst>
            <c:ext xmlns:c16="http://schemas.microsoft.com/office/drawing/2014/chart" uri="{C3380CC4-5D6E-409C-BE32-E72D297353CC}">
              <c16:uniqueId val="{00000001-F091-47CE-A3BB-E74C355FB544}"/>
            </c:ext>
          </c:extLst>
        </c:ser>
        <c:ser>
          <c:idx val="2"/>
          <c:order val="2"/>
          <c:tx>
            <c:strRef>
              <c:f>'entes denunciados'!$D$33</c:f>
              <c:strCache>
                <c:ptCount val="1"/>
                <c:pt idx="0">
                  <c:v>2019</c:v>
                </c:pt>
              </c:strCache>
            </c:strRef>
          </c:tx>
          <c:invertIfNegative val="0"/>
          <c:cat>
            <c:strRef>
              <c:f>'entes denunciados'!$A$34:$A$45</c:f>
              <c:strCache>
                <c:ptCount val="12"/>
                <c:pt idx="0">
                  <c:v>Instituciones estatutarias</c:v>
                </c:pt>
                <c:pt idx="1">
                  <c:v>Generalitat Valenciana</c:v>
                </c:pt>
                <c:pt idx="2">
                  <c:v>Administración Municipal</c:v>
                </c:pt>
                <c:pt idx="3">
                  <c:v>Diputaciones Provinciales</c:v>
                </c:pt>
                <c:pt idx="4">
                  <c:v>Sector Público Generalitat</c:v>
                </c:pt>
                <c:pt idx="5">
                  <c:v>Sector Público Provincial</c:v>
                </c:pt>
                <c:pt idx="6">
                  <c:v>Sector Público Municipal</c:v>
                </c:pt>
                <c:pt idx="7">
                  <c:v>Universidades</c:v>
                </c:pt>
                <c:pt idx="8">
                  <c:v>Corporaciones Públicas</c:v>
                </c:pt>
                <c:pt idx="9">
                  <c:v>Sector Privado</c:v>
                </c:pt>
                <c:pt idx="10">
                  <c:v>Partidos Políticos, Sindicatos</c:v>
                </c:pt>
                <c:pt idx="11">
                  <c:v>Otros</c:v>
                </c:pt>
              </c:strCache>
            </c:strRef>
          </c:cat>
          <c:val>
            <c:numRef>
              <c:f>'entes denunciados'!$D$34:$D$45</c:f>
              <c:numCache>
                <c:formatCode>General</c:formatCode>
                <c:ptCount val="12"/>
                <c:pt idx="0">
                  <c:v>1</c:v>
                </c:pt>
                <c:pt idx="1">
                  <c:v>23</c:v>
                </c:pt>
                <c:pt idx="2">
                  <c:v>87</c:v>
                </c:pt>
                <c:pt idx="3">
                  <c:v>8</c:v>
                </c:pt>
                <c:pt idx="4">
                  <c:v>9</c:v>
                </c:pt>
                <c:pt idx="5">
                  <c:v>2</c:v>
                </c:pt>
                <c:pt idx="6">
                  <c:v>15</c:v>
                </c:pt>
                <c:pt idx="7">
                  <c:v>3</c:v>
                </c:pt>
                <c:pt idx="8">
                  <c:v>4</c:v>
                </c:pt>
                <c:pt idx="9">
                  <c:v>13</c:v>
                </c:pt>
                <c:pt idx="10">
                  <c:v>0</c:v>
                </c:pt>
                <c:pt idx="11">
                  <c:v>3</c:v>
                </c:pt>
              </c:numCache>
            </c:numRef>
          </c:val>
          <c:extLst>
            <c:ext xmlns:c16="http://schemas.microsoft.com/office/drawing/2014/chart" uri="{C3380CC4-5D6E-409C-BE32-E72D297353CC}">
              <c16:uniqueId val="{00000002-F091-47CE-A3BB-E74C355FB544}"/>
            </c:ext>
          </c:extLst>
        </c:ser>
        <c:dLbls>
          <c:showLegendKey val="0"/>
          <c:showVal val="0"/>
          <c:showCatName val="0"/>
          <c:showSerName val="0"/>
          <c:showPercent val="0"/>
          <c:showBubbleSize val="0"/>
        </c:dLbls>
        <c:gapWidth val="150"/>
        <c:shape val="box"/>
        <c:axId val="45674496"/>
        <c:axId val="45676032"/>
        <c:axId val="202108416"/>
      </c:bar3DChart>
      <c:catAx>
        <c:axId val="45674496"/>
        <c:scaling>
          <c:orientation val="minMax"/>
        </c:scaling>
        <c:delete val="0"/>
        <c:axPos val="b"/>
        <c:numFmt formatCode="General" sourceLinked="0"/>
        <c:majorTickMark val="out"/>
        <c:minorTickMark val="none"/>
        <c:tickLblPos val="nextTo"/>
        <c:txPr>
          <a:bodyPr/>
          <a:lstStyle/>
          <a:p>
            <a:pPr>
              <a:defRPr sz="850" b="1" i="0" baseline="0">
                <a:latin typeface="Open Sans" pitchFamily="34" charset="0"/>
                <a:ea typeface="Open Sans" pitchFamily="34" charset="0"/>
                <a:cs typeface="Open Sans" pitchFamily="34" charset="0"/>
              </a:defRPr>
            </a:pPr>
            <a:endParaRPr lang="es-ES"/>
          </a:p>
        </c:txPr>
        <c:crossAx val="45676032"/>
        <c:crosses val="autoZero"/>
        <c:auto val="1"/>
        <c:lblAlgn val="ctr"/>
        <c:lblOffset val="100"/>
        <c:noMultiLvlLbl val="0"/>
      </c:catAx>
      <c:valAx>
        <c:axId val="45676032"/>
        <c:scaling>
          <c:orientation val="minMax"/>
        </c:scaling>
        <c:delete val="0"/>
        <c:axPos val="l"/>
        <c:majorGridlines/>
        <c:numFmt formatCode="General" sourceLinked="1"/>
        <c:majorTickMark val="out"/>
        <c:minorTickMark val="none"/>
        <c:tickLblPos val="nextTo"/>
        <c:txPr>
          <a:bodyPr/>
          <a:lstStyle/>
          <a:p>
            <a:pPr>
              <a:defRPr>
                <a:latin typeface="Open Sans" pitchFamily="34" charset="0"/>
                <a:ea typeface="Open Sans" pitchFamily="34" charset="0"/>
                <a:cs typeface="Open Sans" pitchFamily="34" charset="0"/>
              </a:defRPr>
            </a:pPr>
            <a:endParaRPr lang="es-ES"/>
          </a:p>
        </c:txPr>
        <c:crossAx val="45674496"/>
        <c:crosses val="autoZero"/>
        <c:crossBetween val="between"/>
      </c:valAx>
      <c:serAx>
        <c:axId val="202108416"/>
        <c:scaling>
          <c:orientation val="minMax"/>
        </c:scaling>
        <c:delete val="1"/>
        <c:axPos val="b"/>
        <c:majorTickMark val="out"/>
        <c:minorTickMark val="none"/>
        <c:tickLblPos val="nextTo"/>
        <c:crossAx val="45676032"/>
        <c:crosses val="autoZero"/>
      </c:serAx>
    </c:plotArea>
    <c:legend>
      <c:legendPos val="r"/>
      <c:overlay val="0"/>
      <c:txPr>
        <a:bodyPr/>
        <a:lstStyle/>
        <a:p>
          <a:pPr>
            <a:defRPr>
              <a:latin typeface="Open Sans" pitchFamily="34" charset="0"/>
              <a:ea typeface="Open Sans" pitchFamily="34" charset="0"/>
              <a:cs typeface="Open Sans" pitchFamily="34" charset="0"/>
            </a:defRPr>
          </a:pPr>
          <a:endParaRPr lang="es-ES"/>
        </a:p>
      </c:txPr>
    </c:legend>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rotY val="20"/>
      <c:depthPercent val="100"/>
      <c:rAngAx val="1"/>
    </c:view3D>
    <c:floor>
      <c:thickness val="0"/>
      <c:spPr>
        <a:solidFill>
          <a:schemeClr val="bg2">
            <a:alpha val="72000"/>
          </a:schemeClr>
        </a:solidFill>
        <a:ln>
          <a:noFill/>
        </a:ln>
        <a:effectLst>
          <a:outerShdw blurRad="50800" dist="38100" dir="5400000" algn="ctr" rotWithShape="0">
            <a:srgbClr val="000000">
              <a:alpha val="43137"/>
            </a:srgbClr>
          </a:outerShdw>
        </a:effectLst>
        <a:scene3d>
          <a:camera prst="orthographicFront"/>
          <a:lightRig rig="threePt" dir="t"/>
        </a:scene3d>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0870687253478789E-2"/>
          <c:y val="2.4789131429416158E-2"/>
          <c:w val="0.93584584558632899"/>
          <c:h val="0.42597363695189067"/>
        </c:manualLayout>
      </c:layout>
      <c:bar3DChart>
        <c:barDir val="col"/>
        <c:grouping val="clustered"/>
        <c:varyColors val="0"/>
        <c:ser>
          <c:idx val="0"/>
          <c:order val="0"/>
          <c:spPr>
            <a:solidFill>
              <a:srgbClr val="9D2235"/>
            </a:solidFill>
            <a:ln>
              <a:noFill/>
            </a:ln>
            <a:effectLst>
              <a:outerShdw blurRad="50800" dist="25400" dir="5400000" algn="ctr" rotWithShape="0">
                <a:srgbClr val="000000">
                  <a:alpha val="43137"/>
                </a:srgbClr>
              </a:outerShdw>
            </a:effectLst>
            <a:sp3d/>
          </c:spPr>
          <c:invertIfNegative val="0"/>
          <c:dPt>
            <c:idx val="0"/>
            <c:invertIfNegative val="0"/>
            <c:bubble3D val="0"/>
            <c:spPr>
              <a:solidFill>
                <a:srgbClr val="EABAC2"/>
              </a:solidFill>
              <a:ln>
                <a:noFill/>
              </a:ln>
              <a:effectLst>
                <a:outerShdw blurRad="50800" dist="25400" dir="5400000" algn="ctr" rotWithShape="0">
                  <a:srgbClr val="000000">
                    <a:alpha val="43137"/>
                  </a:srgbClr>
                </a:outerShdw>
              </a:effectLst>
              <a:sp3d/>
            </c:spPr>
            <c:extLst>
              <c:ext xmlns:c16="http://schemas.microsoft.com/office/drawing/2014/chart" uri="{C3380CC4-5D6E-409C-BE32-E72D297353CC}">
                <c16:uniqueId val="{00000001-0D31-4B20-9F1D-346954123A7C}"/>
              </c:ext>
            </c:extLst>
          </c:dPt>
          <c:dPt>
            <c:idx val="2"/>
            <c:invertIfNegative val="0"/>
            <c:bubble3D val="0"/>
            <c:spPr>
              <a:solidFill>
                <a:srgbClr val="D17486"/>
              </a:solidFill>
              <a:ln>
                <a:noFill/>
              </a:ln>
              <a:effectLst>
                <a:outerShdw blurRad="50800" dist="25400" dir="5400000" algn="ctr" rotWithShape="0">
                  <a:srgbClr val="000000">
                    <a:alpha val="43137"/>
                  </a:srgbClr>
                </a:outerShdw>
              </a:effectLst>
              <a:sp3d/>
            </c:spPr>
            <c:extLst>
              <c:ext xmlns:c16="http://schemas.microsoft.com/office/drawing/2014/chart" uri="{C3380CC4-5D6E-409C-BE32-E72D297353CC}">
                <c16:uniqueId val="{00000003-0D31-4B20-9F1D-346954123A7C}"/>
              </c:ext>
            </c:extLst>
          </c:dPt>
          <c:dPt>
            <c:idx val="3"/>
            <c:invertIfNegative val="0"/>
            <c:bubble3D val="0"/>
            <c:spPr>
              <a:solidFill>
                <a:srgbClr val="BBA7A1"/>
              </a:solidFill>
              <a:ln>
                <a:noFill/>
              </a:ln>
              <a:effectLst>
                <a:outerShdw blurRad="50800" dist="25400" dir="5400000" algn="ctr" rotWithShape="0">
                  <a:srgbClr val="000000">
                    <a:alpha val="43137"/>
                  </a:srgbClr>
                </a:outerShdw>
              </a:effectLst>
              <a:sp3d/>
            </c:spPr>
            <c:extLst>
              <c:ext xmlns:c16="http://schemas.microsoft.com/office/drawing/2014/chart" uri="{C3380CC4-5D6E-409C-BE32-E72D297353CC}">
                <c16:uniqueId val="{00000005-0D31-4B20-9F1D-346954123A7C}"/>
              </c:ext>
            </c:extLst>
          </c:dPt>
          <c:dPt>
            <c:idx val="5"/>
            <c:invertIfNegative val="0"/>
            <c:bubble3D val="0"/>
            <c:spPr>
              <a:solidFill>
                <a:srgbClr val="B5540B"/>
              </a:solidFill>
              <a:ln>
                <a:noFill/>
              </a:ln>
              <a:effectLst>
                <a:outerShdw blurRad="50800" dist="25400" dir="5400000" algn="ctr" rotWithShape="0">
                  <a:srgbClr val="000000">
                    <a:alpha val="43137"/>
                  </a:srgbClr>
                </a:outerShdw>
              </a:effectLst>
              <a:sp3d/>
            </c:spPr>
            <c:extLst>
              <c:ext xmlns:c16="http://schemas.microsoft.com/office/drawing/2014/chart" uri="{C3380CC4-5D6E-409C-BE32-E72D297353CC}">
                <c16:uniqueId val="{00000007-0D31-4B20-9F1D-346954123A7C}"/>
              </c:ext>
            </c:extLst>
          </c:dPt>
          <c:dPt>
            <c:idx val="7"/>
            <c:invertIfNegative val="0"/>
            <c:bubble3D val="0"/>
            <c:spPr>
              <a:solidFill>
                <a:srgbClr val="C17F78"/>
              </a:solidFill>
              <a:ln>
                <a:noFill/>
              </a:ln>
              <a:effectLst>
                <a:outerShdw blurRad="50800" dist="25400" dir="5400000" algn="ctr" rotWithShape="0">
                  <a:srgbClr val="000000">
                    <a:alpha val="43137"/>
                  </a:srgbClr>
                </a:outerShdw>
              </a:effectLst>
              <a:sp3d/>
            </c:spPr>
            <c:extLst>
              <c:ext xmlns:c16="http://schemas.microsoft.com/office/drawing/2014/chart" uri="{C3380CC4-5D6E-409C-BE32-E72D297353CC}">
                <c16:uniqueId val="{00000009-0D31-4B20-9F1D-346954123A7C}"/>
              </c:ext>
            </c:extLst>
          </c:dPt>
          <c:dPt>
            <c:idx val="8"/>
            <c:invertIfNegative val="0"/>
            <c:bubble3D val="0"/>
            <c:spPr>
              <a:solidFill>
                <a:schemeClr val="tx1">
                  <a:lumMod val="65000"/>
                  <a:lumOff val="35000"/>
                </a:schemeClr>
              </a:solidFill>
              <a:ln>
                <a:noFill/>
              </a:ln>
              <a:effectLst>
                <a:outerShdw blurRad="50800" dist="25400" dir="5400000" algn="ctr" rotWithShape="0">
                  <a:srgbClr val="000000">
                    <a:alpha val="43137"/>
                  </a:srgbClr>
                </a:outerShdw>
              </a:effectLst>
              <a:sp3d/>
            </c:spPr>
            <c:extLst>
              <c:ext xmlns:c16="http://schemas.microsoft.com/office/drawing/2014/chart" uri="{C3380CC4-5D6E-409C-BE32-E72D297353CC}">
                <c16:uniqueId val="{0000000B-0D31-4B20-9F1D-346954123A7C}"/>
              </c:ext>
            </c:extLst>
          </c:dPt>
          <c:dLbls>
            <c:dLbl>
              <c:idx val="0"/>
              <c:layout>
                <c:manualLayout>
                  <c:x val="-6.9058420677547755E-4"/>
                  <c:y val="6.4096756423965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D31-4B20-9F1D-346954123A7C}"/>
                </c:ext>
              </c:extLst>
            </c:dLbl>
            <c:dLbl>
              <c:idx val="1"/>
              <c:layout>
                <c:manualLayout>
                  <c:x val="1.8621973929236159E-3"/>
                  <c:y val="0.1911061888309718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D31-4B20-9F1D-346954123A7C}"/>
                </c:ext>
              </c:extLst>
            </c:dLbl>
            <c:dLbl>
              <c:idx val="2"/>
              <c:layout>
                <c:manualLayout>
                  <c:x val="5.5865921787709499E-3"/>
                  <c:y val="4.99816186173310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D31-4B20-9F1D-346954123A7C}"/>
                </c:ext>
              </c:extLst>
            </c:dLbl>
            <c:dLbl>
              <c:idx val="3"/>
              <c:layout>
                <c:manualLayout>
                  <c:x val="1.8621973929236499E-3"/>
                  <c:y val="5.88019042556836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D31-4B20-9F1D-346954123A7C}"/>
                </c:ext>
              </c:extLst>
            </c:dLbl>
            <c:dLbl>
              <c:idx val="4"/>
              <c:layout>
                <c:manualLayout>
                  <c:x val="3.7243375399992808E-3"/>
                  <c:y val="4.93000600630250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D31-4B20-9F1D-346954123A7C}"/>
                </c:ext>
              </c:extLst>
            </c:dLbl>
            <c:dLbl>
              <c:idx val="5"/>
              <c:layout>
                <c:manualLayout>
                  <c:x val="1.8621973929236499E-3"/>
                  <c:y val="7.6442475532388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D31-4B20-9F1D-346954123A7C}"/>
                </c:ext>
              </c:extLst>
            </c:dLbl>
            <c:dLbl>
              <c:idx val="6"/>
              <c:layout>
                <c:manualLayout>
                  <c:x val="8.0940933984762867E-17"/>
                  <c:y val="7.23226726288842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D31-4B20-9F1D-346954123A7C}"/>
                </c:ext>
              </c:extLst>
            </c:dLbl>
            <c:dLbl>
              <c:idx val="7"/>
              <c:layout>
                <c:manualLayout>
                  <c:x val="3.7243947858471632E-3"/>
                  <c:y val="4.99816186173310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D31-4B20-9F1D-346954123A7C}"/>
                </c:ext>
              </c:extLst>
            </c:dLbl>
            <c:dLbl>
              <c:idx val="8"/>
              <c:layout>
                <c:manualLayout>
                  <c:x val="1.1715422989344874E-3"/>
                  <c:y val="5.8073296393506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D31-4B20-9F1D-346954123A7C}"/>
                </c:ext>
              </c:extLst>
            </c:dLbl>
            <c:numFmt formatCode="General" sourceLinked="0"/>
            <c:spPr>
              <a:noFill/>
              <a:ln>
                <a:noFill/>
              </a:ln>
              <a:effectLst/>
            </c:spPr>
            <c:txPr>
              <a:bodyPr rot="0" spcFirstLastPara="1" vertOverflow="overflow" horzOverflow="overflow" vert="horz" wrap="square" lIns="38100" tIns="36000" rIns="36000" bIns="19050" numCol="1" anchor="ctr" anchorCtr="0">
                <a:spAutoFit/>
              </a:bodyPr>
              <a:lstStyle/>
              <a:p>
                <a:pPr>
                  <a:defRPr sz="950" b="1" i="0" u="none" strike="noStrike" kern="1200" baseline="0">
                    <a:solidFill>
                      <a:schemeClr val="bg1"/>
                    </a:solidFill>
                    <a:latin typeface="Open Sans" panose="020B0606030504020204" pitchFamily="34" charset="0"/>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Hoja1!$L$118:$L$126</c:f>
              <c:strCache>
                <c:ptCount val="9"/>
                <c:pt idx="0">
                  <c:v>Admón GVA</c:v>
                </c:pt>
                <c:pt idx="1">
                  <c:v>Admón Local</c:v>
                </c:pt>
                <c:pt idx="2">
                  <c:v>Corporaciones derecho público</c:v>
                </c:pt>
                <c:pt idx="3">
                  <c:v>Fundaciones S.P.GVA</c:v>
                </c:pt>
                <c:pt idx="4">
                  <c:v>Entidades derecho público GVA</c:v>
                </c:pt>
                <c:pt idx="5">
                  <c:v>Soc. mercantiles Admón local</c:v>
                </c:pt>
                <c:pt idx="6">
                  <c:v>Empresas contratistas GVA</c:v>
                </c:pt>
                <c:pt idx="7">
                  <c:v>Sector Publico instrumental GVA</c:v>
                </c:pt>
                <c:pt idx="8">
                  <c:v>Otros</c:v>
                </c:pt>
              </c:strCache>
            </c:strRef>
          </c:cat>
          <c:val>
            <c:numRef>
              <c:f>Hoja1!$M$118:$M$126</c:f>
              <c:numCache>
                <c:formatCode>General</c:formatCode>
                <c:ptCount val="9"/>
                <c:pt idx="0">
                  <c:v>2</c:v>
                </c:pt>
                <c:pt idx="1">
                  <c:v>17</c:v>
                </c:pt>
                <c:pt idx="2">
                  <c:v>1</c:v>
                </c:pt>
                <c:pt idx="3">
                  <c:v>2</c:v>
                </c:pt>
                <c:pt idx="4">
                  <c:v>1</c:v>
                </c:pt>
                <c:pt idx="5">
                  <c:v>4</c:v>
                </c:pt>
                <c:pt idx="6">
                  <c:v>3</c:v>
                </c:pt>
                <c:pt idx="7">
                  <c:v>1</c:v>
                </c:pt>
                <c:pt idx="8">
                  <c:v>1</c:v>
                </c:pt>
              </c:numCache>
            </c:numRef>
          </c:val>
          <c:shape val="cylinder"/>
          <c:extLst>
            <c:ext xmlns:c16="http://schemas.microsoft.com/office/drawing/2014/chart" uri="{C3380CC4-5D6E-409C-BE32-E72D297353CC}">
              <c16:uniqueId val="{0000000F-0D31-4B20-9F1D-346954123A7C}"/>
            </c:ext>
          </c:extLst>
        </c:ser>
        <c:dLbls>
          <c:showLegendKey val="0"/>
          <c:showVal val="0"/>
          <c:showCatName val="0"/>
          <c:showSerName val="0"/>
          <c:showPercent val="0"/>
          <c:showBubbleSize val="0"/>
        </c:dLbls>
        <c:gapWidth val="219"/>
        <c:shape val="box"/>
        <c:axId val="1262437407"/>
        <c:axId val="1262689343"/>
        <c:axId val="0"/>
      </c:bar3DChart>
      <c:catAx>
        <c:axId val="1262437407"/>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50" b="1" i="0" u="none" strike="noStrike" kern="1200" baseline="0">
                <a:solidFill>
                  <a:srgbClr val="9D2235"/>
                </a:solidFill>
                <a:latin typeface="Open Sans" panose="020B0606030504020204" pitchFamily="34" charset="0"/>
                <a:ea typeface="+mn-ea"/>
                <a:cs typeface="+mn-cs"/>
              </a:defRPr>
            </a:pPr>
            <a:endParaRPr lang="es-ES"/>
          </a:p>
        </c:txPr>
        <c:crossAx val="1262689343"/>
        <c:crosses val="autoZero"/>
        <c:auto val="1"/>
        <c:lblAlgn val="ctr"/>
        <c:lblOffset val="100"/>
        <c:noMultiLvlLbl val="0"/>
      </c:catAx>
      <c:valAx>
        <c:axId val="1262689343"/>
        <c:scaling>
          <c:orientation val="minMax"/>
          <c:min val="0"/>
        </c:scaling>
        <c:delete val="1"/>
        <c:axPos val="l"/>
        <c:numFmt formatCode="General" sourceLinked="1"/>
        <c:majorTickMark val="out"/>
        <c:minorTickMark val="none"/>
        <c:tickLblPos val="nextTo"/>
        <c:crossAx val="1262437407"/>
        <c:crosses val="autoZero"/>
        <c:crossBetween val="between"/>
        <c:majorUnit val="1"/>
      </c:valAx>
      <c:spPr>
        <a:noFill/>
        <a:ln w="6350">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40"/>
      <c:rotY val="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7839191438004756E-2"/>
          <c:y val="5.5068271264853495E-2"/>
          <c:w val="0.9286564196355942"/>
          <c:h val="0.85013746346722141"/>
        </c:manualLayout>
      </c:layout>
      <c:pie3DChart>
        <c:varyColors val="1"/>
        <c:ser>
          <c:idx val="0"/>
          <c:order val="0"/>
          <c:spPr>
            <a:ln w="9525"/>
          </c:spPr>
          <c:explosion val="15"/>
          <c:dPt>
            <c:idx val="0"/>
            <c:bubble3D val="0"/>
            <c:spPr>
              <a:solidFill>
                <a:srgbClr val="9D2235"/>
              </a:solidFill>
              <a:ln w="9525">
                <a:solidFill>
                  <a:schemeClr val="tx1"/>
                </a:solidFill>
              </a:ln>
              <a:effectLst/>
              <a:sp3d contourW="9525">
                <a:contourClr>
                  <a:schemeClr val="tx1"/>
                </a:contourClr>
              </a:sp3d>
            </c:spPr>
            <c:extLst>
              <c:ext xmlns:c16="http://schemas.microsoft.com/office/drawing/2014/chart" uri="{C3380CC4-5D6E-409C-BE32-E72D297353CC}">
                <c16:uniqueId val="{00000001-D097-4177-B0DF-C551E0F971B7}"/>
              </c:ext>
            </c:extLst>
          </c:dPt>
          <c:dPt>
            <c:idx val="1"/>
            <c:bubble3D val="0"/>
            <c:spPr>
              <a:solidFill>
                <a:srgbClr val="EABAC2"/>
              </a:solidFill>
              <a:ln w="9525">
                <a:solidFill>
                  <a:schemeClr val="tx1"/>
                </a:solidFill>
              </a:ln>
              <a:effectLst/>
              <a:sp3d contourW="9525">
                <a:contourClr>
                  <a:schemeClr val="tx1"/>
                </a:contourClr>
              </a:sp3d>
            </c:spPr>
            <c:extLst>
              <c:ext xmlns:c16="http://schemas.microsoft.com/office/drawing/2014/chart" uri="{C3380CC4-5D6E-409C-BE32-E72D297353CC}">
                <c16:uniqueId val="{00000003-D097-4177-B0DF-C551E0F971B7}"/>
              </c:ext>
            </c:extLst>
          </c:dPt>
          <c:dPt>
            <c:idx val="2"/>
            <c:bubble3D val="0"/>
            <c:spPr>
              <a:solidFill>
                <a:srgbClr val="666666"/>
              </a:solidFill>
              <a:ln w="9525">
                <a:solidFill>
                  <a:schemeClr val="tx1"/>
                </a:solidFill>
              </a:ln>
              <a:effectLst/>
              <a:sp3d contourW="9525">
                <a:contourClr>
                  <a:schemeClr val="tx1"/>
                </a:contourClr>
              </a:sp3d>
            </c:spPr>
            <c:extLst>
              <c:ext xmlns:c16="http://schemas.microsoft.com/office/drawing/2014/chart" uri="{C3380CC4-5D6E-409C-BE32-E72D297353CC}">
                <c16:uniqueId val="{00000005-D097-4177-B0DF-C551E0F971B7}"/>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Open Sans" panose="020B0606030504020204" pitchFamily="34" charset="0"/>
                    <a:ea typeface="+mn-ea"/>
                    <a:cs typeface="+mn-cs"/>
                  </a:defRPr>
                </a:pPr>
                <a:endParaRPr lang="es-ES"/>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Hoja1!$N$145:$N$147</c:f>
              <c:numCache>
                <c:formatCode>General</c:formatCode>
                <c:ptCount val="3"/>
                <c:pt idx="0">
                  <c:v>15</c:v>
                </c:pt>
                <c:pt idx="1">
                  <c:v>3</c:v>
                </c:pt>
                <c:pt idx="2">
                  <c:v>14</c:v>
                </c:pt>
              </c:numCache>
            </c:numRef>
          </c:val>
          <c:extLst>
            <c:ext xmlns:c15="http://schemas.microsoft.com/office/drawing/2012/chart" uri="{02D57815-91ED-43cb-92C2-25804820EDAC}">
              <c15:filteredCategoryTitle>
                <c15:cat>
                  <c:strRef>
                    <c:extLst>
                      <c:ext uri="{02D57815-91ED-43cb-92C2-25804820EDAC}">
                        <c15:formulaRef>
                          <c15:sqref>Hoja1!$L$145:$L$147</c15:sqref>
                        </c15:formulaRef>
                      </c:ext>
                    </c:extLst>
                    <c:strCache>
                      <c:ptCount val="3"/>
                      <c:pt idx="0">
                        <c:v>Alicante</c:v>
                      </c:pt>
                      <c:pt idx="1">
                        <c:v>Castellón</c:v>
                      </c:pt>
                      <c:pt idx="2">
                        <c:v>Valencia</c:v>
                      </c:pt>
                    </c:strCache>
                  </c:strRef>
                </c15:cat>
              </c15:filteredCategoryTitle>
            </c:ext>
            <c:ext xmlns:c16="http://schemas.microsoft.com/office/drawing/2014/chart" uri="{C3380CC4-5D6E-409C-BE32-E72D297353CC}">
              <c16:uniqueId val="{00000006-D097-4177-B0DF-C551E0F971B7}"/>
            </c:ext>
          </c:extLst>
        </c:ser>
        <c:dLbls>
          <c:showLegendKey val="0"/>
          <c:showVal val="0"/>
          <c:showCatName val="0"/>
          <c:showSerName val="0"/>
          <c:showPercent val="0"/>
          <c:showBubbleSize val="0"/>
          <c:showLeaderLines val="1"/>
        </c:dLbls>
      </c:pie3DChart>
      <c:spPr>
        <a:noFill/>
        <a:ln>
          <a:noFill/>
        </a:ln>
        <a:effectLst>
          <a:glow>
            <a:schemeClr val="accent1">
              <a:alpha val="40000"/>
            </a:schemeClr>
          </a:glow>
        </a:effectLst>
      </c:spPr>
    </c:plotArea>
    <c:legend>
      <c:legendPos val="r"/>
      <c:layout>
        <c:manualLayout>
          <c:xMode val="edge"/>
          <c:yMode val="edge"/>
          <c:x val="6.9444046766881451E-3"/>
          <c:y val="0.62441373399753597"/>
          <c:w val="0.19998200224971879"/>
          <c:h val="0.3632470941132358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Open Sans" panose="020B0606030504020204" pitchFamily="34" charset="0"/>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pct5">
      <a:fgClr>
        <a:srgbClr val="C6C6C6"/>
      </a:fgClr>
      <a:bgClr>
        <a:schemeClr val="bg1">
          <a:lumMod val="95000"/>
        </a:schemeClr>
      </a:bgClr>
    </a:patt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pPr>
        <a:noFill/>
        <a:ln w="12700">
          <a:noFill/>
          <a:prstDash val="solid"/>
        </a:ln>
      </c:spPr>
    </c:sideWall>
    <c:backWall>
      <c:thickness val="0"/>
      <c:spPr>
        <a:noFill/>
        <a:ln w="12700">
          <a:noFill/>
          <a:prstDash val="solid"/>
        </a:ln>
      </c:spPr>
    </c:backWall>
    <c:plotArea>
      <c:layout>
        <c:manualLayout>
          <c:layoutTarget val="inner"/>
          <c:xMode val="edge"/>
          <c:yMode val="edge"/>
          <c:x val="0.46525160431501084"/>
          <c:y val="2.9353750567275343E-2"/>
          <c:w val="0.47507917969583946"/>
          <c:h val="0.89991204308017636"/>
        </c:manualLayout>
      </c:layout>
      <c:bar3DChart>
        <c:barDir val="bar"/>
        <c:grouping val="clustered"/>
        <c:varyColors val="0"/>
        <c:ser>
          <c:idx val="0"/>
          <c:order val="0"/>
          <c:spPr>
            <a:solidFill>
              <a:srgbClr val="F3DED7"/>
            </a:solidFill>
            <a:ln w="25400">
              <a:noFill/>
            </a:ln>
          </c:spPr>
          <c:invertIfNegative val="0"/>
          <c:dPt>
            <c:idx val="0"/>
            <c:invertIfNegative val="0"/>
            <c:bubble3D val="0"/>
            <c:spPr>
              <a:solidFill>
                <a:srgbClr val="613D35"/>
              </a:solidFill>
              <a:ln w="25400">
                <a:noFill/>
              </a:ln>
            </c:spPr>
            <c:extLst>
              <c:ext xmlns:c16="http://schemas.microsoft.com/office/drawing/2014/chart" uri="{C3380CC4-5D6E-409C-BE32-E72D297353CC}">
                <c16:uniqueId val="{00000001-6B8C-4AA1-A078-8AF2925EA8BA}"/>
              </c:ext>
            </c:extLst>
          </c:dPt>
          <c:dPt>
            <c:idx val="1"/>
            <c:invertIfNegative val="0"/>
            <c:bubble3D val="0"/>
            <c:spPr>
              <a:solidFill>
                <a:srgbClr val="C2505D"/>
              </a:solidFill>
              <a:ln w="25400">
                <a:noFill/>
              </a:ln>
            </c:spPr>
            <c:extLst>
              <c:ext xmlns:c16="http://schemas.microsoft.com/office/drawing/2014/chart" uri="{C3380CC4-5D6E-409C-BE32-E72D297353CC}">
                <c16:uniqueId val="{00000003-6B8C-4AA1-A078-8AF2925EA8BA}"/>
              </c:ext>
            </c:extLst>
          </c:dPt>
          <c:dPt>
            <c:idx val="2"/>
            <c:invertIfNegative val="0"/>
            <c:bubble3D val="0"/>
            <c:spPr>
              <a:solidFill>
                <a:srgbClr val="BCA6A2"/>
              </a:solidFill>
              <a:ln w="25400">
                <a:noFill/>
              </a:ln>
            </c:spPr>
            <c:extLst>
              <c:ext xmlns:c16="http://schemas.microsoft.com/office/drawing/2014/chart" uri="{C3380CC4-5D6E-409C-BE32-E72D297353CC}">
                <c16:uniqueId val="{00000005-6B8C-4AA1-A078-8AF2925EA8BA}"/>
              </c:ext>
            </c:extLst>
          </c:dPt>
          <c:dPt>
            <c:idx val="3"/>
            <c:invertIfNegative val="0"/>
            <c:bubble3D val="0"/>
            <c:spPr>
              <a:solidFill>
                <a:srgbClr val="993333"/>
              </a:solidFill>
              <a:ln w="25400">
                <a:noFill/>
              </a:ln>
            </c:spPr>
            <c:extLst>
              <c:ext xmlns:c16="http://schemas.microsoft.com/office/drawing/2014/chart" uri="{C3380CC4-5D6E-409C-BE32-E72D297353CC}">
                <c16:uniqueId val="{00000007-6B8C-4AA1-A078-8AF2925EA8BA}"/>
              </c:ext>
            </c:extLst>
          </c:dPt>
          <c:dPt>
            <c:idx val="4"/>
            <c:invertIfNegative val="0"/>
            <c:bubble3D val="0"/>
            <c:spPr>
              <a:solidFill>
                <a:srgbClr val="B3B3B3"/>
              </a:solidFill>
              <a:ln w="25400">
                <a:noFill/>
              </a:ln>
            </c:spPr>
            <c:extLst>
              <c:ext xmlns:c16="http://schemas.microsoft.com/office/drawing/2014/chart" uri="{C3380CC4-5D6E-409C-BE32-E72D297353CC}">
                <c16:uniqueId val="{00000009-6B8C-4AA1-A078-8AF2925EA8BA}"/>
              </c:ext>
            </c:extLst>
          </c:dPt>
          <c:dPt>
            <c:idx val="5"/>
            <c:invertIfNegative val="0"/>
            <c:bubble3D val="0"/>
            <c:spPr>
              <a:solidFill>
                <a:srgbClr val="976B73"/>
              </a:solidFill>
              <a:ln w="25400">
                <a:noFill/>
              </a:ln>
            </c:spPr>
            <c:extLst>
              <c:ext xmlns:c16="http://schemas.microsoft.com/office/drawing/2014/chart" uri="{C3380CC4-5D6E-409C-BE32-E72D297353CC}">
                <c16:uniqueId val="{0000000B-6B8C-4AA1-A078-8AF2925EA8BA}"/>
              </c:ext>
            </c:extLst>
          </c:dPt>
          <c:dPt>
            <c:idx val="6"/>
            <c:invertIfNegative val="0"/>
            <c:bubble3D val="0"/>
            <c:spPr>
              <a:solidFill>
                <a:srgbClr val="D9C1C1"/>
              </a:solidFill>
              <a:ln w="25400">
                <a:noFill/>
              </a:ln>
            </c:spPr>
            <c:extLst>
              <c:ext xmlns:c16="http://schemas.microsoft.com/office/drawing/2014/chart" uri="{C3380CC4-5D6E-409C-BE32-E72D297353CC}">
                <c16:uniqueId val="{0000000D-6B8C-4AA1-A078-8AF2925EA8BA}"/>
              </c:ext>
            </c:extLst>
          </c:dPt>
          <c:dPt>
            <c:idx val="7"/>
            <c:invertIfNegative val="0"/>
            <c:bubble3D val="0"/>
            <c:spPr>
              <a:solidFill>
                <a:srgbClr val="E2E2E2"/>
              </a:solidFill>
              <a:ln w="25400">
                <a:noFill/>
              </a:ln>
            </c:spPr>
            <c:extLst>
              <c:ext xmlns:c16="http://schemas.microsoft.com/office/drawing/2014/chart" uri="{C3380CC4-5D6E-409C-BE32-E72D297353CC}">
                <c16:uniqueId val="{0000000F-6B8C-4AA1-A078-8AF2925EA8BA}"/>
              </c:ext>
            </c:extLst>
          </c:dPt>
          <c:dPt>
            <c:idx val="8"/>
            <c:invertIfNegative val="0"/>
            <c:bubble3D val="0"/>
            <c:spPr>
              <a:solidFill>
                <a:srgbClr val="777777"/>
              </a:solidFill>
              <a:ln w="25400">
                <a:noFill/>
              </a:ln>
            </c:spPr>
            <c:extLst>
              <c:ext xmlns:c16="http://schemas.microsoft.com/office/drawing/2014/chart" uri="{C3380CC4-5D6E-409C-BE32-E72D297353CC}">
                <c16:uniqueId val="{00000011-6B8C-4AA1-A078-8AF2925EA8BA}"/>
              </c:ext>
            </c:extLst>
          </c:dPt>
          <c:dLbls>
            <c:dLbl>
              <c:idx val="0"/>
              <c:layout>
                <c:manualLayout>
                  <c:x val="-0.14460393407761821"/>
                  <c:y val="1.18835412953060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B8C-4AA1-A078-8AF2925EA8BA}"/>
                </c:ext>
              </c:extLst>
            </c:dLbl>
            <c:dLbl>
              <c:idx val="1"/>
              <c:layout>
                <c:manualLayout>
                  <c:x val="-0.1743753322700691"/>
                  <c:y val="-5.941770647653000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B8C-4AA1-A078-8AF2925EA8BA}"/>
                </c:ext>
              </c:extLst>
            </c:dLbl>
            <c:dLbl>
              <c:idx val="2"/>
              <c:layout>
                <c:manualLayout>
                  <c:x val="-0.12333864965443912"/>
                  <c:y val="-1.0893120349108015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B8C-4AA1-A078-8AF2925EA8BA}"/>
                </c:ext>
              </c:extLst>
            </c:dLbl>
            <c:dLbl>
              <c:idx val="3"/>
              <c:layout>
                <c:manualLayout>
                  <c:x val="-0.23391812865497083"/>
                  <c:y val="-1.18835412953060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B8C-4AA1-A078-8AF2925EA8BA}"/>
                </c:ext>
              </c:extLst>
            </c:dLbl>
            <c:dLbl>
              <c:idx val="4"/>
              <c:layout>
                <c:manualLayout>
                  <c:x val="-7.0175438596491224E-2"/>
                  <c:y val="-5.941770647653055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B8C-4AA1-A078-8AF2925EA8BA}"/>
                </c:ext>
              </c:extLst>
            </c:dLbl>
            <c:dLbl>
              <c:idx val="5"/>
              <c:layout>
                <c:manualLayout>
                  <c:x val="-0.10207336523125997"/>
                  <c:y val="-2.9708853238265016E-3"/>
                </c:manualLayout>
              </c:layout>
              <c:spPr>
                <a:noFill/>
                <a:ln>
                  <a:noFill/>
                </a:ln>
                <a:effectLst>
                  <a:glow rad="127000">
                    <a:srgbClr val="4472C4">
                      <a:alpha val="93000"/>
                    </a:srgbClr>
                  </a:glow>
                </a:effectLst>
              </c:spPr>
              <c:txPr>
                <a:bodyPr wrap="square" lIns="38100" tIns="19050" rIns="38100" bIns="19050" anchor="ctr">
                  <a:noAutofit/>
                </a:bodyPr>
                <a:lstStyle/>
                <a:p>
                  <a:pPr>
                    <a:defRPr sz="1000" b="1" i="0" baseline="0">
                      <a:solidFill>
                        <a:schemeClr val="bg1"/>
                      </a:solidFill>
                      <a:latin typeface="Open Sans" panose="020B0606030504020204" pitchFamily="34" charset="0"/>
                    </a:defRPr>
                  </a:pPr>
                  <a:endParaRPr lang="es-ES"/>
                </a:p>
              </c:txPr>
              <c:showLegendKey val="0"/>
              <c:showVal val="1"/>
              <c:showCatName val="0"/>
              <c:showSerName val="0"/>
              <c:showPercent val="0"/>
              <c:showBubbleSize val="0"/>
              <c:extLst>
                <c:ext xmlns:c15="http://schemas.microsoft.com/office/drawing/2012/chart" uri="{CE6537A1-D6FC-4f65-9D91-7224C49458BB}">
                  <c15:layout>
                    <c:manualLayout>
                      <c:w val="2.1520467836257308E-2"/>
                      <c:h val="0.11081402257872845"/>
                    </c:manualLayout>
                  </c15:layout>
                </c:ext>
                <c:ext xmlns:c16="http://schemas.microsoft.com/office/drawing/2014/chart" uri="{C3380CC4-5D6E-409C-BE32-E72D297353CC}">
                  <c16:uniqueId val="{0000000B-6B8C-4AA1-A078-8AF2925EA8BA}"/>
                </c:ext>
              </c:extLst>
            </c:dLbl>
            <c:dLbl>
              <c:idx val="6"/>
              <c:layout>
                <c:manualLayout>
                  <c:x val="-7.0175438596491224E-2"/>
                  <c:y val="-1.78253119429590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6B8C-4AA1-A078-8AF2925EA8BA}"/>
                </c:ext>
              </c:extLst>
            </c:dLbl>
            <c:dLbl>
              <c:idx val="7"/>
              <c:layout>
                <c:manualLayout>
                  <c:x val="-3.8277511961722563E-2"/>
                  <c:y val="-1.18835412953060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6B8C-4AA1-A078-8AF2925EA8BA}"/>
                </c:ext>
              </c:extLst>
            </c:dLbl>
            <c:dLbl>
              <c:idx val="8"/>
              <c:layout>
                <c:manualLayout>
                  <c:x val="-3.8277511961722563E-2"/>
                  <c:y val="-1.18835412953060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6B8C-4AA1-A078-8AF2925EA8BA}"/>
                </c:ext>
              </c:extLst>
            </c:dLbl>
            <c:spPr>
              <a:noFill/>
              <a:ln>
                <a:noFill/>
              </a:ln>
              <a:effectLst>
                <a:glow rad="127000">
                  <a:srgbClr val="4472C4">
                    <a:alpha val="93000"/>
                  </a:srgbClr>
                </a:glow>
              </a:effectLst>
            </c:spPr>
            <c:txPr>
              <a:bodyPr wrap="square" lIns="38100" tIns="19050" rIns="38100" bIns="19050" anchor="ctr">
                <a:spAutoFit/>
              </a:bodyPr>
              <a:lstStyle/>
              <a:p>
                <a:pPr>
                  <a:defRPr sz="1000" b="1" i="0" baseline="0">
                    <a:solidFill>
                      <a:schemeClr val="bg1"/>
                    </a:solidFill>
                    <a:latin typeface="Open Sans" panose="020B0606030504020204" pitchFamily="34"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Hoja1!$N$166:$N$174</c:f>
              <c:numCache>
                <c:formatCode>General</c:formatCode>
                <c:ptCount val="9"/>
                <c:pt idx="0">
                  <c:v>5</c:v>
                </c:pt>
                <c:pt idx="1">
                  <c:v>6</c:v>
                </c:pt>
                <c:pt idx="2">
                  <c:v>4</c:v>
                </c:pt>
                <c:pt idx="3">
                  <c:v>8</c:v>
                </c:pt>
                <c:pt idx="4">
                  <c:v>2</c:v>
                </c:pt>
                <c:pt idx="5">
                  <c:v>3</c:v>
                </c:pt>
                <c:pt idx="6">
                  <c:v>2</c:v>
                </c:pt>
                <c:pt idx="7">
                  <c:v>1</c:v>
                </c:pt>
                <c:pt idx="8">
                  <c:v>1</c:v>
                </c:pt>
              </c:numCache>
            </c:numRef>
          </c:val>
          <c:extLst>
            <c:ext xmlns:c15="http://schemas.microsoft.com/office/drawing/2012/chart" uri="{02D57815-91ED-43cb-92C2-25804820EDAC}">
              <c15:filteredCategoryTitle>
                <c15:cat>
                  <c:strRef>
                    <c:extLst>
                      <c:ext uri="{02D57815-91ED-43cb-92C2-25804820EDAC}">
                        <c15:formulaRef>
                          <c15:sqref>Hoja1!$M$166:$M$174</c15:sqref>
                        </c15:formulaRef>
                      </c:ext>
                    </c:extLst>
                    <c:strCache>
                      <c:ptCount val="9"/>
                      <c:pt idx="0">
                        <c:v>Acceso función pública y selección personal</c:v>
                      </c:pt>
                      <c:pt idx="1">
                        <c:v>Gestión de personal (provisión, retribuciones, etc)</c:v>
                      </c:pt>
                      <c:pt idx="2">
                        <c:v>Funcionamiento servicios públicos policía local</c:v>
                      </c:pt>
                      <c:pt idx="3">
                        <c:v>Contratación administrativa</c:v>
                      </c:pt>
                      <c:pt idx="4">
                        <c:v>Urbanismo</c:v>
                      </c:pt>
                      <c:pt idx="5">
                        <c:v>Subvenciones</c:v>
                      </c:pt>
                      <c:pt idx="6">
                        <c:v>Funcionamiento de servicios sociales</c:v>
                      </c:pt>
                      <c:pt idx="7">
                        <c:v>Funcionamiento servicios de salud</c:v>
                      </c:pt>
                      <c:pt idx="8">
                        <c:v>Fuera del ámbito de actuación de la Agencia</c:v>
                      </c:pt>
                    </c:strCache>
                  </c:strRef>
                </c15:cat>
              </c15:filteredCategoryTitle>
            </c:ext>
            <c:ext xmlns:c16="http://schemas.microsoft.com/office/drawing/2014/chart" uri="{C3380CC4-5D6E-409C-BE32-E72D297353CC}">
              <c16:uniqueId val="{00000012-6B8C-4AA1-A078-8AF2925EA8BA}"/>
            </c:ext>
          </c:extLst>
        </c:ser>
        <c:dLbls>
          <c:showLegendKey val="0"/>
          <c:showVal val="1"/>
          <c:showCatName val="0"/>
          <c:showSerName val="0"/>
          <c:showPercent val="0"/>
          <c:showBubbleSize val="0"/>
        </c:dLbls>
        <c:gapWidth val="121"/>
        <c:shape val="box"/>
        <c:axId val="1290807200"/>
        <c:axId val="1"/>
        <c:axId val="0"/>
      </c:bar3DChart>
      <c:catAx>
        <c:axId val="1290807200"/>
        <c:scaling>
          <c:orientation val="minMax"/>
        </c:scaling>
        <c:delete val="0"/>
        <c:axPos val="l"/>
        <c:numFmt formatCode="General" sourceLinked="1"/>
        <c:majorTickMark val="out"/>
        <c:minorTickMark val="none"/>
        <c:tickLblPos val="low"/>
        <c:spPr>
          <a:ln w="3175">
            <a:solidFill>
              <a:srgbClr val="C0C0C0"/>
            </a:solidFill>
            <a:prstDash val="solid"/>
          </a:ln>
        </c:spPr>
        <c:txPr>
          <a:bodyPr rot="0" vert="horz"/>
          <a:lstStyle/>
          <a:p>
            <a:pPr algn="just">
              <a:defRPr sz="800" b="1" i="0" u="none" strike="noStrike" baseline="0">
                <a:solidFill>
                  <a:srgbClr val="9D2235"/>
                </a:solidFill>
                <a:latin typeface="Open Sans" panose="020B0606030504020204" pitchFamily="34" charset="0"/>
                <a:ea typeface="Calibri"/>
                <a:cs typeface="Calibri"/>
              </a:defRPr>
            </a:pPr>
            <a:endParaRPr lang="es-ES"/>
          </a:p>
        </c:txPr>
        <c:crossAx val="1"/>
        <c:crossesAt val="0"/>
        <c:auto val="1"/>
        <c:lblAlgn val="l"/>
        <c:lblOffset val="100"/>
        <c:noMultiLvlLbl val="0"/>
      </c:catAx>
      <c:valAx>
        <c:axId val="1"/>
        <c:scaling>
          <c:orientation val="minMax"/>
          <c:max val="8"/>
        </c:scaling>
        <c:delete val="1"/>
        <c:axPos val="b"/>
        <c:numFmt formatCode="General" sourceLinked="1"/>
        <c:majorTickMark val="out"/>
        <c:minorTickMark val="none"/>
        <c:tickLblPos val="nextTo"/>
        <c:crossAx val="1290807200"/>
        <c:crossesAt val="1"/>
        <c:crossBetween val="between"/>
        <c:majorUnit val="1"/>
        <c:minorUnit val="0.5"/>
      </c:valAx>
    </c:plotArea>
    <c:plotVisOnly val="1"/>
    <c:dispBlanksAs val="gap"/>
    <c:showDLblsOverMax val="0"/>
  </c:chart>
  <c:spPr>
    <a:solidFill>
      <a:srgbClr val="FFFFFF"/>
    </a:solidFill>
    <a:ln w="6350">
      <a:noFill/>
    </a:ln>
  </c:spPr>
  <c:txPr>
    <a:bodyPr/>
    <a:lstStyle/>
    <a:p>
      <a:pPr>
        <a:defRPr sz="1100" b="0" i="0" u="none" strike="noStrike" baseline="0">
          <a:solidFill>
            <a:srgbClr val="000000"/>
          </a:solidFill>
          <a:latin typeface="Arial"/>
          <a:ea typeface="Arial"/>
          <a:cs typeface="Arial"/>
        </a:defRPr>
      </a:pPr>
      <a:endParaRPr lang="es-E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20"/>
      <c:hPercent val="40"/>
      <c:rotY val="30"/>
      <c:depthPercent val="100"/>
      <c:rAngAx val="1"/>
    </c:view3D>
    <c:floor>
      <c:thickness val="0"/>
      <c:spPr>
        <a:solidFill>
          <a:srgbClr val="BBA7A1"/>
        </a:solidFill>
        <a:ln>
          <a:noFill/>
        </a:ln>
        <a:effectLst/>
        <a:scene3d>
          <a:camera prst="orthographicFront"/>
          <a:lightRig rig="threePt" dir="t"/>
        </a:scene3d>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
          <c:w val="1"/>
          <c:h val="0.79154780652418444"/>
        </c:manualLayout>
      </c:layout>
      <c:bar3DChart>
        <c:barDir val="col"/>
        <c:grouping val="stack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6350">
              <a:solidFill>
                <a:srgbClr val="EABAC2"/>
              </a:solidFill>
            </a:ln>
            <a:effectLst>
              <a:outerShdw blurRad="50800" dist="38100" dir="2700000" algn="tl" rotWithShape="0">
                <a:srgbClr val="EABAC2">
                  <a:alpha val="40000"/>
                </a:srgbClr>
              </a:outerShdw>
            </a:effectLst>
            <a:sp3d contourW="6350">
              <a:contourClr>
                <a:srgbClr val="EABAC2"/>
              </a:contourClr>
            </a:sp3d>
          </c:spPr>
          <c:invertIfNegative val="0"/>
          <c:dPt>
            <c:idx val="0"/>
            <c:invertIfNegative val="0"/>
            <c:bubble3D val="0"/>
            <c:spPr>
              <a:solidFill>
                <a:srgbClr val="C17F78"/>
              </a:solidFill>
              <a:ln w="6350">
                <a:solidFill>
                  <a:srgbClr val="666666"/>
                </a:solidFill>
              </a:ln>
              <a:effectLst>
                <a:outerShdw blurRad="50800" dist="38100" dir="2700000" algn="tl" rotWithShape="0">
                  <a:srgbClr val="EABAC2">
                    <a:alpha val="40000"/>
                  </a:srgbClr>
                </a:outerShdw>
              </a:effectLst>
              <a:sp3d contourW="6350">
                <a:contourClr>
                  <a:srgbClr val="666666"/>
                </a:contourClr>
              </a:sp3d>
            </c:spPr>
            <c:extLst>
              <c:ext xmlns:c16="http://schemas.microsoft.com/office/drawing/2014/chart" uri="{C3380CC4-5D6E-409C-BE32-E72D297353CC}">
                <c16:uniqueId val="{00000001-323E-4825-80FD-AFB4652A6FA7}"/>
              </c:ext>
            </c:extLst>
          </c:dPt>
          <c:dPt>
            <c:idx val="1"/>
            <c:invertIfNegative val="0"/>
            <c:bubble3D val="0"/>
            <c:spPr>
              <a:solidFill>
                <a:srgbClr val="5B6770"/>
              </a:solidFill>
              <a:ln w="6350">
                <a:noFill/>
              </a:ln>
              <a:effectLst>
                <a:outerShdw blurRad="50800" dist="38100" dir="2700000" algn="tl" rotWithShape="0">
                  <a:srgbClr val="EABAC2">
                    <a:alpha val="40000"/>
                  </a:srgbClr>
                </a:outerShdw>
              </a:effectLst>
              <a:sp3d>
                <a:contourClr>
                  <a:srgbClr val="EABAC2"/>
                </a:contourClr>
              </a:sp3d>
            </c:spPr>
            <c:extLst>
              <c:ext xmlns:c16="http://schemas.microsoft.com/office/drawing/2014/chart" uri="{C3380CC4-5D6E-409C-BE32-E72D297353CC}">
                <c16:uniqueId val="{00000003-323E-4825-80FD-AFB4652A6FA7}"/>
              </c:ext>
            </c:extLst>
          </c:dPt>
          <c:dLbls>
            <c:dLbl>
              <c:idx val="0"/>
              <c:layout>
                <c:manualLayout>
                  <c:x val="6.6115702479338035E-3"/>
                  <c:y val="-3.52941176470588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23E-4825-80FD-AFB4652A6FA7}"/>
                </c:ext>
              </c:extLst>
            </c:dLbl>
            <c:dLbl>
              <c:idx val="1"/>
              <c:layout>
                <c:manualLayout>
                  <c:x val="2.2038567493112948E-2"/>
                  <c:y val="-1.56862745098039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23E-4825-80FD-AFB4652A6FA7}"/>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Open Sans" panose="020B0606030504020204" pitchFamily="34" charset="0"/>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Hoja1!$O$228:$O$229</c:f>
              <c:numCache>
                <c:formatCode>General</c:formatCode>
                <c:ptCount val="2"/>
                <c:pt idx="0">
                  <c:v>20</c:v>
                </c:pt>
                <c:pt idx="1">
                  <c:v>12</c:v>
                </c:pt>
              </c:numCache>
            </c:numRef>
          </c:val>
          <c:extLst>
            <c:ext xmlns:c15="http://schemas.microsoft.com/office/drawing/2012/chart" uri="{02D57815-91ED-43cb-92C2-25804820EDAC}">
              <c15:filteredCategoryTitle>
                <c15:cat>
                  <c:strRef>
                    <c:extLst>
                      <c:ext uri="{02D57815-91ED-43cb-92C2-25804820EDAC}">
                        <c15:formulaRef>
                          <c15:sqref>Hoja1!$N$228:$N$229</c15:sqref>
                        </c15:formulaRef>
                      </c:ext>
                    </c:extLst>
                    <c:strCache>
                      <c:ptCount val="2"/>
                      <c:pt idx="0">
                        <c:v>Resoluciones estimatorias</c:v>
                      </c:pt>
                      <c:pt idx="1">
                        <c:v>Expedientes en tramitación</c:v>
                      </c:pt>
                    </c:strCache>
                  </c:strRef>
                </c15:cat>
              </c15:filteredCategoryTitle>
            </c:ext>
            <c:ext xmlns:c16="http://schemas.microsoft.com/office/drawing/2014/chart" uri="{C3380CC4-5D6E-409C-BE32-E72D297353CC}">
              <c16:uniqueId val="{00000004-323E-4825-80FD-AFB4652A6FA7}"/>
            </c:ext>
          </c:extLst>
        </c:ser>
        <c:dLbls>
          <c:showLegendKey val="0"/>
          <c:showVal val="0"/>
          <c:showCatName val="0"/>
          <c:showSerName val="0"/>
          <c:showPercent val="0"/>
          <c:showBubbleSize val="0"/>
        </c:dLbls>
        <c:gapWidth val="155"/>
        <c:gapDepth val="93"/>
        <c:shape val="cylinder"/>
        <c:axId val="1290816000"/>
        <c:axId val="1"/>
        <c:axId val="0"/>
      </c:bar3DChart>
      <c:catAx>
        <c:axId val="1290816000"/>
        <c:scaling>
          <c:orientation val="minMax"/>
        </c:scaling>
        <c:delete val="0"/>
        <c:axPos val="b"/>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0" spcFirstLastPara="1" vertOverflow="ellipsis" wrap="square" anchor="ctr" anchorCtr="0"/>
          <a:lstStyle/>
          <a:p>
            <a:pPr>
              <a:defRPr sz="900" b="1" i="0" u="none" strike="noStrike" kern="1200" baseline="0">
                <a:solidFill>
                  <a:srgbClr val="9D2235"/>
                </a:solidFill>
                <a:latin typeface="+mn-lt"/>
                <a:ea typeface="+mn-ea"/>
                <a:cs typeface="+mn-cs"/>
              </a:defRPr>
            </a:pPr>
            <a:endParaRPr lang="es-ES"/>
          </a:p>
        </c:txPr>
        <c:crossAx val="1"/>
        <c:crossesAt val="0"/>
        <c:auto val="1"/>
        <c:lblAlgn val="ctr"/>
        <c:lblOffset val="100"/>
        <c:noMultiLvlLbl val="0"/>
      </c:catAx>
      <c:valAx>
        <c:axId val="1"/>
        <c:scaling>
          <c:orientation val="minMax"/>
        </c:scaling>
        <c:delete val="1"/>
        <c:axPos val="l"/>
        <c:majorGridlines>
          <c:spPr>
            <a:ln w="9525" cap="flat" cmpd="sng" algn="ctr">
              <a:noFill/>
              <a:round/>
            </a:ln>
            <a:effectLst/>
          </c:spPr>
        </c:majorGridlines>
        <c:numFmt formatCode="General" sourceLinked="1"/>
        <c:majorTickMark val="out"/>
        <c:minorTickMark val="none"/>
        <c:tickLblPos val="nextTo"/>
        <c:crossAx val="1290816000"/>
        <c:crossesAt val="1"/>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5134405592665849E-3"/>
          <c:y val="5.7351920719672579E-2"/>
          <c:w val="0.92618308096103352"/>
          <c:h val="0.70602750656167979"/>
        </c:manualLayout>
      </c:layout>
      <c:barChart>
        <c:barDir val="col"/>
        <c:grouping val="clustered"/>
        <c:varyColors val="0"/>
        <c:ser>
          <c:idx val="0"/>
          <c:order val="0"/>
          <c:spPr>
            <a:solidFill>
              <a:srgbClr val="9D2235"/>
            </a:solidFill>
            <a:ln w="3175">
              <a:noFill/>
              <a:prstDash val="solid"/>
            </a:ln>
            <a:effectLst>
              <a:innerShdw blurRad="114300">
                <a:srgbClr val="5B6770"/>
              </a:innerShdw>
            </a:effectLst>
            <a:scene3d>
              <a:camera prst="orthographicFront"/>
              <a:lightRig rig="threePt" dir="t"/>
            </a:scene3d>
            <a:sp3d prstMaterial="matte">
              <a:bevelT w="165100" prst="coolSlant"/>
              <a:bevelB prst="angle"/>
            </a:sp3d>
          </c:spPr>
          <c:invertIfNegative val="0"/>
          <c:dPt>
            <c:idx val="0"/>
            <c:invertIfNegative val="0"/>
            <c:bubble3D val="0"/>
            <c:spPr>
              <a:solidFill>
                <a:srgbClr val="EABAC2"/>
              </a:solidFill>
              <a:ln w="3175">
                <a:noFill/>
                <a:prstDash val="solid"/>
              </a:ln>
              <a:effectLst>
                <a:innerShdw blurRad="114300">
                  <a:srgbClr val="5B6770"/>
                </a:innerShdw>
              </a:effectLst>
              <a:scene3d>
                <a:camera prst="orthographicFront"/>
                <a:lightRig rig="threePt" dir="t"/>
              </a:scene3d>
              <a:sp3d prstMaterial="matte">
                <a:bevelT w="165100" prst="coolSlant"/>
                <a:bevelB prst="angle"/>
              </a:sp3d>
            </c:spPr>
            <c:extLst>
              <c:ext xmlns:c16="http://schemas.microsoft.com/office/drawing/2014/chart" uri="{C3380CC4-5D6E-409C-BE32-E72D297353CC}">
                <c16:uniqueId val="{00000001-9E3A-4E91-BC7C-349084A1312D}"/>
              </c:ext>
            </c:extLst>
          </c:dPt>
          <c:dPt>
            <c:idx val="1"/>
            <c:invertIfNegative val="0"/>
            <c:bubble3D val="0"/>
            <c:spPr>
              <a:solidFill>
                <a:srgbClr val="D17486"/>
              </a:solidFill>
              <a:ln w="3175">
                <a:noFill/>
                <a:prstDash val="solid"/>
              </a:ln>
              <a:effectLst>
                <a:innerShdw blurRad="114300">
                  <a:srgbClr val="5B6770"/>
                </a:innerShdw>
              </a:effectLst>
              <a:scene3d>
                <a:camera prst="orthographicFront"/>
                <a:lightRig rig="threePt" dir="t"/>
              </a:scene3d>
              <a:sp3d prstMaterial="matte">
                <a:bevelT w="165100" prst="coolSlant"/>
                <a:bevelB prst="angle"/>
              </a:sp3d>
            </c:spPr>
            <c:extLst>
              <c:ext xmlns:c16="http://schemas.microsoft.com/office/drawing/2014/chart" uri="{C3380CC4-5D6E-409C-BE32-E72D297353CC}">
                <c16:uniqueId val="{00000003-9E3A-4E91-BC7C-349084A1312D}"/>
              </c:ext>
            </c:extLst>
          </c:dPt>
          <c:dPt>
            <c:idx val="2"/>
            <c:invertIfNegative val="0"/>
            <c:bubble3D val="0"/>
            <c:spPr>
              <a:solidFill>
                <a:srgbClr val="BBA7A1"/>
              </a:solidFill>
              <a:ln w="3175">
                <a:noFill/>
                <a:prstDash val="solid"/>
              </a:ln>
              <a:effectLst>
                <a:innerShdw blurRad="114300">
                  <a:srgbClr val="5B6770"/>
                </a:innerShdw>
              </a:effectLst>
              <a:scene3d>
                <a:camera prst="orthographicFront"/>
                <a:lightRig rig="threePt" dir="t"/>
              </a:scene3d>
              <a:sp3d prstMaterial="matte">
                <a:bevelT w="165100" prst="coolSlant"/>
                <a:bevelB prst="angle"/>
              </a:sp3d>
            </c:spPr>
            <c:extLst>
              <c:ext xmlns:c16="http://schemas.microsoft.com/office/drawing/2014/chart" uri="{C3380CC4-5D6E-409C-BE32-E72D297353CC}">
                <c16:uniqueId val="{00000005-9E3A-4E91-BC7C-349084A1312D}"/>
              </c:ext>
            </c:extLst>
          </c:dPt>
          <c:dPt>
            <c:idx val="4"/>
            <c:invertIfNegative val="0"/>
            <c:bubble3D val="0"/>
            <c:spPr>
              <a:solidFill>
                <a:srgbClr val="5B6770"/>
              </a:solidFill>
              <a:ln w="3175">
                <a:noFill/>
                <a:prstDash val="solid"/>
              </a:ln>
              <a:effectLst>
                <a:innerShdw blurRad="114300">
                  <a:srgbClr val="5B6770"/>
                </a:innerShdw>
              </a:effectLst>
              <a:scene3d>
                <a:camera prst="orthographicFront"/>
                <a:lightRig rig="threePt" dir="t"/>
              </a:scene3d>
              <a:sp3d prstMaterial="matte">
                <a:bevelT w="165100" prst="coolSlant"/>
                <a:bevelB prst="angle"/>
              </a:sp3d>
            </c:spPr>
            <c:extLst>
              <c:ext xmlns:c16="http://schemas.microsoft.com/office/drawing/2014/chart" uri="{C3380CC4-5D6E-409C-BE32-E72D297353CC}">
                <c16:uniqueId val="{00000007-9E3A-4E91-BC7C-349084A1312D}"/>
              </c:ext>
            </c:extLst>
          </c:dPt>
          <c:dPt>
            <c:idx val="5"/>
            <c:invertIfNegative val="0"/>
            <c:bubble3D val="0"/>
            <c:spPr>
              <a:solidFill>
                <a:srgbClr val="D83A23"/>
              </a:solidFill>
              <a:ln w="3175">
                <a:noFill/>
                <a:prstDash val="solid"/>
              </a:ln>
              <a:effectLst>
                <a:innerShdw blurRad="114300">
                  <a:srgbClr val="5B6770"/>
                </a:innerShdw>
              </a:effectLst>
              <a:scene3d>
                <a:camera prst="orthographicFront"/>
                <a:lightRig rig="threePt" dir="t"/>
              </a:scene3d>
              <a:sp3d prstMaterial="matte">
                <a:bevelT w="165100" prst="coolSlant"/>
                <a:bevelB prst="angle"/>
              </a:sp3d>
            </c:spPr>
            <c:extLst>
              <c:ext xmlns:c16="http://schemas.microsoft.com/office/drawing/2014/chart" uri="{C3380CC4-5D6E-409C-BE32-E72D297353CC}">
                <c16:uniqueId val="{00000009-9E3A-4E91-BC7C-349084A1312D}"/>
              </c:ext>
            </c:extLst>
          </c:dPt>
          <c:dPt>
            <c:idx val="6"/>
            <c:invertIfNegative val="0"/>
            <c:bubble3D val="0"/>
            <c:spPr>
              <a:solidFill>
                <a:srgbClr val="B5540B"/>
              </a:solidFill>
              <a:ln w="3175">
                <a:noFill/>
                <a:prstDash val="solid"/>
              </a:ln>
              <a:effectLst>
                <a:innerShdw blurRad="114300">
                  <a:srgbClr val="5B6770"/>
                </a:innerShdw>
              </a:effectLst>
              <a:scene3d>
                <a:camera prst="orthographicFront"/>
                <a:lightRig rig="threePt" dir="t"/>
              </a:scene3d>
              <a:sp3d prstMaterial="matte">
                <a:bevelT w="165100" prst="coolSlant"/>
                <a:bevelB prst="angle"/>
              </a:sp3d>
            </c:spPr>
            <c:extLst>
              <c:ext xmlns:c16="http://schemas.microsoft.com/office/drawing/2014/chart" uri="{C3380CC4-5D6E-409C-BE32-E72D297353CC}">
                <c16:uniqueId val="{0000000B-9E3A-4E91-BC7C-349084A1312D}"/>
              </c:ext>
            </c:extLst>
          </c:dPt>
          <c:dPt>
            <c:idx val="7"/>
            <c:invertIfNegative val="0"/>
            <c:bubble3D val="0"/>
            <c:spPr>
              <a:solidFill>
                <a:srgbClr val="C17F78"/>
              </a:solidFill>
              <a:ln w="3175">
                <a:noFill/>
                <a:prstDash val="solid"/>
              </a:ln>
              <a:effectLst>
                <a:innerShdw blurRad="114300">
                  <a:srgbClr val="5B6770"/>
                </a:innerShdw>
              </a:effectLst>
              <a:scene3d>
                <a:camera prst="orthographicFront"/>
                <a:lightRig rig="threePt" dir="t"/>
              </a:scene3d>
              <a:sp3d prstMaterial="matte">
                <a:bevelT w="165100" prst="coolSlant"/>
                <a:bevelB prst="angle"/>
              </a:sp3d>
            </c:spPr>
            <c:extLst>
              <c:ext xmlns:c16="http://schemas.microsoft.com/office/drawing/2014/chart" uri="{C3380CC4-5D6E-409C-BE32-E72D297353CC}">
                <c16:uniqueId val="{0000000D-9E3A-4E91-BC7C-349084A1312D}"/>
              </c:ext>
            </c:extLst>
          </c:dPt>
          <c:dLbls>
            <c:dLbl>
              <c:idx val="2"/>
              <c:layout>
                <c:manualLayout>
                  <c:x val="-4.2290937825948762E-17"/>
                  <c:y val="7.553786685755180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E3A-4E91-BC7C-349084A1312D}"/>
                </c:ext>
              </c:extLst>
            </c:dLbl>
            <c:dLbl>
              <c:idx val="3"/>
              <c:layout>
                <c:manualLayout>
                  <c:x val="-2.306805074971165E-3"/>
                  <c:y val="8.038635170603665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9E3A-4E91-BC7C-349084A1312D}"/>
                </c:ext>
              </c:extLst>
            </c:dLbl>
            <c:dLbl>
              <c:idx val="4"/>
              <c:layout>
                <c:manualLayout>
                  <c:x val="-8.4581875651897525E-17"/>
                  <c:y val="8.038635170603665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E3A-4E91-BC7C-349084A1312D}"/>
                </c:ext>
              </c:extLst>
            </c:dLbl>
            <c:dLbl>
              <c:idx val="6"/>
              <c:layout>
                <c:manualLayout>
                  <c:x val="-4.61361014994233E-3"/>
                  <c:y val="8.038635170603665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E3A-4E91-BC7C-349084A1312D}"/>
                </c:ext>
              </c:extLst>
            </c:dLbl>
            <c:dLbl>
              <c:idx val="7"/>
              <c:layout>
                <c:manualLayout>
                  <c:x val="2.306805074971165E-3"/>
                  <c:y val="8.038635170603665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E3A-4E91-BC7C-349084A1312D}"/>
                </c:ext>
              </c:extLst>
            </c:dLbl>
            <c:spPr>
              <a:noFill/>
              <a:ln w="25400">
                <a:noFill/>
              </a:ln>
            </c:spPr>
            <c:txPr>
              <a:bodyPr wrap="square" lIns="38100" tIns="19050" rIns="38100" bIns="19050" anchor="ctr">
                <a:spAutoFit/>
              </a:bodyPr>
              <a:lstStyle/>
              <a:p>
                <a:pPr>
                  <a:defRPr sz="1000" b="1" i="0" u="none" strike="noStrike" baseline="0">
                    <a:solidFill>
                      <a:schemeClr val="bg1"/>
                    </a:solidFill>
                    <a:latin typeface="Open Sans"/>
                    <a:ea typeface="Open Sans"/>
                    <a:cs typeface="Open San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Hoja1!$M$288:$M$295</c:f>
              <c:numCache>
                <c:formatCode>General</c:formatCode>
                <c:ptCount val="8"/>
                <c:pt idx="0">
                  <c:v>2</c:v>
                </c:pt>
                <c:pt idx="1">
                  <c:v>9</c:v>
                </c:pt>
                <c:pt idx="2">
                  <c:v>1</c:v>
                </c:pt>
                <c:pt idx="3">
                  <c:v>1</c:v>
                </c:pt>
                <c:pt idx="4">
                  <c:v>1</c:v>
                </c:pt>
                <c:pt idx="5">
                  <c:v>4</c:v>
                </c:pt>
                <c:pt idx="6">
                  <c:v>1</c:v>
                </c:pt>
                <c:pt idx="7">
                  <c:v>1</c:v>
                </c:pt>
              </c:numCache>
            </c:numRef>
          </c:val>
          <c:extLst>
            <c:ext xmlns:c15="http://schemas.microsoft.com/office/drawing/2012/chart" uri="{02D57815-91ED-43cb-92C2-25804820EDAC}">
              <c15:filteredSeriesTitle>
                <c15:tx>
                  <c:strRef>
                    <c:extLst>
                      <c:ext uri="{02D57815-91ED-43cb-92C2-25804820EDAC}">
                        <c15:formulaRef>
                          <c15:sqref>Hoja1!$M$287</c15:sqref>
                        </c15:formulaRef>
                      </c:ext>
                    </c:extLst>
                    <c:strCache>
                      <c:ptCount val="1"/>
                      <c:pt idx="0">
                        <c:v>Represalias</c:v>
                      </c:pt>
                    </c:strCache>
                  </c:strRef>
                </c15:tx>
              </c15:filteredSeriesTitle>
            </c:ext>
            <c:ext xmlns:c15="http://schemas.microsoft.com/office/drawing/2012/chart" uri="{02D57815-91ED-43cb-92C2-25804820EDAC}">
              <c15:filteredCategoryTitle>
                <c15:cat>
                  <c:strRef>
                    <c:extLst>
                      <c:ext uri="{02D57815-91ED-43cb-92C2-25804820EDAC}">
                        <c15:formulaRef>
                          <c15:sqref>Hoja1!$L$288:$L$295</c15:sqref>
                        </c15:formulaRef>
                      </c:ext>
                    </c:extLst>
                    <c:strCache>
                      <c:ptCount val="8"/>
                      <c:pt idx="0">
                        <c:v>Admón. GVA</c:v>
                      </c:pt>
                      <c:pt idx="1">
                        <c:v>Admón. Local</c:v>
                      </c:pt>
                      <c:pt idx="2">
                        <c:v>Corporaciones de derecho público</c:v>
                      </c:pt>
                      <c:pt idx="3">
                        <c:v>Entidades de derecho público GVA</c:v>
                      </c:pt>
                      <c:pt idx="4">
                        <c:v>Fundaciones S.P. GVA</c:v>
                      </c:pt>
                      <c:pt idx="5">
                        <c:v>Soc. mercantiles Admón. Local</c:v>
                      </c:pt>
                      <c:pt idx="6">
                        <c:v>Empresas contratistas GVA</c:v>
                      </c:pt>
                      <c:pt idx="7">
                        <c:v>Otros</c:v>
                      </c:pt>
                    </c:strCache>
                  </c:strRef>
                </c15:cat>
              </c15:filteredCategoryTitle>
            </c:ext>
            <c:ext xmlns:c16="http://schemas.microsoft.com/office/drawing/2014/chart" uri="{C3380CC4-5D6E-409C-BE32-E72D297353CC}">
              <c16:uniqueId val="{0000000F-9E3A-4E91-BC7C-349084A1312D}"/>
            </c:ext>
          </c:extLst>
        </c:ser>
        <c:dLbls>
          <c:showLegendKey val="0"/>
          <c:showVal val="0"/>
          <c:showCatName val="0"/>
          <c:showSerName val="0"/>
          <c:showPercent val="0"/>
          <c:showBubbleSize val="0"/>
        </c:dLbls>
        <c:gapWidth val="79"/>
        <c:overlap val="99"/>
        <c:axId val="1290799200"/>
        <c:axId val="1"/>
      </c:barChart>
      <c:lineChart>
        <c:grouping val="standard"/>
        <c:varyColors val="0"/>
        <c:ser>
          <c:idx val="1"/>
          <c:order val="1"/>
          <c:spPr>
            <a:ln>
              <a:noFill/>
            </a:ln>
          </c:spPr>
          <c:marker>
            <c:symbol val="star"/>
            <c:size val="5"/>
            <c:spPr>
              <a:noFill/>
              <a:ln>
                <a:noFill/>
              </a:ln>
            </c:spPr>
          </c:marker>
          <c:dPt>
            <c:idx val="0"/>
            <c:marker>
              <c:symbol val="none"/>
            </c:marker>
            <c:bubble3D val="0"/>
            <c:extLst>
              <c:ext xmlns:c16="http://schemas.microsoft.com/office/drawing/2014/chart" uri="{C3380CC4-5D6E-409C-BE32-E72D297353CC}">
                <c16:uniqueId val="{00000010-9E3A-4E91-BC7C-349084A1312D}"/>
              </c:ext>
            </c:extLst>
          </c:dPt>
          <c:val>
            <c:numRef>
              <c:f>Hoja1!$N$288:$N$293</c:f>
              <c:numCache>
                <c:formatCode>0.00%</c:formatCode>
                <c:ptCount val="6"/>
                <c:pt idx="0">
                  <c:v>2</c:v>
                </c:pt>
                <c:pt idx="1">
                  <c:v>9</c:v>
                </c:pt>
                <c:pt idx="2">
                  <c:v>1</c:v>
                </c:pt>
                <c:pt idx="3">
                  <c:v>1</c:v>
                </c:pt>
                <c:pt idx="4">
                  <c:v>4</c:v>
                </c:pt>
                <c:pt idx="5">
                  <c:v>1</c:v>
                </c:pt>
              </c:numCache>
            </c:numRef>
          </c:val>
          <c:smooth val="0"/>
          <c:extLst>
            <c:ext xmlns:c15="http://schemas.microsoft.com/office/drawing/2012/chart" uri="{02D57815-91ED-43cb-92C2-25804820EDAC}">
              <c15:filteredSeriesTitle>
                <c15:tx>
                  <c:strRef>
                    <c:extLst>
                      <c:ext uri="{02D57815-91ED-43cb-92C2-25804820EDAC}">
                        <c15:formulaRef>
                          <c15:sqref>Hoja1!$N$287</c15:sqref>
                        </c15:formulaRef>
                      </c:ext>
                    </c:extLst>
                    <c:strCache>
                      <c:ptCount val="1"/>
                      <c:pt idx="0">
                        <c:v>porcentaje</c:v>
                      </c:pt>
                    </c:strCache>
                  </c:strRef>
                </c15:tx>
              </c15:filteredSeriesTitle>
            </c:ext>
            <c:ext xmlns:c15="http://schemas.microsoft.com/office/drawing/2012/chart" uri="{02D57815-91ED-43cb-92C2-25804820EDAC}">
              <c15:filteredCategoryTitle>
                <c15:cat>
                  <c:strRef>
                    <c:extLst>
                      <c:ext uri="{02D57815-91ED-43cb-92C2-25804820EDAC}">
                        <c15:formulaRef>
                          <c15:sqref>Hoja1!$L$288:$L$294</c15:sqref>
                        </c15:formulaRef>
                      </c:ext>
                    </c:extLst>
                    <c:strCache>
                      <c:ptCount val="7"/>
                      <c:pt idx="0">
                        <c:v>Admón. GVA</c:v>
                      </c:pt>
                      <c:pt idx="1">
                        <c:v>Admón. Local</c:v>
                      </c:pt>
                      <c:pt idx="2">
                        <c:v>Corporaciones de derecho público</c:v>
                      </c:pt>
                      <c:pt idx="3">
                        <c:v>Entidades de derecho público GVA</c:v>
                      </c:pt>
                      <c:pt idx="4">
                        <c:v>Fundaciones S.P. GVA</c:v>
                      </c:pt>
                      <c:pt idx="5">
                        <c:v>Soc. mercantiles Admón. Local</c:v>
                      </c:pt>
                      <c:pt idx="6">
                        <c:v>Empresas contratistas GVA</c:v>
                      </c:pt>
                    </c:strCache>
                  </c:strRef>
                </c15:cat>
              </c15:filteredCategoryTitle>
            </c:ext>
            <c:ext xmlns:c16="http://schemas.microsoft.com/office/drawing/2014/chart" uri="{C3380CC4-5D6E-409C-BE32-E72D297353CC}">
              <c16:uniqueId val="{00000011-9E3A-4E91-BC7C-349084A1312D}"/>
            </c:ext>
          </c:extLst>
        </c:ser>
        <c:dLbls>
          <c:showLegendKey val="0"/>
          <c:showVal val="0"/>
          <c:showCatName val="0"/>
          <c:showSerName val="0"/>
          <c:showPercent val="0"/>
          <c:showBubbleSize val="0"/>
        </c:dLbls>
        <c:marker val="1"/>
        <c:smooth val="0"/>
        <c:axId val="1290799200"/>
        <c:axId val="1"/>
      </c:lineChart>
      <c:catAx>
        <c:axId val="1290799200"/>
        <c:scaling>
          <c:orientation val="minMax"/>
        </c:scaling>
        <c:delete val="0"/>
        <c:axPos val="b"/>
        <c:numFmt formatCode="General" sourceLinked="1"/>
        <c:majorTickMark val="none"/>
        <c:minorTickMark val="none"/>
        <c:tickLblPos val="nextTo"/>
        <c:spPr>
          <a:ln w="3175">
            <a:solidFill>
              <a:srgbClr val="C0C0C0"/>
            </a:solidFill>
            <a:prstDash val="solid"/>
          </a:ln>
        </c:spPr>
        <c:txPr>
          <a:bodyPr rot="0" vert="horz"/>
          <a:lstStyle/>
          <a:p>
            <a:pPr>
              <a:defRPr sz="850" b="1" i="0" u="none" strike="noStrike" baseline="0">
                <a:solidFill>
                  <a:srgbClr val="800000"/>
                </a:solidFill>
                <a:latin typeface="Calibri"/>
                <a:ea typeface="Calibri"/>
                <a:cs typeface="Calibri"/>
              </a:defRPr>
            </a:pPr>
            <a:endParaRPr lang="es-ES"/>
          </a:p>
        </c:txPr>
        <c:crossAx val="1"/>
        <c:crossesAt val="0"/>
        <c:auto val="1"/>
        <c:lblAlgn val="ctr"/>
        <c:lblOffset val="100"/>
        <c:noMultiLvlLbl val="0"/>
      </c:catAx>
      <c:valAx>
        <c:axId val="1"/>
        <c:scaling>
          <c:orientation val="minMax"/>
        </c:scaling>
        <c:delete val="1"/>
        <c:axPos val="l"/>
        <c:majorGridlines>
          <c:spPr>
            <a:ln w="3175">
              <a:solidFill>
                <a:schemeClr val="bg2"/>
              </a:solidFill>
            </a:ln>
          </c:spPr>
        </c:majorGridlines>
        <c:numFmt formatCode="General" sourceLinked="1"/>
        <c:majorTickMark val="out"/>
        <c:minorTickMark val="none"/>
        <c:tickLblPos val="nextTo"/>
        <c:crossAx val="1290799200"/>
        <c:crossesAt val="1"/>
        <c:crossBetween val="between"/>
      </c:valAx>
      <c:spPr>
        <a:noFill/>
        <a:ln w="25400">
          <a:noFill/>
        </a:ln>
      </c:spPr>
    </c:plotArea>
    <c:plotVisOnly val="1"/>
    <c:dispBlanksAs val="gap"/>
    <c:showDLblsOverMax val="0"/>
  </c:chart>
  <c:spPr>
    <a:solidFill>
      <a:srgbClr val="FFFFFF"/>
    </a:solidFill>
    <a:ln w="6350">
      <a:noFill/>
    </a:ln>
    <a:effectLst/>
  </c:spPr>
  <c:txPr>
    <a:bodyPr/>
    <a:lstStyle/>
    <a:p>
      <a:pPr>
        <a:defRPr sz="1100" b="0" i="0" u="none" strike="noStrike" baseline="0">
          <a:solidFill>
            <a:srgbClr val="000000"/>
          </a:solidFill>
          <a:latin typeface="Arial"/>
          <a:ea typeface="Arial"/>
          <a:cs typeface="Arial"/>
        </a:defRPr>
      </a:pPr>
      <a:endParaRPr lang="es-ES"/>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133"/>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9.5558419435981104E-2"/>
          <c:w val="0.8669833729216152"/>
          <c:h val="0.64408306577571839"/>
        </c:manualLayout>
      </c:layout>
      <c:pie3DChart>
        <c:varyColors val="1"/>
        <c:ser>
          <c:idx val="0"/>
          <c:order val="0"/>
          <c:spPr>
            <a:solidFill>
              <a:srgbClr val="9D2235"/>
            </a:solidFill>
            <a:ln w="12700"/>
            <a:effectLst>
              <a:outerShdw blurRad="50800" dist="25400" algn="ctr" rotWithShape="0">
                <a:schemeClr val="bg2">
                  <a:lumMod val="75000"/>
                </a:schemeClr>
              </a:outerShdw>
            </a:effectLst>
          </c:spPr>
          <c:explosion val="24"/>
          <c:dPt>
            <c:idx val="0"/>
            <c:bubble3D val="0"/>
            <c:spPr>
              <a:noFill/>
              <a:ln w="12700">
                <a:noFill/>
              </a:ln>
              <a:effectLst>
                <a:outerShdw blurRad="50800" dist="25400" algn="ctr" rotWithShape="0">
                  <a:schemeClr val="bg2">
                    <a:lumMod val="75000"/>
                  </a:schemeClr>
                </a:outerShdw>
              </a:effectLst>
              <a:sp3d/>
            </c:spPr>
            <c:extLst>
              <c:ext xmlns:c16="http://schemas.microsoft.com/office/drawing/2014/chart" uri="{C3380CC4-5D6E-409C-BE32-E72D297353CC}">
                <c16:uniqueId val="{00000001-56A2-4DA6-82A2-EFB227E2C2F6}"/>
              </c:ext>
            </c:extLst>
          </c:dPt>
          <c:dPt>
            <c:idx val="1"/>
            <c:bubble3D val="0"/>
            <c:spPr>
              <a:solidFill>
                <a:srgbClr val="9D2235"/>
              </a:solidFill>
              <a:ln w="6350">
                <a:solidFill>
                  <a:schemeClr val="lt1"/>
                </a:solidFill>
              </a:ln>
              <a:effectLst>
                <a:outerShdw blurRad="50800" dist="25400" algn="ctr" rotWithShape="0">
                  <a:schemeClr val="bg2">
                    <a:lumMod val="75000"/>
                  </a:schemeClr>
                </a:outerShdw>
              </a:effectLst>
              <a:sp3d contourW="6350">
                <a:contourClr>
                  <a:schemeClr val="lt1"/>
                </a:contourClr>
              </a:sp3d>
            </c:spPr>
            <c:extLst>
              <c:ext xmlns:c16="http://schemas.microsoft.com/office/drawing/2014/chart" uri="{C3380CC4-5D6E-409C-BE32-E72D297353CC}">
                <c16:uniqueId val="{00000003-56A2-4DA6-82A2-EFB227E2C2F6}"/>
              </c:ext>
            </c:extLst>
          </c:dPt>
          <c:dPt>
            <c:idx val="2"/>
            <c:bubble3D val="0"/>
            <c:spPr>
              <a:solidFill>
                <a:srgbClr val="EC9289"/>
              </a:solidFill>
              <a:ln w="6350">
                <a:solidFill>
                  <a:schemeClr val="lt1"/>
                </a:solidFill>
              </a:ln>
              <a:effectLst>
                <a:outerShdw blurRad="50800" dist="25400" algn="ctr" rotWithShape="0">
                  <a:schemeClr val="bg2">
                    <a:lumMod val="75000"/>
                  </a:schemeClr>
                </a:outerShdw>
              </a:effectLst>
              <a:sp3d contourW="6350">
                <a:contourClr>
                  <a:schemeClr val="lt1"/>
                </a:contourClr>
              </a:sp3d>
            </c:spPr>
            <c:extLst>
              <c:ext xmlns:c16="http://schemas.microsoft.com/office/drawing/2014/chart" uri="{C3380CC4-5D6E-409C-BE32-E72D297353CC}">
                <c16:uniqueId val="{00000005-56A2-4DA6-82A2-EFB227E2C2F6}"/>
              </c:ext>
            </c:extLst>
          </c:dPt>
          <c:dPt>
            <c:idx val="3"/>
            <c:bubble3D val="0"/>
            <c:spPr>
              <a:solidFill>
                <a:srgbClr val="666666"/>
              </a:solidFill>
              <a:ln w="12700">
                <a:solidFill>
                  <a:schemeClr val="lt1"/>
                </a:solidFill>
              </a:ln>
              <a:effectLst>
                <a:outerShdw blurRad="50800" dist="25400" algn="ctr" rotWithShape="0">
                  <a:schemeClr val="bg2">
                    <a:lumMod val="75000"/>
                  </a:schemeClr>
                </a:outerShdw>
              </a:effectLst>
              <a:sp3d contourW="12700">
                <a:contourClr>
                  <a:schemeClr val="lt1"/>
                </a:contourClr>
              </a:sp3d>
            </c:spPr>
            <c:extLst>
              <c:ext xmlns:c16="http://schemas.microsoft.com/office/drawing/2014/chart" uri="{C3380CC4-5D6E-409C-BE32-E72D297353CC}">
                <c16:uniqueId val="{00000007-56A2-4DA6-82A2-EFB227E2C2F6}"/>
              </c:ext>
            </c:extLst>
          </c:dPt>
          <c:dLbls>
            <c:dLbl>
              <c:idx val="0"/>
              <c:delete val="1"/>
              <c:extLst>
                <c:ext xmlns:c15="http://schemas.microsoft.com/office/drawing/2012/chart" uri="{CE6537A1-D6FC-4f65-9D91-7224C49458BB}"/>
                <c:ext xmlns:c16="http://schemas.microsoft.com/office/drawing/2014/chart" uri="{C3380CC4-5D6E-409C-BE32-E72D297353CC}">
                  <c16:uniqueId val="{00000001-56A2-4DA6-82A2-EFB227E2C2F6}"/>
                </c:ext>
              </c:extLst>
            </c:dLbl>
            <c:dLbl>
              <c:idx val="1"/>
              <c:layout>
                <c:manualLayout>
                  <c:x val="0.13433355205599301"/>
                  <c:y val="-9.0462598425196855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6A2-4DA6-82A2-EFB227E2C2F6}"/>
                </c:ext>
              </c:extLst>
            </c:dLbl>
            <c:dLbl>
              <c:idx val="2"/>
              <c:layout>
                <c:manualLayout>
                  <c:x val="-0.11297112860892389"/>
                  <c:y val="2.1968139399241762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6A2-4DA6-82A2-EFB227E2C2F6}"/>
                </c:ext>
              </c:extLst>
            </c:dLbl>
            <c:dLbl>
              <c:idx val="3"/>
              <c:layout>
                <c:manualLayout>
                  <c:x val="-9.5953094949990936E-2"/>
                  <c:y val="-0.18399418822647168"/>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6A2-4DA6-82A2-EFB227E2C2F6}"/>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Open Sans" panose="020B0606030504020204" pitchFamily="34" charset="0"/>
                    <a:ea typeface="+mn-ea"/>
                    <a:cs typeface="+mn-cs"/>
                  </a:defRPr>
                </a:pPr>
                <a:endParaRPr lang="es-ES"/>
              </a:p>
            </c:txPr>
            <c:dLblPos val="bestFit"/>
            <c:showLegendKey val="0"/>
            <c:showVal val="1"/>
            <c:showCatName val="0"/>
            <c:showSerName val="0"/>
            <c:showPercent val="0"/>
            <c:showBubbleSize val="0"/>
            <c:showLeaderLines val="0"/>
            <c:extLst>
              <c:ext xmlns:c15="http://schemas.microsoft.com/office/drawing/2012/chart" uri="{CE6537A1-D6FC-4f65-9D91-7224C49458BB}"/>
            </c:extLst>
          </c:dLbls>
          <c:val>
            <c:numRef>
              <c:f>Hoja1!$M$337:$M$340</c:f>
              <c:numCache>
                <c:formatCode>General</c:formatCode>
                <c:ptCount val="4"/>
                <c:pt idx="0">
                  <c:v>0</c:v>
                </c:pt>
                <c:pt idx="1">
                  <c:v>21</c:v>
                </c:pt>
                <c:pt idx="2">
                  <c:v>10</c:v>
                </c:pt>
                <c:pt idx="3">
                  <c:v>1</c:v>
                </c:pt>
              </c:numCache>
            </c:numRef>
          </c:val>
          <c:extLst>
            <c:ext xmlns:c15="http://schemas.microsoft.com/office/drawing/2012/chart" uri="{02D57815-91ED-43cb-92C2-25804820EDAC}">
              <c15:filteredCategoryTitle>
                <c15:cat>
                  <c:strRef>
                    <c:extLst>
                      <c:ext uri="{02D57815-91ED-43cb-92C2-25804820EDAC}">
                        <c15:formulaRef>
                          <c15:sqref>Hoja1!$L$337:$L$340</c15:sqref>
                        </c15:formulaRef>
                      </c:ext>
                    </c:extLst>
                    <c:strCache>
                      <c:ptCount val="4"/>
                      <c:pt idx="1">
                        <c:v>Hombres</c:v>
                      </c:pt>
                      <c:pt idx="2">
                        <c:v>Mujeres</c:v>
                      </c:pt>
                      <c:pt idx="3">
                        <c:v>Persona jurídica</c:v>
                      </c:pt>
                    </c:strCache>
                  </c:strRef>
                </c15:cat>
              </c15:filteredCategoryTitle>
            </c:ext>
            <c:ext xmlns:c16="http://schemas.microsoft.com/office/drawing/2014/chart" uri="{C3380CC4-5D6E-409C-BE32-E72D297353CC}">
              <c16:uniqueId val="{00000008-56A2-4DA6-82A2-EFB227E2C2F6}"/>
            </c:ext>
          </c:extLst>
        </c:ser>
        <c:dLbls>
          <c:showLegendKey val="0"/>
          <c:showVal val="0"/>
          <c:showCatName val="0"/>
          <c:showSerName val="0"/>
          <c:showPercent val="0"/>
          <c:showBubbleSize val="0"/>
          <c:showLeaderLines val="0"/>
        </c:dLbls>
      </c:pie3DChart>
      <c:spPr>
        <a:noFill/>
        <a:ln>
          <a:noFill/>
        </a:ln>
        <a:effectLst/>
      </c:spPr>
    </c:plotArea>
    <c:legend>
      <c:legendPos val="r"/>
      <c:layout>
        <c:manualLayout>
          <c:xMode val="edge"/>
          <c:yMode val="edge"/>
          <c:x val="0.76392940860120773"/>
          <c:y val="0.38839145106861639"/>
          <c:w val="0.2212227814507596"/>
          <c:h val="0.5625028121484814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pct30">
      <a:fgClr>
        <a:srgbClr val="F0F0F0"/>
      </a:fgClr>
      <a:bgClr>
        <a:schemeClr val="bg1"/>
      </a:bgClr>
    </a:patt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15867550932355"/>
          <c:y val="0.12181964886897974"/>
          <c:w val="0.57081846475701969"/>
          <c:h val="0.77252089071904873"/>
        </c:manualLayout>
      </c:layout>
      <c:doughnutChart>
        <c:varyColors val="1"/>
        <c:ser>
          <c:idx val="0"/>
          <c:order val="0"/>
          <c:spPr>
            <a:ln>
              <a:solidFill>
                <a:schemeClr val="bg1">
                  <a:lumMod val="85000"/>
                </a:schemeClr>
              </a:solidFill>
            </a:ln>
          </c:spPr>
          <c:explosion val="9"/>
          <c:dPt>
            <c:idx val="0"/>
            <c:bubble3D val="0"/>
            <c:spPr>
              <a:solidFill>
                <a:srgbClr val="613D35"/>
              </a:solidFill>
              <a:ln w="19050">
                <a:solidFill>
                  <a:schemeClr val="bg1">
                    <a:lumMod val="85000"/>
                  </a:schemeClr>
                </a:solidFill>
              </a:ln>
              <a:effectLst/>
            </c:spPr>
            <c:extLst>
              <c:ext xmlns:c16="http://schemas.microsoft.com/office/drawing/2014/chart" uri="{C3380CC4-5D6E-409C-BE32-E72D297353CC}">
                <c16:uniqueId val="{00000001-941B-4CBE-863F-371FFA7026F2}"/>
              </c:ext>
            </c:extLst>
          </c:dPt>
          <c:dPt>
            <c:idx val="1"/>
            <c:bubble3D val="0"/>
            <c:spPr>
              <a:solidFill>
                <a:srgbClr val="C6C6C6"/>
              </a:solidFill>
              <a:ln w="19050">
                <a:solidFill>
                  <a:schemeClr val="bg1">
                    <a:lumMod val="85000"/>
                  </a:schemeClr>
                </a:solidFill>
              </a:ln>
              <a:effectLst/>
            </c:spPr>
            <c:extLst>
              <c:ext xmlns:c16="http://schemas.microsoft.com/office/drawing/2014/chart" uri="{C3380CC4-5D6E-409C-BE32-E72D297353CC}">
                <c16:uniqueId val="{00000003-941B-4CBE-863F-371FFA7026F2}"/>
              </c:ext>
            </c:extLst>
          </c:dPt>
          <c:dPt>
            <c:idx val="2"/>
            <c:bubble3D val="0"/>
            <c:spPr>
              <a:solidFill>
                <a:srgbClr val="EABAC2"/>
              </a:solidFill>
              <a:ln w="19050">
                <a:solidFill>
                  <a:schemeClr val="bg1">
                    <a:lumMod val="85000"/>
                  </a:schemeClr>
                </a:solidFill>
              </a:ln>
              <a:effectLst/>
            </c:spPr>
            <c:extLst>
              <c:ext xmlns:c16="http://schemas.microsoft.com/office/drawing/2014/chart" uri="{C3380CC4-5D6E-409C-BE32-E72D297353CC}">
                <c16:uniqueId val="{00000005-941B-4CBE-863F-371FFA7026F2}"/>
              </c:ext>
            </c:extLst>
          </c:dPt>
          <c:dPt>
            <c:idx val="3"/>
            <c:bubble3D val="0"/>
            <c:spPr>
              <a:solidFill>
                <a:srgbClr val="9D2235"/>
              </a:solidFill>
              <a:ln w="19050">
                <a:solidFill>
                  <a:schemeClr val="bg1">
                    <a:lumMod val="85000"/>
                  </a:schemeClr>
                </a:solidFill>
              </a:ln>
              <a:effectLst/>
            </c:spPr>
            <c:extLst>
              <c:ext xmlns:c16="http://schemas.microsoft.com/office/drawing/2014/chart" uri="{C3380CC4-5D6E-409C-BE32-E72D297353CC}">
                <c16:uniqueId val="{00000007-941B-4CBE-863F-371FFA7026F2}"/>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Open Sans" panose="020B0606030504020204" pitchFamily="34" charset="0"/>
                    <a:ea typeface="+mn-ea"/>
                    <a:cs typeface="+mn-cs"/>
                  </a:defRPr>
                </a:pPr>
                <a:endParaRPr lang="es-E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Hoja1!$O$48:$O$51</c:f>
              <c:numCache>
                <c:formatCode>General</c:formatCode>
                <c:ptCount val="4"/>
                <c:pt idx="0">
                  <c:v>1</c:v>
                </c:pt>
                <c:pt idx="1">
                  <c:v>1</c:v>
                </c:pt>
                <c:pt idx="2">
                  <c:v>3</c:v>
                </c:pt>
                <c:pt idx="3">
                  <c:v>15</c:v>
                </c:pt>
              </c:numCache>
            </c:numRef>
          </c:val>
          <c:extLst>
            <c:ext xmlns:c15="http://schemas.microsoft.com/office/drawing/2012/chart" uri="{02D57815-91ED-43cb-92C2-25804820EDAC}">
              <c15:filteredCategoryTitle>
                <c15:cat>
                  <c:strRef>
                    <c:extLst>
                      <c:ext uri="{02D57815-91ED-43cb-92C2-25804820EDAC}">
                        <c15:formulaRef>
                          <c15:sqref>Hoja1!$L$48:$L$51</c15:sqref>
                        </c15:formulaRef>
                      </c:ext>
                    </c:extLst>
                    <c:strCache>
                      <c:ptCount val="4"/>
                      <c:pt idx="0">
                        <c:v>Remisión fiscalia</c:v>
                      </c:pt>
                      <c:pt idx="1">
                        <c:v>Buzón denuncias</c:v>
                      </c:pt>
                      <c:pt idx="2">
                        <c:v>Correo electrónico</c:v>
                      </c:pt>
                      <c:pt idx="3">
                        <c:v>Registro Agencia</c:v>
                      </c:pt>
                    </c:strCache>
                  </c:strRef>
                </c15:cat>
              </c15:filteredCategoryTitle>
            </c:ext>
            <c:ext xmlns:c16="http://schemas.microsoft.com/office/drawing/2014/chart" uri="{C3380CC4-5D6E-409C-BE32-E72D297353CC}">
              <c16:uniqueId val="{00000008-941B-4CBE-863F-371FFA7026F2}"/>
            </c:ext>
          </c:extLst>
        </c:ser>
        <c:dLbls>
          <c:showLegendKey val="0"/>
          <c:showVal val="1"/>
          <c:showCatName val="0"/>
          <c:showSerName val="0"/>
          <c:showPercent val="0"/>
          <c:showBubbleSize val="0"/>
          <c:showLeaderLines val="1"/>
        </c:dLbls>
        <c:firstSliceAng val="61"/>
        <c:holeSize val="44"/>
      </c:doughnutChart>
      <c:spPr>
        <a:noFill/>
        <a:ln>
          <a:noFill/>
        </a:ln>
        <a:effectLst/>
      </c:spPr>
    </c:plotArea>
    <c:legend>
      <c:legendPos val="r"/>
      <c:layout>
        <c:manualLayout>
          <c:xMode val="edge"/>
          <c:yMode val="edge"/>
          <c:x val="0.68805758874408796"/>
          <c:y val="0.61791120632889085"/>
          <c:w val="0.28545383319622358"/>
          <c:h val="0.33102070574511522"/>
        </c:manualLayout>
      </c:layout>
      <c:overlay val="0"/>
      <c:spPr>
        <a:solidFill>
          <a:schemeClr val="bg1"/>
        </a:solidFill>
        <a:ln>
          <a:solidFill>
            <a:schemeClr val="bg2">
              <a:lumMod val="50000"/>
            </a:schemeClr>
          </a:solidFill>
        </a:ln>
        <a:effectLst/>
      </c:spPr>
      <c:txPr>
        <a:bodyPr rot="0" spcFirstLastPara="1" vertOverflow="ellipsis" vert="horz" wrap="square" anchor="ctr" anchorCtr="1"/>
        <a:lstStyle/>
        <a:p>
          <a:pPr rtl="0">
            <a:defRPr sz="800" b="0" i="0" u="none" strike="noStrike" kern="1200" baseline="0">
              <a:ln>
                <a:noFill/>
              </a:ln>
              <a:solidFill>
                <a:schemeClr val="tx1">
                  <a:lumMod val="65000"/>
                  <a:lumOff val="35000"/>
                </a:schemeClr>
              </a:solidFill>
              <a:latin typeface="Open Sans" panose="020B0606030504020204" pitchFamily="34" charset="0"/>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F5F5F5"/>
    </a:solidFill>
    <a:ln w="9525" cap="flat" cmpd="sng" algn="ctr">
      <a:noFill/>
      <a:round/>
    </a:ln>
    <a:effectLst/>
  </c:spPr>
  <c:txPr>
    <a:bodyPr/>
    <a:lstStyle/>
    <a:p>
      <a:pPr>
        <a:defRPr/>
      </a:pPr>
      <a:endParaRPr lang="es-E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40"/>
      <c:rotY val="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22336077853282"/>
          <c:y val="7.2774779557049737E-2"/>
          <c:w val="0.88472229384425183"/>
          <c:h val="0.76793757537064622"/>
        </c:manualLayout>
      </c:layout>
      <c:pie3DChart>
        <c:varyColors val="1"/>
        <c:ser>
          <c:idx val="0"/>
          <c:order val="0"/>
          <c:spPr>
            <a:solidFill>
              <a:schemeClr val="accent1"/>
            </a:solidFill>
            <a:ln>
              <a:solidFill>
                <a:schemeClr val="tx1"/>
              </a:solidFill>
            </a:ln>
            <a:effectLst>
              <a:innerShdw blurRad="63500" dist="50800" dir="8100000">
                <a:srgbClr val="C17F78">
                  <a:alpha val="50000"/>
                </a:srgbClr>
              </a:innerShdw>
            </a:effectLst>
          </c:spPr>
          <c:explosion val="15"/>
          <c:dPt>
            <c:idx val="0"/>
            <c:bubble3D val="0"/>
            <c:spPr>
              <a:solidFill>
                <a:srgbClr val="9D2235"/>
              </a:solidFill>
              <a:ln>
                <a:solidFill>
                  <a:schemeClr val="tx1"/>
                </a:solidFill>
              </a:ln>
              <a:effectLst>
                <a:innerShdw blurRad="63500" dist="50800" dir="8100000">
                  <a:srgbClr val="C17F78">
                    <a:alpha val="50000"/>
                  </a:srgbClr>
                </a:innerShdw>
              </a:effectLst>
              <a:scene3d>
                <a:camera prst="orthographicFront"/>
                <a:lightRig rig="threePt" dir="t"/>
              </a:scene3d>
              <a:sp3d prstMaterial="matte">
                <a:bevelT w="0" prst="angle"/>
                <a:contourClr>
                  <a:schemeClr val="tx1"/>
                </a:contourClr>
              </a:sp3d>
            </c:spPr>
            <c:extLst>
              <c:ext xmlns:c16="http://schemas.microsoft.com/office/drawing/2014/chart" uri="{C3380CC4-5D6E-409C-BE32-E72D297353CC}">
                <c16:uniqueId val="{00000001-449E-48CF-9887-9E4F45BF52EF}"/>
              </c:ext>
            </c:extLst>
          </c:dPt>
          <c:dPt>
            <c:idx val="1"/>
            <c:bubble3D val="0"/>
            <c:spPr>
              <a:solidFill>
                <a:srgbClr val="EABAC2"/>
              </a:solidFill>
              <a:ln>
                <a:solidFill>
                  <a:schemeClr val="tx1"/>
                </a:solidFill>
              </a:ln>
              <a:effectLst>
                <a:innerShdw blurRad="63500" dist="50800" dir="8100000">
                  <a:srgbClr val="C17F78">
                    <a:alpha val="50000"/>
                  </a:srgbClr>
                </a:innerShdw>
              </a:effectLst>
              <a:scene3d>
                <a:camera prst="orthographicFront"/>
                <a:lightRig rig="threePt" dir="t"/>
              </a:scene3d>
              <a:sp3d prstMaterial="matte">
                <a:contourClr>
                  <a:schemeClr val="tx1"/>
                </a:contourClr>
              </a:sp3d>
            </c:spPr>
            <c:extLst>
              <c:ext xmlns:c16="http://schemas.microsoft.com/office/drawing/2014/chart" uri="{C3380CC4-5D6E-409C-BE32-E72D297353CC}">
                <c16:uniqueId val="{00000003-449E-48CF-9887-9E4F45BF52EF}"/>
              </c:ext>
            </c:extLst>
          </c:dPt>
          <c:dPt>
            <c:idx val="2"/>
            <c:bubble3D val="0"/>
            <c:spPr>
              <a:solidFill>
                <a:srgbClr val="666666"/>
              </a:solidFill>
              <a:ln>
                <a:solidFill>
                  <a:schemeClr val="tx1"/>
                </a:solidFill>
              </a:ln>
              <a:effectLst>
                <a:innerShdw blurRad="63500" dist="50800" dir="8100000">
                  <a:srgbClr val="C17F78">
                    <a:alpha val="50000"/>
                  </a:srgbClr>
                </a:innerShdw>
              </a:effectLst>
              <a:scene3d>
                <a:camera prst="orthographicFront"/>
                <a:lightRig rig="threePt" dir="t"/>
              </a:scene3d>
              <a:sp3d prstMaterial="matte">
                <a:contourClr>
                  <a:schemeClr val="tx1"/>
                </a:contourClr>
              </a:sp3d>
            </c:spPr>
            <c:extLst>
              <c:ext xmlns:c16="http://schemas.microsoft.com/office/drawing/2014/chart" uri="{C3380CC4-5D6E-409C-BE32-E72D297353CC}">
                <c16:uniqueId val="{00000005-449E-48CF-9887-9E4F45BF52EF}"/>
              </c:ext>
            </c:extLst>
          </c:dPt>
          <c:dLbls>
            <c:dLbl>
              <c:idx val="0"/>
              <c:layout>
                <c:manualLayout>
                  <c:x val="-0.15721327710025693"/>
                  <c:y val="-0.11161900099275156"/>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49E-48CF-9887-9E4F45BF52EF}"/>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Open Sans" panose="020B0606030504020204" pitchFamily="34" charset="0"/>
                    <a:ea typeface="+mn-ea"/>
                    <a:cs typeface="+mn-cs"/>
                  </a:defRPr>
                </a:pPr>
                <a:endParaRPr lang="es-ES"/>
              </a:p>
            </c:txPr>
            <c:dLblPos val="ctr"/>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val>
            <c:numRef>
              <c:f>Hoja1!$M$145:$M$147</c:f>
              <c:numCache>
                <c:formatCode>General</c:formatCode>
                <c:ptCount val="3"/>
                <c:pt idx="0">
                  <c:v>10</c:v>
                </c:pt>
                <c:pt idx="1">
                  <c:v>1</c:v>
                </c:pt>
                <c:pt idx="2">
                  <c:v>9</c:v>
                </c:pt>
              </c:numCache>
            </c:numRef>
          </c:val>
          <c:extLst>
            <c:ext xmlns:c15="http://schemas.microsoft.com/office/drawing/2012/chart" uri="{02D57815-91ED-43cb-92C2-25804820EDAC}">
              <c15:filteredCategoryTitle>
                <c15:cat>
                  <c:strRef>
                    <c:extLst>
                      <c:ext uri="{02D57815-91ED-43cb-92C2-25804820EDAC}">
                        <c15:formulaRef>
                          <c15:sqref>Hoja1!$L$145:$L$147</c15:sqref>
                        </c15:formulaRef>
                      </c:ext>
                    </c:extLst>
                    <c:strCache>
                      <c:ptCount val="3"/>
                      <c:pt idx="0">
                        <c:v>Alicante</c:v>
                      </c:pt>
                      <c:pt idx="1">
                        <c:v>Castellón</c:v>
                      </c:pt>
                      <c:pt idx="2">
                        <c:v>Valencia</c:v>
                      </c:pt>
                    </c:strCache>
                  </c:strRef>
                </c15:cat>
              </c15:filteredCategoryTitle>
            </c:ext>
            <c:ext xmlns:c16="http://schemas.microsoft.com/office/drawing/2014/chart" uri="{C3380CC4-5D6E-409C-BE32-E72D297353CC}">
              <c16:uniqueId val="{00000006-449E-48CF-9887-9E4F45BF52EF}"/>
            </c:ext>
          </c:extLst>
        </c:ser>
        <c:dLbls>
          <c:showLegendKey val="0"/>
          <c:showVal val="0"/>
          <c:showCatName val="0"/>
          <c:showSerName val="0"/>
          <c:showPercent val="1"/>
          <c:showBubbleSize val="0"/>
          <c:showLeaderLines val="1"/>
        </c:dLbls>
      </c:pie3DChart>
      <c:spPr>
        <a:noFill/>
        <a:ln>
          <a:noFill/>
        </a:ln>
        <a:effectLst>
          <a:softEdge rad="342900"/>
        </a:effectLst>
      </c:spPr>
    </c:plotArea>
    <c:legend>
      <c:legendPos val="r"/>
      <c:layout>
        <c:manualLayout>
          <c:xMode val="edge"/>
          <c:yMode val="edge"/>
          <c:x val="1.241259842519685E-2"/>
          <c:y val="0.55889343832020999"/>
          <c:w val="0.19917921869265023"/>
          <c:h val="0.37046876912406673"/>
        </c:manualLayout>
      </c:layout>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Open Sans" panose="020B0606030504020204" pitchFamily="34" charset="0"/>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pct5">
      <a:fgClr>
        <a:srgbClr val="C6C6C6"/>
      </a:fgClr>
      <a:bgClr>
        <a:schemeClr val="bg1">
          <a:lumMod val="95000"/>
        </a:schemeClr>
      </a:bgClr>
    </a:pattFill>
    <a:ln w="9525" cap="flat" cmpd="sng" algn="ctr">
      <a:noFill/>
      <a:round/>
    </a:ln>
    <a:effectLst/>
  </c:spPr>
  <c:txPr>
    <a:bodyPr/>
    <a:lstStyle/>
    <a:p>
      <a:pPr>
        <a:defRPr/>
      </a:pPr>
      <a:endParaRPr lang="es-E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pPr>
        <a:noFill/>
        <a:ln w="12700">
          <a:noFill/>
          <a:prstDash val="solid"/>
        </a:ln>
      </c:spPr>
    </c:sideWall>
    <c:backWall>
      <c:thickness val="0"/>
      <c:spPr>
        <a:noFill/>
        <a:ln w="12700">
          <a:noFill/>
          <a:prstDash val="solid"/>
        </a:ln>
        <a:scene3d>
          <a:camera prst="orthographicFront"/>
          <a:lightRig rig="threePt" dir="t"/>
        </a:scene3d>
      </c:spPr>
    </c:backWall>
    <c:plotArea>
      <c:layout>
        <c:manualLayout>
          <c:layoutTarget val="inner"/>
          <c:xMode val="edge"/>
          <c:yMode val="edge"/>
          <c:x val="0.47819851793723972"/>
          <c:y val="0"/>
          <c:w val="0.46251448944308582"/>
          <c:h val="0.86135052595860195"/>
        </c:manualLayout>
      </c:layout>
      <c:bar3DChart>
        <c:barDir val="bar"/>
        <c:grouping val="clustered"/>
        <c:varyColors val="0"/>
        <c:ser>
          <c:idx val="0"/>
          <c:order val="0"/>
          <c:spPr>
            <a:solidFill>
              <a:srgbClr val="F3DED7"/>
            </a:solidFill>
            <a:ln w="25400">
              <a:noFill/>
            </a:ln>
          </c:spPr>
          <c:invertIfNegative val="0"/>
          <c:dPt>
            <c:idx val="0"/>
            <c:invertIfNegative val="0"/>
            <c:bubble3D val="0"/>
            <c:spPr>
              <a:solidFill>
                <a:srgbClr val="613D35"/>
              </a:solidFill>
              <a:ln w="25400">
                <a:noFill/>
              </a:ln>
            </c:spPr>
            <c:extLst>
              <c:ext xmlns:c16="http://schemas.microsoft.com/office/drawing/2014/chart" uri="{C3380CC4-5D6E-409C-BE32-E72D297353CC}">
                <c16:uniqueId val="{00000001-A0B6-445C-A777-54B014638749}"/>
              </c:ext>
            </c:extLst>
          </c:dPt>
          <c:dPt>
            <c:idx val="1"/>
            <c:invertIfNegative val="0"/>
            <c:bubble3D val="0"/>
            <c:spPr>
              <a:solidFill>
                <a:srgbClr val="BCA6A2"/>
              </a:solidFill>
              <a:ln w="25400">
                <a:noFill/>
              </a:ln>
            </c:spPr>
            <c:extLst>
              <c:ext xmlns:c16="http://schemas.microsoft.com/office/drawing/2014/chart" uri="{C3380CC4-5D6E-409C-BE32-E72D297353CC}">
                <c16:uniqueId val="{00000003-A0B6-445C-A777-54B014638749}"/>
              </c:ext>
            </c:extLst>
          </c:dPt>
          <c:dPt>
            <c:idx val="2"/>
            <c:invertIfNegative val="0"/>
            <c:bubble3D val="0"/>
            <c:spPr>
              <a:solidFill>
                <a:srgbClr val="993333"/>
              </a:solidFill>
              <a:ln w="25400">
                <a:noFill/>
              </a:ln>
            </c:spPr>
            <c:extLst>
              <c:ext xmlns:c16="http://schemas.microsoft.com/office/drawing/2014/chart" uri="{C3380CC4-5D6E-409C-BE32-E72D297353CC}">
                <c16:uniqueId val="{00000005-A0B6-445C-A777-54B014638749}"/>
              </c:ext>
            </c:extLst>
          </c:dPt>
          <c:dPt>
            <c:idx val="3"/>
            <c:invertIfNegative val="0"/>
            <c:bubble3D val="0"/>
            <c:spPr>
              <a:solidFill>
                <a:srgbClr val="B3B3B3"/>
              </a:solidFill>
              <a:ln w="25400">
                <a:noFill/>
              </a:ln>
            </c:spPr>
            <c:extLst>
              <c:ext xmlns:c16="http://schemas.microsoft.com/office/drawing/2014/chart" uri="{C3380CC4-5D6E-409C-BE32-E72D297353CC}">
                <c16:uniqueId val="{00000007-A0B6-445C-A777-54B014638749}"/>
              </c:ext>
            </c:extLst>
          </c:dPt>
          <c:dPt>
            <c:idx val="4"/>
            <c:invertIfNegative val="0"/>
            <c:bubble3D val="0"/>
            <c:spPr>
              <a:solidFill>
                <a:srgbClr val="D9C1C1"/>
              </a:solidFill>
              <a:ln w="25400">
                <a:noFill/>
              </a:ln>
            </c:spPr>
            <c:extLst>
              <c:ext xmlns:c16="http://schemas.microsoft.com/office/drawing/2014/chart" uri="{C3380CC4-5D6E-409C-BE32-E72D297353CC}">
                <c16:uniqueId val="{00000009-A0B6-445C-A777-54B014638749}"/>
              </c:ext>
            </c:extLst>
          </c:dPt>
          <c:dPt>
            <c:idx val="5"/>
            <c:invertIfNegative val="0"/>
            <c:bubble3D val="0"/>
            <c:spPr>
              <a:solidFill>
                <a:srgbClr val="E2E2E2"/>
              </a:solidFill>
              <a:ln w="25400">
                <a:noFill/>
              </a:ln>
            </c:spPr>
            <c:extLst>
              <c:ext xmlns:c16="http://schemas.microsoft.com/office/drawing/2014/chart" uri="{C3380CC4-5D6E-409C-BE32-E72D297353CC}">
                <c16:uniqueId val="{0000000B-A0B6-445C-A777-54B014638749}"/>
              </c:ext>
            </c:extLst>
          </c:dPt>
          <c:dLbls>
            <c:dLbl>
              <c:idx val="0"/>
              <c:layout>
                <c:manualLayout>
                  <c:x val="-9.1795754446356861E-2"/>
                  <c:y val="-5.9136605558840925E-3"/>
                </c:manualLayout>
              </c:layout>
              <c:numFmt formatCode="General" sourceLinked="0"/>
              <c:spPr>
                <a:noFill/>
                <a:ln w="25400">
                  <a:noFill/>
                </a:ln>
              </c:spPr>
              <c:txPr>
                <a:bodyPr/>
                <a:lstStyle/>
                <a:p>
                  <a:pPr>
                    <a:defRPr sz="1000" b="1" i="0" u="none" strike="noStrike" baseline="0">
                      <a:solidFill>
                        <a:schemeClr val="bg1"/>
                      </a:solidFill>
                      <a:latin typeface="Open Sans" panose="020B0606030504020204" pitchFamily="34" charset="0"/>
                      <a:ea typeface="Calibri"/>
                      <a:cs typeface="Calibri"/>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0B6-445C-A777-54B014638749}"/>
                </c:ext>
              </c:extLst>
            </c:dLbl>
            <c:dLbl>
              <c:idx val="1"/>
              <c:layout>
                <c:manualLayout>
                  <c:x val="-3.2128514056224987E-2"/>
                  <c:y val="0"/>
                </c:manualLayout>
              </c:layout>
              <c:numFmt formatCode="General" sourceLinked="0"/>
              <c:spPr>
                <a:noFill/>
                <a:ln w="25400">
                  <a:noFill/>
                </a:ln>
              </c:spPr>
              <c:txPr>
                <a:bodyPr/>
                <a:lstStyle/>
                <a:p>
                  <a:pPr>
                    <a:defRPr sz="1000" b="1" i="0" u="none" strike="noStrike" baseline="0">
                      <a:solidFill>
                        <a:schemeClr val="bg1"/>
                      </a:solidFill>
                      <a:latin typeface="Open Sans" panose="020B0606030504020204" pitchFamily="34" charset="0"/>
                      <a:ea typeface="Calibri"/>
                      <a:cs typeface="Calibri"/>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0B6-445C-A777-54B014638749}"/>
                </c:ext>
              </c:extLst>
            </c:dLbl>
            <c:dLbl>
              <c:idx val="2"/>
              <c:layout>
                <c:manualLayout>
                  <c:x val="-0.21801491681009752"/>
                  <c:y val="-5.4207928880984E-17"/>
                </c:manualLayout>
              </c:layout>
              <c:numFmt formatCode="General" sourceLinked="0"/>
              <c:spPr>
                <a:noFill/>
                <a:ln w="25400">
                  <a:noFill/>
                </a:ln>
              </c:spPr>
              <c:txPr>
                <a:bodyPr/>
                <a:lstStyle/>
                <a:p>
                  <a:pPr>
                    <a:defRPr sz="1000" b="1" i="0" u="none" strike="noStrike" baseline="0">
                      <a:solidFill>
                        <a:schemeClr val="bg1"/>
                      </a:solidFill>
                      <a:latin typeface="Open Sans" panose="020B0606030504020204" pitchFamily="34" charset="0"/>
                      <a:ea typeface="Calibri"/>
                      <a:cs typeface="Calibri"/>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0B6-445C-A777-54B014638749}"/>
                </c:ext>
              </c:extLst>
            </c:dLbl>
            <c:dLbl>
              <c:idx val="3"/>
              <c:layout>
                <c:manualLayout>
                  <c:x val="-3.6718301778542829E-2"/>
                  <c:y val="-5.4207928880984E-17"/>
                </c:manualLayout>
              </c:layout>
              <c:numFmt formatCode="General" sourceLinked="0"/>
              <c:spPr>
                <a:noFill/>
                <a:ln w="25400">
                  <a:noFill/>
                </a:ln>
              </c:spPr>
              <c:txPr>
                <a:bodyPr/>
                <a:lstStyle/>
                <a:p>
                  <a:pPr>
                    <a:defRPr sz="1000" b="1" i="0" u="none" strike="noStrike" baseline="0">
                      <a:solidFill>
                        <a:schemeClr val="bg1"/>
                      </a:solidFill>
                      <a:latin typeface="Open Sans" panose="020B0606030504020204" pitchFamily="34" charset="0"/>
                      <a:ea typeface="Calibri"/>
                      <a:cs typeface="Calibri"/>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0B6-445C-A777-54B014638749}"/>
                </c:ext>
              </c:extLst>
            </c:dLbl>
            <c:dLbl>
              <c:idx val="4"/>
              <c:layout>
                <c:manualLayout>
                  <c:x val="-3.6718301778542829E-2"/>
                  <c:y val="-5.9136605558840925E-3"/>
                </c:manualLayout>
              </c:layout>
              <c:numFmt formatCode="General" sourceLinked="0"/>
              <c:spPr>
                <a:noFill/>
                <a:ln w="25400">
                  <a:noFill/>
                </a:ln>
              </c:spPr>
              <c:txPr>
                <a:bodyPr/>
                <a:lstStyle/>
                <a:p>
                  <a:pPr>
                    <a:defRPr sz="1000" b="1" i="0" u="none" strike="noStrike" baseline="0">
                      <a:solidFill>
                        <a:schemeClr val="bg1"/>
                      </a:solidFill>
                      <a:latin typeface="Open Sans" panose="020B0606030504020204" pitchFamily="34" charset="0"/>
                      <a:ea typeface="Calibri"/>
                      <a:cs typeface="Calibri"/>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0B6-445C-A777-54B014638749}"/>
                </c:ext>
              </c:extLst>
            </c:dLbl>
            <c:dLbl>
              <c:idx val="5"/>
              <c:layout>
                <c:manualLayout>
                  <c:x val="-3.6718301778542829E-2"/>
                  <c:y val="-5.9136605558840925E-3"/>
                </c:manualLayout>
              </c:layout>
              <c:numFmt formatCode="General" sourceLinked="0"/>
              <c:spPr>
                <a:noFill/>
                <a:ln w="25400">
                  <a:noFill/>
                </a:ln>
              </c:spPr>
              <c:txPr>
                <a:bodyPr/>
                <a:lstStyle/>
                <a:p>
                  <a:pPr>
                    <a:defRPr sz="1000" b="1" i="0" u="none" strike="noStrike" baseline="0">
                      <a:solidFill>
                        <a:schemeClr val="bg1"/>
                      </a:solidFill>
                      <a:latin typeface="Open Sans" panose="020B0606030504020204" pitchFamily="34" charset="0"/>
                      <a:ea typeface="Calibri"/>
                      <a:cs typeface="Calibri"/>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0B6-445C-A777-54B014638749}"/>
                </c:ext>
              </c:extLst>
            </c:dLbl>
            <c:numFmt formatCode="General" sourceLinked="0"/>
            <c:spPr>
              <a:noFill/>
              <a:ln w="25400">
                <a:noFill/>
              </a:ln>
            </c:spPr>
            <c:txPr>
              <a:bodyPr wrap="square" lIns="38100" tIns="19050" rIns="38100" bIns="19050" anchor="ctr">
                <a:spAutoFit/>
              </a:bodyPr>
              <a:lstStyle/>
              <a:p>
                <a:pPr>
                  <a:defRPr sz="1000" b="1" i="0" u="none" strike="noStrike" baseline="0">
                    <a:solidFill>
                      <a:schemeClr val="bg1"/>
                    </a:solidFill>
                    <a:latin typeface="Open Sans" panose="020B0606030504020204" pitchFamily="34" charset="0"/>
                    <a:ea typeface="Calibri"/>
                    <a:cs typeface="Calibri"/>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Hoja1!$N$167:$N$172</c:f>
              <c:numCache>
                <c:formatCode>General</c:formatCode>
                <c:ptCount val="6"/>
                <c:pt idx="0">
                  <c:v>4</c:v>
                </c:pt>
                <c:pt idx="1">
                  <c:v>1</c:v>
                </c:pt>
                <c:pt idx="2">
                  <c:v>12</c:v>
                </c:pt>
                <c:pt idx="3">
                  <c:v>1</c:v>
                </c:pt>
                <c:pt idx="4">
                  <c:v>1</c:v>
                </c:pt>
                <c:pt idx="5">
                  <c:v>1</c:v>
                </c:pt>
              </c:numCache>
            </c:numRef>
          </c:val>
          <c:extLst>
            <c:ext xmlns:c15="http://schemas.microsoft.com/office/drawing/2012/chart" uri="{02D57815-91ED-43cb-92C2-25804820EDAC}">
              <c15:filteredCategoryTitle>
                <c15:cat>
                  <c:strRef>
                    <c:extLst>
                      <c:ext uri="{02D57815-91ED-43cb-92C2-25804820EDAC}">
                        <c15:formulaRef>
                          <c15:sqref>Hoja1!$M$167:$M$172</c15:sqref>
                        </c15:formulaRef>
                      </c:ext>
                    </c:extLst>
                    <c:strCache>
                      <c:ptCount val="6"/>
                      <c:pt idx="0">
                        <c:v>Acceso función pública y selección personal</c:v>
                      </c:pt>
                      <c:pt idx="1">
                        <c:v>Funcionamiento servicios públicos policía local</c:v>
                      </c:pt>
                      <c:pt idx="2">
                        <c:v>Contratación administrativa</c:v>
                      </c:pt>
                      <c:pt idx="3">
                        <c:v>Urbanismo</c:v>
                      </c:pt>
                      <c:pt idx="4">
                        <c:v>Funcionamiento de servicios sociales</c:v>
                      </c:pt>
                      <c:pt idx="5">
                        <c:v>Funcionamiento servicios de salud</c:v>
                      </c:pt>
                    </c:strCache>
                  </c:strRef>
                </c15:cat>
              </c15:filteredCategoryTitle>
            </c:ext>
            <c:ext xmlns:c16="http://schemas.microsoft.com/office/drawing/2014/chart" uri="{C3380CC4-5D6E-409C-BE32-E72D297353CC}">
              <c16:uniqueId val="{0000000C-A0B6-445C-A777-54B014638749}"/>
            </c:ext>
          </c:extLst>
        </c:ser>
        <c:dLbls>
          <c:showLegendKey val="0"/>
          <c:showVal val="0"/>
          <c:showCatName val="0"/>
          <c:showSerName val="0"/>
          <c:showPercent val="0"/>
          <c:showBubbleSize val="0"/>
        </c:dLbls>
        <c:gapWidth val="121"/>
        <c:shape val="box"/>
        <c:axId val="1290807200"/>
        <c:axId val="1"/>
        <c:axId val="0"/>
      </c:bar3DChart>
      <c:catAx>
        <c:axId val="1290807200"/>
        <c:scaling>
          <c:orientation val="minMax"/>
        </c:scaling>
        <c:delete val="0"/>
        <c:axPos val="l"/>
        <c:numFmt formatCode="General" sourceLinked="1"/>
        <c:majorTickMark val="out"/>
        <c:minorTickMark val="none"/>
        <c:tickLblPos val="nextTo"/>
        <c:spPr>
          <a:ln w="3175">
            <a:solidFill>
              <a:sysClr val="window" lastClr="FFFFFF">
                <a:lumMod val="95000"/>
              </a:sysClr>
            </a:solidFill>
            <a:prstDash val="solid"/>
          </a:ln>
        </c:spPr>
        <c:txPr>
          <a:bodyPr rot="0" vert="horz"/>
          <a:lstStyle/>
          <a:p>
            <a:pPr>
              <a:defRPr sz="850" b="1" i="0" u="none" strike="noStrike" baseline="0">
                <a:solidFill>
                  <a:srgbClr val="9D2235"/>
                </a:solidFill>
                <a:latin typeface="Open Sans" panose="020B0606030504020204" pitchFamily="34" charset="0"/>
                <a:ea typeface="Calibri"/>
                <a:cs typeface="Calibri"/>
              </a:defRPr>
            </a:pPr>
            <a:endParaRPr lang="es-ES"/>
          </a:p>
        </c:txPr>
        <c:crossAx val="1"/>
        <c:crossesAt val="0"/>
        <c:auto val="1"/>
        <c:lblAlgn val="ctr"/>
        <c:lblOffset val="100"/>
        <c:noMultiLvlLbl val="0"/>
      </c:catAx>
      <c:valAx>
        <c:axId val="1"/>
        <c:scaling>
          <c:orientation val="minMax"/>
          <c:max val="12"/>
          <c:min val="0"/>
        </c:scaling>
        <c:delete val="0"/>
        <c:axPos val="b"/>
        <c:majorGridlines>
          <c:spPr>
            <a:ln>
              <a:solidFill>
                <a:sysClr val="window" lastClr="FFFFFF">
                  <a:lumMod val="95000"/>
                </a:sysClr>
              </a:solidFill>
            </a:ln>
            <a:effectLst>
              <a:outerShdw blurRad="50800" dist="50800" dir="5400000" sx="1000" sy="1000" algn="ctr" rotWithShape="0">
                <a:srgbClr val="000000">
                  <a:alpha val="43137"/>
                </a:srgbClr>
              </a:outerShdw>
              <a:softEdge rad="0"/>
            </a:effectLst>
          </c:spPr>
        </c:majorGridlines>
        <c:numFmt formatCode="General" sourceLinked="1"/>
        <c:majorTickMark val="out"/>
        <c:minorTickMark val="none"/>
        <c:tickLblPos val="nextTo"/>
        <c:spPr>
          <a:ln>
            <a:solidFill>
              <a:sysClr val="window" lastClr="FFFFFF">
                <a:lumMod val="95000"/>
              </a:sysClr>
            </a:solidFill>
          </a:ln>
        </c:spPr>
        <c:crossAx val="1290807200"/>
        <c:crossesAt val="1"/>
        <c:crossBetween val="between"/>
        <c:majorUnit val="3"/>
        <c:minorUnit val="0.5"/>
      </c:valAx>
      <c:spPr>
        <a:ln>
          <a:noFill/>
        </a:ln>
      </c:spPr>
    </c:plotArea>
    <c:plotVisOnly val="1"/>
    <c:dispBlanksAs val="gap"/>
    <c:showDLblsOverMax val="0"/>
  </c:chart>
  <c:spPr>
    <a:solidFill>
      <a:srgbClr val="FFFFFF"/>
    </a:solidFill>
    <a:ln w="6350">
      <a:noFill/>
    </a:ln>
  </c:spPr>
  <c:txPr>
    <a:bodyPr/>
    <a:lstStyle/>
    <a:p>
      <a:pPr>
        <a:defRPr sz="1100" b="0" i="0" u="none" strike="noStrike" baseline="0">
          <a:solidFill>
            <a:srgbClr val="000000"/>
          </a:solidFill>
          <a:latin typeface="Arial"/>
          <a:ea typeface="Arial"/>
          <a:cs typeface="Arial"/>
        </a:defRPr>
      </a:pPr>
      <a:endParaRPr lang="es-ES"/>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4813025358891137"/>
          <c:y val="6.2932195975503064E-2"/>
          <c:w val="0.492639566080118"/>
          <c:h val="0.83596628664352002"/>
        </c:manualLayout>
      </c:layout>
      <c:bar3DChart>
        <c:barDir val="bar"/>
        <c:grouping val="clustered"/>
        <c:varyColors val="0"/>
        <c:ser>
          <c:idx val="0"/>
          <c:order val="0"/>
          <c:spPr>
            <a:solidFill>
              <a:srgbClr val="9D2235"/>
            </a:solidFill>
            <a:ln>
              <a:noFill/>
            </a:ln>
            <a:effectLst/>
            <a:sp3d>
              <a:contourClr>
                <a:schemeClr val="tx1"/>
              </a:contourClr>
            </a:sp3d>
          </c:spPr>
          <c:invertIfNegative val="0"/>
          <c:dPt>
            <c:idx val="0"/>
            <c:invertIfNegative val="0"/>
            <c:bubble3D val="0"/>
            <c:spPr>
              <a:solidFill>
                <a:schemeClr val="bg2">
                  <a:lumMod val="50000"/>
                </a:schemeClr>
              </a:solidFill>
              <a:ln>
                <a:noFill/>
              </a:ln>
              <a:effectLst/>
              <a:sp3d>
                <a:contourClr>
                  <a:schemeClr val="tx1"/>
                </a:contourClr>
              </a:sp3d>
            </c:spPr>
            <c:extLst>
              <c:ext xmlns:c16="http://schemas.microsoft.com/office/drawing/2014/chart" uri="{C3380CC4-5D6E-409C-BE32-E72D297353CC}">
                <c16:uniqueId val="{00000001-5093-464B-BEB3-76B1734B0316}"/>
              </c:ext>
            </c:extLst>
          </c:dPt>
          <c:dPt>
            <c:idx val="1"/>
            <c:invertIfNegative val="0"/>
            <c:bubble3D val="0"/>
            <c:spPr>
              <a:solidFill>
                <a:srgbClr val="B5540B"/>
              </a:solidFill>
              <a:ln>
                <a:noFill/>
              </a:ln>
              <a:effectLst/>
              <a:sp3d>
                <a:contourClr>
                  <a:schemeClr val="tx1"/>
                </a:contourClr>
              </a:sp3d>
            </c:spPr>
            <c:extLst>
              <c:ext xmlns:c16="http://schemas.microsoft.com/office/drawing/2014/chart" uri="{C3380CC4-5D6E-409C-BE32-E72D297353CC}">
                <c16:uniqueId val="{00000003-5093-464B-BEB3-76B1734B0316}"/>
              </c:ext>
            </c:extLst>
          </c:dPt>
          <c:dPt>
            <c:idx val="2"/>
            <c:invertIfNegative val="0"/>
            <c:bubble3D val="0"/>
            <c:spPr>
              <a:solidFill>
                <a:srgbClr val="EC9289"/>
              </a:solidFill>
              <a:ln>
                <a:noFill/>
              </a:ln>
              <a:effectLst/>
              <a:sp3d>
                <a:contourClr>
                  <a:schemeClr val="tx1"/>
                </a:contourClr>
              </a:sp3d>
            </c:spPr>
            <c:extLst>
              <c:ext xmlns:c16="http://schemas.microsoft.com/office/drawing/2014/chart" uri="{C3380CC4-5D6E-409C-BE32-E72D297353CC}">
                <c16:uniqueId val="{00000005-5093-464B-BEB3-76B1734B0316}"/>
              </c:ext>
            </c:extLst>
          </c:dPt>
          <c:dPt>
            <c:idx val="3"/>
            <c:invertIfNegative val="0"/>
            <c:bubble3D val="0"/>
            <c:spPr>
              <a:solidFill>
                <a:srgbClr val="F1D3D8"/>
              </a:solidFill>
              <a:ln>
                <a:noFill/>
              </a:ln>
              <a:effectLst/>
              <a:sp3d>
                <a:contourClr>
                  <a:schemeClr val="tx1"/>
                </a:contourClr>
              </a:sp3d>
            </c:spPr>
            <c:extLst>
              <c:ext xmlns:c16="http://schemas.microsoft.com/office/drawing/2014/chart" uri="{C3380CC4-5D6E-409C-BE32-E72D297353CC}">
                <c16:uniqueId val="{00000007-5093-464B-BEB3-76B1734B0316}"/>
              </c:ext>
            </c:extLst>
          </c:dPt>
          <c:dPt>
            <c:idx val="4"/>
            <c:invertIfNegative val="0"/>
            <c:bubble3D val="0"/>
            <c:spPr>
              <a:solidFill>
                <a:srgbClr val="C17F78"/>
              </a:solidFill>
              <a:ln>
                <a:noFill/>
              </a:ln>
              <a:effectLst/>
              <a:sp3d>
                <a:contourClr>
                  <a:schemeClr val="tx1"/>
                </a:contourClr>
              </a:sp3d>
            </c:spPr>
            <c:extLst>
              <c:ext xmlns:c16="http://schemas.microsoft.com/office/drawing/2014/chart" uri="{C3380CC4-5D6E-409C-BE32-E72D297353CC}">
                <c16:uniqueId val="{00000009-5093-464B-BEB3-76B1734B0316}"/>
              </c:ext>
            </c:extLst>
          </c:dPt>
          <c:dLbls>
            <c:dLbl>
              <c:idx val="0"/>
              <c:layout>
                <c:manualLayout>
                  <c:x val="-4.0161424908591627E-2"/>
                  <c:y val="-9.1798133774203487E-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093-464B-BEB3-76B1734B0316}"/>
                </c:ext>
              </c:extLst>
            </c:dLbl>
            <c:dLbl>
              <c:idx val="1"/>
              <c:layout>
                <c:manualLayout>
                  <c:x val="-5.922878137342668E-2"/>
                  <c:y val="-5.662939819355407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093-464B-BEB3-76B1734B0316}"/>
                </c:ext>
              </c:extLst>
            </c:dLbl>
            <c:dLbl>
              <c:idx val="2"/>
              <c:layout>
                <c:manualLayout>
                  <c:x val="-4.056795131845841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093-464B-BEB3-76B1734B0316}"/>
                </c:ext>
              </c:extLst>
            </c:dLbl>
            <c:dLbl>
              <c:idx val="3"/>
              <c:layout>
                <c:manualLayout>
                  <c:x val="-4.056795131845841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093-464B-BEB3-76B1734B0316}"/>
                </c:ext>
              </c:extLst>
            </c:dLbl>
            <c:dLbl>
              <c:idx val="4"/>
              <c:layout>
                <c:manualLayout>
                  <c:x val="-3.475247674965485E-2"/>
                  <c:y val="-3.826977143871250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093-464B-BEB3-76B1734B0316}"/>
                </c:ext>
              </c:extLst>
            </c:dLbl>
            <c:dLbl>
              <c:idx val="5"/>
              <c:layout>
                <c:manualLayout>
                  <c:x val="-0.22916519908209257"/>
                  <c:y val="-4.744958481613286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093-464B-BEB3-76B1734B031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Open Sans" panose="020B0606030504020204" pitchFamily="34" charset="0"/>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Hoja1!$M$194:$M$199</c:f>
              <c:numCache>
                <c:formatCode>General</c:formatCode>
                <c:ptCount val="6"/>
                <c:pt idx="0">
                  <c:v>1</c:v>
                </c:pt>
                <c:pt idx="1">
                  <c:v>2</c:v>
                </c:pt>
                <c:pt idx="2">
                  <c:v>1</c:v>
                </c:pt>
                <c:pt idx="3">
                  <c:v>1</c:v>
                </c:pt>
                <c:pt idx="4">
                  <c:v>1</c:v>
                </c:pt>
                <c:pt idx="5">
                  <c:v>14</c:v>
                </c:pt>
              </c:numCache>
            </c:numRef>
          </c:val>
          <c:extLst>
            <c:ext xmlns:c15="http://schemas.microsoft.com/office/drawing/2012/chart" uri="{02D57815-91ED-43cb-92C2-25804820EDAC}">
              <c15:filteredCategoryTitle>
                <c15:cat>
                  <c:strRef>
                    <c:extLst>
                      <c:ext uri="{02D57815-91ED-43cb-92C2-25804820EDAC}">
                        <c15:formulaRef>
                          <c15:sqref>Hoja1!$L$194:$L$199</c15:sqref>
                        </c15:formulaRef>
                      </c:ext>
                    </c:extLst>
                    <c:strCache>
                      <c:ptCount val="6"/>
                      <c:pt idx="0">
                        <c:v>Ninguno de los anteriores</c:v>
                      </c:pt>
                      <c:pt idx="1">
                        <c:v>Personal laboral empresas contratistas GVA</c:v>
                      </c:pt>
                      <c:pt idx="2">
                        <c:v>Personal laboral sector publico instrumental GVA</c:v>
                      </c:pt>
                      <c:pt idx="3">
                        <c:v>Personal laboral corporación derecho publico</c:v>
                      </c:pt>
                      <c:pt idx="4">
                        <c:v>Funcionario interino</c:v>
                      </c:pt>
                      <c:pt idx="5">
                        <c:v>Funcionarios de carrera</c:v>
                      </c:pt>
                    </c:strCache>
                  </c:strRef>
                </c15:cat>
              </c15:filteredCategoryTitle>
            </c:ext>
            <c:ext xmlns:c16="http://schemas.microsoft.com/office/drawing/2014/chart" uri="{C3380CC4-5D6E-409C-BE32-E72D297353CC}">
              <c16:uniqueId val="{0000000B-5093-464B-BEB3-76B1734B0316}"/>
            </c:ext>
          </c:extLst>
        </c:ser>
        <c:dLbls>
          <c:showLegendKey val="0"/>
          <c:showVal val="1"/>
          <c:showCatName val="0"/>
          <c:showSerName val="0"/>
          <c:showPercent val="0"/>
          <c:showBubbleSize val="0"/>
        </c:dLbls>
        <c:gapWidth val="150"/>
        <c:shape val="box"/>
        <c:axId val="1507626416"/>
        <c:axId val="1464656752"/>
        <c:axId val="0"/>
      </c:bar3DChart>
      <c:catAx>
        <c:axId val="150762641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t" anchorCtr="0"/>
          <a:lstStyle/>
          <a:p>
            <a:pPr>
              <a:defRPr sz="850" b="1" i="0" u="none" strike="noStrike" kern="1200" spc="-30" baseline="0">
                <a:solidFill>
                  <a:srgbClr val="9D2235"/>
                </a:solidFill>
                <a:latin typeface="Open Sans" panose="020B0606030504020204" pitchFamily="34" charset="0"/>
                <a:ea typeface="+mn-ea"/>
                <a:cs typeface="+mn-cs"/>
              </a:defRPr>
            </a:pPr>
            <a:endParaRPr lang="es-ES"/>
          </a:p>
        </c:txPr>
        <c:crossAx val="1464656752"/>
        <c:crosses val="autoZero"/>
        <c:auto val="1"/>
        <c:lblAlgn val="ctr"/>
        <c:lblOffset val="0"/>
        <c:noMultiLvlLbl val="0"/>
      </c:catAx>
      <c:valAx>
        <c:axId val="14646567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5076264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invertIfNegative val="0"/>
          <c:val>
            <c:numRef>
              <c:f>canal!$B$11:$D$11</c:f>
              <c:numCache>
                <c:formatCode>General</c:formatCode>
                <c:ptCount val="3"/>
                <c:pt idx="0">
                  <c:v>0</c:v>
                </c:pt>
                <c:pt idx="1">
                  <c:v>97</c:v>
                </c:pt>
                <c:pt idx="2">
                  <c:v>127</c:v>
                </c:pt>
              </c:numCache>
            </c:numRef>
          </c:val>
          <c:extLst>
            <c:ext xmlns:c15="http://schemas.microsoft.com/office/drawing/2012/chart" uri="{02D57815-91ED-43cb-92C2-25804820EDAC}">
              <c15:filteredSeriesTitle>
                <c15:tx>
                  <c:strRef>
                    <c:extLst>
                      <c:ext uri="{02D57815-91ED-43cb-92C2-25804820EDAC}">
                        <c15:formulaRef>
                          <c15:sqref>canal!$A$11</c15:sqref>
                        </c15:formulaRef>
                      </c:ext>
                    </c:extLst>
                    <c:strCache>
                      <c:ptCount val="1"/>
                      <c:pt idx="0">
                        <c:v>Buzón de Denuncias</c:v>
                      </c:pt>
                    </c:strCache>
                  </c:strRef>
                </c15:tx>
              </c15:filteredSeriesTitle>
            </c:ext>
            <c:ext xmlns:c15="http://schemas.microsoft.com/office/drawing/2012/chart" uri="{02D57815-91ED-43cb-92C2-25804820EDAC}">
              <c15:filteredCategoryTitle>
                <c15:cat>
                  <c:numRef>
                    <c:extLst>
                      <c:ext uri="{02D57815-91ED-43cb-92C2-25804820EDAC}">
                        <c15:formulaRef>
                          <c15:sqref>canal!$B$10:$D$10</c15:sqref>
                        </c15:formulaRef>
                      </c:ext>
                    </c:extLst>
                    <c:numCache>
                      <c:formatCode>General</c:formatCode>
                      <c:ptCount val="3"/>
                      <c:pt idx="0">
                        <c:v>2017</c:v>
                      </c:pt>
                      <c:pt idx="1">
                        <c:v>2018</c:v>
                      </c:pt>
                      <c:pt idx="2">
                        <c:v>2019</c:v>
                      </c:pt>
                    </c:numCache>
                  </c:numRef>
                </c15:cat>
              </c15:filteredCategoryTitle>
            </c:ext>
            <c:ext xmlns:c16="http://schemas.microsoft.com/office/drawing/2014/chart" uri="{C3380CC4-5D6E-409C-BE32-E72D297353CC}">
              <c16:uniqueId val="{00000000-4BDD-4340-8F9C-0958187EE843}"/>
            </c:ext>
          </c:extLst>
        </c:ser>
        <c:ser>
          <c:idx val="1"/>
          <c:order val="1"/>
          <c:invertIfNegative val="0"/>
          <c:val>
            <c:numRef>
              <c:f>canal!$B$12:$D$12</c:f>
              <c:numCache>
                <c:formatCode>General</c:formatCode>
                <c:ptCount val="3"/>
                <c:pt idx="0">
                  <c:v>25</c:v>
                </c:pt>
                <c:pt idx="1">
                  <c:v>34</c:v>
                </c:pt>
                <c:pt idx="2">
                  <c:v>16</c:v>
                </c:pt>
              </c:numCache>
            </c:numRef>
          </c:val>
          <c:extLst>
            <c:ext xmlns:c15="http://schemas.microsoft.com/office/drawing/2012/chart" uri="{02D57815-91ED-43cb-92C2-25804820EDAC}">
              <c15:filteredSeriesTitle>
                <c15:tx>
                  <c:strRef>
                    <c:extLst>
                      <c:ext uri="{02D57815-91ED-43cb-92C2-25804820EDAC}">
                        <c15:formulaRef>
                          <c15:sqref>canal!$A$12</c15:sqref>
                        </c15:formulaRef>
                      </c:ext>
                    </c:extLst>
                    <c:strCache>
                      <c:ptCount val="1"/>
                      <c:pt idx="0">
                        <c:v>Correo Electrónico</c:v>
                      </c:pt>
                    </c:strCache>
                  </c:strRef>
                </c15:tx>
              </c15:filteredSeriesTitle>
            </c:ext>
            <c:ext xmlns:c15="http://schemas.microsoft.com/office/drawing/2012/chart" uri="{02D57815-91ED-43cb-92C2-25804820EDAC}">
              <c15:filteredCategoryTitle>
                <c15:cat>
                  <c:numRef>
                    <c:extLst>
                      <c:ext uri="{02D57815-91ED-43cb-92C2-25804820EDAC}">
                        <c15:formulaRef>
                          <c15:sqref>canal!$B$10:$D$10</c15:sqref>
                        </c15:formulaRef>
                      </c:ext>
                    </c:extLst>
                    <c:numCache>
                      <c:formatCode>General</c:formatCode>
                      <c:ptCount val="3"/>
                      <c:pt idx="0">
                        <c:v>2017</c:v>
                      </c:pt>
                      <c:pt idx="1">
                        <c:v>2018</c:v>
                      </c:pt>
                      <c:pt idx="2">
                        <c:v>2019</c:v>
                      </c:pt>
                    </c:numCache>
                  </c:numRef>
                </c15:cat>
              </c15:filteredCategoryTitle>
            </c:ext>
            <c:ext xmlns:c16="http://schemas.microsoft.com/office/drawing/2014/chart" uri="{C3380CC4-5D6E-409C-BE32-E72D297353CC}">
              <c16:uniqueId val="{00000001-4BDD-4340-8F9C-0958187EE843}"/>
            </c:ext>
          </c:extLst>
        </c:ser>
        <c:ser>
          <c:idx val="2"/>
          <c:order val="2"/>
          <c:invertIfNegative val="0"/>
          <c:val>
            <c:numRef>
              <c:f>canal!$B$13:$D$13</c:f>
              <c:numCache>
                <c:formatCode>General</c:formatCode>
                <c:ptCount val="3"/>
                <c:pt idx="0">
                  <c:v>10</c:v>
                </c:pt>
                <c:pt idx="1">
                  <c:v>50</c:v>
                </c:pt>
                <c:pt idx="2">
                  <c:v>25</c:v>
                </c:pt>
              </c:numCache>
            </c:numRef>
          </c:val>
          <c:extLst>
            <c:ext xmlns:c15="http://schemas.microsoft.com/office/drawing/2012/chart" uri="{02D57815-91ED-43cb-92C2-25804820EDAC}">
              <c15:filteredSeriesTitle>
                <c15:tx>
                  <c:strRef>
                    <c:extLst>
                      <c:ext uri="{02D57815-91ED-43cb-92C2-25804820EDAC}">
                        <c15:formulaRef>
                          <c15:sqref>canal!$A$13</c15:sqref>
                        </c15:formulaRef>
                      </c:ext>
                    </c:extLst>
                    <c:strCache>
                      <c:ptCount val="1"/>
                      <c:pt idx="0">
                        <c:v>Registro General</c:v>
                      </c:pt>
                    </c:strCache>
                  </c:strRef>
                </c15:tx>
              </c15:filteredSeriesTitle>
            </c:ext>
            <c:ext xmlns:c15="http://schemas.microsoft.com/office/drawing/2012/chart" uri="{02D57815-91ED-43cb-92C2-25804820EDAC}">
              <c15:filteredCategoryTitle>
                <c15:cat>
                  <c:numRef>
                    <c:extLst>
                      <c:ext uri="{02D57815-91ED-43cb-92C2-25804820EDAC}">
                        <c15:formulaRef>
                          <c15:sqref>canal!$B$10:$D$10</c15:sqref>
                        </c15:formulaRef>
                      </c:ext>
                    </c:extLst>
                    <c:numCache>
                      <c:formatCode>General</c:formatCode>
                      <c:ptCount val="3"/>
                      <c:pt idx="0">
                        <c:v>2017</c:v>
                      </c:pt>
                      <c:pt idx="1">
                        <c:v>2018</c:v>
                      </c:pt>
                      <c:pt idx="2">
                        <c:v>2019</c:v>
                      </c:pt>
                    </c:numCache>
                  </c:numRef>
                </c15:cat>
              </c15:filteredCategoryTitle>
            </c:ext>
            <c:ext xmlns:c16="http://schemas.microsoft.com/office/drawing/2014/chart" uri="{C3380CC4-5D6E-409C-BE32-E72D297353CC}">
              <c16:uniqueId val="{00000002-4BDD-4340-8F9C-0958187EE843}"/>
            </c:ext>
          </c:extLst>
        </c:ser>
        <c:dLbls>
          <c:showLegendKey val="0"/>
          <c:showVal val="0"/>
          <c:showCatName val="0"/>
          <c:showSerName val="0"/>
          <c:showPercent val="0"/>
          <c:showBubbleSize val="0"/>
        </c:dLbls>
        <c:gapWidth val="150"/>
        <c:shape val="cylinder"/>
        <c:axId val="47474176"/>
        <c:axId val="47475712"/>
        <c:axId val="0"/>
      </c:bar3DChart>
      <c:catAx>
        <c:axId val="47474176"/>
        <c:scaling>
          <c:orientation val="minMax"/>
        </c:scaling>
        <c:delete val="0"/>
        <c:axPos val="b"/>
        <c:numFmt formatCode="General" sourceLinked="1"/>
        <c:majorTickMark val="out"/>
        <c:minorTickMark val="none"/>
        <c:tickLblPos val="nextTo"/>
        <c:crossAx val="47475712"/>
        <c:crosses val="autoZero"/>
        <c:auto val="1"/>
        <c:lblAlgn val="ctr"/>
        <c:lblOffset val="100"/>
        <c:noMultiLvlLbl val="0"/>
      </c:catAx>
      <c:valAx>
        <c:axId val="47475712"/>
        <c:scaling>
          <c:orientation val="minMax"/>
        </c:scaling>
        <c:delete val="0"/>
        <c:axPos val="l"/>
        <c:majorGridlines/>
        <c:numFmt formatCode="General" sourceLinked="1"/>
        <c:majorTickMark val="out"/>
        <c:minorTickMark val="none"/>
        <c:tickLblPos val="nextTo"/>
        <c:crossAx val="47474176"/>
        <c:crosses val="autoZero"/>
        <c:crossBetween val="between"/>
      </c:valAx>
    </c:plotArea>
    <c:legend>
      <c:legendPos val="r"/>
      <c:overlay val="0"/>
    </c:legend>
    <c:plotVisOnly val="1"/>
    <c:dispBlanksAs val="gap"/>
    <c:showDLblsOverMax val="0"/>
  </c:chart>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133"/>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8462626382228553E-4"/>
          <c:y val="8.0222656731666925E-2"/>
          <c:w val="0.88014431475808286"/>
          <c:h val="0.8037007874015748"/>
        </c:manualLayout>
      </c:layout>
      <c:pie3DChart>
        <c:varyColors val="1"/>
        <c:ser>
          <c:idx val="0"/>
          <c:order val="0"/>
          <c:spPr>
            <a:solidFill>
              <a:srgbClr val="9D2235"/>
            </a:solidFill>
            <a:ln w="12700"/>
            <a:effectLst>
              <a:outerShdw blurRad="50800" dist="25400" algn="ctr" rotWithShape="0">
                <a:schemeClr val="bg2">
                  <a:lumMod val="75000"/>
                </a:schemeClr>
              </a:outerShdw>
            </a:effectLst>
          </c:spPr>
          <c:explosion val="24"/>
          <c:dPt>
            <c:idx val="0"/>
            <c:bubble3D val="0"/>
            <c:spPr>
              <a:noFill/>
              <a:ln w="12700">
                <a:noFill/>
              </a:ln>
              <a:effectLst>
                <a:outerShdw blurRad="50800" dist="25400" algn="ctr" rotWithShape="0">
                  <a:schemeClr val="bg2">
                    <a:lumMod val="75000"/>
                  </a:schemeClr>
                </a:outerShdw>
              </a:effectLst>
              <a:sp3d/>
            </c:spPr>
            <c:extLst>
              <c:ext xmlns:c16="http://schemas.microsoft.com/office/drawing/2014/chart" uri="{C3380CC4-5D6E-409C-BE32-E72D297353CC}">
                <c16:uniqueId val="{00000001-01F3-4844-B861-5D07DE1D46DE}"/>
              </c:ext>
            </c:extLst>
          </c:dPt>
          <c:dPt>
            <c:idx val="1"/>
            <c:bubble3D val="0"/>
            <c:spPr>
              <a:solidFill>
                <a:srgbClr val="9D2235"/>
              </a:solidFill>
              <a:ln w="6350">
                <a:solidFill>
                  <a:schemeClr val="lt1"/>
                </a:solidFill>
              </a:ln>
              <a:effectLst>
                <a:outerShdw blurRad="50800" dist="25400" algn="ctr" rotWithShape="0">
                  <a:schemeClr val="bg2">
                    <a:lumMod val="75000"/>
                  </a:schemeClr>
                </a:outerShdw>
              </a:effectLst>
              <a:sp3d contourW="6350">
                <a:contourClr>
                  <a:schemeClr val="lt1"/>
                </a:contourClr>
              </a:sp3d>
            </c:spPr>
            <c:extLst>
              <c:ext xmlns:c16="http://schemas.microsoft.com/office/drawing/2014/chart" uri="{C3380CC4-5D6E-409C-BE32-E72D297353CC}">
                <c16:uniqueId val="{00000003-01F3-4844-B861-5D07DE1D46DE}"/>
              </c:ext>
            </c:extLst>
          </c:dPt>
          <c:dPt>
            <c:idx val="2"/>
            <c:bubble3D val="0"/>
            <c:spPr>
              <a:solidFill>
                <a:srgbClr val="EC9289"/>
              </a:solidFill>
              <a:ln w="6350">
                <a:solidFill>
                  <a:schemeClr val="lt1"/>
                </a:solidFill>
              </a:ln>
              <a:effectLst>
                <a:outerShdw blurRad="50800" dist="25400" algn="ctr" rotWithShape="0">
                  <a:schemeClr val="bg2">
                    <a:lumMod val="75000"/>
                  </a:schemeClr>
                </a:outerShdw>
              </a:effectLst>
              <a:sp3d contourW="6350">
                <a:contourClr>
                  <a:schemeClr val="lt1"/>
                </a:contourClr>
              </a:sp3d>
            </c:spPr>
            <c:extLst>
              <c:ext xmlns:c16="http://schemas.microsoft.com/office/drawing/2014/chart" uri="{C3380CC4-5D6E-409C-BE32-E72D297353CC}">
                <c16:uniqueId val="{00000005-01F3-4844-B861-5D07DE1D46DE}"/>
              </c:ext>
            </c:extLst>
          </c:dPt>
          <c:dLbls>
            <c:dLbl>
              <c:idx val="0"/>
              <c:delete val="1"/>
              <c:extLst>
                <c:ext xmlns:c15="http://schemas.microsoft.com/office/drawing/2012/chart" uri="{CE6537A1-D6FC-4f65-9D91-7224C49458BB}"/>
                <c:ext xmlns:c16="http://schemas.microsoft.com/office/drawing/2014/chart" uri="{C3380CC4-5D6E-409C-BE32-E72D297353CC}">
                  <c16:uniqueId val="{00000001-01F3-4844-B861-5D07DE1D46DE}"/>
                </c:ext>
              </c:extLst>
            </c:dLbl>
            <c:dLbl>
              <c:idx val="1"/>
              <c:layout>
                <c:manualLayout>
                  <c:x val="0.17340468896371877"/>
                  <c:y val="-0.17533883067766134"/>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1F3-4844-B861-5D07DE1D46DE}"/>
                </c:ext>
              </c:extLst>
            </c:dLbl>
            <c:dLbl>
              <c:idx val="2"/>
              <c:layout>
                <c:manualLayout>
                  <c:x val="-0.1298090994252728"/>
                  <c:y val="4.1533883067766134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1F3-4844-B861-5D07DE1D46D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Open Sans" panose="020B0606030504020204" pitchFamily="34" charset="0"/>
                    <a:ea typeface="+mn-ea"/>
                    <a:cs typeface="+mn-cs"/>
                  </a:defRPr>
                </a:pPr>
                <a:endParaRPr lang="es-E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Hoja1!$M$337:$M$339</c:f>
              <c:numCache>
                <c:formatCode>General</c:formatCode>
                <c:ptCount val="3"/>
                <c:pt idx="0">
                  <c:v>0</c:v>
                </c:pt>
                <c:pt idx="1">
                  <c:v>13</c:v>
                </c:pt>
                <c:pt idx="2">
                  <c:v>7</c:v>
                </c:pt>
              </c:numCache>
            </c:numRef>
          </c:val>
          <c:extLst>
            <c:ext xmlns:c15="http://schemas.microsoft.com/office/drawing/2012/chart" uri="{02D57815-91ED-43cb-92C2-25804820EDAC}">
              <c15:filteredCategoryTitle>
                <c15:cat>
                  <c:strRef>
                    <c:extLst>
                      <c:ext uri="{02D57815-91ED-43cb-92C2-25804820EDAC}">
                        <c15:formulaRef>
                          <c15:sqref>Hoja1!$L$337:$L$339</c15:sqref>
                        </c15:formulaRef>
                      </c:ext>
                    </c:extLst>
                    <c:strCache>
                      <c:ptCount val="3"/>
                      <c:pt idx="1">
                        <c:v>Hombres</c:v>
                      </c:pt>
                      <c:pt idx="2">
                        <c:v>Mujeres</c:v>
                      </c:pt>
                    </c:strCache>
                  </c:strRef>
                </c15:cat>
              </c15:filteredCategoryTitle>
            </c:ext>
            <c:ext xmlns:c16="http://schemas.microsoft.com/office/drawing/2014/chart" uri="{C3380CC4-5D6E-409C-BE32-E72D297353CC}">
              <c16:uniqueId val="{00000006-01F3-4844-B861-5D07DE1D46DE}"/>
            </c:ext>
          </c:extLst>
        </c:ser>
        <c:dLbls>
          <c:dLblPos val="bestFit"/>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79415550548142899"/>
          <c:y val="0.58512741025482062"/>
          <c:w val="0.17690558776615944"/>
          <c:h val="0.4124223448446897"/>
        </c:manualLayout>
      </c:layout>
      <c:overlay val="0"/>
      <c:spPr>
        <a:noFill/>
        <a:ln>
          <a:noFill/>
        </a:ln>
        <a:effectLst/>
      </c:spPr>
      <c:txPr>
        <a:bodyPr rot="0" spcFirstLastPara="1" vertOverflow="ellipsis" vert="horz" wrap="square" anchor="ctr" anchorCtr="1"/>
        <a:lstStyle/>
        <a:p>
          <a:pPr>
            <a:defRPr sz="850" b="1" i="0" u="none" strike="noStrike" kern="1200" baseline="0">
              <a:solidFill>
                <a:sysClr val="windowText" lastClr="000000"/>
              </a:solidFill>
              <a:latin typeface="Open Sans" panose="020B0606030504020204" pitchFamily="34" charset="0"/>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pct30">
      <a:fgClr>
        <a:srgbClr val="F0F0F0"/>
      </a:fgClr>
      <a:bgClr>
        <a:schemeClr val="bg1"/>
      </a:bgClr>
    </a:patt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spPr>
        <a:solidFill>
          <a:srgbClr val="D9D9D9"/>
        </a:solidFill>
        <a:ln>
          <a:noFill/>
        </a:ln>
      </c:spPr>
    </c:floor>
    <c:sideWall>
      <c:thickness val="0"/>
      <c:spPr>
        <a:solidFill>
          <a:srgbClr val="D9D9D9"/>
        </a:solidFill>
        <a:ln>
          <a:noFill/>
        </a:ln>
      </c:spPr>
    </c:sideWall>
    <c:backWall>
      <c:thickness val="0"/>
      <c:spPr>
        <a:solidFill>
          <a:srgbClr val="D9D9D9"/>
        </a:solidFill>
        <a:ln>
          <a:noFill/>
        </a:ln>
      </c:spPr>
    </c:backWall>
    <c:plotArea>
      <c:layout>
        <c:manualLayout>
          <c:layoutTarget val="inner"/>
          <c:xMode val="edge"/>
          <c:yMode val="edge"/>
          <c:x val="0"/>
          <c:y val="0.15874183057795066"/>
          <c:w val="1"/>
          <c:h val="0.80225826353379126"/>
        </c:manualLayout>
      </c:layout>
      <c:pie3DChart>
        <c:varyColors val="1"/>
        <c:ser>
          <c:idx val="0"/>
          <c:order val="0"/>
          <c:spPr>
            <a:solidFill>
              <a:srgbClr val="9D2235"/>
            </a:solidFill>
            <a:ln>
              <a:noFill/>
            </a:ln>
          </c:spPr>
          <c:explosion val="28"/>
          <c:dPt>
            <c:idx val="0"/>
            <c:bubble3D val="0"/>
            <c:explosion val="10"/>
            <c:spPr>
              <a:solidFill>
                <a:srgbClr val="9D2235"/>
              </a:solidFill>
              <a:ln w="12600">
                <a:solidFill>
                  <a:srgbClr val="FFFFFF"/>
                </a:solidFill>
                <a:round/>
              </a:ln>
            </c:spPr>
            <c:extLst>
              <c:ext xmlns:c16="http://schemas.microsoft.com/office/drawing/2014/chart" uri="{C3380CC4-5D6E-409C-BE32-E72D297353CC}">
                <c16:uniqueId val="{00000001-0F62-43EB-90B9-F646B0D296E5}"/>
              </c:ext>
            </c:extLst>
          </c:dPt>
          <c:dPt>
            <c:idx val="1"/>
            <c:bubble3D val="0"/>
            <c:spPr>
              <a:solidFill>
                <a:srgbClr val="27251F"/>
              </a:solidFill>
              <a:ln w="12600">
                <a:solidFill>
                  <a:srgbClr val="FFFFFF"/>
                </a:solidFill>
                <a:round/>
              </a:ln>
            </c:spPr>
            <c:extLst>
              <c:ext xmlns:c16="http://schemas.microsoft.com/office/drawing/2014/chart" uri="{C3380CC4-5D6E-409C-BE32-E72D297353CC}">
                <c16:uniqueId val="{00000003-0F62-43EB-90B9-F646B0D296E5}"/>
              </c:ext>
            </c:extLst>
          </c:dPt>
          <c:dPt>
            <c:idx val="2"/>
            <c:bubble3D val="0"/>
            <c:spPr>
              <a:solidFill>
                <a:srgbClr val="C6C6C6"/>
              </a:solidFill>
              <a:ln w="12600">
                <a:solidFill>
                  <a:srgbClr val="FFFFFF"/>
                </a:solidFill>
                <a:round/>
              </a:ln>
            </c:spPr>
            <c:extLst>
              <c:ext xmlns:c16="http://schemas.microsoft.com/office/drawing/2014/chart" uri="{C3380CC4-5D6E-409C-BE32-E72D297353CC}">
                <c16:uniqueId val="{00000005-0F62-43EB-90B9-F646B0D296E5}"/>
              </c:ext>
            </c:extLst>
          </c:dPt>
          <c:dPt>
            <c:idx val="3"/>
            <c:bubble3D val="0"/>
            <c:spPr>
              <a:solidFill>
                <a:srgbClr val="EABAC2"/>
              </a:solidFill>
              <a:ln w="12600">
                <a:solidFill>
                  <a:srgbClr val="FFFFFF"/>
                </a:solidFill>
                <a:round/>
              </a:ln>
            </c:spPr>
            <c:extLst>
              <c:ext xmlns:c16="http://schemas.microsoft.com/office/drawing/2014/chart" uri="{C3380CC4-5D6E-409C-BE32-E72D297353CC}">
                <c16:uniqueId val="{00000007-0F62-43EB-90B9-F646B0D296E5}"/>
              </c:ext>
            </c:extLst>
          </c:dPt>
          <c:dPt>
            <c:idx val="4"/>
            <c:bubble3D val="0"/>
            <c:spPr>
              <a:solidFill>
                <a:srgbClr val="CE9FA1"/>
              </a:solidFill>
              <a:ln w="12600">
                <a:solidFill>
                  <a:srgbClr val="FFFFFF"/>
                </a:solidFill>
                <a:round/>
              </a:ln>
            </c:spPr>
            <c:extLst>
              <c:ext xmlns:c16="http://schemas.microsoft.com/office/drawing/2014/chart" uri="{C3380CC4-5D6E-409C-BE32-E72D297353CC}">
                <c16:uniqueId val="{00000009-0F62-43EB-90B9-F646B0D296E5}"/>
              </c:ext>
            </c:extLst>
          </c:dPt>
          <c:dPt>
            <c:idx val="5"/>
            <c:bubble3D val="0"/>
            <c:spPr>
              <a:solidFill>
                <a:srgbClr val="D8C1BD"/>
              </a:solidFill>
              <a:ln w="12600">
                <a:solidFill>
                  <a:srgbClr val="FFFFFF"/>
                </a:solidFill>
                <a:round/>
              </a:ln>
            </c:spPr>
            <c:extLst>
              <c:ext xmlns:c16="http://schemas.microsoft.com/office/drawing/2014/chart" uri="{C3380CC4-5D6E-409C-BE32-E72D297353CC}">
                <c16:uniqueId val="{0000000B-0F62-43EB-90B9-F646B0D296E5}"/>
              </c:ext>
            </c:extLst>
          </c:dPt>
          <c:dPt>
            <c:idx val="6"/>
            <c:bubble3D val="0"/>
            <c:spPr>
              <a:solidFill>
                <a:srgbClr val="5E1420"/>
              </a:solidFill>
              <a:ln w="12600">
                <a:solidFill>
                  <a:srgbClr val="FFFFFF"/>
                </a:solidFill>
                <a:round/>
              </a:ln>
            </c:spPr>
            <c:extLst>
              <c:ext xmlns:c16="http://schemas.microsoft.com/office/drawing/2014/chart" uri="{C3380CC4-5D6E-409C-BE32-E72D297353CC}">
                <c16:uniqueId val="{0000000D-0F62-43EB-90B9-F646B0D296E5}"/>
              </c:ext>
            </c:extLst>
          </c:dPt>
          <c:dPt>
            <c:idx val="7"/>
            <c:bubble3D val="0"/>
            <c:spPr>
              <a:solidFill>
                <a:schemeClr val="accent1">
                  <a:lumMod val="60000"/>
                  <a:lumOff val="40000"/>
                </a:schemeClr>
              </a:solidFill>
              <a:ln w="12600">
                <a:solidFill>
                  <a:srgbClr val="FFFFFF"/>
                </a:solidFill>
                <a:round/>
              </a:ln>
            </c:spPr>
            <c:extLst>
              <c:ext xmlns:c16="http://schemas.microsoft.com/office/drawing/2014/chart" uri="{C3380CC4-5D6E-409C-BE32-E72D297353CC}">
                <c16:uniqueId val="{0000000F-0F62-43EB-90B9-F646B0D296E5}"/>
              </c:ext>
            </c:extLst>
          </c:dPt>
          <c:dPt>
            <c:idx val="8"/>
            <c:bubble3D val="0"/>
            <c:spPr>
              <a:solidFill>
                <a:srgbClr val="777777"/>
              </a:solidFill>
              <a:ln w="12600">
                <a:solidFill>
                  <a:srgbClr val="FFFFFF"/>
                </a:solidFill>
                <a:round/>
              </a:ln>
            </c:spPr>
            <c:extLst>
              <c:ext xmlns:c16="http://schemas.microsoft.com/office/drawing/2014/chart" uri="{C3380CC4-5D6E-409C-BE32-E72D297353CC}">
                <c16:uniqueId val="{00000011-0F62-43EB-90B9-F646B0D296E5}"/>
              </c:ext>
            </c:extLst>
          </c:dPt>
          <c:dLbls>
            <c:dLbl>
              <c:idx val="0"/>
              <c:spPr/>
              <c:txPr>
                <a:bodyPr/>
                <a:lstStyle/>
                <a:p>
                  <a:pPr>
                    <a:defRPr sz="850" b="1" i="0" strike="noStrike" spc="-1" baseline="0">
                      <a:solidFill>
                        <a:srgbClr val="404040"/>
                      </a:solidFill>
                      <a:latin typeface="Open Sans" panose="020B0606030504020204" pitchFamily="34" charset="0"/>
                    </a:defRPr>
                  </a:pPr>
                  <a:endParaRPr lang="es-ES"/>
                </a:p>
              </c:txPr>
              <c:dLblPos val="outEnd"/>
              <c:showLegendKey val="0"/>
              <c:showVal val="1"/>
              <c:showCatName val="0"/>
              <c:showSerName val="0"/>
              <c:showPercent val="0"/>
              <c:showBubbleSize val="1"/>
              <c:extLst>
                <c:ext xmlns:c15="http://schemas.microsoft.com/office/drawing/2012/chart" uri="{CE6537A1-D6FC-4f65-9D91-7224C49458BB}"/>
                <c:ext xmlns:c16="http://schemas.microsoft.com/office/drawing/2014/chart" uri="{C3380CC4-5D6E-409C-BE32-E72D297353CC}">
                  <c16:uniqueId val="{00000001-0F62-43EB-90B9-F646B0D296E5}"/>
                </c:ext>
              </c:extLst>
            </c:dLbl>
            <c:dLbl>
              <c:idx val="1"/>
              <c:spPr/>
              <c:txPr>
                <a:bodyPr/>
                <a:lstStyle/>
                <a:p>
                  <a:pPr>
                    <a:defRPr sz="850" b="1" i="0" strike="noStrike" spc="-1" baseline="0">
                      <a:solidFill>
                        <a:srgbClr val="404040"/>
                      </a:solidFill>
                      <a:latin typeface="Open Sans" panose="020B0606030504020204" pitchFamily="34" charset="0"/>
                    </a:defRPr>
                  </a:pPr>
                  <a:endParaRPr lang="es-ES"/>
                </a:p>
              </c:txPr>
              <c:dLblPos val="outEnd"/>
              <c:showLegendKey val="0"/>
              <c:showVal val="1"/>
              <c:showCatName val="0"/>
              <c:showSerName val="0"/>
              <c:showPercent val="0"/>
              <c:showBubbleSize val="1"/>
              <c:extLst>
                <c:ext xmlns:c15="http://schemas.microsoft.com/office/drawing/2012/chart" uri="{CE6537A1-D6FC-4f65-9D91-7224C49458BB}"/>
                <c:ext xmlns:c16="http://schemas.microsoft.com/office/drawing/2014/chart" uri="{C3380CC4-5D6E-409C-BE32-E72D297353CC}">
                  <c16:uniqueId val="{00000003-0F62-43EB-90B9-F646B0D296E5}"/>
                </c:ext>
              </c:extLst>
            </c:dLbl>
            <c:dLbl>
              <c:idx val="2"/>
              <c:spPr/>
              <c:txPr>
                <a:bodyPr/>
                <a:lstStyle/>
                <a:p>
                  <a:pPr>
                    <a:defRPr sz="850" b="1" i="0" strike="noStrike" spc="-1" baseline="0">
                      <a:solidFill>
                        <a:srgbClr val="404040"/>
                      </a:solidFill>
                      <a:latin typeface="Open Sans" panose="020B0606030504020204" pitchFamily="34" charset="0"/>
                    </a:defRPr>
                  </a:pPr>
                  <a:endParaRPr lang="es-ES"/>
                </a:p>
              </c:txPr>
              <c:dLblPos val="outEnd"/>
              <c:showLegendKey val="0"/>
              <c:showVal val="1"/>
              <c:showCatName val="0"/>
              <c:showSerName val="0"/>
              <c:showPercent val="0"/>
              <c:showBubbleSize val="1"/>
              <c:extLst>
                <c:ext xmlns:c15="http://schemas.microsoft.com/office/drawing/2012/chart" uri="{CE6537A1-D6FC-4f65-9D91-7224C49458BB}"/>
                <c:ext xmlns:c16="http://schemas.microsoft.com/office/drawing/2014/chart" uri="{C3380CC4-5D6E-409C-BE32-E72D297353CC}">
                  <c16:uniqueId val="{00000005-0F62-43EB-90B9-F646B0D296E5}"/>
                </c:ext>
              </c:extLst>
            </c:dLbl>
            <c:dLbl>
              <c:idx val="3"/>
              <c:spPr/>
              <c:txPr>
                <a:bodyPr/>
                <a:lstStyle/>
                <a:p>
                  <a:pPr>
                    <a:defRPr sz="850" b="1" i="0" strike="noStrike" spc="-1" baseline="0">
                      <a:solidFill>
                        <a:srgbClr val="404040"/>
                      </a:solidFill>
                      <a:latin typeface="Open Sans" panose="020B0606030504020204" pitchFamily="34" charset="0"/>
                    </a:defRPr>
                  </a:pPr>
                  <a:endParaRPr lang="es-ES"/>
                </a:p>
              </c:txPr>
              <c:dLblPos val="outEnd"/>
              <c:showLegendKey val="0"/>
              <c:showVal val="1"/>
              <c:showCatName val="0"/>
              <c:showSerName val="0"/>
              <c:showPercent val="0"/>
              <c:showBubbleSize val="1"/>
              <c:extLst>
                <c:ext xmlns:c15="http://schemas.microsoft.com/office/drawing/2012/chart" uri="{CE6537A1-D6FC-4f65-9D91-7224C49458BB}"/>
                <c:ext xmlns:c16="http://schemas.microsoft.com/office/drawing/2014/chart" uri="{C3380CC4-5D6E-409C-BE32-E72D297353CC}">
                  <c16:uniqueId val="{00000007-0F62-43EB-90B9-F646B0D296E5}"/>
                </c:ext>
              </c:extLst>
            </c:dLbl>
            <c:dLbl>
              <c:idx val="4"/>
              <c:spPr/>
              <c:txPr>
                <a:bodyPr/>
                <a:lstStyle/>
                <a:p>
                  <a:pPr>
                    <a:defRPr sz="850" b="1" i="0" strike="noStrike" spc="-1" baseline="0">
                      <a:solidFill>
                        <a:srgbClr val="404040"/>
                      </a:solidFill>
                      <a:latin typeface="Open Sans" panose="020B0606030504020204" pitchFamily="34" charset="0"/>
                    </a:defRPr>
                  </a:pPr>
                  <a:endParaRPr lang="es-ES"/>
                </a:p>
              </c:txPr>
              <c:dLblPos val="outEnd"/>
              <c:showLegendKey val="0"/>
              <c:showVal val="1"/>
              <c:showCatName val="0"/>
              <c:showSerName val="0"/>
              <c:showPercent val="0"/>
              <c:showBubbleSize val="1"/>
              <c:extLst>
                <c:ext xmlns:c15="http://schemas.microsoft.com/office/drawing/2012/chart" uri="{CE6537A1-D6FC-4f65-9D91-7224C49458BB}"/>
                <c:ext xmlns:c16="http://schemas.microsoft.com/office/drawing/2014/chart" uri="{C3380CC4-5D6E-409C-BE32-E72D297353CC}">
                  <c16:uniqueId val="{00000009-0F62-43EB-90B9-F646B0D296E5}"/>
                </c:ext>
              </c:extLst>
            </c:dLbl>
            <c:dLbl>
              <c:idx val="5"/>
              <c:spPr/>
              <c:txPr>
                <a:bodyPr/>
                <a:lstStyle/>
                <a:p>
                  <a:pPr>
                    <a:defRPr sz="850" b="1" i="0" strike="noStrike" spc="-1" baseline="0">
                      <a:solidFill>
                        <a:srgbClr val="404040"/>
                      </a:solidFill>
                      <a:latin typeface="Open Sans" panose="020B0606030504020204" pitchFamily="34" charset="0"/>
                    </a:defRPr>
                  </a:pPr>
                  <a:endParaRPr lang="es-ES"/>
                </a:p>
              </c:txPr>
              <c:dLblPos val="outEnd"/>
              <c:showLegendKey val="0"/>
              <c:showVal val="1"/>
              <c:showCatName val="0"/>
              <c:showSerName val="0"/>
              <c:showPercent val="0"/>
              <c:showBubbleSize val="1"/>
              <c:extLst>
                <c:ext xmlns:c15="http://schemas.microsoft.com/office/drawing/2012/chart" uri="{CE6537A1-D6FC-4f65-9D91-7224C49458BB}"/>
                <c:ext xmlns:c16="http://schemas.microsoft.com/office/drawing/2014/chart" uri="{C3380CC4-5D6E-409C-BE32-E72D297353CC}">
                  <c16:uniqueId val="{0000000B-0F62-43EB-90B9-F646B0D296E5}"/>
                </c:ext>
              </c:extLst>
            </c:dLbl>
            <c:dLbl>
              <c:idx val="6"/>
              <c:spPr/>
              <c:txPr>
                <a:bodyPr/>
                <a:lstStyle/>
                <a:p>
                  <a:pPr>
                    <a:defRPr sz="850" b="1" i="0" strike="noStrike" spc="-1" baseline="0">
                      <a:solidFill>
                        <a:srgbClr val="404040"/>
                      </a:solidFill>
                      <a:latin typeface="Open Sans" panose="020B0606030504020204" pitchFamily="34" charset="0"/>
                    </a:defRPr>
                  </a:pPr>
                  <a:endParaRPr lang="es-ES"/>
                </a:p>
              </c:txPr>
              <c:dLblPos val="outEnd"/>
              <c:showLegendKey val="0"/>
              <c:showVal val="1"/>
              <c:showCatName val="0"/>
              <c:showSerName val="0"/>
              <c:showPercent val="0"/>
              <c:showBubbleSize val="1"/>
              <c:extLst>
                <c:ext xmlns:c15="http://schemas.microsoft.com/office/drawing/2012/chart" uri="{CE6537A1-D6FC-4f65-9D91-7224C49458BB}"/>
                <c:ext xmlns:c16="http://schemas.microsoft.com/office/drawing/2014/chart" uri="{C3380CC4-5D6E-409C-BE32-E72D297353CC}">
                  <c16:uniqueId val="{0000000D-0F62-43EB-90B9-F646B0D296E5}"/>
                </c:ext>
              </c:extLst>
            </c:dLbl>
            <c:dLbl>
              <c:idx val="7"/>
              <c:spPr/>
              <c:txPr>
                <a:bodyPr/>
                <a:lstStyle/>
                <a:p>
                  <a:pPr>
                    <a:defRPr sz="850" b="1" i="0" strike="noStrike" spc="-1" baseline="0">
                      <a:solidFill>
                        <a:srgbClr val="404040"/>
                      </a:solidFill>
                      <a:latin typeface="Open Sans" panose="020B0606030504020204" pitchFamily="34" charset="0"/>
                    </a:defRPr>
                  </a:pPr>
                  <a:endParaRPr lang="es-ES"/>
                </a:p>
              </c:txPr>
              <c:dLblPos val="outEnd"/>
              <c:showLegendKey val="0"/>
              <c:showVal val="1"/>
              <c:showCatName val="0"/>
              <c:showSerName val="0"/>
              <c:showPercent val="0"/>
              <c:showBubbleSize val="1"/>
              <c:extLst>
                <c:ext xmlns:c15="http://schemas.microsoft.com/office/drawing/2012/chart" uri="{CE6537A1-D6FC-4f65-9D91-7224C49458BB}"/>
                <c:ext xmlns:c16="http://schemas.microsoft.com/office/drawing/2014/chart" uri="{C3380CC4-5D6E-409C-BE32-E72D297353CC}">
                  <c16:uniqueId val="{0000000F-0F62-43EB-90B9-F646B0D296E5}"/>
                </c:ext>
              </c:extLst>
            </c:dLbl>
            <c:dLbl>
              <c:idx val="8"/>
              <c:spPr/>
              <c:txPr>
                <a:bodyPr/>
                <a:lstStyle/>
                <a:p>
                  <a:pPr>
                    <a:defRPr sz="850" b="1" i="0" strike="noStrike" spc="-1" baseline="0">
                      <a:solidFill>
                        <a:srgbClr val="404040"/>
                      </a:solidFill>
                      <a:latin typeface="Open Sans" panose="020B0606030504020204" pitchFamily="34" charset="0"/>
                    </a:defRPr>
                  </a:pPr>
                  <a:endParaRPr lang="es-ES"/>
                </a:p>
              </c:txPr>
              <c:dLblPos val="outEnd"/>
              <c:showLegendKey val="0"/>
              <c:showVal val="1"/>
              <c:showCatName val="0"/>
              <c:showSerName val="0"/>
              <c:showPercent val="0"/>
              <c:showBubbleSize val="1"/>
              <c:extLst>
                <c:ext xmlns:c15="http://schemas.microsoft.com/office/drawing/2012/chart" uri="{CE6537A1-D6FC-4f65-9D91-7224C49458BB}"/>
                <c:ext xmlns:c16="http://schemas.microsoft.com/office/drawing/2014/chart" uri="{C3380CC4-5D6E-409C-BE32-E72D297353CC}">
                  <c16:uniqueId val="{00000011-0F62-43EB-90B9-F646B0D296E5}"/>
                </c:ext>
              </c:extLst>
            </c:dLbl>
            <c:spPr>
              <a:noFill/>
              <a:ln>
                <a:noFill/>
              </a:ln>
              <a:effectLst/>
            </c:spPr>
            <c:txPr>
              <a:bodyPr/>
              <a:lstStyle/>
              <a:p>
                <a:pPr>
                  <a:defRPr sz="850" b="1" i="0" strike="noStrike" spc="-1" baseline="0">
                    <a:solidFill>
                      <a:srgbClr val="404040"/>
                    </a:solidFill>
                    <a:latin typeface="Open Sans" panose="020B0606030504020204" pitchFamily="34" charset="0"/>
                  </a:defRPr>
                </a:pPr>
                <a:endParaRPr lang="es-ES"/>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extLst>
          </c:dLbls>
          <c:val>
            <c:numRef>
              <c:f>0</c:f>
              <c:numCache>
                <c:formatCode>General</c:formatCode>
                <c:ptCount val="9"/>
                <c:pt idx="0">
                  <c:v>2923</c:v>
                </c:pt>
                <c:pt idx="1">
                  <c:v>728</c:v>
                </c:pt>
                <c:pt idx="2">
                  <c:v>630</c:v>
                </c:pt>
                <c:pt idx="3">
                  <c:v>167</c:v>
                </c:pt>
                <c:pt idx="4">
                  <c:v>144</c:v>
                </c:pt>
                <c:pt idx="5">
                  <c:v>139</c:v>
                </c:pt>
                <c:pt idx="6">
                  <c:v>125</c:v>
                </c:pt>
                <c:pt idx="7">
                  <c:v>113</c:v>
                </c:pt>
                <c:pt idx="8">
                  <c:v>56</c:v>
                </c:pt>
              </c:numCache>
            </c:numRef>
          </c:val>
          <c:extLst>
            <c:ext xmlns:c15="http://schemas.microsoft.com/office/drawing/2012/chart" uri="{02D57815-91ED-43cb-92C2-25804820EDAC}">
              <c15:filteredSeriesTitle>
                <c15:tx>
                  <c:strRef>
                    <c:extLst>
                      <c:ext uri="{02D57815-91ED-43cb-92C2-25804820EDAC}">
                        <c15:formulaRef>
                          <c15:sqref>label 0</c15:sqref>
                        </c15:formulaRef>
                      </c:ext>
                    </c:extLst>
                    <c:strCache>
                      <c:ptCount val="1"/>
                    </c:strCache>
                  </c:strRef>
                </c15:tx>
              </c15:filteredSeriesTitle>
            </c:ext>
            <c:ext xmlns:c15="http://schemas.microsoft.com/office/drawing/2012/chart" uri="{02D57815-91ED-43cb-92C2-25804820EDAC}">
              <c15:filteredCategoryTitle>
                <c15:cat>
                  <c:strRef>
                    <c:extLst>
                      <c:ext uri="{02D57815-91ED-43cb-92C2-25804820EDAC}">
                        <c15:formulaRef>
                          <c15:sqref>categories</c15:sqref>
                        </c15:formulaRef>
                      </c:ext>
                    </c:extLst>
                    <c:strCache>
                      <c:ptCount val="9"/>
                      <c:pt idx="0">
                        <c:v>València</c:v>
                      </c:pt>
                      <c:pt idx="1">
                        <c:v>Madrid</c:v>
                      </c:pt>
                      <c:pt idx="2">
                        <c:v>Barcelona</c:v>
                      </c:pt>
                      <c:pt idx="3">
                        <c:v>Chicago</c:v>
                      </c:pt>
                      <c:pt idx="4">
                        <c:v>Alacant</c:v>
                      </c:pt>
                      <c:pt idx="5">
                        <c:v>Castelló</c:v>
                      </c:pt>
                      <c:pt idx="6">
                        <c:v>Sevilla</c:v>
                      </c:pt>
                      <c:pt idx="7">
                        <c:v>Ashburn</c:v>
                      </c:pt>
                      <c:pt idx="8">
                        <c:v>Palma</c:v>
                      </c:pt>
                    </c:strCache>
                  </c:strRef>
                </c15:cat>
              </c15:filteredCategoryTitle>
            </c:ext>
            <c:ext xmlns:c16="http://schemas.microsoft.com/office/drawing/2014/chart" uri="{C3380CC4-5D6E-409C-BE32-E72D297353CC}">
              <c16:uniqueId val="{00000012-0F62-43EB-90B9-F646B0D296E5}"/>
            </c:ext>
          </c:extLst>
        </c:ser>
        <c:dLbls>
          <c:showLegendKey val="0"/>
          <c:showVal val="0"/>
          <c:showCatName val="0"/>
          <c:showSerName val="0"/>
          <c:showPercent val="0"/>
          <c:showBubbleSize val="0"/>
          <c:showLeaderLines val="0"/>
        </c:dLbls>
      </c:pie3DChart>
    </c:plotArea>
    <c:legend>
      <c:legendPos val="r"/>
      <c:layout>
        <c:manualLayout>
          <c:xMode val="edge"/>
          <c:yMode val="edge"/>
          <c:x val="0.82781249999999995"/>
          <c:y val="2.5666666666666699E-2"/>
          <c:w val="0.16007250453153299"/>
          <c:h val="0.90387820868985502"/>
        </c:manualLayout>
      </c:layout>
      <c:overlay val="1"/>
      <c:spPr>
        <a:noFill/>
        <a:ln>
          <a:noFill/>
        </a:ln>
      </c:spPr>
      <c:txPr>
        <a:bodyPr/>
        <a:lstStyle/>
        <a:p>
          <a:pPr>
            <a:defRPr sz="850" b="1" i="0" strike="noStrike" spc="-1" baseline="0">
              <a:solidFill>
                <a:sysClr val="windowText" lastClr="000000"/>
              </a:solidFill>
              <a:latin typeface="Open Sans" panose="020B0606030504020204" pitchFamily="34" charset="0"/>
            </a:defRPr>
          </a:pPr>
          <a:endParaRPr lang="es-ES"/>
        </a:p>
      </c:txPr>
    </c:legend>
    <c:plotVisOnly val="1"/>
    <c:dispBlanksAs val="gap"/>
    <c:showDLblsOverMax val="1"/>
  </c:chart>
  <c:spPr>
    <a:solidFill>
      <a:srgbClr val="FFFFFF"/>
    </a:solidFill>
    <a:ln w="9360">
      <a:solidFill>
        <a:srgbClr val="D9D9D9"/>
      </a:solidFill>
      <a:round/>
    </a:ln>
  </c:spPr>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7891410632494471E-2"/>
          <c:y val="6.919915498367582E-2"/>
          <c:w val="0.94210851629894388"/>
          <c:h val="0.83442551376646301"/>
        </c:manualLayout>
      </c:layout>
      <c:ofPieChart>
        <c:ofPieType val="pie"/>
        <c:varyColors val="1"/>
        <c:ser>
          <c:idx val="0"/>
          <c:order val="0"/>
          <c:dPt>
            <c:idx val="0"/>
            <c:bubble3D val="0"/>
            <c:spPr>
              <a:solidFill>
                <a:schemeClr val="accent1"/>
              </a:solidFill>
              <a:ln w="9525">
                <a:solidFill>
                  <a:schemeClr val="lt1"/>
                </a:solidFill>
              </a:ln>
              <a:effectLst/>
            </c:spPr>
            <c:extLst>
              <c:ext xmlns:c16="http://schemas.microsoft.com/office/drawing/2014/chart" uri="{C3380CC4-5D6E-409C-BE32-E72D297353CC}">
                <c16:uniqueId val="{00000001-80B7-4612-8302-F37BBE8B2FE4}"/>
              </c:ext>
            </c:extLst>
          </c:dPt>
          <c:dPt>
            <c:idx val="1"/>
            <c:bubble3D val="0"/>
            <c:spPr>
              <a:solidFill>
                <a:schemeClr val="accent2"/>
              </a:solidFill>
              <a:ln w="9525">
                <a:solidFill>
                  <a:schemeClr val="lt1"/>
                </a:solidFill>
              </a:ln>
              <a:effectLst/>
            </c:spPr>
            <c:extLst>
              <c:ext xmlns:c16="http://schemas.microsoft.com/office/drawing/2014/chart" uri="{C3380CC4-5D6E-409C-BE32-E72D297353CC}">
                <c16:uniqueId val="{00000003-80B7-4612-8302-F37BBE8B2FE4}"/>
              </c:ext>
            </c:extLst>
          </c:dPt>
          <c:dPt>
            <c:idx val="2"/>
            <c:bubble3D val="0"/>
            <c:spPr>
              <a:solidFill>
                <a:schemeClr val="accent3"/>
              </a:solidFill>
              <a:ln w="9525">
                <a:solidFill>
                  <a:schemeClr val="lt1"/>
                </a:solidFill>
              </a:ln>
              <a:effectLst/>
            </c:spPr>
            <c:extLst>
              <c:ext xmlns:c16="http://schemas.microsoft.com/office/drawing/2014/chart" uri="{C3380CC4-5D6E-409C-BE32-E72D297353CC}">
                <c16:uniqueId val="{00000005-80B7-4612-8302-F37BBE8B2FE4}"/>
              </c:ext>
            </c:extLst>
          </c:dPt>
          <c:dPt>
            <c:idx val="3"/>
            <c:bubble3D val="0"/>
            <c:spPr>
              <a:solidFill>
                <a:schemeClr val="accent4"/>
              </a:solidFill>
              <a:ln w="9525">
                <a:solidFill>
                  <a:schemeClr val="lt1"/>
                </a:solidFill>
              </a:ln>
              <a:effectLst/>
            </c:spPr>
            <c:extLst>
              <c:ext xmlns:c16="http://schemas.microsoft.com/office/drawing/2014/chart" uri="{C3380CC4-5D6E-409C-BE32-E72D297353CC}">
                <c16:uniqueId val="{00000007-80B7-4612-8302-F37BBE8B2FE4}"/>
              </c:ext>
            </c:extLst>
          </c:dPt>
          <c:dPt>
            <c:idx val="4"/>
            <c:bubble3D val="0"/>
            <c:spPr>
              <a:solidFill>
                <a:schemeClr val="accent5"/>
              </a:solidFill>
              <a:ln w="9525">
                <a:solidFill>
                  <a:schemeClr val="lt1"/>
                </a:solidFill>
              </a:ln>
              <a:effectLst/>
            </c:spPr>
            <c:extLst>
              <c:ext xmlns:c16="http://schemas.microsoft.com/office/drawing/2014/chart" uri="{C3380CC4-5D6E-409C-BE32-E72D297353CC}">
                <c16:uniqueId val="{00000009-80B7-4612-8302-F37BBE8B2FE4}"/>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0B7-4612-8302-F37BBE8B2FE4}"/>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Open Sans" panose="020B0606030504020204" pitchFamily="34" charset="0"/>
                    <a:ea typeface="Open Sans" panose="020B0606030504020204" pitchFamily="34" charset="0"/>
                    <a:cs typeface="Open Sans" panose="020B0606030504020204" pitchFamily="34" charset="0"/>
                  </a:defRPr>
                </a:pPr>
                <a:endParaRPr lang="es-ES"/>
              </a:p>
            </c:txPr>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'[estadistica medios.xlsx]Hoja1'!$A$2:$A$6</c:f>
              <c:strCache>
                <c:ptCount val="5"/>
                <c:pt idx="0">
                  <c:v>Redes Sociales</c:v>
                </c:pt>
                <c:pt idx="1">
                  <c:v>Papel</c:v>
                </c:pt>
                <c:pt idx="2">
                  <c:v>Digital</c:v>
                </c:pt>
                <c:pt idx="3">
                  <c:v>Radio</c:v>
                </c:pt>
                <c:pt idx="4">
                  <c:v>TV</c:v>
                </c:pt>
              </c:strCache>
            </c:strRef>
          </c:cat>
          <c:val>
            <c:numRef>
              <c:f>'[estadistica medios.xlsx]Hoja1'!$B$2:$B$6</c:f>
              <c:numCache>
                <c:formatCode>General</c:formatCode>
                <c:ptCount val="5"/>
                <c:pt idx="0">
                  <c:v>415</c:v>
                </c:pt>
                <c:pt idx="1">
                  <c:v>405</c:v>
                </c:pt>
                <c:pt idx="2">
                  <c:v>221</c:v>
                </c:pt>
                <c:pt idx="3">
                  <c:v>50</c:v>
                </c:pt>
                <c:pt idx="4">
                  <c:v>20</c:v>
                </c:pt>
              </c:numCache>
            </c:numRef>
          </c:val>
          <c:extLst>
            <c:ext xmlns:c16="http://schemas.microsoft.com/office/drawing/2014/chart" uri="{C3380CC4-5D6E-409C-BE32-E72D297353CC}">
              <c16:uniqueId val="{0000000C-80B7-4612-8302-F37BBE8B2FE4}"/>
            </c:ext>
          </c:extLst>
        </c:ser>
        <c:dLbls>
          <c:showLegendKey val="0"/>
          <c:showVal val="0"/>
          <c:showCatName val="0"/>
          <c:showSerName val="0"/>
          <c:showPercent val="0"/>
          <c:showBubbleSize val="0"/>
          <c:showLeaderLines val="1"/>
        </c:dLbls>
        <c:gapWidth val="100"/>
        <c:secondPieSize val="75"/>
        <c:serLines>
          <c:spPr>
            <a:ln w="9525" cap="flat" cmpd="sng" algn="ctr">
              <a:solidFill>
                <a:schemeClr val="tx1">
                  <a:lumMod val="35000"/>
                  <a:lumOff val="65000"/>
                </a:schemeClr>
              </a:solidFill>
              <a:round/>
            </a:ln>
            <a:effectLst/>
          </c:spPr>
        </c:serLines>
      </c:of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cked"/>
        <c:varyColors val="0"/>
        <c:ser>
          <c:idx val="0"/>
          <c:order val="0"/>
          <c:spPr>
            <a:ln w="28437" cap="rnd">
              <a:solidFill>
                <a:srgbClr val="903836"/>
              </a:solidFill>
              <a:prstDash val="solid"/>
              <a:round/>
            </a:ln>
          </c:spPr>
          <c:marker>
            <c:symbol val="diamond"/>
            <c:size val="5"/>
          </c:marker>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es-ES"/>
              </a:p>
            </c:txPr>
            <c:showLegendKey val="0"/>
            <c:showVal val="1"/>
            <c:showCatName val="0"/>
            <c:showSerName val="0"/>
            <c:showPercent val="0"/>
            <c:showBubbleSize val="0"/>
            <c:separator>;</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val>
            <c:numRef>
              <c:f>Areas!$B$2:$D$2</c:f>
              <c:numCache>
                <c:formatCode>General</c:formatCode>
                <c:ptCount val="3"/>
                <c:pt idx="0">
                  <c:v>2</c:v>
                </c:pt>
                <c:pt idx="1">
                  <c:v>2</c:v>
                </c:pt>
                <c:pt idx="2">
                  <c:v>3</c:v>
                </c:pt>
              </c:numCache>
            </c:numRef>
          </c:val>
          <c:smooth val="0"/>
          <c:extLst>
            <c:ext xmlns:c15="http://schemas.microsoft.com/office/drawing/2012/chart" uri="{02D57815-91ED-43cb-92C2-25804820EDAC}">
              <c15:filteredSeriesTitle>
                <c15:tx>
                  <c:strRef>
                    <c:extLst>
                      <c:ext uri="{02D57815-91ED-43cb-92C2-25804820EDAC}">
                        <c15:formulaRef>
                          <c15:sqref>Areas!$A$2</c15:sqref>
                        </c15:formulaRef>
                      </c:ext>
                    </c:extLst>
                    <c:strCache>
                      <c:ptCount val="1"/>
                      <c:pt idx="0">
                        <c:v>Gabinete Dirección, Relaciones Institucionales y Participación</c:v>
                      </c:pt>
                    </c:strCache>
                  </c:strRef>
                </c15:tx>
              </c15:filteredSeriesTitle>
            </c:ext>
            <c:ext xmlns:c15="http://schemas.microsoft.com/office/drawing/2012/chart" uri="{02D57815-91ED-43cb-92C2-25804820EDAC}">
              <c15:filteredCategoryTitle>
                <c15:cat>
                  <c:numRef>
                    <c:extLst>
                      <c:ext uri="{02D57815-91ED-43cb-92C2-25804820EDAC}">
                        <c15:formulaRef>
                          <c15:sqref>Areas!$B$1:$D$1</c15:sqref>
                        </c15:formulaRef>
                      </c:ext>
                    </c:extLst>
                    <c:numCache>
                      <c:formatCode>General</c:formatCode>
                      <c:ptCount val="3"/>
                      <c:pt idx="0">
                        <c:v>2017</c:v>
                      </c:pt>
                      <c:pt idx="1">
                        <c:v>2018</c:v>
                      </c:pt>
                      <c:pt idx="2">
                        <c:v>2019</c:v>
                      </c:pt>
                    </c:numCache>
                  </c:numRef>
                </c15:cat>
              </c15:filteredCategoryTitle>
            </c:ext>
            <c:ext xmlns:c16="http://schemas.microsoft.com/office/drawing/2014/chart" uri="{C3380CC4-5D6E-409C-BE32-E72D297353CC}">
              <c16:uniqueId val="{00000000-71D1-458B-9FA9-98D5341CC601}"/>
            </c:ext>
          </c:extLst>
        </c:ser>
        <c:ser>
          <c:idx val="1"/>
          <c:order val="1"/>
          <c:spPr>
            <a:ln w="28437" cap="rnd">
              <a:solidFill>
                <a:srgbClr val="AA433F"/>
              </a:solidFill>
              <a:prstDash val="solid"/>
              <a:round/>
            </a:ln>
          </c:spPr>
          <c:marker>
            <c:symbol val="square"/>
            <c:size val="5"/>
          </c:marker>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es-ES"/>
              </a:p>
            </c:txPr>
            <c:showLegendKey val="0"/>
            <c:showVal val="1"/>
            <c:showCatName val="0"/>
            <c:showSerName val="0"/>
            <c:showPercent val="0"/>
            <c:showBubbleSize val="0"/>
            <c:separator>;</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val>
            <c:numRef>
              <c:f>Areas!$B$3:$D$3</c:f>
              <c:numCache>
                <c:formatCode>General</c:formatCode>
                <c:ptCount val="3"/>
                <c:pt idx="0">
                  <c:v>5</c:v>
                </c:pt>
                <c:pt idx="1">
                  <c:v>6</c:v>
                </c:pt>
                <c:pt idx="2">
                  <c:v>7</c:v>
                </c:pt>
              </c:numCache>
            </c:numRef>
          </c:val>
          <c:smooth val="0"/>
          <c:extLst>
            <c:ext xmlns:c15="http://schemas.microsoft.com/office/drawing/2012/chart" uri="{02D57815-91ED-43cb-92C2-25804820EDAC}">
              <c15:filteredSeriesTitle>
                <c15:tx>
                  <c:strRef>
                    <c:extLst>
                      <c:ext uri="{02D57815-91ED-43cb-92C2-25804820EDAC}">
                        <c15:formulaRef>
                          <c15:sqref>Areas!$A$3</c15:sqref>
                        </c15:formulaRef>
                      </c:ext>
                    </c:extLst>
                    <c:strCache>
                      <c:ptCount val="1"/>
                      <c:pt idx="0">
                        <c:v>Administración, Recursos Humanos y Gestión Económica</c:v>
                      </c:pt>
                    </c:strCache>
                  </c:strRef>
                </c15:tx>
              </c15:filteredSeriesTitle>
            </c:ext>
            <c:ext xmlns:c15="http://schemas.microsoft.com/office/drawing/2012/chart" uri="{02D57815-91ED-43cb-92C2-25804820EDAC}">
              <c15:filteredCategoryTitle>
                <c15:cat>
                  <c:numRef>
                    <c:extLst>
                      <c:ext uri="{02D57815-91ED-43cb-92C2-25804820EDAC}">
                        <c15:formulaRef>
                          <c15:sqref>Areas!$B$1:$D$1</c15:sqref>
                        </c15:formulaRef>
                      </c:ext>
                    </c:extLst>
                    <c:numCache>
                      <c:formatCode>General</c:formatCode>
                      <c:ptCount val="3"/>
                      <c:pt idx="0">
                        <c:v>2017</c:v>
                      </c:pt>
                      <c:pt idx="1">
                        <c:v>2018</c:v>
                      </c:pt>
                      <c:pt idx="2">
                        <c:v>2019</c:v>
                      </c:pt>
                    </c:numCache>
                  </c:numRef>
                </c15:cat>
              </c15:filteredCategoryTitle>
            </c:ext>
            <c:ext xmlns:c16="http://schemas.microsoft.com/office/drawing/2014/chart" uri="{C3380CC4-5D6E-409C-BE32-E72D297353CC}">
              <c16:uniqueId val="{00000001-71D1-458B-9FA9-98D5341CC601}"/>
            </c:ext>
          </c:extLst>
        </c:ser>
        <c:ser>
          <c:idx val="2"/>
          <c:order val="2"/>
          <c:spPr>
            <a:ln w="28437" cap="rnd">
              <a:solidFill>
                <a:srgbClr val="BE4B48"/>
              </a:solidFill>
              <a:prstDash val="solid"/>
              <a:round/>
            </a:ln>
          </c:spPr>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es-ES"/>
              </a:p>
            </c:txPr>
            <c:showLegendKey val="0"/>
            <c:showVal val="1"/>
            <c:showCatName val="0"/>
            <c:showSerName val="0"/>
            <c:showPercent val="0"/>
            <c:showBubbleSize val="0"/>
            <c:separator>;</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val>
            <c:numRef>
              <c:f>Areas!$B$4:$D$4</c:f>
              <c:numCache>
                <c:formatCode>General</c:formatCode>
                <c:ptCount val="3"/>
                <c:pt idx="0">
                  <c:v>17</c:v>
                </c:pt>
                <c:pt idx="1">
                  <c:v>16</c:v>
                </c:pt>
                <c:pt idx="2">
                  <c:v>14</c:v>
                </c:pt>
              </c:numCache>
            </c:numRef>
          </c:val>
          <c:smooth val="0"/>
          <c:extLst>
            <c:ext xmlns:c15="http://schemas.microsoft.com/office/drawing/2012/chart" uri="{02D57815-91ED-43cb-92C2-25804820EDAC}">
              <c15:filteredSeriesTitle>
                <c15:tx>
                  <c:strRef>
                    <c:extLst>
                      <c:ext uri="{02D57815-91ED-43cb-92C2-25804820EDAC}">
                        <c15:formulaRef>
                          <c15:sqref>Areas!$A$4</c15:sqref>
                        </c15:formulaRef>
                      </c:ext>
                    </c:extLst>
                    <c:strCache>
                      <c:ptCount val="1"/>
                      <c:pt idx="0">
                        <c:v>Dirección de Análisis e Investigación</c:v>
                      </c:pt>
                    </c:strCache>
                  </c:strRef>
                </c15:tx>
              </c15:filteredSeriesTitle>
            </c:ext>
            <c:ext xmlns:c15="http://schemas.microsoft.com/office/drawing/2012/chart" uri="{02D57815-91ED-43cb-92C2-25804820EDAC}">
              <c15:filteredCategoryTitle>
                <c15:cat>
                  <c:numRef>
                    <c:extLst>
                      <c:ext uri="{02D57815-91ED-43cb-92C2-25804820EDAC}">
                        <c15:formulaRef>
                          <c15:sqref>Areas!$B$1:$D$1</c15:sqref>
                        </c15:formulaRef>
                      </c:ext>
                    </c:extLst>
                    <c:numCache>
                      <c:formatCode>General</c:formatCode>
                      <c:ptCount val="3"/>
                      <c:pt idx="0">
                        <c:v>2017</c:v>
                      </c:pt>
                      <c:pt idx="1">
                        <c:v>2018</c:v>
                      </c:pt>
                      <c:pt idx="2">
                        <c:v>2019</c:v>
                      </c:pt>
                    </c:numCache>
                  </c:numRef>
                </c15:cat>
              </c15:filteredCategoryTitle>
            </c:ext>
            <c:ext xmlns:c16="http://schemas.microsoft.com/office/drawing/2014/chart" uri="{C3380CC4-5D6E-409C-BE32-E72D297353CC}">
              <c16:uniqueId val="{00000002-71D1-458B-9FA9-98D5341CC601}"/>
            </c:ext>
          </c:extLst>
        </c:ser>
        <c:ser>
          <c:idx val="3"/>
          <c:order val="3"/>
          <c:spPr>
            <a:ln w="28437" cap="rnd">
              <a:solidFill>
                <a:srgbClr val="E0A67A"/>
              </a:solidFill>
              <a:prstDash val="solid"/>
              <a:round/>
            </a:ln>
          </c:spPr>
          <c:marker>
            <c:symbol val="x"/>
            <c:size val="5"/>
          </c:marker>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es-ES"/>
              </a:p>
            </c:txPr>
            <c:showLegendKey val="0"/>
            <c:showVal val="1"/>
            <c:showCatName val="0"/>
            <c:showSerName val="0"/>
            <c:showPercent val="0"/>
            <c:showBubbleSize val="0"/>
            <c:separator>;</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val>
            <c:numRef>
              <c:f>Areas!$B$5:$D$5</c:f>
              <c:numCache>
                <c:formatCode>General</c:formatCode>
                <c:ptCount val="3"/>
                <c:pt idx="0">
                  <c:v>4</c:v>
                </c:pt>
                <c:pt idx="1">
                  <c:v>4</c:v>
                </c:pt>
                <c:pt idx="2">
                  <c:v>8</c:v>
                </c:pt>
              </c:numCache>
            </c:numRef>
          </c:val>
          <c:smooth val="0"/>
          <c:extLst>
            <c:ext xmlns:c15="http://schemas.microsoft.com/office/drawing/2012/chart" uri="{02D57815-91ED-43cb-92C2-25804820EDAC}">
              <c15:filteredSeriesTitle>
                <c15:tx>
                  <c:strRef>
                    <c:extLst>
                      <c:ext uri="{02D57815-91ED-43cb-92C2-25804820EDAC}">
                        <c15:formulaRef>
                          <c15:sqref>Areas!$A$5</c15:sqref>
                        </c15:formulaRef>
                      </c:ext>
                    </c:extLst>
                    <c:strCache>
                      <c:ptCount val="1"/>
                      <c:pt idx="0">
                        <c:v>Dirección de Prevención, Formación y Documentación</c:v>
                      </c:pt>
                    </c:strCache>
                  </c:strRef>
                </c15:tx>
              </c15:filteredSeriesTitle>
            </c:ext>
            <c:ext xmlns:c15="http://schemas.microsoft.com/office/drawing/2012/chart" uri="{02D57815-91ED-43cb-92C2-25804820EDAC}">
              <c15:filteredCategoryTitle>
                <c15:cat>
                  <c:numRef>
                    <c:extLst>
                      <c:ext uri="{02D57815-91ED-43cb-92C2-25804820EDAC}">
                        <c15:formulaRef>
                          <c15:sqref>Areas!$B$1:$D$1</c15:sqref>
                        </c15:formulaRef>
                      </c:ext>
                    </c:extLst>
                    <c:numCache>
                      <c:formatCode>General</c:formatCode>
                      <c:ptCount val="3"/>
                      <c:pt idx="0">
                        <c:v>2017</c:v>
                      </c:pt>
                      <c:pt idx="1">
                        <c:v>2018</c:v>
                      </c:pt>
                      <c:pt idx="2">
                        <c:v>2019</c:v>
                      </c:pt>
                    </c:numCache>
                  </c:numRef>
                </c15:cat>
              </c15:filteredCategoryTitle>
            </c:ext>
            <c:ext xmlns:c16="http://schemas.microsoft.com/office/drawing/2014/chart" uri="{C3380CC4-5D6E-409C-BE32-E72D297353CC}">
              <c16:uniqueId val="{00000003-71D1-458B-9FA9-98D5341CC601}"/>
            </c:ext>
          </c:extLst>
        </c:ser>
        <c:ser>
          <c:idx val="4"/>
          <c:order val="4"/>
          <c:spPr>
            <a:ln w="28437" cap="rnd">
              <a:solidFill>
                <a:srgbClr val="DCB7B6"/>
              </a:solidFill>
              <a:prstDash val="solid"/>
              <a:round/>
            </a:ln>
          </c:spPr>
          <c:marker>
            <c:symbol val="star"/>
            <c:size val="5"/>
          </c:marker>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es-ES"/>
              </a:p>
            </c:txPr>
            <c:showLegendKey val="0"/>
            <c:showVal val="1"/>
            <c:showCatName val="0"/>
            <c:showSerName val="0"/>
            <c:showPercent val="0"/>
            <c:showBubbleSize val="0"/>
            <c:separator>;</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val>
            <c:numRef>
              <c:f>Areas!$B$6:$D$6</c:f>
              <c:numCache>
                <c:formatCode>General</c:formatCode>
                <c:ptCount val="3"/>
                <c:pt idx="0">
                  <c:v>5</c:v>
                </c:pt>
                <c:pt idx="1">
                  <c:v>4</c:v>
                </c:pt>
                <c:pt idx="2">
                  <c:v>5</c:v>
                </c:pt>
              </c:numCache>
            </c:numRef>
          </c:val>
          <c:smooth val="0"/>
          <c:extLst>
            <c:ext xmlns:c15="http://schemas.microsoft.com/office/drawing/2012/chart" uri="{02D57815-91ED-43cb-92C2-25804820EDAC}">
              <c15:filteredSeriesTitle>
                <c15:tx>
                  <c:strRef>
                    <c:extLst>
                      <c:ext uri="{02D57815-91ED-43cb-92C2-25804820EDAC}">
                        <c15:formulaRef>
                          <c15:sqref>Areas!$A$6</c15:sqref>
                        </c15:formulaRef>
                      </c:ext>
                    </c:extLst>
                    <c:strCache>
                      <c:ptCount val="1"/>
                      <c:pt idx="0">
                        <c:v>Dirección de Asuntos Jurídicos</c:v>
                      </c:pt>
                    </c:strCache>
                  </c:strRef>
                </c15:tx>
              </c15:filteredSeriesTitle>
            </c:ext>
            <c:ext xmlns:c15="http://schemas.microsoft.com/office/drawing/2012/chart" uri="{02D57815-91ED-43cb-92C2-25804820EDAC}">
              <c15:filteredCategoryTitle>
                <c15:cat>
                  <c:numRef>
                    <c:extLst>
                      <c:ext uri="{02D57815-91ED-43cb-92C2-25804820EDAC}">
                        <c15:formulaRef>
                          <c15:sqref>Areas!$B$1:$D$1</c15:sqref>
                        </c15:formulaRef>
                      </c:ext>
                    </c:extLst>
                    <c:numCache>
                      <c:formatCode>General</c:formatCode>
                      <c:ptCount val="3"/>
                      <c:pt idx="0">
                        <c:v>2017</c:v>
                      </c:pt>
                      <c:pt idx="1">
                        <c:v>2018</c:v>
                      </c:pt>
                      <c:pt idx="2">
                        <c:v>2019</c:v>
                      </c:pt>
                    </c:numCache>
                  </c:numRef>
                </c15:cat>
              </c15:filteredCategoryTitle>
            </c:ext>
            <c:ext xmlns:c16="http://schemas.microsoft.com/office/drawing/2014/chart" uri="{C3380CC4-5D6E-409C-BE32-E72D297353CC}">
              <c16:uniqueId val="{00000004-71D1-458B-9FA9-98D5341CC601}"/>
            </c:ext>
          </c:extLst>
        </c:ser>
        <c:dLbls>
          <c:showLegendKey val="0"/>
          <c:showVal val="0"/>
          <c:showCatName val="0"/>
          <c:showSerName val="0"/>
          <c:showPercent val="0"/>
          <c:showBubbleSize val="0"/>
        </c:dLbls>
        <c:marker val="1"/>
        <c:smooth val="0"/>
        <c:axId val="574446719"/>
        <c:axId val="578007183"/>
      </c:lineChart>
      <c:valAx>
        <c:axId val="578007183"/>
        <c:scaling>
          <c:orientation val="minMax"/>
        </c:scaling>
        <c:delete val="1"/>
        <c:axPos val="l"/>
        <c:majorGridlines>
          <c:spPr>
            <a:ln w="9363" cap="flat">
              <a:solidFill>
                <a:srgbClr val="878787"/>
              </a:solidFill>
              <a:prstDash val="solid"/>
              <a:round/>
            </a:ln>
          </c:spPr>
        </c:majorGridlines>
        <c:numFmt formatCode="General" sourceLinked="0"/>
        <c:majorTickMark val="none"/>
        <c:minorTickMark val="none"/>
        <c:tickLblPos val="nextTo"/>
        <c:crossAx val="574446719"/>
        <c:crossesAt val="0"/>
        <c:crossBetween val="between"/>
      </c:valAx>
      <c:catAx>
        <c:axId val="574446719"/>
        <c:scaling>
          <c:orientation val="minMax"/>
        </c:scaling>
        <c:delete val="0"/>
        <c:axPos val="b"/>
        <c:numFmt formatCode="General" sourceLinked="1"/>
        <c:majorTickMark val="none"/>
        <c:minorTickMark val="none"/>
        <c:tickLblPos val="nextTo"/>
        <c:spPr>
          <a:noFill/>
          <a:ln w="9363" cap="flat">
            <a:solidFill>
              <a:srgbClr val="878787"/>
            </a:solidFill>
            <a:prstDash val="solid"/>
            <a:round/>
          </a:ln>
        </c:spPr>
        <c:txPr>
          <a:bodyPr lIns="0" tIns="0" rIns="0" bIns="0"/>
          <a:lstStyle/>
          <a:p>
            <a:pPr marL="0" marR="0" indent="0" defTabSz="914400" fontAlgn="auto" hangingPunct="1">
              <a:lnSpc>
                <a:spcPct val="100000"/>
              </a:lnSpc>
              <a:spcBef>
                <a:spcPts val="0"/>
              </a:spcBef>
              <a:spcAft>
                <a:spcPts val="0"/>
              </a:spcAft>
              <a:tabLst/>
              <a:defRPr sz="850" b="1" i="0" u="none" strike="noStrike" kern="1200" baseline="0">
                <a:solidFill>
                  <a:srgbClr val="000000"/>
                </a:solidFill>
                <a:latin typeface="Open Sans" panose="020B0606030504020204" pitchFamily="34" charset="0"/>
                <a:ea typeface="Open Sans" panose="020B0606030504020204" pitchFamily="34" charset="0"/>
                <a:cs typeface="Open Sans" panose="020B0606030504020204" pitchFamily="34" charset="0"/>
              </a:defRPr>
            </a:pPr>
            <a:endParaRPr lang="es-ES"/>
          </a:p>
        </c:txPr>
        <c:crossAx val="578007183"/>
        <c:crossesAt val="0"/>
        <c:auto val="1"/>
        <c:lblAlgn val="ctr"/>
        <c:lblOffset val="100"/>
        <c:noMultiLvlLbl val="0"/>
      </c:catAx>
      <c:spPr>
        <a:solidFill>
          <a:srgbClr val="FFFFFF"/>
        </a:solidFill>
        <a:ln>
          <a:noFill/>
        </a:ln>
      </c:spPr>
    </c:plotArea>
    <c:legend>
      <c:legendPos val="r"/>
      <c:overlay val="0"/>
      <c:spPr>
        <a:noFill/>
        <a:ln>
          <a:noFill/>
        </a:ln>
      </c:spPr>
      <c:txPr>
        <a:bodyPr lIns="0" tIns="0" rIns="0" bIns="0"/>
        <a:lstStyle/>
        <a:p>
          <a:pPr marL="0" marR="0" indent="0" defTabSz="914400" fontAlgn="auto" hangingPunct="1">
            <a:lnSpc>
              <a:spcPct val="100000"/>
            </a:lnSpc>
            <a:spcBef>
              <a:spcPts val="0"/>
            </a:spcBef>
            <a:spcAft>
              <a:spcPts val="0"/>
            </a:spcAft>
            <a:tabLst/>
            <a:defRPr sz="850" b="0" i="0" u="none" strike="noStrike" kern="1200" baseline="0">
              <a:solidFill>
                <a:srgbClr val="000000"/>
              </a:solidFill>
              <a:latin typeface="Open Sans" panose="020B0606030504020204" pitchFamily="34" charset="0"/>
              <a:ea typeface="Open Sans" panose="020B0606030504020204" pitchFamily="34" charset="0"/>
              <a:cs typeface="Open Sans" panose="020B0606030504020204" pitchFamily="34" charset="0"/>
            </a:defRPr>
          </a:pPr>
          <a:endParaRPr lang="es-ES"/>
        </a:p>
      </c:tx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s-ES" sz="1000" b="0" i="0" u="none" strike="noStrike" kern="1200" baseline="0">
          <a:solidFill>
            <a:srgbClr val="000000"/>
          </a:solidFill>
          <a:latin typeface="Calibri"/>
        </a:defRPr>
      </a:pPr>
      <a:endParaRPr lang="es-ES"/>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2017</c:v>
          </c:tx>
          <c:spPr>
            <a:solidFill>
              <a:srgbClr val="9F423F"/>
            </a:solidFill>
            <a:ln>
              <a:noFill/>
            </a:ln>
          </c:spPr>
          <c:invertIfNegative val="0"/>
          <c:dLbls>
            <c:spPr>
              <a:noFill/>
              <a:ln>
                <a:noFill/>
              </a:ln>
              <a:effectLst/>
            </c:spPr>
            <c:txPr>
              <a:bodyPr wrap="square" lIns="38100" tIns="19050" rIns="38100" bIns="19050" anchor="ctr">
                <a:spAutoFit/>
              </a:bodyPr>
              <a:lstStyle/>
              <a:p>
                <a:pPr>
                  <a:defRPr sz="1000" b="0" baseline="0">
                    <a:solidFill>
                      <a:srgbClr val="000000"/>
                    </a:solidFill>
                    <a:latin typeface="Calibri"/>
                  </a:defRPr>
                </a:pPr>
                <a:endParaRPr lang="es-ES"/>
              </a:p>
            </c:txPr>
            <c:dLblPos val="outEnd"/>
            <c:showLegendKey val="0"/>
            <c:showVal val="1"/>
            <c:showCatName val="0"/>
            <c:showSerName val="0"/>
            <c:showPercent val="0"/>
            <c:showBubbleSize val="0"/>
            <c:separator>;</c:separator>
            <c:showLeaderLines val="0"/>
            <c:extLst>
              <c:ext xmlns:c15="http://schemas.microsoft.com/office/drawing/2012/chart" uri="{CE6537A1-D6FC-4f65-9D91-7224C49458BB}">
                <c15:showLeaderLines val="1"/>
              </c:ext>
            </c:extLst>
          </c:dLbls>
          <c:cat>
            <c:strLit>
              <c:ptCount val="7"/>
              <c:pt idx="0">
                <c:v>A1</c:v>
              </c:pt>
              <c:pt idx="1">
                <c:v>A1/A2</c:v>
              </c:pt>
              <c:pt idx="2">
                <c:v>A2</c:v>
              </c:pt>
              <c:pt idx="3">
                <c:v>C1</c:v>
              </c:pt>
              <c:pt idx="4">
                <c:v>C1/C2</c:v>
              </c:pt>
              <c:pt idx="5">
                <c:v>C2</c:v>
              </c:pt>
              <c:pt idx="6">
                <c:v>APF</c:v>
              </c:pt>
            </c:strLit>
          </c:cat>
          <c:val>
            <c:numLit>
              <c:formatCode>General</c:formatCode>
              <c:ptCount val="7"/>
              <c:pt idx="0">
                <c:v>18</c:v>
              </c:pt>
              <c:pt idx="1">
                <c:v>6</c:v>
              </c:pt>
              <c:pt idx="2">
                <c:v>0</c:v>
              </c:pt>
              <c:pt idx="3">
                <c:v>0</c:v>
              </c:pt>
              <c:pt idx="4">
                <c:v>5</c:v>
              </c:pt>
              <c:pt idx="5">
                <c:v>4</c:v>
              </c:pt>
              <c:pt idx="6">
                <c:v>0</c:v>
              </c:pt>
            </c:numLit>
          </c:val>
          <c:extLst>
            <c:ext xmlns:c16="http://schemas.microsoft.com/office/drawing/2014/chart" uri="{C3380CC4-5D6E-409C-BE32-E72D297353CC}">
              <c16:uniqueId val="{00000000-4469-40F7-8B3C-9E2A352FC9F4}"/>
            </c:ext>
          </c:extLst>
        </c:ser>
        <c:ser>
          <c:idx val="1"/>
          <c:order val="1"/>
          <c:tx>
            <c:v>2018</c:v>
          </c:tx>
          <c:spPr>
            <a:solidFill>
              <a:srgbClr val="C0504D"/>
            </a:solidFill>
            <a:ln>
              <a:noFill/>
            </a:ln>
          </c:spPr>
          <c:invertIfNegative val="0"/>
          <c:dLbls>
            <c:spPr>
              <a:noFill/>
              <a:ln>
                <a:noFill/>
              </a:ln>
              <a:effectLst/>
            </c:spPr>
            <c:txPr>
              <a:bodyPr wrap="square" lIns="38100" tIns="19050" rIns="38100" bIns="19050" anchor="ctr">
                <a:spAutoFit/>
              </a:bodyPr>
              <a:lstStyle/>
              <a:p>
                <a:pPr>
                  <a:defRPr sz="1000" b="0" baseline="0">
                    <a:solidFill>
                      <a:srgbClr val="000000"/>
                    </a:solidFill>
                    <a:latin typeface="Calibri"/>
                  </a:defRPr>
                </a:pPr>
                <a:endParaRPr lang="es-ES"/>
              </a:p>
            </c:txPr>
            <c:dLblPos val="outEnd"/>
            <c:showLegendKey val="0"/>
            <c:showVal val="1"/>
            <c:showCatName val="0"/>
            <c:showSerName val="0"/>
            <c:showPercent val="0"/>
            <c:showBubbleSize val="0"/>
            <c:separator>;</c:separator>
            <c:showLeaderLines val="0"/>
            <c:extLst>
              <c:ext xmlns:c15="http://schemas.microsoft.com/office/drawing/2012/chart" uri="{CE6537A1-D6FC-4f65-9D91-7224C49458BB}">
                <c15:showLeaderLines val="1"/>
              </c:ext>
            </c:extLst>
          </c:dLbls>
          <c:cat>
            <c:strLit>
              <c:ptCount val="7"/>
              <c:pt idx="0">
                <c:v>A1</c:v>
              </c:pt>
              <c:pt idx="1">
                <c:v>A1/A2</c:v>
              </c:pt>
              <c:pt idx="2">
                <c:v>A2</c:v>
              </c:pt>
              <c:pt idx="3">
                <c:v>C1</c:v>
              </c:pt>
              <c:pt idx="4">
                <c:v>C1/C2</c:v>
              </c:pt>
              <c:pt idx="5">
                <c:v>C2</c:v>
              </c:pt>
              <c:pt idx="6">
                <c:v>APF</c:v>
              </c:pt>
            </c:strLit>
          </c:cat>
          <c:val>
            <c:numLit>
              <c:formatCode>General</c:formatCode>
              <c:ptCount val="7"/>
              <c:pt idx="0">
                <c:v>14</c:v>
              </c:pt>
              <c:pt idx="1">
                <c:v>8</c:v>
              </c:pt>
              <c:pt idx="2">
                <c:v>2</c:v>
              </c:pt>
              <c:pt idx="3">
                <c:v>2</c:v>
              </c:pt>
              <c:pt idx="4">
                <c:v>5</c:v>
              </c:pt>
              <c:pt idx="5">
                <c:v>0</c:v>
              </c:pt>
              <c:pt idx="6">
                <c:v>1</c:v>
              </c:pt>
            </c:numLit>
          </c:val>
          <c:extLst>
            <c:ext xmlns:c16="http://schemas.microsoft.com/office/drawing/2014/chart" uri="{C3380CC4-5D6E-409C-BE32-E72D297353CC}">
              <c16:uniqueId val="{00000001-4469-40F7-8B3C-9E2A352FC9F4}"/>
            </c:ext>
          </c:extLst>
        </c:ser>
        <c:ser>
          <c:idx val="2"/>
          <c:order val="2"/>
          <c:tx>
            <c:v>2019</c:v>
          </c:tx>
          <c:spPr>
            <a:solidFill>
              <a:srgbClr val="D8AAA9"/>
            </a:solidFill>
            <a:ln>
              <a:noFill/>
            </a:ln>
          </c:spPr>
          <c:invertIfNegative val="0"/>
          <c:dLbls>
            <c:spPr>
              <a:noFill/>
              <a:ln>
                <a:noFill/>
              </a:ln>
              <a:effectLst/>
            </c:spPr>
            <c:txPr>
              <a:bodyPr wrap="square" lIns="38100" tIns="19050" rIns="38100" bIns="19050" anchor="ctr">
                <a:spAutoFit/>
              </a:bodyPr>
              <a:lstStyle/>
              <a:p>
                <a:pPr>
                  <a:defRPr sz="1000" b="0" baseline="0">
                    <a:solidFill>
                      <a:srgbClr val="000000"/>
                    </a:solidFill>
                    <a:latin typeface="Calibri"/>
                  </a:defRPr>
                </a:pPr>
                <a:endParaRPr lang="es-ES"/>
              </a:p>
            </c:txPr>
            <c:dLblPos val="outEnd"/>
            <c:showLegendKey val="0"/>
            <c:showVal val="1"/>
            <c:showCatName val="0"/>
            <c:showSerName val="0"/>
            <c:showPercent val="0"/>
            <c:showBubbleSize val="0"/>
            <c:separator>;</c:separator>
            <c:showLeaderLines val="0"/>
            <c:extLst>
              <c:ext xmlns:c15="http://schemas.microsoft.com/office/drawing/2012/chart" uri="{CE6537A1-D6FC-4f65-9D91-7224C49458BB}">
                <c15:showLeaderLines val="1"/>
              </c:ext>
            </c:extLst>
          </c:dLbls>
          <c:cat>
            <c:strLit>
              <c:ptCount val="7"/>
              <c:pt idx="0">
                <c:v>A1</c:v>
              </c:pt>
              <c:pt idx="1">
                <c:v>A1/A2</c:v>
              </c:pt>
              <c:pt idx="2">
                <c:v>A2</c:v>
              </c:pt>
              <c:pt idx="3">
                <c:v>C1</c:v>
              </c:pt>
              <c:pt idx="4">
                <c:v>C1/C2</c:v>
              </c:pt>
              <c:pt idx="5">
                <c:v>C2</c:v>
              </c:pt>
              <c:pt idx="6">
                <c:v>APF</c:v>
              </c:pt>
            </c:strLit>
          </c:cat>
          <c:val>
            <c:numLit>
              <c:formatCode>General</c:formatCode>
              <c:ptCount val="7"/>
              <c:pt idx="0">
                <c:v>21</c:v>
              </c:pt>
              <c:pt idx="1">
                <c:v>8</c:v>
              </c:pt>
              <c:pt idx="2">
                <c:v>0</c:v>
              </c:pt>
              <c:pt idx="3">
                <c:v>3</c:v>
              </c:pt>
              <c:pt idx="4">
                <c:v>4</c:v>
              </c:pt>
              <c:pt idx="5">
                <c:v>0</c:v>
              </c:pt>
              <c:pt idx="6">
                <c:v>1</c:v>
              </c:pt>
            </c:numLit>
          </c:val>
          <c:extLst>
            <c:ext xmlns:c16="http://schemas.microsoft.com/office/drawing/2014/chart" uri="{C3380CC4-5D6E-409C-BE32-E72D297353CC}">
              <c16:uniqueId val="{00000002-4469-40F7-8B3C-9E2A352FC9F4}"/>
            </c:ext>
          </c:extLst>
        </c:ser>
        <c:dLbls>
          <c:showLegendKey val="0"/>
          <c:showVal val="0"/>
          <c:showCatName val="0"/>
          <c:showSerName val="0"/>
          <c:showPercent val="0"/>
          <c:showBubbleSize val="0"/>
        </c:dLbls>
        <c:gapWidth val="150"/>
        <c:axId val="755320080"/>
        <c:axId val="755317920"/>
      </c:barChart>
      <c:valAx>
        <c:axId val="755317920"/>
        <c:scaling>
          <c:orientation val="minMax"/>
        </c:scaling>
        <c:delete val="0"/>
        <c:axPos val="l"/>
        <c:majorGridlines>
          <c:spPr>
            <a:ln w="9360">
              <a:solidFill>
                <a:srgbClr val="878787"/>
              </a:solidFill>
            </a:ln>
          </c:spPr>
        </c:majorGridlines>
        <c:numFmt formatCode="General" sourceLinked="0"/>
        <c:majorTickMark val="none"/>
        <c:minorTickMark val="none"/>
        <c:tickLblPos val="nextTo"/>
        <c:spPr>
          <a:ln w="9360">
            <a:solidFill>
              <a:srgbClr val="878787"/>
            </a:solidFill>
          </a:ln>
        </c:spPr>
        <c:txPr>
          <a:bodyPr/>
          <a:lstStyle/>
          <a:p>
            <a:pPr>
              <a:defRPr sz="900" b="0" baseline="0">
                <a:solidFill>
                  <a:srgbClr val="000000"/>
                </a:solidFill>
                <a:latin typeface="Calibri"/>
              </a:defRPr>
            </a:pPr>
            <a:endParaRPr lang="es-ES"/>
          </a:p>
        </c:txPr>
        <c:crossAx val="755320080"/>
        <c:crossesAt val="0"/>
        <c:crossBetween val="between"/>
      </c:valAx>
      <c:catAx>
        <c:axId val="755320080"/>
        <c:scaling>
          <c:orientation val="minMax"/>
        </c:scaling>
        <c:delete val="0"/>
        <c:axPos val="b"/>
        <c:numFmt formatCode="General" sourceLinked="0"/>
        <c:majorTickMark val="none"/>
        <c:minorTickMark val="none"/>
        <c:tickLblPos val="nextTo"/>
        <c:spPr>
          <a:ln w="9360">
            <a:solidFill>
              <a:srgbClr val="878787"/>
            </a:solidFill>
          </a:ln>
        </c:spPr>
        <c:txPr>
          <a:bodyPr/>
          <a:lstStyle/>
          <a:p>
            <a:pPr>
              <a:defRPr sz="900" b="1" i="0" baseline="0">
                <a:solidFill>
                  <a:srgbClr val="000000"/>
                </a:solidFill>
                <a:latin typeface="Open Sans" panose="020B0606030504020204" pitchFamily="34" charset="0"/>
                <a:ea typeface="Open Sans" panose="020B0606030504020204" pitchFamily="34" charset="0"/>
                <a:cs typeface="Open Sans" panose="020B0606030504020204" pitchFamily="34" charset="0"/>
              </a:defRPr>
            </a:pPr>
            <a:endParaRPr lang="es-ES"/>
          </a:p>
        </c:txPr>
        <c:crossAx val="755317920"/>
        <c:crossesAt val="0"/>
        <c:auto val="1"/>
        <c:lblAlgn val="ctr"/>
        <c:lblOffset val="100"/>
        <c:noMultiLvlLbl val="0"/>
      </c:catAx>
      <c:spPr>
        <a:solidFill>
          <a:srgbClr val="FFFFFF"/>
        </a:solidFill>
      </c:spPr>
    </c:plotArea>
    <c:legend>
      <c:legendPos val="b"/>
      <c:overlay val="0"/>
      <c:spPr>
        <a:noFill/>
        <a:ln>
          <a:noFill/>
        </a:ln>
      </c:spPr>
      <c:txPr>
        <a:bodyPr/>
        <a:lstStyle/>
        <a:p>
          <a:pPr>
            <a:defRPr sz="900" b="1" i="0" baseline="0">
              <a:solidFill>
                <a:srgbClr val="000000"/>
              </a:solidFill>
              <a:latin typeface="Open Sans" panose="020B0606030504020204" pitchFamily="34" charset="0"/>
              <a:ea typeface="Open Sans" panose="020B0606030504020204" pitchFamily="34" charset="0"/>
              <a:cs typeface="Open Sans" panose="020B0606030504020204" pitchFamily="34" charset="0"/>
            </a:defRPr>
          </a:pPr>
          <a:endParaRPr lang="es-ES"/>
        </a:p>
      </c:txPr>
    </c:legend>
    <c:plotVisOnly val="1"/>
    <c:dispBlanksAs val="gap"/>
    <c:showDLblsOverMax val="0"/>
  </c:chart>
  <c:spPr>
    <a:ln>
      <a:noFill/>
    </a:ln>
  </c:sp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75"/>
      <c:rotY val="90"/>
      <c:rAngAx val="0"/>
      <c:perspective val="34"/>
    </c:view3D>
    <c:floor>
      <c:thickness val="0"/>
      <c:spPr>
        <a:solidFill>
          <a:srgbClr val="D9D9D9"/>
        </a:solidFill>
      </c:spPr>
    </c:floor>
    <c:sideWall>
      <c:thickness val="0"/>
      <c:spPr>
        <a:solidFill>
          <a:srgbClr val="D9D9D9"/>
        </a:solidFill>
      </c:spPr>
    </c:sideWall>
    <c:backWall>
      <c:thickness val="0"/>
      <c:spPr>
        <a:solidFill>
          <a:srgbClr val="D9D9D9"/>
        </a:solidFill>
      </c:spPr>
    </c:backWall>
    <c:plotArea>
      <c:layout>
        <c:manualLayout>
          <c:layoutTarget val="inner"/>
          <c:xMode val="edge"/>
          <c:yMode val="edge"/>
          <c:x val="6.0939232989577086E-3"/>
          <c:y val="2.2574943109069834E-3"/>
          <c:w val="0.93387063442860097"/>
          <c:h val="0.88857938718662965"/>
        </c:manualLayout>
      </c:layout>
      <c:pie3DChart>
        <c:varyColors val="1"/>
        <c:ser>
          <c:idx val="0"/>
          <c:order val="0"/>
          <c:tx>
            <c:v>Columna B</c:v>
          </c:tx>
          <c:spPr>
            <a:ln>
              <a:solidFill>
                <a:schemeClr val="tx1"/>
              </a:solidFill>
            </a:ln>
          </c:spPr>
          <c:dPt>
            <c:idx val="0"/>
            <c:bubble3D val="0"/>
            <c:spPr>
              <a:solidFill>
                <a:srgbClr val="7B3331"/>
              </a:solidFill>
              <a:ln>
                <a:solidFill>
                  <a:schemeClr val="tx1"/>
                </a:solidFill>
              </a:ln>
            </c:spPr>
            <c:extLst>
              <c:ext xmlns:c16="http://schemas.microsoft.com/office/drawing/2014/chart" uri="{C3380CC4-5D6E-409C-BE32-E72D297353CC}">
                <c16:uniqueId val="{00000001-6669-4882-857A-BD1B6D631FE1}"/>
              </c:ext>
            </c:extLst>
          </c:dPt>
          <c:dPt>
            <c:idx val="1"/>
            <c:bubble3D val="0"/>
            <c:spPr>
              <a:solidFill>
                <a:srgbClr val="A44441"/>
              </a:solidFill>
              <a:ln>
                <a:solidFill>
                  <a:schemeClr val="tx1"/>
                </a:solidFill>
              </a:ln>
            </c:spPr>
            <c:extLst>
              <c:ext xmlns:c16="http://schemas.microsoft.com/office/drawing/2014/chart" uri="{C3380CC4-5D6E-409C-BE32-E72D297353CC}">
                <c16:uniqueId val="{00000003-6669-4882-857A-BD1B6D631FE1}"/>
              </c:ext>
            </c:extLst>
          </c:dPt>
          <c:dPt>
            <c:idx val="2"/>
            <c:bubble3D val="0"/>
            <c:spPr>
              <a:solidFill>
                <a:srgbClr val="C47F64"/>
              </a:solidFill>
              <a:ln>
                <a:solidFill>
                  <a:schemeClr val="tx1"/>
                </a:solidFill>
              </a:ln>
            </c:spPr>
            <c:extLst>
              <c:ext xmlns:c16="http://schemas.microsoft.com/office/drawing/2014/chart" uri="{C3380CC4-5D6E-409C-BE32-E72D297353CC}">
                <c16:uniqueId val="{00000005-6669-4882-857A-BD1B6D631FE1}"/>
              </c:ext>
            </c:extLst>
          </c:dPt>
          <c:dLbls>
            <c:dLbl>
              <c:idx val="0"/>
              <c:tx>
                <c:rich>
                  <a:bodyPr wrap="square" lIns="38100" tIns="19050" rIns="38100" bIns="19050" anchor="ctr">
                    <a:noAutofit/>
                  </a:bodyPr>
                  <a:lstStyle/>
                  <a:p>
                    <a:pPr>
                      <a:defRPr sz="900" b="1" baseline="0">
                        <a:solidFill>
                          <a:schemeClr val="bg1"/>
                        </a:solidFill>
                        <a:latin typeface="Open Sans" panose="020B0606030504020204" pitchFamily="34" charset="0"/>
                        <a:ea typeface="Open Sans" panose="020B0606030504020204" pitchFamily="34" charset="0"/>
                        <a:cs typeface="Open Sans" panose="020B0606030504020204" pitchFamily="34" charset="0"/>
                      </a:defRPr>
                    </a:pPr>
                    <a:r>
                      <a:rPr lang="en-US" baseline="0"/>
                      <a:t>Vacante
</a:t>
                    </a:r>
                    <a:fld id="{A3FEC478-E180-447D-8546-64D94FCA3339}" type="PERCENTAGE">
                      <a:rPr lang="en-US" baseline="0"/>
                      <a:pPr>
                        <a:defRPr sz="900" b="1" baseline="0">
                          <a:solidFill>
                            <a:schemeClr val="bg1"/>
                          </a:solidFill>
                          <a:latin typeface="Open Sans" panose="020B0606030504020204" pitchFamily="34" charset="0"/>
                          <a:ea typeface="Open Sans" panose="020B0606030504020204" pitchFamily="34" charset="0"/>
                          <a:cs typeface="Open Sans" panose="020B0606030504020204" pitchFamily="34" charset="0"/>
                        </a:defRPr>
                      </a:pPr>
                      <a:t>[PORCENTAJE]</a:t>
                    </a:fld>
                    <a:endParaRPr lang="en-US" baseline="0"/>
                  </a:p>
                </c:rich>
              </c:tx>
              <c:spPr>
                <a:noFill/>
                <a:ln>
                  <a:noFill/>
                </a:ln>
                <a:effectLst/>
              </c:spPr>
              <c:dLblPos val="in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01-6669-4882-857A-BD1B6D631FE1}"/>
                </c:ext>
              </c:extLst>
            </c:dLbl>
            <c:dLbl>
              <c:idx val="1"/>
              <c:layout>
                <c:manualLayout>
                  <c:x val="-0.15953363276852273"/>
                  <c:y val="0.14774380604898221"/>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6669-4882-857A-BD1B6D631FE1}"/>
                </c:ext>
              </c:extLst>
            </c:dLbl>
            <c:dLbl>
              <c:idx val="2"/>
              <c:layout>
                <c:manualLayout>
                  <c:x val="-0.17693733840482817"/>
                  <c:y val="4.6242423788368035E-2"/>
                </c:manualLayout>
              </c:layout>
              <c:spPr>
                <a:noFill/>
                <a:ln>
                  <a:noFill/>
                </a:ln>
                <a:effectLst/>
              </c:spPr>
              <c:txPr>
                <a:bodyPr wrap="square" lIns="38100" tIns="19050" rIns="38100" bIns="19050" anchor="ctr">
                  <a:noAutofit/>
                </a:bodyPr>
                <a:lstStyle/>
                <a:p>
                  <a:pPr>
                    <a:defRPr sz="900" b="1" baseline="0">
                      <a:solidFill>
                        <a:schemeClr val="bg1"/>
                      </a:solidFill>
                      <a:latin typeface="Open Sans" panose="020B0606030504020204" pitchFamily="34" charset="0"/>
                      <a:ea typeface="Open Sans" panose="020B0606030504020204" pitchFamily="34" charset="0"/>
                      <a:cs typeface="Open Sans" panose="020B0606030504020204" pitchFamily="34" charset="0"/>
                    </a:defRPr>
                  </a:pPr>
                  <a:endParaRPr lang="es-ES"/>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18474323460473044"/>
                      <c:h val="0.25524896923564855"/>
                    </c:manualLayout>
                  </c15:layout>
                </c:ext>
                <c:ext xmlns:c16="http://schemas.microsoft.com/office/drawing/2014/chart" uri="{C3380CC4-5D6E-409C-BE32-E72D297353CC}">
                  <c16:uniqueId val="{00000005-6669-4882-857A-BD1B6D631FE1}"/>
                </c:ext>
              </c:extLst>
            </c:dLbl>
            <c:spPr>
              <a:noFill/>
              <a:ln>
                <a:noFill/>
              </a:ln>
              <a:effectLst/>
            </c:spPr>
            <c:txPr>
              <a:bodyPr wrap="square" lIns="38100" tIns="19050" rIns="38100" bIns="19050" anchor="ctr">
                <a:spAutoFit/>
              </a:bodyPr>
              <a:lstStyle/>
              <a:p>
                <a:pPr>
                  <a:defRPr sz="900" b="1" baseline="0">
                    <a:solidFill>
                      <a:schemeClr val="bg1"/>
                    </a:solidFill>
                    <a:latin typeface="Open Sans" panose="020B0606030504020204" pitchFamily="34" charset="0"/>
                    <a:ea typeface="Open Sans" panose="020B0606030504020204" pitchFamily="34" charset="0"/>
                    <a:cs typeface="Open Sans" panose="020B0606030504020204" pitchFamily="34" charset="0"/>
                  </a:defRPr>
                </a:pPr>
                <a:endParaRPr lang="es-ES"/>
              </a:p>
            </c:txPr>
            <c:dLblPos val="inEnd"/>
            <c:showLegendKey val="0"/>
            <c:showVal val="0"/>
            <c:showCatName val="1"/>
            <c:showSerName val="0"/>
            <c:showPercent val="1"/>
            <c:showBubbleSize val="0"/>
            <c:separator>
</c:separator>
            <c:showLeaderLines val="1"/>
            <c:extLst>
              <c:ext xmlns:c15="http://schemas.microsoft.com/office/drawing/2012/chart" uri="{CE6537A1-D6FC-4f65-9D91-7224C49458BB}"/>
            </c:extLst>
          </c:dLbls>
          <c:cat>
            <c:strLit>
              <c:ptCount val="3"/>
              <c:pt idx="0">
                <c:v>Vacantes</c:v>
              </c:pt>
              <c:pt idx="1">
                <c:v>A1</c:v>
              </c:pt>
              <c:pt idx="2">
                <c:v>A1/A2</c:v>
              </c:pt>
            </c:strLit>
          </c:cat>
          <c:val>
            <c:numLit>
              <c:formatCode>General</c:formatCode>
              <c:ptCount val="3"/>
              <c:pt idx="0">
                <c:v>26</c:v>
              </c:pt>
              <c:pt idx="1">
                <c:v>5</c:v>
              </c:pt>
              <c:pt idx="2">
                <c:v>2</c:v>
              </c:pt>
            </c:numLit>
          </c:val>
          <c:extLst>
            <c:ext xmlns:c16="http://schemas.microsoft.com/office/drawing/2014/chart" uri="{C3380CC4-5D6E-409C-BE32-E72D297353CC}">
              <c16:uniqueId val="{00000006-6669-4882-857A-BD1B6D631FE1}"/>
            </c:ext>
          </c:extLst>
        </c:ser>
        <c:dLbls>
          <c:showLegendKey val="0"/>
          <c:showVal val="0"/>
          <c:showCatName val="0"/>
          <c:showSerName val="0"/>
          <c:showPercent val="0"/>
          <c:showBubbleSize val="0"/>
          <c:showLeaderLines val="1"/>
        </c:dLbls>
      </c:pie3DChart>
    </c:plotArea>
    <c:plotVisOnly val="1"/>
    <c:dispBlanksAs val="gap"/>
    <c:showDLblsOverMax val="0"/>
  </c:chart>
  <c:spPr>
    <a:ln>
      <a:noFill/>
    </a:ln>
  </c:sp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75"/>
      <c:rotY val="90"/>
      <c:rAngAx val="0"/>
      <c:perspective val="34"/>
    </c:view3D>
    <c:floor>
      <c:thickness val="0"/>
      <c:spPr>
        <a:solidFill>
          <a:srgbClr val="D9D9D9"/>
        </a:solidFill>
      </c:spPr>
    </c:floor>
    <c:sideWall>
      <c:thickness val="0"/>
      <c:spPr>
        <a:solidFill>
          <a:srgbClr val="D9D9D9"/>
        </a:solidFill>
      </c:spPr>
    </c:sideWall>
    <c:backWall>
      <c:thickness val="0"/>
      <c:spPr>
        <a:solidFill>
          <a:srgbClr val="D9D9D9"/>
        </a:solidFill>
      </c:spPr>
    </c:backWall>
    <c:plotArea>
      <c:layout>
        <c:manualLayout>
          <c:layoutTarget val="inner"/>
          <c:xMode val="edge"/>
          <c:yMode val="edge"/>
          <c:x val="7.6456037778277489E-2"/>
          <c:y val="6.8386695679204232E-2"/>
          <c:w val="0.90105689228693497"/>
          <c:h val="0.86322660864159151"/>
        </c:manualLayout>
      </c:layout>
      <c:pie3DChart>
        <c:varyColors val="1"/>
        <c:ser>
          <c:idx val="0"/>
          <c:order val="0"/>
          <c:tx>
            <c:v>Columna B</c:v>
          </c:tx>
          <c:spPr>
            <a:ln>
              <a:solidFill>
                <a:schemeClr val="tx1"/>
              </a:solidFill>
            </a:ln>
          </c:spPr>
          <c:dPt>
            <c:idx val="0"/>
            <c:bubble3D val="0"/>
            <c:spPr>
              <a:solidFill>
                <a:srgbClr val="7B3331"/>
              </a:solidFill>
              <a:ln>
                <a:solidFill>
                  <a:schemeClr val="tx1"/>
                </a:solidFill>
              </a:ln>
            </c:spPr>
            <c:extLst>
              <c:ext xmlns:c16="http://schemas.microsoft.com/office/drawing/2014/chart" uri="{C3380CC4-5D6E-409C-BE32-E72D297353CC}">
                <c16:uniqueId val="{00000001-080E-4245-AB46-899FF0103A44}"/>
              </c:ext>
            </c:extLst>
          </c:dPt>
          <c:dPt>
            <c:idx val="1"/>
            <c:bubble3D val="0"/>
            <c:spPr>
              <a:solidFill>
                <a:srgbClr val="A44441"/>
              </a:solidFill>
              <a:ln>
                <a:solidFill>
                  <a:schemeClr val="tx1"/>
                </a:solidFill>
              </a:ln>
            </c:spPr>
            <c:extLst>
              <c:ext xmlns:c16="http://schemas.microsoft.com/office/drawing/2014/chart" uri="{C3380CC4-5D6E-409C-BE32-E72D297353CC}">
                <c16:uniqueId val="{00000003-080E-4245-AB46-899FF0103A44}"/>
              </c:ext>
            </c:extLst>
          </c:dPt>
          <c:dPt>
            <c:idx val="2"/>
            <c:bubble3D val="0"/>
            <c:spPr>
              <a:solidFill>
                <a:srgbClr val="C47F64"/>
              </a:solidFill>
              <a:ln>
                <a:solidFill>
                  <a:schemeClr val="tx1"/>
                </a:solidFill>
              </a:ln>
            </c:spPr>
            <c:extLst>
              <c:ext xmlns:c16="http://schemas.microsoft.com/office/drawing/2014/chart" uri="{C3380CC4-5D6E-409C-BE32-E72D297353CC}">
                <c16:uniqueId val="{00000005-080E-4245-AB46-899FF0103A44}"/>
              </c:ext>
            </c:extLst>
          </c:dPt>
          <c:dPt>
            <c:idx val="3"/>
            <c:bubble3D val="0"/>
            <c:spPr>
              <a:solidFill>
                <a:srgbClr val="C77372"/>
              </a:solidFill>
              <a:ln>
                <a:solidFill>
                  <a:schemeClr val="tx1"/>
                </a:solidFill>
              </a:ln>
            </c:spPr>
            <c:extLst>
              <c:ext xmlns:c16="http://schemas.microsoft.com/office/drawing/2014/chart" uri="{C3380CC4-5D6E-409C-BE32-E72D297353CC}">
                <c16:uniqueId val="{00000007-080E-4245-AB46-899FF0103A44}"/>
              </c:ext>
            </c:extLst>
          </c:dPt>
          <c:dPt>
            <c:idx val="4"/>
            <c:bubble3D val="0"/>
            <c:spPr>
              <a:solidFill>
                <a:srgbClr val="D5A1A0"/>
              </a:solidFill>
              <a:ln>
                <a:solidFill>
                  <a:schemeClr val="tx1"/>
                </a:solidFill>
              </a:ln>
            </c:spPr>
            <c:extLst>
              <c:ext xmlns:c16="http://schemas.microsoft.com/office/drawing/2014/chart" uri="{C3380CC4-5D6E-409C-BE32-E72D297353CC}">
                <c16:uniqueId val="{00000009-080E-4245-AB46-899FF0103A44}"/>
              </c:ext>
            </c:extLst>
          </c:dPt>
          <c:dPt>
            <c:idx val="5"/>
            <c:bubble3D val="0"/>
            <c:spPr>
              <a:solidFill>
                <a:srgbClr val="E2C2C1"/>
              </a:solidFill>
              <a:ln>
                <a:solidFill>
                  <a:schemeClr val="tx1"/>
                </a:solidFill>
              </a:ln>
            </c:spPr>
            <c:extLst>
              <c:ext xmlns:c16="http://schemas.microsoft.com/office/drawing/2014/chart" uri="{C3380CC4-5D6E-409C-BE32-E72D297353CC}">
                <c16:uniqueId val="{0000000B-080E-4245-AB46-899FF0103A44}"/>
              </c:ext>
            </c:extLst>
          </c:dPt>
          <c:dLbls>
            <c:dLbl>
              <c:idx val="0"/>
              <c:layout>
                <c:manualLayout>
                  <c:x val="-0.20654196671559522"/>
                  <c:y val="-0.18684987969913783"/>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2702945806161454"/>
                      <c:h val="0.24721814964301361"/>
                    </c:manualLayout>
                  </c15:layout>
                </c:ext>
                <c:ext xmlns:c16="http://schemas.microsoft.com/office/drawing/2014/chart" uri="{C3380CC4-5D6E-409C-BE32-E72D297353CC}">
                  <c16:uniqueId val="{00000001-080E-4245-AB46-899FF0103A44}"/>
                </c:ext>
              </c:extLst>
            </c:dLbl>
            <c:dLbl>
              <c:idx val="3"/>
              <c:layout>
                <c:manualLayout>
                  <c:x val="-8.6107063241785575E-2"/>
                  <c:y val="0.15247785509559206"/>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080E-4245-AB46-899FF0103A44}"/>
                </c:ext>
              </c:extLst>
            </c:dLbl>
            <c:dLbl>
              <c:idx val="4"/>
              <c:layout>
                <c:manualLayout>
                  <c:x val="-0.22918113423364242"/>
                  <c:y val="0.14858270164162329"/>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9-080E-4245-AB46-899FF0103A44}"/>
                </c:ext>
              </c:extLst>
            </c:dLbl>
            <c:dLbl>
              <c:idx val="5"/>
              <c:layout>
                <c:manualLayout>
                  <c:x val="-0.10840467518578401"/>
                  <c:y val="3.6207744781047532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B-080E-4245-AB46-899FF0103A44}"/>
                </c:ext>
              </c:extLst>
            </c:dLbl>
            <c:spPr>
              <a:noFill/>
              <a:ln>
                <a:noFill/>
              </a:ln>
              <a:effectLst/>
            </c:spPr>
            <c:txPr>
              <a:bodyPr wrap="square" lIns="38100" tIns="19050" rIns="38100" bIns="19050" anchor="ctr">
                <a:spAutoFit/>
              </a:bodyPr>
              <a:lstStyle/>
              <a:p>
                <a:pPr>
                  <a:defRPr sz="850" b="1" baseline="0">
                    <a:solidFill>
                      <a:schemeClr val="bg1"/>
                    </a:solidFill>
                    <a:latin typeface="Open Sans" panose="020B0606030504020204" pitchFamily="34" charset="0"/>
                    <a:ea typeface="Open Sans" panose="020B0606030504020204" pitchFamily="34" charset="0"/>
                    <a:cs typeface="Open Sans" panose="020B0606030504020204" pitchFamily="34" charset="0"/>
                  </a:defRPr>
                </a:pPr>
                <a:endParaRPr lang="es-ES"/>
              </a:p>
            </c:txPr>
            <c:dLblPos val="inEnd"/>
            <c:showLegendKey val="0"/>
            <c:showVal val="0"/>
            <c:showCatName val="1"/>
            <c:showSerName val="0"/>
            <c:showPercent val="1"/>
            <c:showBubbleSize val="0"/>
            <c:separator>
</c:separator>
            <c:showLeaderLines val="1"/>
            <c:extLst>
              <c:ext xmlns:c15="http://schemas.microsoft.com/office/drawing/2012/chart" uri="{CE6537A1-D6FC-4f65-9D91-7224C49458BB}"/>
            </c:extLst>
          </c:dLbls>
          <c:cat>
            <c:strLit>
              <c:ptCount val="6"/>
              <c:pt idx="0">
                <c:v>Vacantes</c:v>
              </c:pt>
              <c:pt idx="1">
                <c:v>A1</c:v>
              </c:pt>
              <c:pt idx="2">
                <c:v>A1/A2</c:v>
              </c:pt>
              <c:pt idx="3">
                <c:v>C1</c:v>
              </c:pt>
              <c:pt idx="4">
                <c:v>C1/C2</c:v>
              </c:pt>
              <c:pt idx="5">
                <c:v>APF</c:v>
              </c:pt>
            </c:strLit>
          </c:cat>
          <c:val>
            <c:numLit>
              <c:formatCode>General</c:formatCode>
              <c:ptCount val="6"/>
              <c:pt idx="0">
                <c:v>8</c:v>
              </c:pt>
              <c:pt idx="1">
                <c:v>11</c:v>
              </c:pt>
              <c:pt idx="2">
                <c:v>8</c:v>
              </c:pt>
              <c:pt idx="3">
                <c:v>1</c:v>
              </c:pt>
              <c:pt idx="4">
                <c:v>3</c:v>
              </c:pt>
              <c:pt idx="5">
                <c:v>1</c:v>
              </c:pt>
            </c:numLit>
          </c:val>
          <c:extLst>
            <c:ext xmlns:c16="http://schemas.microsoft.com/office/drawing/2014/chart" uri="{C3380CC4-5D6E-409C-BE32-E72D297353CC}">
              <c16:uniqueId val="{0000000C-080E-4245-AB46-899FF0103A44}"/>
            </c:ext>
          </c:extLst>
        </c:ser>
        <c:dLbls>
          <c:showLegendKey val="0"/>
          <c:showVal val="0"/>
          <c:showCatName val="0"/>
          <c:showSerName val="0"/>
          <c:showPercent val="0"/>
          <c:showBubbleSize val="0"/>
          <c:showLeaderLines val="1"/>
        </c:dLbls>
      </c:pie3DChart>
    </c:plotArea>
    <c:plotVisOnly val="1"/>
    <c:dispBlanksAs val="gap"/>
    <c:showDLblsOverMax val="0"/>
  </c:chart>
  <c:spPr>
    <a:ln>
      <a:noFill/>
    </a:ln>
  </c:sp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75"/>
      <c:rotY val="90"/>
      <c:rAngAx val="0"/>
      <c:perspective val="34"/>
    </c:view3D>
    <c:floor>
      <c:thickness val="0"/>
      <c:spPr>
        <a:solidFill>
          <a:srgbClr val="D9D9D9"/>
        </a:solidFill>
      </c:spPr>
    </c:floor>
    <c:sideWall>
      <c:thickness val="0"/>
      <c:spPr>
        <a:solidFill>
          <a:srgbClr val="D9D9D9"/>
        </a:solidFill>
      </c:spPr>
    </c:sideWall>
    <c:backWall>
      <c:thickness val="0"/>
      <c:spPr>
        <a:solidFill>
          <a:srgbClr val="D9D9D9"/>
        </a:solidFill>
      </c:spPr>
    </c:backWall>
    <c:plotArea>
      <c:layout>
        <c:manualLayout>
          <c:layoutTarget val="inner"/>
          <c:xMode val="edge"/>
          <c:yMode val="edge"/>
          <c:x val="8.6419753086419748E-2"/>
          <c:y val="4.0404040404040407E-2"/>
          <c:w val="0.90946502057613166"/>
          <c:h val="0.87301587301587302"/>
        </c:manualLayout>
      </c:layout>
      <c:pie3DChart>
        <c:varyColors val="1"/>
        <c:ser>
          <c:idx val="0"/>
          <c:order val="0"/>
          <c:tx>
            <c:v>Columna B</c:v>
          </c:tx>
          <c:spPr>
            <a:ln>
              <a:solidFill>
                <a:schemeClr val="tx1"/>
              </a:solidFill>
            </a:ln>
          </c:spPr>
          <c:dPt>
            <c:idx val="0"/>
            <c:bubble3D val="0"/>
            <c:spPr>
              <a:solidFill>
                <a:srgbClr val="7B3331"/>
              </a:solidFill>
              <a:ln>
                <a:solidFill>
                  <a:schemeClr val="tx1"/>
                </a:solidFill>
              </a:ln>
            </c:spPr>
            <c:extLst>
              <c:ext xmlns:c16="http://schemas.microsoft.com/office/drawing/2014/chart" uri="{C3380CC4-5D6E-409C-BE32-E72D297353CC}">
                <c16:uniqueId val="{00000001-22A5-4018-A371-2BE67AC6C1AE}"/>
              </c:ext>
            </c:extLst>
          </c:dPt>
          <c:dPt>
            <c:idx val="1"/>
            <c:bubble3D val="0"/>
            <c:spPr>
              <a:solidFill>
                <a:srgbClr val="A44441"/>
              </a:solidFill>
              <a:ln>
                <a:solidFill>
                  <a:schemeClr val="tx1"/>
                </a:solidFill>
              </a:ln>
            </c:spPr>
            <c:extLst>
              <c:ext xmlns:c16="http://schemas.microsoft.com/office/drawing/2014/chart" uri="{C3380CC4-5D6E-409C-BE32-E72D297353CC}">
                <c16:uniqueId val="{00000003-22A5-4018-A371-2BE67AC6C1AE}"/>
              </c:ext>
            </c:extLst>
          </c:dPt>
          <c:dPt>
            <c:idx val="2"/>
            <c:bubble3D val="0"/>
            <c:spPr>
              <a:solidFill>
                <a:srgbClr val="C47F64"/>
              </a:solidFill>
              <a:ln>
                <a:solidFill>
                  <a:schemeClr val="tx1"/>
                </a:solidFill>
              </a:ln>
            </c:spPr>
            <c:extLst>
              <c:ext xmlns:c16="http://schemas.microsoft.com/office/drawing/2014/chart" uri="{C3380CC4-5D6E-409C-BE32-E72D297353CC}">
                <c16:uniqueId val="{00000005-22A5-4018-A371-2BE67AC6C1AE}"/>
              </c:ext>
            </c:extLst>
          </c:dPt>
          <c:dPt>
            <c:idx val="3"/>
            <c:bubble3D val="0"/>
            <c:spPr>
              <a:solidFill>
                <a:srgbClr val="C77372"/>
              </a:solidFill>
              <a:ln>
                <a:solidFill>
                  <a:schemeClr val="tx1"/>
                </a:solidFill>
              </a:ln>
            </c:spPr>
            <c:extLst>
              <c:ext xmlns:c16="http://schemas.microsoft.com/office/drawing/2014/chart" uri="{C3380CC4-5D6E-409C-BE32-E72D297353CC}">
                <c16:uniqueId val="{00000007-22A5-4018-A371-2BE67AC6C1AE}"/>
              </c:ext>
            </c:extLst>
          </c:dPt>
          <c:dPt>
            <c:idx val="4"/>
            <c:bubble3D val="0"/>
            <c:spPr>
              <a:solidFill>
                <a:srgbClr val="D5A1A0"/>
              </a:solidFill>
              <a:ln>
                <a:solidFill>
                  <a:schemeClr val="tx1"/>
                </a:solidFill>
              </a:ln>
            </c:spPr>
            <c:extLst>
              <c:ext xmlns:c16="http://schemas.microsoft.com/office/drawing/2014/chart" uri="{C3380CC4-5D6E-409C-BE32-E72D297353CC}">
                <c16:uniqueId val="{00000009-22A5-4018-A371-2BE67AC6C1AE}"/>
              </c:ext>
            </c:extLst>
          </c:dPt>
          <c:dPt>
            <c:idx val="5"/>
            <c:bubble3D val="0"/>
            <c:spPr>
              <a:solidFill>
                <a:srgbClr val="E2C2C1"/>
              </a:solidFill>
              <a:ln>
                <a:solidFill>
                  <a:schemeClr val="tx1"/>
                </a:solidFill>
              </a:ln>
            </c:spPr>
            <c:extLst>
              <c:ext xmlns:c16="http://schemas.microsoft.com/office/drawing/2014/chart" uri="{C3380CC4-5D6E-409C-BE32-E72D297353CC}">
                <c16:uniqueId val="{0000000B-22A5-4018-A371-2BE67AC6C1AE}"/>
              </c:ext>
            </c:extLst>
          </c:dPt>
          <c:dLbls>
            <c:dLbl>
              <c:idx val="0"/>
              <c:layout>
                <c:manualLayout>
                  <c:x val="-0.1830847995852371"/>
                  <c:y val="-9.1615366261035558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22A5-4018-A371-2BE67AC6C1AE}"/>
                </c:ext>
              </c:extLst>
            </c:dLbl>
            <c:dLbl>
              <c:idx val="1"/>
              <c:layout>
                <c:manualLayout>
                  <c:x val="0.12057515958653317"/>
                  <c:y val="-0.24382134051425389"/>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22A5-4018-A371-2BE67AC6C1AE}"/>
                </c:ext>
              </c:extLst>
            </c:dLbl>
            <c:spPr>
              <a:noFill/>
              <a:ln>
                <a:noFill/>
              </a:ln>
              <a:effectLst/>
            </c:spPr>
            <c:txPr>
              <a:bodyPr wrap="square" lIns="38100" tIns="19050" rIns="38100" bIns="19050" anchor="ctr">
                <a:spAutoFit/>
              </a:bodyPr>
              <a:lstStyle/>
              <a:p>
                <a:pPr>
                  <a:defRPr sz="850" b="1" baseline="0">
                    <a:solidFill>
                      <a:schemeClr val="bg1"/>
                    </a:solidFill>
                    <a:latin typeface="Open Sans" panose="020B0606030504020204" pitchFamily="34" charset="0"/>
                    <a:ea typeface="Open Sans" panose="020B0606030504020204" pitchFamily="34" charset="0"/>
                    <a:cs typeface="Open Sans" panose="020B0606030504020204" pitchFamily="34" charset="0"/>
                  </a:defRPr>
                </a:pPr>
                <a:endParaRPr lang="es-ES"/>
              </a:p>
            </c:txPr>
            <c:dLblPos val="inEnd"/>
            <c:showLegendKey val="0"/>
            <c:showVal val="0"/>
            <c:showCatName val="1"/>
            <c:showSerName val="0"/>
            <c:showPercent val="1"/>
            <c:showBubbleSize val="0"/>
            <c:separator>
</c:separator>
            <c:showLeaderLines val="1"/>
            <c:extLst>
              <c:ext xmlns:c15="http://schemas.microsoft.com/office/drawing/2012/chart" uri="{CE6537A1-D6FC-4f65-9D91-7224C49458BB}"/>
            </c:extLst>
          </c:dLbls>
          <c:cat>
            <c:strLit>
              <c:ptCount val="6"/>
              <c:pt idx="0">
                <c:v>Vacantes</c:v>
              </c:pt>
              <c:pt idx="1">
                <c:v>A1</c:v>
              </c:pt>
              <c:pt idx="2">
                <c:v>A1/A2</c:v>
              </c:pt>
              <c:pt idx="3">
                <c:v>C1</c:v>
              </c:pt>
              <c:pt idx="4">
                <c:v>C1/C2</c:v>
              </c:pt>
              <c:pt idx="5">
                <c:v>APF</c:v>
              </c:pt>
            </c:strLit>
          </c:cat>
          <c:val>
            <c:numLit>
              <c:formatCode>General</c:formatCode>
              <c:ptCount val="6"/>
              <c:pt idx="0">
                <c:v>6</c:v>
              </c:pt>
              <c:pt idx="1">
                <c:v>15</c:v>
              </c:pt>
              <c:pt idx="2">
                <c:v>8</c:v>
              </c:pt>
              <c:pt idx="3">
                <c:v>3</c:v>
              </c:pt>
              <c:pt idx="4">
                <c:v>4</c:v>
              </c:pt>
              <c:pt idx="5">
                <c:v>1</c:v>
              </c:pt>
            </c:numLit>
          </c:val>
          <c:extLst>
            <c:ext xmlns:c16="http://schemas.microsoft.com/office/drawing/2014/chart" uri="{C3380CC4-5D6E-409C-BE32-E72D297353CC}">
              <c16:uniqueId val="{0000000C-22A5-4018-A371-2BE67AC6C1AE}"/>
            </c:ext>
          </c:extLst>
        </c:ser>
        <c:dLbls>
          <c:showLegendKey val="0"/>
          <c:showVal val="0"/>
          <c:showCatName val="0"/>
          <c:showSerName val="0"/>
          <c:showPercent val="0"/>
          <c:showBubbleSize val="0"/>
          <c:showLeaderLines val="1"/>
        </c:dLbls>
      </c:pie3DChart>
    </c:plotArea>
    <c:plotVisOnly val="1"/>
    <c:dispBlanksAs val="gap"/>
    <c:showDLblsOverMax val="0"/>
  </c:chart>
  <c:spPr>
    <a:ln>
      <a:noFill/>
    </a:ln>
  </c:sp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75"/>
      <c:rotY val="170"/>
      <c:depthPercent val="50"/>
      <c:rAngAx val="0"/>
      <c:perspective val="34"/>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3888832092719128E-3"/>
          <c:y val="9.7866230678840996E-2"/>
          <c:w val="0.89002097079813569"/>
          <c:h val="0.7725939646103902"/>
        </c:manualLayout>
      </c:layout>
      <c:pie3DChart>
        <c:varyColors val="1"/>
        <c:ser>
          <c:idx val="0"/>
          <c:order val="0"/>
          <c:tx>
            <c:strRef>
              <c:f>'[grafico número 39 administracion de procedencia.xlsx]Hoja1'!$A$3</c:f>
              <c:strCache>
                <c:ptCount val="1"/>
                <c:pt idx="0">
                  <c:v>Total</c:v>
                </c:pt>
              </c:strCache>
            </c:strRef>
          </c:tx>
          <c:spPr>
            <a:ln w="12700">
              <a:solidFill>
                <a:schemeClr val="tx1"/>
              </a:solidFill>
            </a:ln>
          </c:spPr>
          <c:dPt>
            <c:idx val="0"/>
            <c:bubble3D val="0"/>
            <c:spPr>
              <a:solidFill>
                <a:srgbClr val="CE9C80"/>
              </a:solidFill>
              <a:ln w="12700">
                <a:solidFill>
                  <a:schemeClr val="tx1"/>
                </a:solidFill>
              </a:ln>
              <a:effectLst/>
              <a:sp3d contourW="12700">
                <a:contourClr>
                  <a:schemeClr val="tx1"/>
                </a:contourClr>
              </a:sp3d>
            </c:spPr>
            <c:extLst>
              <c:ext xmlns:c16="http://schemas.microsoft.com/office/drawing/2014/chart" uri="{C3380CC4-5D6E-409C-BE32-E72D297353CC}">
                <c16:uniqueId val="{00000001-0381-48C5-B0CA-5F1D1206AAB4}"/>
              </c:ext>
            </c:extLst>
          </c:dPt>
          <c:dPt>
            <c:idx val="1"/>
            <c:bubble3D val="0"/>
            <c:spPr>
              <a:solidFill>
                <a:srgbClr val="B74C49"/>
              </a:solidFill>
              <a:ln w="12700">
                <a:solidFill>
                  <a:schemeClr val="tx1"/>
                </a:solidFill>
              </a:ln>
              <a:effectLst/>
              <a:sp3d contourW="12700">
                <a:contourClr>
                  <a:schemeClr val="tx1"/>
                </a:contourClr>
              </a:sp3d>
            </c:spPr>
            <c:extLst>
              <c:ext xmlns:c16="http://schemas.microsoft.com/office/drawing/2014/chart" uri="{C3380CC4-5D6E-409C-BE32-E72D297353CC}">
                <c16:uniqueId val="{00000003-0381-48C5-B0CA-5F1D1206AAB4}"/>
              </c:ext>
            </c:extLst>
          </c:dPt>
          <c:dPt>
            <c:idx val="2"/>
            <c:bubble3D val="0"/>
            <c:spPr>
              <a:solidFill>
                <a:schemeClr val="accent3"/>
              </a:solidFill>
              <a:ln w="12700">
                <a:solidFill>
                  <a:schemeClr val="tx1"/>
                </a:solidFill>
              </a:ln>
              <a:effectLst/>
              <a:sp3d contourW="12700">
                <a:contourClr>
                  <a:schemeClr val="tx1"/>
                </a:contourClr>
              </a:sp3d>
            </c:spPr>
            <c:extLst>
              <c:ext xmlns:c16="http://schemas.microsoft.com/office/drawing/2014/chart" uri="{C3380CC4-5D6E-409C-BE32-E72D297353CC}">
                <c16:uniqueId val="{00000005-0381-48C5-B0CA-5F1D1206AAB4}"/>
              </c:ext>
            </c:extLst>
          </c:dPt>
          <c:dPt>
            <c:idx val="3"/>
            <c:bubble3D val="0"/>
            <c:spPr>
              <a:solidFill>
                <a:srgbClr val="D5A1A0"/>
              </a:solidFill>
              <a:ln w="12700">
                <a:solidFill>
                  <a:schemeClr val="tx1"/>
                </a:solidFill>
              </a:ln>
              <a:effectLst/>
              <a:sp3d contourW="12700">
                <a:contourClr>
                  <a:schemeClr val="tx1"/>
                </a:contourClr>
              </a:sp3d>
            </c:spPr>
            <c:extLst>
              <c:ext xmlns:c16="http://schemas.microsoft.com/office/drawing/2014/chart" uri="{C3380CC4-5D6E-409C-BE32-E72D297353CC}">
                <c16:uniqueId val="{00000007-0381-48C5-B0CA-5F1D1206AAB4}"/>
              </c:ext>
            </c:extLst>
          </c:dPt>
          <c:dPt>
            <c:idx val="4"/>
            <c:bubble3D val="0"/>
            <c:spPr>
              <a:solidFill>
                <a:srgbClr val="8E3B38"/>
              </a:solidFill>
              <a:ln w="12700">
                <a:solidFill>
                  <a:schemeClr val="tx1"/>
                </a:solidFill>
              </a:ln>
              <a:effectLst/>
              <a:sp3d contourW="12700">
                <a:contourClr>
                  <a:schemeClr val="tx1"/>
                </a:contourClr>
              </a:sp3d>
            </c:spPr>
            <c:extLst>
              <c:ext xmlns:c16="http://schemas.microsoft.com/office/drawing/2014/chart" uri="{C3380CC4-5D6E-409C-BE32-E72D297353CC}">
                <c16:uniqueId val="{00000009-0381-48C5-B0CA-5F1D1206AAB4}"/>
              </c:ext>
            </c:extLst>
          </c:dPt>
          <c:dLbls>
            <c:dLbl>
              <c:idx val="0"/>
              <c:layout>
                <c:manualLayout>
                  <c:x val="-1.2153762029746282E-2"/>
                  <c:y val="-9.4458661417322828E-2"/>
                </c:manualLayout>
              </c:layout>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Open Sans" panose="020B0606030504020204" pitchFamily="34" charset="0"/>
                      <a:ea typeface="+mn-ea"/>
                      <a:cs typeface="+mn-cs"/>
                    </a:defRPr>
                  </a:pPr>
                  <a:endParaRPr lang="es-ES"/>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381-48C5-B0CA-5F1D1206AAB4}"/>
                </c:ext>
              </c:extLst>
            </c:dLbl>
            <c:dLbl>
              <c:idx val="1"/>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Open Sans" panose="020B0606030504020204" pitchFamily="34" charset="0"/>
                      <a:ea typeface="+mn-ea"/>
                      <a:cs typeface="+mn-cs"/>
                    </a:defRPr>
                  </a:pPr>
                  <a:endParaRPr lang="es-ES"/>
                </a:p>
              </c:txPr>
              <c:dLblPos val="bestFit"/>
              <c:showLegendKey val="0"/>
              <c:showVal val="0"/>
              <c:showCatName val="0"/>
              <c:showSerName val="0"/>
              <c:showPercent val="1"/>
              <c:showBubbleSize val="0"/>
              <c:extLst>
                <c:ext xmlns:c16="http://schemas.microsoft.com/office/drawing/2014/chart" uri="{C3380CC4-5D6E-409C-BE32-E72D297353CC}">
                  <c16:uniqueId val="{00000003-0381-48C5-B0CA-5F1D1206AAB4}"/>
                </c:ext>
              </c:extLst>
            </c:dLbl>
            <c:dLbl>
              <c:idx val="2"/>
              <c:layout>
                <c:manualLayout>
                  <c:x val="9.3707567804024491E-2"/>
                  <c:y val="8.7451151939340915E-2"/>
                </c:manualLayout>
              </c:layout>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Open Sans" panose="020B0606030504020204" pitchFamily="34" charset="0"/>
                      <a:ea typeface="+mn-ea"/>
                      <a:cs typeface="+mn-cs"/>
                    </a:defRPr>
                  </a:pPr>
                  <a:endParaRPr lang="es-ES"/>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381-48C5-B0CA-5F1D1206AAB4}"/>
                </c:ext>
              </c:extLst>
            </c:dLbl>
            <c:dLbl>
              <c:idx val="3"/>
              <c:layout>
                <c:manualLayout>
                  <c:x val="-6.6175196850393705E-2"/>
                  <c:y val="0.10034193642461359"/>
                </c:manualLayout>
              </c:layout>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Open Sans" panose="020B0606030504020204" pitchFamily="34" charset="0"/>
                      <a:ea typeface="+mn-ea"/>
                      <a:cs typeface="+mn-cs"/>
                    </a:defRPr>
                  </a:pPr>
                  <a:endParaRPr lang="es-ES"/>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0381-48C5-B0CA-5F1D1206AAB4}"/>
                </c:ext>
              </c:extLst>
            </c:dLbl>
            <c:dLbl>
              <c:idx val="4"/>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Open Sans" panose="020B0606030504020204" pitchFamily="34" charset="0"/>
                      <a:ea typeface="+mn-ea"/>
                      <a:cs typeface="+mn-cs"/>
                    </a:defRPr>
                  </a:pPr>
                  <a:endParaRPr lang="es-ES"/>
                </a:p>
              </c:txPr>
              <c:dLblPos val="bestFit"/>
              <c:showLegendKey val="0"/>
              <c:showVal val="0"/>
              <c:showCatName val="0"/>
              <c:showSerName val="0"/>
              <c:showPercent val="1"/>
              <c:showBubbleSize val="0"/>
              <c:extLst>
                <c:ext xmlns:c16="http://schemas.microsoft.com/office/drawing/2014/chart" uri="{C3380CC4-5D6E-409C-BE32-E72D297353CC}">
                  <c16:uniqueId val="{00000009-0381-48C5-B0CA-5F1D1206AAB4}"/>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Open Sans" panose="020B0606030504020204" pitchFamily="34" charset="0"/>
                    <a:ea typeface="+mn-ea"/>
                    <a:cs typeface="+mn-cs"/>
                  </a:defRPr>
                </a:pPr>
                <a:endParaRPr lang="es-ES"/>
              </a:p>
            </c:txPr>
            <c:dLblPos val="bestFit"/>
            <c:showLegendKey val="0"/>
            <c:showVal val="0"/>
            <c:showCatName val="0"/>
            <c:showSerName val="0"/>
            <c:showPercent val="1"/>
            <c:showBubbleSize val="0"/>
            <c:showLeaderLines val="0"/>
            <c:extLst>
              <c:ext xmlns:c15="http://schemas.microsoft.com/office/drawing/2012/chart" uri="{CE6537A1-D6FC-4f65-9D91-7224C49458BB}"/>
            </c:extLst>
          </c:dLbls>
          <c:cat>
            <c:strRef>
              <c:f>'[grafico número 39 administracion de procedencia.xlsx]Hoja1'!$B$2:$F$2</c:f>
              <c:strCache>
                <c:ptCount val="5"/>
                <c:pt idx="0">
                  <c:v>Adm del  Estado</c:v>
                </c:pt>
                <c:pt idx="1">
                  <c:v>Administración Aut. Valenciana </c:v>
                </c:pt>
                <c:pt idx="2">
                  <c:v>Otras administraciones autonómicas</c:v>
                </c:pt>
                <c:pt idx="3">
                  <c:v>Administración local</c:v>
                </c:pt>
                <c:pt idx="4">
                  <c:v>Puestos vacantes a 31/12/19</c:v>
                </c:pt>
              </c:strCache>
            </c:strRef>
          </c:cat>
          <c:val>
            <c:numRef>
              <c:f>'[grafico número 39 administracion de procedencia.xlsx]Hoja1'!$B$3:$F$3</c:f>
              <c:numCache>
                <c:formatCode>General</c:formatCode>
                <c:ptCount val="5"/>
                <c:pt idx="0">
                  <c:v>2</c:v>
                </c:pt>
                <c:pt idx="1">
                  <c:v>11</c:v>
                </c:pt>
                <c:pt idx="2">
                  <c:v>2</c:v>
                </c:pt>
                <c:pt idx="3">
                  <c:v>16</c:v>
                </c:pt>
                <c:pt idx="4">
                  <c:v>6</c:v>
                </c:pt>
              </c:numCache>
            </c:numRef>
          </c:val>
          <c:extLst>
            <c:ext xmlns:c16="http://schemas.microsoft.com/office/drawing/2014/chart" uri="{C3380CC4-5D6E-409C-BE32-E72D297353CC}">
              <c16:uniqueId val="{0000000A-0381-48C5-B0CA-5F1D1206AAB4}"/>
            </c:ext>
          </c:extLst>
        </c:ser>
        <c:dLbls>
          <c:showLegendKey val="0"/>
          <c:showVal val="0"/>
          <c:showCatName val="0"/>
          <c:showSerName val="0"/>
          <c:showPercent val="0"/>
          <c:showBubbleSize val="0"/>
          <c:showLeaderLines val="0"/>
        </c:dLbls>
      </c:pie3DChart>
      <c:spPr>
        <a:noFill/>
        <a:ln>
          <a:noFill/>
        </a:ln>
        <a:effectLst/>
      </c:spPr>
    </c:plotArea>
    <c:legend>
      <c:legendPos val="r"/>
      <c:layout>
        <c:manualLayout>
          <c:xMode val="edge"/>
          <c:yMode val="edge"/>
          <c:x val="0.71320398181217282"/>
          <c:y val="1.7449652277982071E-2"/>
          <c:w val="0.28018859690731424"/>
          <c:h val="0.9825502069777539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9615680620184068"/>
          <c:y val="3.3762669353014939E-2"/>
          <c:w val="0.33538063984570293"/>
          <c:h val="0.92054542464176303"/>
        </c:manualLayout>
      </c:layout>
      <c:doughnutChart>
        <c:varyColors val="1"/>
        <c:ser>
          <c:idx val="0"/>
          <c:order val="0"/>
          <c:spPr>
            <a:scene3d>
              <a:camera prst="orthographicFront"/>
              <a:lightRig rig="threePt" dir="t"/>
            </a:scene3d>
            <a:sp3d/>
          </c:spPr>
          <c:dPt>
            <c:idx val="0"/>
            <c:bubble3D val="0"/>
            <c:spPr>
              <a:solidFill>
                <a:srgbClr val="9D2235">
                  <a:alpha val="50000"/>
                </a:srgbClr>
              </a:solidFill>
              <a:ln w="2540">
                <a:solidFill>
                  <a:schemeClr val="lt1"/>
                </a:solidFill>
              </a:ln>
              <a:effectLst/>
              <a:scene3d>
                <a:camera prst="orthographicFront"/>
                <a:lightRig rig="threePt" dir="t"/>
              </a:scene3d>
              <a:sp3d/>
            </c:spPr>
            <c:extLst>
              <c:ext xmlns:c16="http://schemas.microsoft.com/office/drawing/2014/chart" uri="{C3380CC4-5D6E-409C-BE32-E72D297353CC}">
                <c16:uniqueId val="{00000001-505F-4072-8579-FA3035917815}"/>
              </c:ext>
            </c:extLst>
          </c:dPt>
          <c:dPt>
            <c:idx val="1"/>
            <c:bubble3D val="0"/>
            <c:spPr>
              <a:solidFill>
                <a:srgbClr val="9D2235"/>
              </a:solidFill>
              <a:ln w="2540">
                <a:solidFill>
                  <a:schemeClr val="lt1"/>
                </a:solidFill>
              </a:ln>
              <a:effectLst/>
              <a:scene3d>
                <a:camera prst="orthographicFront"/>
                <a:lightRig rig="threePt" dir="t"/>
              </a:scene3d>
              <a:sp3d/>
            </c:spPr>
            <c:extLst>
              <c:ext xmlns:c16="http://schemas.microsoft.com/office/drawing/2014/chart" uri="{C3380CC4-5D6E-409C-BE32-E72D297353CC}">
                <c16:uniqueId val="{00000003-505F-4072-8579-FA3035917815}"/>
              </c:ext>
            </c:extLst>
          </c:dPt>
          <c:dPt>
            <c:idx val="2"/>
            <c:bubble3D val="0"/>
            <c:spPr>
              <a:solidFill>
                <a:srgbClr val="5B6770">
                  <a:alpha val="70000"/>
                </a:srgbClr>
              </a:solidFill>
              <a:ln w="2540">
                <a:solidFill>
                  <a:schemeClr val="lt1"/>
                </a:solidFill>
              </a:ln>
              <a:effectLst/>
              <a:scene3d>
                <a:camera prst="orthographicFront"/>
                <a:lightRig rig="threePt" dir="t"/>
              </a:scene3d>
              <a:sp3d/>
            </c:spPr>
            <c:extLst>
              <c:ext xmlns:c16="http://schemas.microsoft.com/office/drawing/2014/chart" uri="{C3380CC4-5D6E-409C-BE32-E72D297353CC}">
                <c16:uniqueId val="{00000005-505F-4072-8579-FA3035917815}"/>
              </c:ext>
            </c:extLst>
          </c:dPt>
          <c:dLbls>
            <c:dLbl>
              <c:idx val="0"/>
              <c:tx>
                <c:rich>
                  <a:bodyPr/>
                  <a:lstStyle/>
                  <a:p>
                    <a:fld id="{205887B2-8E58-4AC0-9813-12A3095F2172}" type="VALUE">
                      <a:rPr lang="en-US" sz="900" b="1" baseline="0">
                        <a:solidFill>
                          <a:schemeClr val="bg1"/>
                        </a:solidFill>
                        <a:latin typeface="Open Sans" panose="020B0606030504020204" pitchFamily="34" charset="0"/>
                        <a:cs typeface="Arial" panose="020B0604020202020204" pitchFamily="34" charset="0"/>
                      </a:rPr>
                      <a:pPr/>
                      <a:t>[VALOR]</a:t>
                    </a:fld>
                    <a:endParaRPr lang="es-E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505F-4072-8579-FA3035917815}"/>
                </c:ext>
              </c:extLst>
            </c:dLbl>
            <c:dLbl>
              <c:idx val="1"/>
              <c:tx>
                <c:rich>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Open Sans" panose="020B0606030504020204" pitchFamily="34" charset="0"/>
                        <a:ea typeface="+mn-ea"/>
                        <a:cs typeface="+mn-cs"/>
                      </a:defRPr>
                    </a:pPr>
                    <a:fld id="{9A5F04B6-D728-431B-B370-F091B501DD93}" type="VALUE">
                      <a:rPr lang="en-US" sz="900" b="1" baseline="0">
                        <a:solidFill>
                          <a:schemeClr val="bg1"/>
                        </a:solidFill>
                        <a:latin typeface="Open Sans" panose="020B0606030504020204" pitchFamily="34" charset="0"/>
                        <a:cs typeface="Arial" panose="020B0604020202020204" pitchFamily="34" charset="0"/>
                      </a:rPr>
                      <a:pPr>
                        <a:defRPr b="1">
                          <a:solidFill>
                            <a:schemeClr val="bg1"/>
                          </a:solidFill>
                          <a:latin typeface="Open Sans" panose="020B0606030504020204" pitchFamily="34" charset="0"/>
                        </a:defRPr>
                      </a:pPr>
                      <a:t>[VALOR]</a:t>
                    </a:fld>
                    <a:endParaRPr lang="es-ES"/>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Open Sans" panose="020B0606030504020204" pitchFamily="34" charset="0"/>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505F-4072-8579-FA3035917815}"/>
                </c:ext>
              </c:extLst>
            </c:dLbl>
            <c:dLbl>
              <c:idx val="2"/>
              <c:layout>
                <c:manualLayout>
                  <c:x val="1.6288855707886522E-2"/>
                  <c:y val="2.7027027027027029E-2"/>
                </c:manualLayout>
              </c:layout>
              <c:tx>
                <c:rich>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Open Sans" panose="020B0606030504020204" pitchFamily="34" charset="0"/>
                        <a:ea typeface="+mn-ea"/>
                        <a:cs typeface="+mn-cs"/>
                      </a:defRPr>
                    </a:pPr>
                    <a:fld id="{340F97CD-A5B3-4B7B-B71C-C154122158CF}" type="VALUE">
                      <a:rPr lang="en-US" sz="900" b="1" cap="none" baseline="0">
                        <a:solidFill>
                          <a:schemeClr val="bg1"/>
                        </a:solidFill>
                        <a:latin typeface="Open Sans" panose="020B0606030504020204" pitchFamily="34" charset="0"/>
                        <a:cs typeface="Arial" panose="020B0604020202020204" pitchFamily="34" charset="0"/>
                      </a:rPr>
                      <a:pPr>
                        <a:defRPr b="1">
                          <a:solidFill>
                            <a:schemeClr val="bg1"/>
                          </a:solidFill>
                          <a:latin typeface="Open Sans" panose="020B0606030504020204" pitchFamily="34" charset="0"/>
                        </a:defRPr>
                      </a:pPr>
                      <a:t>[VALOR]</a:t>
                    </a:fld>
                    <a:endParaRPr lang="es-ES"/>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Open Sans" panose="020B0606030504020204" pitchFamily="34" charset="0"/>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505F-4072-8579-FA3035917815}"/>
                </c:ext>
              </c:extLst>
            </c:dLbl>
            <c:spPr>
              <a:noFill/>
              <a:ln>
                <a:noFill/>
              </a:ln>
              <a:effectLst/>
            </c:spPr>
            <c:txPr>
              <a:bodyPr rot="0" spcFirstLastPara="1" vertOverflow="ellipsis" vert="horz" wrap="square" lIns="38100" tIns="19050" rIns="38100" bIns="19050" anchor="ctr" anchorCtr="1">
                <a:spAutoFit/>
              </a:bodyPr>
              <a:lstStyle/>
              <a:p>
                <a:pPr>
                  <a:defRPr sz="920" b="1" i="0" u="none" strike="noStrike" kern="1200" baseline="0">
                    <a:solidFill>
                      <a:schemeClr val="bg1"/>
                    </a:solidFill>
                    <a:latin typeface="Open Sans" panose="020B0606030504020204" pitchFamily="34" charset="0"/>
                    <a:ea typeface="+mn-ea"/>
                    <a:cs typeface="+mn-cs"/>
                  </a:defRPr>
                </a:pPr>
                <a:endParaRPr lang="es-E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'TRANSPARENCIA 2019'!$F$8:$F$10</c:f>
              <c:strCache>
                <c:ptCount val="3"/>
                <c:pt idx="0">
                  <c:v>Menor</c:v>
                </c:pt>
                <c:pt idx="1">
                  <c:v>Abierto</c:v>
                </c:pt>
                <c:pt idx="2">
                  <c:v>Basado en Acuerdo Marco</c:v>
                </c:pt>
              </c:strCache>
            </c:strRef>
          </c:cat>
          <c:val>
            <c:numRef>
              <c:f>'TRANSPARENCIA 2019'!$J$8:$J$10</c:f>
              <c:numCache>
                <c:formatCode>0.00" "%</c:formatCode>
                <c:ptCount val="3"/>
                <c:pt idx="0">
                  <c:v>0.32754543913933237</c:v>
                </c:pt>
                <c:pt idx="1">
                  <c:v>0.60204031331308827</c:v>
                </c:pt>
                <c:pt idx="2">
                  <c:v>7.0414247547579328E-2</c:v>
                </c:pt>
              </c:numCache>
            </c:numRef>
          </c:val>
          <c:extLst>
            <c:ext xmlns:c16="http://schemas.microsoft.com/office/drawing/2014/chart" uri="{C3380CC4-5D6E-409C-BE32-E72D297353CC}">
              <c16:uniqueId val="{00000006-505F-4072-8579-FA3035917815}"/>
            </c:ext>
          </c:extLst>
        </c:ser>
        <c:dLbls>
          <c:showLegendKey val="0"/>
          <c:showVal val="0"/>
          <c:showCatName val="0"/>
          <c:showSerName val="0"/>
          <c:showPercent val="0"/>
          <c:showBubbleSize val="0"/>
          <c:showLeaderLines val="1"/>
        </c:dLbls>
        <c:firstSliceAng val="0"/>
        <c:holeSize val="50"/>
      </c:doughnutChart>
      <c:spPr>
        <a:noFill/>
        <a:ln>
          <a:noFill/>
        </a:ln>
        <a:effectLst/>
      </c:spPr>
    </c:plotArea>
    <c:legend>
      <c:legendPos val="b"/>
      <c:layout>
        <c:manualLayout>
          <c:xMode val="edge"/>
          <c:yMode val="edge"/>
          <c:x val="1.6944020522999429E-2"/>
          <c:y val="0.33877695771057342"/>
          <c:w val="0.33403718285214345"/>
          <c:h val="0.30244495384552128"/>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4.1458001892985881E-2"/>
          <c:y val="7.1431201989803642E-2"/>
          <c:w val="0.67711782830215272"/>
          <c:h val="0.80999903807835538"/>
        </c:manualLayout>
      </c:layout>
      <c:pie3DChart>
        <c:varyColors val="1"/>
        <c:ser>
          <c:idx val="0"/>
          <c:order val="0"/>
          <c:tx>
            <c:strRef>
              <c:f>territorio!$B$10</c:f>
              <c:strCache>
                <c:ptCount val="1"/>
                <c:pt idx="0">
                  <c:v>TOTALES</c:v>
                </c:pt>
              </c:strCache>
            </c:strRef>
          </c:tx>
          <c:dLbls>
            <c:dLbl>
              <c:idx val="0"/>
              <c:layout>
                <c:manualLayout>
                  <c:x val="-0.11982097550306212"/>
                  <c:y val="8.359179060950713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4B5C-41FD-A8F2-C366EDEF3B5D}"/>
                </c:ext>
              </c:extLst>
            </c:dLbl>
            <c:dLbl>
              <c:idx val="1"/>
              <c:layout>
                <c:manualLayout>
                  <c:x val="-0.11458048993875765"/>
                  <c:y val="-0.10640711577719451"/>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B5C-41FD-A8F2-C366EDEF3B5D}"/>
                </c:ext>
              </c:extLst>
            </c:dLbl>
            <c:dLbl>
              <c:idx val="2"/>
              <c:layout>
                <c:manualLayout>
                  <c:x val="0.1243517060367454"/>
                  <c:y val="-0.26981590842811315"/>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4B5C-41FD-A8F2-C366EDEF3B5D}"/>
                </c:ext>
              </c:extLst>
            </c:dLbl>
            <c:dLbl>
              <c:idx val="3"/>
              <c:layout>
                <c:manualLayout>
                  <c:x val="9.4447725284339451E-2"/>
                  <c:y val="9.801326917468650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B5C-41FD-A8F2-C366EDEF3B5D}"/>
                </c:ext>
              </c:extLst>
            </c:dLbl>
            <c:spPr>
              <a:noFill/>
              <a:ln>
                <a:noFill/>
              </a:ln>
              <a:effectLst/>
            </c:spPr>
            <c:txPr>
              <a:bodyPr wrap="square" lIns="38100" tIns="19050" rIns="38100" bIns="19050" anchor="ctr">
                <a:spAutoFit/>
              </a:bodyPr>
              <a:lstStyle/>
              <a:p>
                <a:pPr>
                  <a:defRPr b="1">
                    <a:latin typeface="Open Sans" panose="020B0606030504020204" pitchFamily="34" charset="0"/>
                    <a:ea typeface="Open Sans" panose="020B0606030504020204" pitchFamily="34" charset="0"/>
                    <a:cs typeface="Open Sans" panose="020B0606030504020204" pitchFamily="34" charset="0"/>
                  </a:defRPr>
                </a:pPr>
                <a:endParaRPr lang="es-ES"/>
              </a:p>
            </c:txPr>
            <c:showLegendKey val="0"/>
            <c:showVal val="0"/>
            <c:showCatName val="0"/>
            <c:showSerName val="0"/>
            <c:showPercent val="1"/>
            <c:showBubbleSize val="0"/>
            <c:showLeaderLines val="1"/>
            <c:extLst>
              <c:ext xmlns:c15="http://schemas.microsoft.com/office/drawing/2012/chart" uri="{CE6537A1-D6FC-4f65-9D91-7224C49458BB}"/>
            </c:extLst>
          </c:dLbls>
          <c:cat>
            <c:strRef>
              <c:f>territorio!$A$11:$A$14</c:f>
              <c:strCache>
                <c:ptCount val="4"/>
                <c:pt idx="0">
                  <c:v>Alicante</c:v>
                </c:pt>
                <c:pt idx="1">
                  <c:v>Castellón</c:v>
                </c:pt>
                <c:pt idx="2">
                  <c:v>Valencia</c:v>
                </c:pt>
                <c:pt idx="3">
                  <c:v>Comunitat Valenciana</c:v>
                </c:pt>
              </c:strCache>
            </c:strRef>
          </c:cat>
          <c:val>
            <c:numRef>
              <c:f>territorio!$B$11:$B$14</c:f>
              <c:numCache>
                <c:formatCode>General</c:formatCode>
                <c:ptCount val="4"/>
                <c:pt idx="0">
                  <c:v>81</c:v>
                </c:pt>
                <c:pt idx="1">
                  <c:v>38</c:v>
                </c:pt>
                <c:pt idx="2">
                  <c:v>198</c:v>
                </c:pt>
                <c:pt idx="3">
                  <c:v>67</c:v>
                </c:pt>
              </c:numCache>
            </c:numRef>
          </c:val>
          <c:extLst>
            <c:ext xmlns:c16="http://schemas.microsoft.com/office/drawing/2014/chart" uri="{C3380CC4-5D6E-409C-BE32-E72D297353CC}">
              <c16:uniqueId val="{00000004-4B5C-41FD-A8F2-C366EDEF3B5D}"/>
            </c:ext>
          </c:extLst>
        </c:ser>
        <c:dLbls>
          <c:showLegendKey val="0"/>
          <c:showVal val="0"/>
          <c:showCatName val="0"/>
          <c:showSerName val="0"/>
          <c:showPercent val="0"/>
          <c:showBubbleSize val="0"/>
          <c:showLeaderLines val="1"/>
        </c:dLbls>
      </c:pie3DChart>
    </c:plotArea>
    <c:legend>
      <c:legendPos val="r"/>
      <c:layout>
        <c:manualLayout>
          <c:xMode val="edge"/>
          <c:yMode val="edge"/>
          <c:x val="0.71468360348086257"/>
          <c:y val="0.21543316320288461"/>
          <c:w val="0.26864966306692578"/>
          <c:h val="0.59868796730951124"/>
        </c:manualLayout>
      </c:layout>
      <c:overlay val="0"/>
      <c:txPr>
        <a:bodyPr/>
        <a:lstStyle/>
        <a:p>
          <a:pPr>
            <a:defRPr sz="900" b="1" i="0" baseline="0">
              <a:latin typeface="Open Sans" pitchFamily="34" charset="0"/>
              <a:ea typeface="Open Sans" pitchFamily="34" charset="0"/>
              <a:cs typeface="Open Sans" pitchFamily="34" charset="0"/>
            </a:defRPr>
          </a:pPr>
          <a:endParaRPr lang="es-ES"/>
        </a:p>
      </c:txPr>
    </c:legend>
    <c:plotVisOnly val="1"/>
    <c:dispBlanksAs val="gap"/>
    <c:showDLblsOverMax val="0"/>
  </c:chart>
  <c:spPr>
    <a:ln>
      <a:solidFill>
        <a:sysClr val="window" lastClr="FFFFFF">
          <a:lumMod val="95000"/>
        </a:sysClr>
      </a:solidFill>
    </a:ln>
  </c:sp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7253065154640491"/>
          <c:y val="5.9802831117796641E-2"/>
          <c:w val="0.41373180786000235"/>
          <c:h val="0.84685553851505957"/>
        </c:manualLayout>
      </c:layout>
      <c:doughnutChart>
        <c:varyColors val="1"/>
        <c:ser>
          <c:idx val="0"/>
          <c:order val="0"/>
          <c:dPt>
            <c:idx val="0"/>
            <c:bubble3D val="0"/>
            <c:spPr>
              <a:solidFill>
                <a:srgbClr val="9D2235">
                  <a:alpha val="60000"/>
                </a:srgbClr>
              </a:solidFill>
              <a:ln w="2540">
                <a:solidFill>
                  <a:schemeClr val="lt1"/>
                </a:solidFill>
              </a:ln>
              <a:effectLst/>
            </c:spPr>
            <c:extLst>
              <c:ext xmlns:c16="http://schemas.microsoft.com/office/drawing/2014/chart" uri="{C3380CC4-5D6E-409C-BE32-E72D297353CC}">
                <c16:uniqueId val="{00000001-FD77-48D3-92B0-FF211BE93F1F}"/>
              </c:ext>
            </c:extLst>
          </c:dPt>
          <c:dPt>
            <c:idx val="1"/>
            <c:bubble3D val="0"/>
            <c:spPr>
              <a:solidFill>
                <a:srgbClr val="9D2235"/>
              </a:solidFill>
              <a:ln w="2540">
                <a:solidFill>
                  <a:schemeClr val="lt1"/>
                </a:solidFill>
              </a:ln>
              <a:effectLst/>
            </c:spPr>
            <c:extLst>
              <c:ext xmlns:c16="http://schemas.microsoft.com/office/drawing/2014/chart" uri="{C3380CC4-5D6E-409C-BE32-E72D297353CC}">
                <c16:uniqueId val="{00000003-FD77-48D3-92B0-FF211BE93F1F}"/>
              </c:ext>
            </c:extLst>
          </c:dPt>
          <c:dPt>
            <c:idx val="2"/>
            <c:bubble3D val="0"/>
            <c:spPr>
              <a:solidFill>
                <a:srgbClr val="5B6770">
                  <a:alpha val="70000"/>
                </a:srgbClr>
              </a:solidFill>
              <a:ln w="2540">
                <a:solidFill>
                  <a:schemeClr val="lt1"/>
                </a:solidFill>
                <a:round/>
              </a:ln>
              <a:effectLst/>
            </c:spPr>
            <c:extLst>
              <c:ext xmlns:c16="http://schemas.microsoft.com/office/drawing/2014/chart" uri="{C3380CC4-5D6E-409C-BE32-E72D297353CC}">
                <c16:uniqueId val="{00000005-FD77-48D3-92B0-FF211BE93F1F}"/>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Open Sans" panose="020B0606030504020204" pitchFamily="34" charset="0"/>
                    <a:ea typeface="+mn-ea"/>
                    <a:cs typeface="+mn-cs"/>
                  </a:defRPr>
                </a:pPr>
                <a:endParaRPr lang="es-E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'TRANSPARENCIA 2019'!$K$8:$K$10</c:f>
              <c:numCache>
                <c:formatCode>0.00" "%</c:formatCode>
                <c:ptCount val="3"/>
                <c:pt idx="0">
                  <c:v>0.35460124818127159</c:v>
                </c:pt>
                <c:pt idx="1">
                  <c:v>0.56518957511570866</c:v>
                </c:pt>
                <c:pt idx="2">
                  <c:v>8.0209176703019677E-2</c:v>
                </c:pt>
              </c:numCache>
            </c:numRef>
          </c:val>
          <c:extLst>
            <c:ext xmlns:c15="http://schemas.microsoft.com/office/drawing/2012/chart" uri="{02D57815-91ED-43cb-92C2-25804820EDAC}">
              <c15:filteredCategoryTitle>
                <c15:cat>
                  <c:strRef>
                    <c:extLst>
                      <c:ext uri="{02D57815-91ED-43cb-92C2-25804820EDAC}">
                        <c15:formulaRef>
                          <c15:sqref>'TRANSPARENCIA 2019'!$F$8:$F$10</c15:sqref>
                        </c15:formulaRef>
                      </c:ext>
                    </c:extLst>
                    <c:strCache>
                      <c:ptCount val="3"/>
                      <c:pt idx="0">
                        <c:v>Menor</c:v>
                      </c:pt>
                      <c:pt idx="1">
                        <c:v>Abierto</c:v>
                      </c:pt>
                      <c:pt idx="2">
                        <c:v>Basado en Acuerdo Marco</c:v>
                      </c:pt>
                    </c:strCache>
                  </c:strRef>
                </c15:cat>
              </c15:filteredCategoryTitle>
            </c:ext>
            <c:ext xmlns:c16="http://schemas.microsoft.com/office/drawing/2014/chart" uri="{C3380CC4-5D6E-409C-BE32-E72D297353CC}">
              <c16:uniqueId val="{00000006-FD77-48D3-92B0-FF211BE93F1F}"/>
            </c:ext>
          </c:extLst>
        </c:ser>
        <c:dLbls>
          <c:showLegendKey val="0"/>
          <c:showVal val="0"/>
          <c:showCatName val="0"/>
          <c:showSerName val="0"/>
          <c:showPercent val="0"/>
          <c:showBubbleSize val="0"/>
          <c:showLeaderLines val="1"/>
        </c:dLbls>
        <c:firstSliceAng val="0"/>
        <c:holeSize val="50"/>
      </c:doughnutChart>
      <c:spPr>
        <a:noFill/>
        <a:ln>
          <a:noFill/>
        </a:ln>
        <a:effectLst/>
      </c:spPr>
    </c:plotArea>
    <c:legend>
      <c:legendPos val="b"/>
      <c:layout>
        <c:manualLayout>
          <c:xMode val="edge"/>
          <c:yMode val="edge"/>
          <c:x val="8.5308946349203635E-5"/>
          <c:y val="0.6249190304230019"/>
          <c:w val="0.35348162729658789"/>
          <c:h val="0.3137866323025739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0"/>
    <c:view3D>
      <c:rotX val="15"/>
      <c:rotY val="20"/>
      <c:rAngAx val="0"/>
    </c:view3D>
    <c:floor>
      <c:thickness val="0"/>
    </c:floor>
    <c:sideWall>
      <c:thickness val="0"/>
    </c:sideWall>
    <c:backWall>
      <c:thickness val="0"/>
    </c:backWall>
    <c:plotArea>
      <c:layout>
        <c:manualLayout>
          <c:layoutTarget val="inner"/>
          <c:xMode val="edge"/>
          <c:yMode val="edge"/>
          <c:x val="0.11957646660391361"/>
          <c:y val="6.1593613298337707E-2"/>
          <c:w val="0.79395219764094982"/>
          <c:h val="0.66666873333746657"/>
        </c:manualLayout>
      </c:layout>
      <c:bar3DChart>
        <c:barDir val="col"/>
        <c:grouping val="standard"/>
        <c:varyColors val="0"/>
        <c:ser>
          <c:idx val="0"/>
          <c:order val="0"/>
          <c:invertIfNegative val="0"/>
          <c:val>
            <c:numRef>
              <c:f>materias!$B$52:$B$57</c:f>
              <c:numCache>
                <c:formatCode>General</c:formatCode>
                <c:ptCount val="6"/>
                <c:pt idx="0">
                  <c:v>12</c:v>
                </c:pt>
                <c:pt idx="1">
                  <c:v>4</c:v>
                </c:pt>
                <c:pt idx="2">
                  <c:v>6</c:v>
                </c:pt>
                <c:pt idx="3">
                  <c:v>8</c:v>
                </c:pt>
                <c:pt idx="4">
                  <c:v>2</c:v>
                </c:pt>
                <c:pt idx="5">
                  <c:v>3</c:v>
                </c:pt>
              </c:numCache>
            </c:numRef>
          </c:val>
          <c:extLst>
            <c:ext xmlns:c15="http://schemas.microsoft.com/office/drawing/2012/chart" uri="{02D57815-91ED-43cb-92C2-25804820EDAC}">
              <c15:filteredSeriesTitle>
                <c15:tx>
                  <c:strRef>
                    <c:extLst>
                      <c:ext uri="{02D57815-91ED-43cb-92C2-25804820EDAC}">
                        <c15:formulaRef>
                          <c15:sqref>materias!$B$51</c15:sqref>
                        </c15:formulaRef>
                      </c:ext>
                    </c:extLst>
                    <c:strCache>
                      <c:ptCount val="1"/>
                      <c:pt idx="0">
                        <c:v>2017</c:v>
                      </c:pt>
                    </c:strCache>
                  </c:strRef>
                </c15:tx>
              </c15:filteredSeriesTitle>
            </c:ext>
            <c:ext xmlns:c15="http://schemas.microsoft.com/office/drawing/2012/chart" uri="{02D57815-91ED-43cb-92C2-25804820EDAC}">
              <c15:filteredCategoryTitle>
                <c15:cat>
                  <c:strRef>
                    <c:extLst>
                      <c:ext uri="{02D57815-91ED-43cb-92C2-25804820EDAC}">
                        <c15:formulaRef>
                          <c15:sqref>materias!$A$52:$A$57</c15:sqref>
                        </c15:formulaRef>
                      </c:ext>
                    </c:extLst>
                    <c:strCache>
                      <c:ptCount val="6"/>
                      <c:pt idx="0">
                        <c:v>Contratación Pública</c:v>
                      </c:pt>
                      <c:pt idx="1">
                        <c:v>Gestión de Activos/Patrimonio</c:v>
                      </c:pt>
                      <c:pt idx="2">
                        <c:v>Subvenciones</c:v>
                      </c:pt>
                      <c:pt idx="3">
                        <c:v>Gestión de RR.HH.</c:v>
                      </c:pt>
                      <c:pt idx="4">
                        <c:v>Urbanismo/Medio Ambiente</c:v>
                      </c:pt>
                      <c:pt idx="5">
                        <c:v>Otros</c:v>
                      </c:pt>
                    </c:strCache>
                  </c:strRef>
                </c15:cat>
              </c15:filteredCategoryTitle>
            </c:ext>
            <c:ext xmlns:c16="http://schemas.microsoft.com/office/drawing/2014/chart" uri="{C3380CC4-5D6E-409C-BE32-E72D297353CC}">
              <c16:uniqueId val="{00000000-FFED-47CB-B4D9-054E49D7ACFF}"/>
            </c:ext>
          </c:extLst>
        </c:ser>
        <c:ser>
          <c:idx val="1"/>
          <c:order val="1"/>
          <c:invertIfNegative val="0"/>
          <c:val>
            <c:numRef>
              <c:f>materias!$C$52:$C$57</c:f>
              <c:numCache>
                <c:formatCode>General</c:formatCode>
                <c:ptCount val="6"/>
                <c:pt idx="0">
                  <c:v>57</c:v>
                </c:pt>
                <c:pt idx="1">
                  <c:v>18</c:v>
                </c:pt>
                <c:pt idx="2">
                  <c:v>16</c:v>
                </c:pt>
                <c:pt idx="3">
                  <c:v>64</c:v>
                </c:pt>
                <c:pt idx="4">
                  <c:v>13</c:v>
                </c:pt>
                <c:pt idx="5">
                  <c:v>13</c:v>
                </c:pt>
              </c:numCache>
            </c:numRef>
          </c:val>
          <c:extLst>
            <c:ext xmlns:c15="http://schemas.microsoft.com/office/drawing/2012/chart" uri="{02D57815-91ED-43cb-92C2-25804820EDAC}">
              <c15:filteredSeriesTitle>
                <c15:tx>
                  <c:strRef>
                    <c:extLst>
                      <c:ext uri="{02D57815-91ED-43cb-92C2-25804820EDAC}">
                        <c15:formulaRef>
                          <c15:sqref>materias!$C$51</c15:sqref>
                        </c15:formulaRef>
                      </c:ext>
                    </c:extLst>
                    <c:strCache>
                      <c:ptCount val="1"/>
                      <c:pt idx="0">
                        <c:v>2018</c:v>
                      </c:pt>
                    </c:strCache>
                  </c:strRef>
                </c15:tx>
              </c15:filteredSeriesTitle>
            </c:ext>
            <c:ext xmlns:c15="http://schemas.microsoft.com/office/drawing/2012/chart" uri="{02D57815-91ED-43cb-92C2-25804820EDAC}">
              <c15:filteredCategoryTitle>
                <c15:cat>
                  <c:strRef>
                    <c:extLst>
                      <c:ext uri="{02D57815-91ED-43cb-92C2-25804820EDAC}">
                        <c15:formulaRef>
                          <c15:sqref>materias!$A$52:$A$57</c15:sqref>
                        </c15:formulaRef>
                      </c:ext>
                    </c:extLst>
                    <c:strCache>
                      <c:ptCount val="6"/>
                      <c:pt idx="0">
                        <c:v>Contratación Pública</c:v>
                      </c:pt>
                      <c:pt idx="1">
                        <c:v>Gestión de Activos/Patrimonio</c:v>
                      </c:pt>
                      <c:pt idx="2">
                        <c:v>Subvenciones</c:v>
                      </c:pt>
                      <c:pt idx="3">
                        <c:v>Gestión de RR.HH.</c:v>
                      </c:pt>
                      <c:pt idx="4">
                        <c:v>Urbanismo/Medio Ambiente</c:v>
                      </c:pt>
                      <c:pt idx="5">
                        <c:v>Otros</c:v>
                      </c:pt>
                    </c:strCache>
                  </c:strRef>
                </c15:cat>
              </c15:filteredCategoryTitle>
            </c:ext>
            <c:ext xmlns:c16="http://schemas.microsoft.com/office/drawing/2014/chart" uri="{C3380CC4-5D6E-409C-BE32-E72D297353CC}">
              <c16:uniqueId val="{00000001-FFED-47CB-B4D9-054E49D7ACFF}"/>
            </c:ext>
          </c:extLst>
        </c:ser>
        <c:ser>
          <c:idx val="2"/>
          <c:order val="2"/>
          <c:invertIfNegative val="0"/>
          <c:val>
            <c:numRef>
              <c:f>materias!$D$52:$D$57</c:f>
              <c:numCache>
                <c:formatCode>General</c:formatCode>
                <c:ptCount val="6"/>
                <c:pt idx="0">
                  <c:v>42</c:v>
                </c:pt>
                <c:pt idx="1">
                  <c:v>7</c:v>
                </c:pt>
                <c:pt idx="2">
                  <c:v>7</c:v>
                </c:pt>
                <c:pt idx="3">
                  <c:v>68</c:v>
                </c:pt>
                <c:pt idx="4">
                  <c:v>17</c:v>
                </c:pt>
                <c:pt idx="5">
                  <c:v>27</c:v>
                </c:pt>
              </c:numCache>
            </c:numRef>
          </c:val>
          <c:extLst>
            <c:ext xmlns:c15="http://schemas.microsoft.com/office/drawing/2012/chart" uri="{02D57815-91ED-43cb-92C2-25804820EDAC}">
              <c15:filteredSeriesTitle>
                <c15:tx>
                  <c:strRef>
                    <c:extLst>
                      <c:ext uri="{02D57815-91ED-43cb-92C2-25804820EDAC}">
                        <c15:formulaRef>
                          <c15:sqref>materias!$D$51</c15:sqref>
                        </c15:formulaRef>
                      </c:ext>
                    </c:extLst>
                    <c:strCache>
                      <c:ptCount val="1"/>
                      <c:pt idx="0">
                        <c:v>2019</c:v>
                      </c:pt>
                    </c:strCache>
                  </c:strRef>
                </c15:tx>
              </c15:filteredSeriesTitle>
            </c:ext>
            <c:ext xmlns:c15="http://schemas.microsoft.com/office/drawing/2012/chart" uri="{02D57815-91ED-43cb-92C2-25804820EDAC}">
              <c15:filteredCategoryTitle>
                <c15:cat>
                  <c:strRef>
                    <c:extLst>
                      <c:ext uri="{02D57815-91ED-43cb-92C2-25804820EDAC}">
                        <c15:formulaRef>
                          <c15:sqref>materias!$A$52:$A$57</c15:sqref>
                        </c15:formulaRef>
                      </c:ext>
                    </c:extLst>
                    <c:strCache>
                      <c:ptCount val="6"/>
                      <c:pt idx="0">
                        <c:v>Contratación Pública</c:v>
                      </c:pt>
                      <c:pt idx="1">
                        <c:v>Gestión de Activos/Patrimonio</c:v>
                      </c:pt>
                      <c:pt idx="2">
                        <c:v>Subvenciones</c:v>
                      </c:pt>
                      <c:pt idx="3">
                        <c:v>Gestión de RR.HH.</c:v>
                      </c:pt>
                      <c:pt idx="4">
                        <c:v>Urbanismo/Medio Ambiente</c:v>
                      </c:pt>
                      <c:pt idx="5">
                        <c:v>Otros</c:v>
                      </c:pt>
                    </c:strCache>
                  </c:strRef>
                </c15:cat>
              </c15:filteredCategoryTitle>
            </c:ext>
            <c:ext xmlns:c16="http://schemas.microsoft.com/office/drawing/2014/chart" uri="{C3380CC4-5D6E-409C-BE32-E72D297353CC}">
              <c16:uniqueId val="{00000002-FFED-47CB-B4D9-054E49D7ACFF}"/>
            </c:ext>
          </c:extLst>
        </c:ser>
        <c:dLbls>
          <c:showLegendKey val="0"/>
          <c:showVal val="0"/>
          <c:showCatName val="0"/>
          <c:showSerName val="0"/>
          <c:showPercent val="0"/>
          <c:showBubbleSize val="0"/>
        </c:dLbls>
        <c:gapWidth val="150"/>
        <c:shape val="cylinder"/>
        <c:axId val="47663744"/>
        <c:axId val="47677824"/>
        <c:axId val="202105728"/>
      </c:bar3DChart>
      <c:catAx>
        <c:axId val="47663744"/>
        <c:scaling>
          <c:orientation val="minMax"/>
        </c:scaling>
        <c:delete val="0"/>
        <c:axPos val="b"/>
        <c:numFmt formatCode="General" sourceLinked="0"/>
        <c:majorTickMark val="out"/>
        <c:minorTickMark val="none"/>
        <c:tickLblPos val="nextTo"/>
        <c:txPr>
          <a:bodyPr rot="-960000" anchor="b" anchorCtr="1"/>
          <a:lstStyle/>
          <a:p>
            <a:pPr>
              <a:defRPr sz="800" baseline="0">
                <a:latin typeface="Open Sans" pitchFamily="34" charset="0"/>
                <a:ea typeface="Open Sans" pitchFamily="34" charset="0"/>
                <a:cs typeface="Open Sans" pitchFamily="34" charset="0"/>
              </a:defRPr>
            </a:pPr>
            <a:endParaRPr lang="es-ES"/>
          </a:p>
        </c:txPr>
        <c:crossAx val="47677824"/>
        <c:crosses val="autoZero"/>
        <c:auto val="1"/>
        <c:lblAlgn val="ctr"/>
        <c:lblOffset val="100"/>
        <c:noMultiLvlLbl val="0"/>
      </c:catAx>
      <c:valAx>
        <c:axId val="47677824"/>
        <c:scaling>
          <c:orientation val="minMax"/>
        </c:scaling>
        <c:delete val="0"/>
        <c:axPos val="l"/>
        <c:majorGridlines/>
        <c:numFmt formatCode="General" sourceLinked="1"/>
        <c:majorTickMark val="out"/>
        <c:minorTickMark val="none"/>
        <c:tickLblPos val="nextTo"/>
        <c:txPr>
          <a:bodyPr/>
          <a:lstStyle/>
          <a:p>
            <a:pPr>
              <a:defRPr>
                <a:latin typeface="Open Sans" pitchFamily="34" charset="0"/>
                <a:ea typeface="Open Sans" pitchFamily="34" charset="0"/>
                <a:cs typeface="Open Sans" pitchFamily="34" charset="0"/>
              </a:defRPr>
            </a:pPr>
            <a:endParaRPr lang="es-ES"/>
          </a:p>
        </c:txPr>
        <c:crossAx val="47663744"/>
        <c:crosses val="autoZero"/>
        <c:crossBetween val="between"/>
      </c:valAx>
      <c:serAx>
        <c:axId val="202105728"/>
        <c:scaling>
          <c:orientation val="minMax"/>
        </c:scaling>
        <c:delete val="0"/>
        <c:axPos val="b"/>
        <c:majorTickMark val="out"/>
        <c:minorTickMark val="none"/>
        <c:tickLblPos val="nextTo"/>
        <c:crossAx val="47677824"/>
        <c:crosses val="autoZero"/>
      </c:ser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0"/>
          <c:y val="9.084649335034238E-2"/>
          <c:w val="0.75550563871823717"/>
          <c:h val="0.84099825510637982"/>
        </c:manualLayout>
      </c:layout>
      <c:pie3DChart>
        <c:varyColors val="1"/>
        <c:ser>
          <c:idx val="0"/>
          <c:order val="0"/>
          <c:tx>
            <c:strRef>
              <c:f>denunciantes!$B$17</c:f>
              <c:strCache>
                <c:ptCount val="1"/>
                <c:pt idx="0">
                  <c:v>TOTAL</c:v>
                </c:pt>
              </c:strCache>
            </c:strRef>
          </c:tx>
          <c:dLbls>
            <c:dLbl>
              <c:idx val="0"/>
              <c:layout>
                <c:manualLayout>
                  <c:x val="-0.17575818407314464"/>
                  <c:y val="2.6686021789175795E-2"/>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2B8B-4598-AAA1-5FC184F08261}"/>
                </c:ext>
              </c:extLst>
            </c:dLbl>
            <c:dLbl>
              <c:idx val="1"/>
              <c:layout>
                <c:manualLayout>
                  <c:x val="1.3186813186813133E-2"/>
                  <c:y val="-0.25512104283054005"/>
                </c:manualLayout>
              </c:layout>
              <c:spPr>
                <a:noFill/>
                <a:ln>
                  <a:noFill/>
                </a:ln>
                <a:effectLst/>
              </c:spPr>
              <c:txPr>
                <a:bodyPr/>
                <a:lstStyle/>
                <a:p>
                  <a:pPr>
                    <a:defRPr sz="800" b="1" baseline="0">
                      <a:solidFill>
                        <a:schemeClr val="bg1"/>
                      </a:solidFill>
                      <a:latin typeface="Open Sans" pitchFamily="34" charset="0"/>
                      <a:ea typeface="Open Sans" pitchFamily="34" charset="0"/>
                      <a:cs typeface="Open Sans" pitchFamily="34" charset="0"/>
                    </a:defRPr>
                  </a:pPr>
                  <a:endParaRPr lang="es-ES"/>
                </a:p>
              </c:txPr>
              <c:showLegendKey val="0"/>
              <c:showVal val="1"/>
              <c:showCatName val="0"/>
              <c:showSerName val="0"/>
              <c:showPercent val="1"/>
              <c:showBubbleSize val="0"/>
              <c:extLst>
                <c:ext xmlns:c15="http://schemas.microsoft.com/office/drawing/2012/chart" uri="{CE6537A1-D6FC-4f65-9D91-7224C49458BB}">
                  <c15:layout>
                    <c:manualLayout>
                      <c:w val="0.14945054945054945"/>
                      <c:h val="0.23649906890130354"/>
                    </c:manualLayout>
                  </c15:layout>
                </c:ext>
                <c:ext xmlns:c16="http://schemas.microsoft.com/office/drawing/2014/chart" uri="{C3380CC4-5D6E-409C-BE32-E72D297353CC}">
                  <c16:uniqueId val="{00000000-A55D-42C7-B0EA-EDB89A67B3FD}"/>
                </c:ext>
              </c:extLst>
            </c:dLbl>
            <c:dLbl>
              <c:idx val="2"/>
              <c:layout>
                <c:manualLayout>
                  <c:x val="0.13967355643044618"/>
                  <c:y val="4.5239501312335957E-2"/>
                </c:manualLayout>
              </c:layout>
              <c:spPr>
                <a:noFill/>
                <a:ln>
                  <a:noFill/>
                </a:ln>
                <a:effectLst/>
              </c:spPr>
              <c:txPr>
                <a:bodyPr/>
                <a:lstStyle/>
                <a:p>
                  <a:pPr>
                    <a:defRPr sz="800" b="1" baseline="0">
                      <a:solidFill>
                        <a:schemeClr val="bg1"/>
                      </a:solidFill>
                      <a:latin typeface="Open Sans" pitchFamily="34" charset="0"/>
                      <a:ea typeface="Open Sans" pitchFamily="34" charset="0"/>
                      <a:cs typeface="Open Sans" pitchFamily="34" charset="0"/>
                    </a:defRPr>
                  </a:pPr>
                  <a:endParaRPr lang="es-ES"/>
                </a:p>
              </c:txPr>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2B8B-4598-AAA1-5FC184F08261}"/>
                </c:ext>
              </c:extLst>
            </c:dLbl>
            <c:spPr>
              <a:noFill/>
              <a:ln>
                <a:noFill/>
              </a:ln>
              <a:effectLst/>
            </c:spPr>
            <c:txPr>
              <a:bodyPr/>
              <a:lstStyle/>
              <a:p>
                <a:pPr>
                  <a:defRPr sz="850" b="1" baseline="0">
                    <a:solidFill>
                      <a:schemeClr val="bg1"/>
                    </a:solidFill>
                    <a:latin typeface="Open Sans" pitchFamily="34" charset="0"/>
                    <a:ea typeface="Open Sans" pitchFamily="34" charset="0"/>
                    <a:cs typeface="Open Sans" pitchFamily="34" charset="0"/>
                  </a:defRPr>
                </a:pPr>
                <a:endParaRPr lang="es-ES"/>
              </a:p>
            </c:txPr>
            <c:showLegendKey val="0"/>
            <c:showVal val="1"/>
            <c:showCatName val="0"/>
            <c:showSerName val="0"/>
            <c:showPercent val="1"/>
            <c:showBubbleSize val="0"/>
            <c:showLeaderLines val="1"/>
            <c:extLst>
              <c:ext xmlns:c15="http://schemas.microsoft.com/office/drawing/2012/chart" uri="{CE6537A1-D6FC-4f65-9D91-7224C49458BB}"/>
            </c:extLst>
          </c:dLbls>
          <c:cat>
            <c:strRef>
              <c:f>denunciantes!$A$18:$A$20</c:f>
              <c:strCache>
                <c:ptCount val="3"/>
                <c:pt idx="0">
                  <c:v>Personas Físicas</c:v>
                </c:pt>
                <c:pt idx="1">
                  <c:v>Personas Jurídicas</c:v>
                </c:pt>
                <c:pt idx="2">
                  <c:v>Anónimos</c:v>
                </c:pt>
              </c:strCache>
            </c:strRef>
          </c:cat>
          <c:val>
            <c:numRef>
              <c:f>denunciantes!$B$18:$B$20</c:f>
              <c:numCache>
                <c:formatCode>General</c:formatCode>
                <c:ptCount val="3"/>
                <c:pt idx="0">
                  <c:v>180</c:v>
                </c:pt>
                <c:pt idx="1">
                  <c:v>26</c:v>
                </c:pt>
                <c:pt idx="2">
                  <c:v>178</c:v>
                </c:pt>
              </c:numCache>
            </c:numRef>
          </c:val>
          <c:extLst>
            <c:ext xmlns:c16="http://schemas.microsoft.com/office/drawing/2014/chart" uri="{C3380CC4-5D6E-409C-BE32-E72D297353CC}">
              <c16:uniqueId val="{00000002-2B8B-4598-AAA1-5FC184F08261}"/>
            </c:ext>
          </c:extLst>
        </c:ser>
        <c:dLbls>
          <c:showLegendKey val="0"/>
          <c:showVal val="0"/>
          <c:showCatName val="0"/>
          <c:showSerName val="0"/>
          <c:showPercent val="0"/>
          <c:showBubbleSize val="0"/>
          <c:showLeaderLines val="1"/>
        </c:dLbls>
      </c:pie3DChart>
    </c:plotArea>
    <c:legend>
      <c:legendPos val="r"/>
      <c:layout>
        <c:manualLayout>
          <c:xMode val="edge"/>
          <c:yMode val="edge"/>
          <c:x val="0.72806322286637248"/>
          <c:y val="0.29050220677722549"/>
          <c:w val="0.2455580744714603"/>
          <c:h val="0.37709761140192671"/>
        </c:manualLayout>
      </c:layout>
      <c:overlay val="0"/>
      <c:txPr>
        <a:bodyPr/>
        <a:lstStyle/>
        <a:p>
          <a:pPr>
            <a:defRPr sz="900" b="1" i="0" baseline="0"/>
          </a:pPr>
          <a:endParaRPr lang="es-ES"/>
        </a:p>
      </c:txPr>
    </c:legend>
    <c:plotVisOnly val="1"/>
    <c:dispBlanksAs val="gap"/>
    <c:showDLblsOverMax val="0"/>
  </c:chart>
  <c:spPr>
    <a:ln>
      <a:solidFill>
        <a:sysClr val="window" lastClr="FFFFFF">
          <a:lumMod val="95000"/>
        </a:sysClr>
      </a:solid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invertIfNegative val="0"/>
          <c:val>
            <c:numRef>
              <c:f>genero!$B$9:$D$9</c:f>
              <c:numCache>
                <c:formatCode>General</c:formatCode>
                <c:ptCount val="3"/>
                <c:pt idx="0">
                  <c:v>30</c:v>
                </c:pt>
                <c:pt idx="1">
                  <c:v>59</c:v>
                </c:pt>
                <c:pt idx="2">
                  <c:v>59</c:v>
                </c:pt>
              </c:numCache>
            </c:numRef>
          </c:val>
          <c:extLst>
            <c:ext xmlns:c15="http://schemas.microsoft.com/office/drawing/2012/chart" uri="{02D57815-91ED-43cb-92C2-25804820EDAC}">
              <c15:filteredSeriesTitle>
                <c15:tx>
                  <c:strRef>
                    <c:extLst>
                      <c:ext uri="{02D57815-91ED-43cb-92C2-25804820EDAC}">
                        <c15:formulaRef>
                          <c15:sqref>genero!$A$9</c15:sqref>
                        </c15:formulaRef>
                      </c:ext>
                    </c:extLst>
                    <c:strCache>
                      <c:ptCount val="1"/>
                      <c:pt idx="0">
                        <c:v>Hombre</c:v>
                      </c:pt>
                    </c:strCache>
                  </c:strRef>
                </c15:tx>
              </c15:filteredSeriesTitle>
            </c:ext>
            <c:ext xmlns:c15="http://schemas.microsoft.com/office/drawing/2012/chart" uri="{02D57815-91ED-43cb-92C2-25804820EDAC}">
              <c15:filteredCategoryTitle>
                <c15:cat>
                  <c:numRef>
                    <c:extLst>
                      <c:ext uri="{02D57815-91ED-43cb-92C2-25804820EDAC}">
                        <c15:formulaRef>
                          <c15:sqref>genero!$B$8:$D$8</c15:sqref>
                        </c15:formulaRef>
                      </c:ext>
                    </c:extLst>
                    <c:numCache>
                      <c:formatCode>General</c:formatCode>
                      <c:ptCount val="3"/>
                      <c:pt idx="0">
                        <c:v>2017</c:v>
                      </c:pt>
                      <c:pt idx="1">
                        <c:v>2018</c:v>
                      </c:pt>
                      <c:pt idx="2">
                        <c:v>2019</c:v>
                      </c:pt>
                    </c:numCache>
                  </c:numRef>
                </c15:cat>
              </c15:filteredCategoryTitle>
            </c:ext>
            <c:ext xmlns:c16="http://schemas.microsoft.com/office/drawing/2014/chart" uri="{C3380CC4-5D6E-409C-BE32-E72D297353CC}">
              <c16:uniqueId val="{00000000-8FCC-445E-97F5-953F6CC654EF}"/>
            </c:ext>
          </c:extLst>
        </c:ser>
        <c:ser>
          <c:idx val="1"/>
          <c:order val="1"/>
          <c:invertIfNegative val="0"/>
          <c:val>
            <c:numRef>
              <c:f>genero!$B$10:$D$10</c:f>
              <c:numCache>
                <c:formatCode>General</c:formatCode>
                <c:ptCount val="3"/>
                <c:pt idx="0">
                  <c:v>0</c:v>
                </c:pt>
                <c:pt idx="1">
                  <c:v>17</c:v>
                </c:pt>
                <c:pt idx="2">
                  <c:v>22</c:v>
                </c:pt>
              </c:numCache>
            </c:numRef>
          </c:val>
          <c:extLst>
            <c:ext xmlns:c15="http://schemas.microsoft.com/office/drawing/2012/chart" uri="{02D57815-91ED-43cb-92C2-25804820EDAC}">
              <c15:filteredSeriesTitle>
                <c15:tx>
                  <c:strRef>
                    <c:extLst>
                      <c:ext uri="{02D57815-91ED-43cb-92C2-25804820EDAC}">
                        <c15:formulaRef>
                          <c15:sqref>genero!$A$10</c15:sqref>
                        </c15:formulaRef>
                      </c:ext>
                    </c:extLst>
                    <c:strCache>
                      <c:ptCount val="1"/>
                      <c:pt idx="0">
                        <c:v>Mujer</c:v>
                      </c:pt>
                    </c:strCache>
                  </c:strRef>
                </c15:tx>
              </c15:filteredSeriesTitle>
            </c:ext>
            <c:ext xmlns:c15="http://schemas.microsoft.com/office/drawing/2012/chart" uri="{02D57815-91ED-43cb-92C2-25804820EDAC}">
              <c15:filteredCategoryTitle>
                <c15:cat>
                  <c:numRef>
                    <c:extLst>
                      <c:ext uri="{02D57815-91ED-43cb-92C2-25804820EDAC}">
                        <c15:formulaRef>
                          <c15:sqref>genero!$B$8:$D$8</c15:sqref>
                        </c15:formulaRef>
                      </c:ext>
                    </c:extLst>
                    <c:numCache>
                      <c:formatCode>General</c:formatCode>
                      <c:ptCount val="3"/>
                      <c:pt idx="0">
                        <c:v>2017</c:v>
                      </c:pt>
                      <c:pt idx="1">
                        <c:v>2018</c:v>
                      </c:pt>
                      <c:pt idx="2">
                        <c:v>2019</c:v>
                      </c:pt>
                    </c:numCache>
                  </c:numRef>
                </c15:cat>
              </c15:filteredCategoryTitle>
            </c:ext>
            <c:ext xmlns:c16="http://schemas.microsoft.com/office/drawing/2014/chart" uri="{C3380CC4-5D6E-409C-BE32-E72D297353CC}">
              <c16:uniqueId val="{00000001-8FCC-445E-97F5-953F6CC654EF}"/>
            </c:ext>
          </c:extLst>
        </c:ser>
        <c:dLbls>
          <c:showLegendKey val="0"/>
          <c:showVal val="0"/>
          <c:showCatName val="0"/>
          <c:showSerName val="0"/>
          <c:showPercent val="0"/>
          <c:showBubbleSize val="0"/>
        </c:dLbls>
        <c:gapWidth val="150"/>
        <c:axId val="47913600"/>
        <c:axId val="47919488"/>
      </c:barChart>
      <c:catAx>
        <c:axId val="47913600"/>
        <c:scaling>
          <c:orientation val="minMax"/>
        </c:scaling>
        <c:delete val="0"/>
        <c:axPos val="b"/>
        <c:numFmt formatCode="General" sourceLinked="1"/>
        <c:majorTickMark val="out"/>
        <c:minorTickMark val="none"/>
        <c:tickLblPos val="nextTo"/>
        <c:crossAx val="47919488"/>
        <c:crosses val="autoZero"/>
        <c:auto val="1"/>
        <c:lblAlgn val="ctr"/>
        <c:lblOffset val="100"/>
        <c:noMultiLvlLbl val="0"/>
      </c:catAx>
      <c:valAx>
        <c:axId val="47919488"/>
        <c:scaling>
          <c:orientation val="minMax"/>
        </c:scaling>
        <c:delete val="0"/>
        <c:axPos val="l"/>
        <c:majorGridlines/>
        <c:numFmt formatCode="General" sourceLinked="1"/>
        <c:majorTickMark val="out"/>
        <c:minorTickMark val="none"/>
        <c:tickLblPos val="nextTo"/>
        <c:crossAx val="47913600"/>
        <c:crosses val="autoZero"/>
        <c:crossBetween val="between"/>
      </c:valAx>
    </c:plotArea>
    <c:legend>
      <c:legendPos val="r"/>
      <c:overlay val="0"/>
    </c:legend>
    <c:plotVisOnly val="1"/>
    <c:dispBlanksAs val="gap"/>
    <c:showDLblsOverMax val="0"/>
  </c:chart>
  <c:spPr>
    <a:ln>
      <a:solidFill>
        <a:sysClr val="window" lastClr="FFFFFF">
          <a:lumMod val="95000"/>
        </a:sysClr>
      </a:solid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0"/>
          <c:y val="6.741573033707865E-2"/>
          <c:w val="0.61532175601337502"/>
          <c:h val="0.88764044943820219"/>
        </c:manualLayout>
      </c:layout>
      <c:pie3DChart>
        <c:varyColors val="1"/>
        <c:ser>
          <c:idx val="0"/>
          <c:order val="0"/>
          <c:explosion val="25"/>
          <c:dLbls>
            <c:dLbl>
              <c:idx val="0"/>
              <c:layout>
                <c:manualLayout>
                  <c:x val="-0.13432139948023739"/>
                  <c:y val="5.0389617964421117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A2B-48A4-8B0F-DEF5885FE6C5}"/>
                </c:ext>
              </c:extLst>
            </c:dLbl>
            <c:dLbl>
              <c:idx val="1"/>
              <c:layout>
                <c:manualLayout>
                  <c:x val="-9.9191782061725048E-2"/>
                  <c:y val="-0.25053076698745996"/>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A2B-48A4-8B0F-DEF5885FE6C5}"/>
                </c:ext>
              </c:extLst>
            </c:dLbl>
            <c:dLbl>
              <c:idx val="3"/>
              <c:layout>
                <c:manualLayout>
                  <c:x val="8.2019704433497542E-2"/>
                  <c:y val="-0.1187144940215806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A2B-48A4-8B0F-DEF5885FE6C5}"/>
                </c:ext>
              </c:extLst>
            </c:dLbl>
            <c:spPr>
              <a:noFill/>
              <a:ln>
                <a:noFill/>
              </a:ln>
              <a:effectLst/>
            </c:spPr>
            <c:txPr>
              <a:bodyPr wrap="square" lIns="38100" tIns="19050" rIns="38100" bIns="19050" anchor="ctr">
                <a:spAutoFit/>
              </a:bodyPr>
              <a:lstStyle/>
              <a:p>
                <a:pPr>
                  <a:defRPr sz="850" b="1" i="0" baseline="0">
                    <a:solidFill>
                      <a:schemeClr val="bg1"/>
                    </a:solidFill>
                    <a:latin typeface="Open Sans" panose="020B0606030504020204" pitchFamily="34" charset="0"/>
                  </a:defRPr>
                </a:pPr>
                <a:endParaRPr lang="es-ES"/>
              </a:p>
            </c:txPr>
            <c:dLblPos val="bestFit"/>
            <c:showLegendKey val="0"/>
            <c:showVal val="1"/>
            <c:showCatName val="0"/>
            <c:showSerName val="0"/>
            <c:showPercent val="0"/>
            <c:showBubbleSize val="0"/>
            <c:showLeaderLines val="1"/>
            <c:extLst>
              <c:ext xmlns:c15="http://schemas.microsoft.com/office/drawing/2012/chart" uri="{CE6537A1-D6FC-4f65-9D91-7224C49458BB}"/>
            </c:extLst>
          </c:dLbls>
          <c:val>
            <c:numRef>
              <c:f>'SITUACION Y TERMINACION'!$B$34:$B$38</c:f>
              <c:numCache>
                <c:formatCode>General</c:formatCode>
                <c:ptCount val="5"/>
                <c:pt idx="0">
                  <c:v>129</c:v>
                </c:pt>
                <c:pt idx="1">
                  <c:v>58</c:v>
                </c:pt>
                <c:pt idx="2">
                  <c:v>22</c:v>
                </c:pt>
                <c:pt idx="3">
                  <c:v>152</c:v>
                </c:pt>
                <c:pt idx="4">
                  <c:v>23</c:v>
                </c:pt>
              </c:numCache>
            </c:numRef>
          </c:val>
          <c:extLst>
            <c:ext xmlns:c15="http://schemas.microsoft.com/office/drawing/2012/chart" uri="{02D57815-91ED-43cb-92C2-25804820EDAC}">
              <c15:filteredSeriesTitle>
                <c15:tx>
                  <c:strRef>
                    <c:extLst>
                      <c:ext uri="{02D57815-91ED-43cb-92C2-25804820EDAC}">
                        <c15:formulaRef>
                          <c15:sqref>'SITUACION Y TERMINACION'!$B$33</c15:sqref>
                        </c15:formulaRef>
                      </c:ext>
                    </c:extLst>
                    <c:strCache>
                      <c:ptCount val="1"/>
                      <c:pt idx="0">
                        <c:v>TOTAL</c:v>
                      </c:pt>
                    </c:strCache>
                  </c:strRef>
                </c15:tx>
              </c15:filteredSeriesTitle>
            </c:ext>
            <c:ext xmlns:c15="http://schemas.microsoft.com/office/drawing/2012/chart" uri="{02D57815-91ED-43cb-92C2-25804820EDAC}">
              <c15:filteredCategoryTitle>
                <c15:cat>
                  <c:strRef>
                    <c:extLst>
                      <c:ext uri="{02D57815-91ED-43cb-92C2-25804820EDAC}">
                        <c15:formulaRef>
                          <c15:sqref>'SITUACION Y TERMINACION'!$A$34:$A$38</c15:sqref>
                        </c15:formulaRef>
                      </c:ext>
                    </c:extLst>
                    <c:strCache>
                      <c:ptCount val="5"/>
                      <c:pt idx="0">
                        <c:v>PENDIENTE</c:v>
                      </c:pt>
                      <c:pt idx="1">
                        <c:v>EN ANALISIS</c:v>
                      </c:pt>
                      <c:pt idx="2">
                        <c:v>EN INVESTIGACION</c:v>
                      </c:pt>
                      <c:pt idx="3">
                        <c:v>FINALIZADOS</c:v>
                      </c:pt>
                      <c:pt idx="4">
                        <c:v>INTERRUMPIDOS</c:v>
                      </c:pt>
                    </c:strCache>
                  </c:strRef>
                </c15:cat>
              </c15:filteredCategoryTitle>
            </c:ext>
            <c:ext xmlns:c16="http://schemas.microsoft.com/office/drawing/2014/chart" uri="{C3380CC4-5D6E-409C-BE32-E72D297353CC}">
              <c16:uniqueId val="{00000000-9150-4EF5-B988-E7A81F5F2B27}"/>
            </c:ext>
          </c:extLst>
        </c:ser>
        <c:dLbls>
          <c:dLblPos val="bestFit"/>
          <c:showLegendKey val="0"/>
          <c:showVal val="1"/>
          <c:showCatName val="0"/>
          <c:showSerName val="0"/>
          <c:showPercent val="0"/>
          <c:showBubbleSize val="0"/>
          <c:showLeaderLines val="1"/>
        </c:dLbls>
      </c:pie3DChart>
    </c:plotArea>
    <c:legend>
      <c:legendPos val="r"/>
      <c:overlay val="0"/>
      <c:txPr>
        <a:bodyPr/>
        <a:lstStyle/>
        <a:p>
          <a:pPr>
            <a:defRPr sz="800">
              <a:latin typeface="Open Sans" pitchFamily="34" charset="0"/>
              <a:ea typeface="Open Sans" pitchFamily="34" charset="0"/>
              <a:cs typeface="Open Sans" pitchFamily="34" charset="0"/>
            </a:defRPr>
          </a:pPr>
          <a:endParaRPr lang="es-ES"/>
        </a:p>
      </c:txPr>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203814523184602"/>
          <c:y val="6.9614928270952435E-3"/>
          <c:w val="0.81930318710161232"/>
          <c:h val="0.54738388679675909"/>
        </c:manualLayout>
      </c:layout>
      <c:lineChart>
        <c:grouping val="standard"/>
        <c:varyColors val="0"/>
        <c:ser>
          <c:idx val="0"/>
          <c:order val="0"/>
          <c:spPr>
            <a:ln>
              <a:solidFill>
                <a:srgbClr val="9D2235"/>
              </a:solidFill>
            </a:ln>
            <a:effectLst>
              <a:outerShdw blurRad="50800" dist="38100" algn="l" rotWithShape="0">
                <a:srgbClr val="9D2235">
                  <a:alpha val="40000"/>
                </a:srgbClr>
              </a:outerShdw>
            </a:effectLst>
          </c:spPr>
          <c:marker>
            <c:symbol val="none"/>
          </c:marker>
          <c:dPt>
            <c:idx val="2"/>
            <c:bubble3D val="0"/>
            <c:extLst>
              <c:ext xmlns:c16="http://schemas.microsoft.com/office/drawing/2014/chart" uri="{C3380CC4-5D6E-409C-BE32-E72D297353CC}">
                <c16:uniqueId val="{00000000-7D8F-4E85-91F8-28DA97B5A52B}"/>
              </c:ext>
            </c:extLst>
          </c:dPt>
          <c:dPt>
            <c:idx val="3"/>
            <c:bubble3D val="0"/>
            <c:extLst>
              <c:ext xmlns:c16="http://schemas.microsoft.com/office/drawing/2014/chart" uri="{C3380CC4-5D6E-409C-BE32-E72D297353CC}">
                <c16:uniqueId val="{00000001-7D8F-4E85-91F8-28DA97B5A52B}"/>
              </c:ext>
            </c:extLst>
          </c:dPt>
          <c:dPt>
            <c:idx val="5"/>
            <c:bubble3D val="0"/>
            <c:extLst>
              <c:ext xmlns:c16="http://schemas.microsoft.com/office/drawing/2014/chart" uri="{C3380CC4-5D6E-409C-BE32-E72D297353CC}">
                <c16:uniqueId val="{00000002-7D8F-4E85-91F8-28DA97B5A52B}"/>
              </c:ext>
            </c:extLst>
          </c:dPt>
          <c:dPt>
            <c:idx val="6"/>
            <c:bubble3D val="0"/>
            <c:extLst>
              <c:ext xmlns:c16="http://schemas.microsoft.com/office/drawing/2014/chart" uri="{C3380CC4-5D6E-409C-BE32-E72D297353CC}">
                <c16:uniqueId val="{00000003-7D8F-4E85-91F8-28DA97B5A52B}"/>
              </c:ext>
            </c:extLst>
          </c:dPt>
          <c:dPt>
            <c:idx val="8"/>
            <c:bubble3D val="0"/>
            <c:extLst>
              <c:ext xmlns:c16="http://schemas.microsoft.com/office/drawing/2014/chart" uri="{C3380CC4-5D6E-409C-BE32-E72D297353CC}">
                <c16:uniqueId val="{00000004-7D8F-4E85-91F8-28DA97B5A52B}"/>
              </c:ext>
            </c:extLst>
          </c:dPt>
          <c:dPt>
            <c:idx val="9"/>
            <c:bubble3D val="0"/>
            <c:extLst>
              <c:ext xmlns:c16="http://schemas.microsoft.com/office/drawing/2014/chart" uri="{C3380CC4-5D6E-409C-BE32-E72D297353CC}">
                <c16:uniqueId val="{00000005-7D8F-4E85-91F8-28DA97B5A52B}"/>
              </c:ext>
            </c:extLst>
          </c:dPt>
          <c:dLbls>
            <c:dLbl>
              <c:idx val="1"/>
              <c:layout>
                <c:manualLayout>
                  <c:x val="-5.0793650793650794E-3"/>
                  <c:y val="-1.44927536231884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D8F-4E85-91F8-28DA97B5A52B}"/>
                </c:ext>
              </c:extLst>
            </c:dLbl>
            <c:dLbl>
              <c:idx val="2"/>
              <c:layout>
                <c:manualLayout>
                  <c:x val="4.0754305711785982E-2"/>
                  <c:y val="-1.2658336186237591E-2"/>
                </c:manualLayout>
              </c:layout>
              <c:spPr>
                <a:noFill/>
                <a:ln w="25400">
                  <a:noFill/>
                </a:ln>
              </c:spPr>
              <c:txPr>
                <a:bodyPr/>
                <a:lstStyle/>
                <a:p>
                  <a:pPr>
                    <a:defRPr sz="1200" b="1" i="0" u="none" strike="noStrike" baseline="0">
                      <a:solidFill>
                        <a:srgbClr val="000000"/>
                      </a:solidFill>
                      <a:latin typeface="Calibri"/>
                      <a:ea typeface="Calibri"/>
                      <a:cs typeface="Calibri"/>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D8F-4E85-91F8-28DA97B5A52B}"/>
                </c:ext>
              </c:extLst>
            </c:dLbl>
            <c:dLbl>
              <c:idx val="3"/>
              <c:delete val="1"/>
              <c:extLst>
                <c:ext xmlns:c15="http://schemas.microsoft.com/office/drawing/2012/chart" uri="{CE6537A1-D6FC-4f65-9D91-7224C49458BB}"/>
                <c:ext xmlns:c16="http://schemas.microsoft.com/office/drawing/2014/chart" uri="{C3380CC4-5D6E-409C-BE32-E72D297353CC}">
                  <c16:uniqueId val="{00000001-7D8F-4E85-91F8-28DA97B5A52B}"/>
                </c:ext>
              </c:extLst>
            </c:dLbl>
            <c:dLbl>
              <c:idx val="4"/>
              <c:delete val="1"/>
              <c:extLst>
                <c:ext xmlns:c15="http://schemas.microsoft.com/office/drawing/2012/chart" uri="{CE6537A1-D6FC-4f65-9D91-7224C49458BB}"/>
                <c:ext xmlns:c16="http://schemas.microsoft.com/office/drawing/2014/chart" uri="{C3380CC4-5D6E-409C-BE32-E72D297353CC}">
                  <c16:uniqueId val="{00000007-7D8F-4E85-91F8-28DA97B5A52B}"/>
                </c:ext>
              </c:extLst>
            </c:dLbl>
            <c:dLbl>
              <c:idx val="5"/>
              <c:spPr>
                <a:noFill/>
                <a:ln w="25400">
                  <a:noFill/>
                </a:ln>
              </c:spPr>
              <c:txPr>
                <a:bodyPr/>
                <a:lstStyle/>
                <a:p>
                  <a:pPr>
                    <a:defRPr sz="1200" b="1" i="0" u="none" strike="noStrike" baseline="0">
                      <a:solidFill>
                        <a:srgbClr val="000000"/>
                      </a:solidFill>
                      <a:latin typeface="Calibri"/>
                      <a:ea typeface="Calibri"/>
                      <a:cs typeface="Calibri"/>
                    </a:defRPr>
                  </a:pPr>
                  <a:endParaRPr lang="es-ES"/>
                </a:p>
              </c:txPr>
              <c:showLegendKey val="0"/>
              <c:showVal val="1"/>
              <c:showCatName val="0"/>
              <c:showSerName val="0"/>
              <c:showPercent val="0"/>
              <c:showBubbleSize val="0"/>
              <c:extLst>
                <c:ext xmlns:c16="http://schemas.microsoft.com/office/drawing/2014/chart" uri="{C3380CC4-5D6E-409C-BE32-E72D297353CC}">
                  <c16:uniqueId val="{00000002-7D8F-4E85-91F8-28DA97B5A52B}"/>
                </c:ext>
              </c:extLst>
            </c:dLbl>
            <c:dLbl>
              <c:idx val="6"/>
              <c:layout>
                <c:manualLayout>
                  <c:x val="-5.3691275167785232E-3"/>
                  <c:y val="-2.509751154523409E-2"/>
                </c:manualLayout>
              </c:layout>
              <c:spPr>
                <a:noFill/>
                <a:ln w="25400">
                  <a:noFill/>
                </a:ln>
              </c:spPr>
              <c:txPr>
                <a:bodyPr/>
                <a:lstStyle/>
                <a:p>
                  <a:pPr>
                    <a:defRPr sz="1200" b="1" i="0" u="none" strike="noStrike" baseline="0">
                      <a:solidFill>
                        <a:srgbClr val="000000"/>
                      </a:solidFill>
                      <a:latin typeface="Calibri"/>
                      <a:ea typeface="Calibri"/>
                      <a:cs typeface="Calibri"/>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D8F-4E85-91F8-28DA97B5A52B}"/>
                </c:ext>
              </c:extLst>
            </c:dLbl>
            <c:dLbl>
              <c:idx val="8"/>
              <c:spPr>
                <a:noFill/>
                <a:ln w="25400">
                  <a:noFill/>
                </a:ln>
              </c:spPr>
              <c:txPr>
                <a:bodyPr/>
                <a:lstStyle/>
                <a:p>
                  <a:pPr>
                    <a:defRPr sz="1200" b="1" i="0" u="none" strike="noStrike" baseline="0">
                      <a:solidFill>
                        <a:srgbClr val="000000"/>
                      </a:solidFill>
                      <a:latin typeface="Calibri"/>
                      <a:ea typeface="Calibri"/>
                      <a:cs typeface="Calibri"/>
                    </a:defRPr>
                  </a:pPr>
                  <a:endParaRPr lang="es-ES"/>
                </a:p>
              </c:txPr>
              <c:showLegendKey val="0"/>
              <c:showVal val="1"/>
              <c:showCatName val="0"/>
              <c:showSerName val="0"/>
              <c:showPercent val="0"/>
              <c:showBubbleSize val="0"/>
              <c:extLst>
                <c:ext xmlns:c16="http://schemas.microsoft.com/office/drawing/2014/chart" uri="{C3380CC4-5D6E-409C-BE32-E72D297353CC}">
                  <c16:uniqueId val="{00000004-7D8F-4E85-91F8-28DA97B5A52B}"/>
                </c:ext>
              </c:extLst>
            </c:dLbl>
            <c:dLbl>
              <c:idx val="10"/>
              <c:layout>
                <c:manualLayout>
                  <c:x val="1.2527964205816424E-2"/>
                  <c:y val="-7.735494323860249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D8F-4E85-91F8-28DA97B5A52B}"/>
                </c:ext>
              </c:extLst>
            </c:dLbl>
            <c:dLbl>
              <c:idx val="11"/>
              <c:delete val="1"/>
              <c:extLst>
                <c:ext xmlns:c15="http://schemas.microsoft.com/office/drawing/2012/chart" uri="{CE6537A1-D6FC-4f65-9D91-7224C49458BB}"/>
                <c:ext xmlns:c16="http://schemas.microsoft.com/office/drawing/2014/chart" uri="{C3380CC4-5D6E-409C-BE32-E72D297353CC}">
                  <c16:uniqueId val="{00000009-7D8F-4E85-91F8-28DA97B5A52B}"/>
                </c:ext>
              </c:extLst>
            </c:dLbl>
            <c:spPr>
              <a:noFill/>
              <a:ln w="25400">
                <a:noFill/>
              </a:ln>
            </c:spPr>
            <c:txPr>
              <a:bodyPr wrap="square" lIns="38100" tIns="19050" rIns="38100" bIns="19050" anchor="ctr">
                <a:spAutoFit/>
              </a:bodyPr>
              <a:lstStyle/>
              <a:p>
                <a:pPr>
                  <a:defRPr sz="1200" b="1" i="0" u="none" strike="noStrike" baseline="0">
                    <a:solidFill>
                      <a:srgbClr val="000000"/>
                    </a:solidFill>
                    <a:latin typeface="Calibri"/>
                    <a:ea typeface="Calibri"/>
                    <a:cs typeface="Calibri"/>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Hoja1!$N$28:$N$39</c:f>
              <c:numCache>
                <c:formatCode>General</c:formatCode>
                <c:ptCount val="12"/>
                <c:pt idx="0">
                  <c:v>0</c:v>
                </c:pt>
                <c:pt idx="1">
                  <c:v>1</c:v>
                </c:pt>
                <c:pt idx="2">
                  <c:v>0</c:v>
                </c:pt>
                <c:pt idx="3">
                  <c:v>0</c:v>
                </c:pt>
                <c:pt idx="4">
                  <c:v>0</c:v>
                </c:pt>
                <c:pt idx="5">
                  <c:v>1</c:v>
                </c:pt>
                <c:pt idx="6">
                  <c:v>5</c:v>
                </c:pt>
                <c:pt idx="7">
                  <c:v>0</c:v>
                </c:pt>
                <c:pt idx="8">
                  <c:v>2</c:v>
                </c:pt>
                <c:pt idx="9">
                  <c:v>1</c:v>
                </c:pt>
                <c:pt idx="10">
                  <c:v>0</c:v>
                </c:pt>
                <c:pt idx="11">
                  <c:v>0</c:v>
                </c:pt>
              </c:numCache>
            </c:numRef>
          </c:val>
          <c:smooth val="0"/>
          <c:extLst>
            <c:ext xmlns:c15="http://schemas.microsoft.com/office/drawing/2012/chart" uri="{02D57815-91ED-43cb-92C2-25804820EDAC}">
              <c15:filteredCategoryTitle>
                <c15:cat>
                  <c:strRef>
                    <c:extLst>
                      <c:ext uri="{02D57815-91ED-43cb-92C2-25804820EDAC}">
                        <c15:formulaRef>
                          <c15:sqref>Hoja1!$M$28:$M$39</c15:sqref>
                        </c15:formulaRef>
                      </c:ext>
                    </c:extLst>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15:cat>
              </c15:filteredCategoryTitle>
            </c:ext>
            <c:ext xmlns:c16="http://schemas.microsoft.com/office/drawing/2014/chart" uri="{C3380CC4-5D6E-409C-BE32-E72D297353CC}">
              <c16:uniqueId val="{0000000A-7D8F-4E85-91F8-28DA97B5A52B}"/>
            </c:ext>
          </c:extLst>
        </c:ser>
        <c:dLbls>
          <c:showLegendKey val="0"/>
          <c:showVal val="0"/>
          <c:showCatName val="0"/>
          <c:showSerName val="0"/>
          <c:showPercent val="0"/>
          <c:showBubbleSize val="0"/>
        </c:dLbls>
        <c:smooth val="0"/>
        <c:axId val="277454015"/>
        <c:axId val="1"/>
      </c:lineChart>
      <c:catAx>
        <c:axId val="277454015"/>
        <c:scaling>
          <c:orientation val="minMax"/>
        </c:scaling>
        <c:delete val="0"/>
        <c:axPos val="b"/>
        <c:numFmt formatCode="General" sourceLinked="1"/>
        <c:majorTickMark val="none"/>
        <c:minorTickMark val="none"/>
        <c:tickLblPos val="nextTo"/>
        <c:spPr>
          <a:ln w="3175">
            <a:solidFill>
              <a:srgbClr val="C0C0C0"/>
            </a:solidFill>
            <a:prstDash val="solid"/>
          </a:ln>
        </c:spPr>
        <c:txPr>
          <a:bodyPr rot="-2700000" vert="horz"/>
          <a:lstStyle/>
          <a:p>
            <a:pPr>
              <a:defRPr sz="1050" b="1" i="0" u="none" strike="noStrike" baseline="0">
                <a:solidFill>
                  <a:srgbClr val="800000"/>
                </a:solidFill>
                <a:latin typeface="Open Sans" panose="020B0606030504020204" pitchFamily="34" charset="0"/>
                <a:ea typeface="Open Sans" panose="020B0606030504020204" pitchFamily="34" charset="0"/>
                <a:cs typeface="Open Sans" panose="020B0606030504020204" pitchFamily="34" charset="0"/>
              </a:defRPr>
            </a:pPr>
            <a:endParaRPr lang="es-ES"/>
          </a:p>
        </c:txPr>
        <c:crossAx val="1"/>
        <c:crossesAt val="0"/>
        <c:auto val="1"/>
        <c:lblAlgn val="ctr"/>
        <c:lblOffset val="100"/>
        <c:noMultiLvlLbl val="0"/>
      </c:catAx>
      <c:valAx>
        <c:axId val="1"/>
        <c:scaling>
          <c:orientation val="minMax"/>
        </c:scaling>
        <c:delete val="1"/>
        <c:axPos val="l"/>
        <c:numFmt formatCode="General" sourceLinked="1"/>
        <c:majorTickMark val="out"/>
        <c:minorTickMark val="none"/>
        <c:tickLblPos val="nextTo"/>
        <c:crossAx val="277454015"/>
        <c:crossesAt val="1"/>
        <c:crossBetween val="between"/>
      </c:valAx>
      <c:spPr>
        <a:noFill/>
        <a:ln w="12700">
          <a:solidFill>
            <a:srgbClr val="C0C0C0"/>
          </a:solidFill>
          <a:prstDash val="solid"/>
        </a:ln>
      </c:spPr>
    </c:plotArea>
    <c:plotVisOnly val="1"/>
    <c:dispBlanksAs val="gap"/>
    <c:showDLblsOverMax val="0"/>
  </c:chart>
  <c:spPr>
    <a:solidFill>
      <a:srgbClr val="FFFFFF"/>
    </a:solidFill>
    <a:ln w="6350">
      <a:noFill/>
    </a:ln>
  </c:spPr>
  <c:txPr>
    <a:bodyPr/>
    <a:lstStyle/>
    <a:p>
      <a:pPr>
        <a:defRPr sz="1100" b="0" i="0" u="none" strike="noStrike" baseline="0">
          <a:solidFill>
            <a:srgbClr val="000000"/>
          </a:solidFill>
          <a:latin typeface="Arial"/>
          <a:ea typeface="Arial"/>
          <a:cs typeface="Arial"/>
        </a:defRPr>
      </a:pPr>
      <a:endParaRPr lang="es-E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33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50000"/>
            <a:lumOff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4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CB9E7C2-3498-4512-BB86-9076F3B33BFC}" type="doc">
      <dgm:prSet loTypeId="urn:microsoft.com/office/officeart/2005/8/layout/hierarchy2" loCatId="hierarchy" qsTypeId="urn:microsoft.com/office/officeart/2005/8/quickstyle/simple1" qsCatId="simple" csTypeId="urn:microsoft.com/office/officeart/2005/8/colors/accent0_1" csCatId="mainScheme" phldr="1"/>
      <dgm:spPr/>
      <dgm:t>
        <a:bodyPr/>
        <a:lstStyle/>
        <a:p>
          <a:endParaRPr lang="es-ES"/>
        </a:p>
      </dgm:t>
    </dgm:pt>
    <dgm:pt modelId="{75CBDC0D-F7FA-432D-B1C0-2730D2524A8F}">
      <dgm:prSet phldrT="[Texto]"/>
      <dgm:spPr>
        <a:xfrm>
          <a:off x="336" y="1174241"/>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es-ES" b="1" dirty="0" err="1">
              <a:solidFill>
                <a:sysClr val="windowText" lastClr="000000">
                  <a:hueOff val="0"/>
                  <a:satOff val="0"/>
                  <a:lumOff val="0"/>
                  <a:alphaOff val="0"/>
                </a:sysClr>
              </a:solidFill>
              <a:latin typeface="Calibri" panose="020F0502020204030204"/>
              <a:ea typeface="+mn-ea"/>
              <a:cs typeface="+mn-cs"/>
            </a:rPr>
            <a:t>Formación</a:t>
          </a:r>
          <a:r>
            <a:rPr lang="es-ES" b="1" dirty="0">
              <a:solidFill>
                <a:sysClr val="windowText" lastClr="000000">
                  <a:hueOff val="0"/>
                  <a:satOff val="0"/>
                  <a:lumOff val="0"/>
                  <a:alphaOff val="0"/>
                </a:sysClr>
              </a:solidFill>
              <a:latin typeface="Calibri" panose="020F0502020204030204"/>
              <a:ea typeface="+mn-ea"/>
              <a:cs typeface="+mn-cs"/>
            </a:rPr>
            <a:t> externa</a:t>
          </a:r>
        </a:p>
      </dgm:t>
    </dgm:pt>
    <dgm:pt modelId="{AFFDE7D6-38B5-4749-9444-5F12C97FD068}" type="parTrans" cxnId="{89CBB0D3-D0C4-4A39-85D3-0DE2C4686A0D}">
      <dgm:prSet/>
      <dgm:spPr/>
      <dgm:t>
        <a:bodyPr/>
        <a:lstStyle/>
        <a:p>
          <a:pPr algn="ctr"/>
          <a:endParaRPr lang="es-ES" b="1"/>
        </a:p>
      </dgm:t>
    </dgm:pt>
    <dgm:pt modelId="{166E0337-DCBB-4CAB-8D2B-5EC40E9E2611}" type="sibTrans" cxnId="{89CBB0D3-D0C4-4A39-85D3-0DE2C4686A0D}">
      <dgm:prSet/>
      <dgm:spPr/>
      <dgm:t>
        <a:bodyPr/>
        <a:lstStyle/>
        <a:p>
          <a:pPr algn="ctr"/>
          <a:endParaRPr lang="es-ES" b="1"/>
        </a:p>
      </dgm:t>
    </dgm:pt>
    <dgm:pt modelId="{4197F686-24E4-4B2E-832E-38EEF15CC124}">
      <dgm:prSet/>
      <dgm:spPr>
        <a:xfrm>
          <a:off x="2323843" y="70835"/>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es-ES" b="1" dirty="0" err="1">
              <a:solidFill>
                <a:sysClr val="windowText" lastClr="000000">
                  <a:hueOff val="0"/>
                  <a:satOff val="0"/>
                  <a:lumOff val="0"/>
                  <a:alphaOff val="0"/>
                </a:sysClr>
              </a:solidFill>
              <a:latin typeface="Calibri" panose="020F0502020204030204"/>
              <a:ea typeface="+mn-ea"/>
              <a:cs typeface="+mn-cs"/>
            </a:rPr>
            <a:t>Administración</a:t>
          </a:r>
          <a:r>
            <a:rPr lang="es-ES" b="1" dirty="0">
              <a:solidFill>
                <a:sysClr val="windowText" lastClr="000000">
                  <a:hueOff val="0"/>
                  <a:satOff val="0"/>
                  <a:lumOff val="0"/>
                  <a:alphaOff val="0"/>
                </a:sysClr>
              </a:solidFill>
              <a:latin typeface="Calibri" panose="020F0502020204030204"/>
              <a:ea typeface="+mn-ea"/>
              <a:cs typeface="+mn-cs"/>
            </a:rPr>
            <a:t> </a:t>
          </a:r>
          <a:r>
            <a:rPr lang="es-ES" b="1" dirty="0" err="1">
              <a:solidFill>
                <a:sysClr val="windowText" lastClr="000000">
                  <a:hueOff val="0"/>
                  <a:satOff val="0"/>
                  <a:lumOff val="0"/>
                  <a:alphaOff val="0"/>
                </a:sysClr>
              </a:solidFill>
              <a:latin typeface="Calibri" panose="020F0502020204030204"/>
              <a:ea typeface="+mn-ea"/>
              <a:cs typeface="+mn-cs"/>
            </a:rPr>
            <a:t>autonómica</a:t>
          </a:r>
          <a:endParaRPr lang="es-ES" b="1" dirty="0">
            <a:solidFill>
              <a:sysClr val="windowText" lastClr="000000">
                <a:hueOff val="0"/>
                <a:satOff val="0"/>
                <a:lumOff val="0"/>
                <a:alphaOff val="0"/>
              </a:sysClr>
            </a:solidFill>
            <a:latin typeface="Calibri" panose="020F0502020204030204"/>
            <a:ea typeface="+mn-ea"/>
            <a:cs typeface="+mn-cs"/>
          </a:endParaRPr>
        </a:p>
      </dgm:t>
    </dgm:pt>
    <dgm:pt modelId="{011A8CE5-15F5-43A3-9271-0985F4C307E0}" type="parTrans" cxnId="{8EDD804F-7408-44DA-9DC5-1ABC188121E8}">
      <dgm:prSet/>
      <dgm:spPr>
        <a:xfrm rot="19457599">
          <a:off x="1953492" y="386658"/>
          <a:ext cx="408772" cy="21840"/>
        </a:xfrm>
        <a:custGeom>
          <a:avLst/>
          <a:gdLst/>
          <a:ahLst/>
          <a:cxnLst/>
          <a:rect l="0" t="0" r="0" b="0"/>
          <a:pathLst>
            <a:path>
              <a:moveTo>
                <a:pt x="0" y="11381"/>
              </a:moveTo>
              <a:lnTo>
                <a:pt x="396138" y="11381"/>
              </a:lnTo>
            </a:path>
          </a:pathLst>
        </a:custGeo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F51DCCFA-4C1D-4A3C-B13C-C347B322C24C}" type="sibTrans" cxnId="{8EDD804F-7408-44DA-9DC5-1ABC188121E8}">
      <dgm:prSet/>
      <dgm:spPr/>
      <dgm:t>
        <a:bodyPr/>
        <a:lstStyle/>
        <a:p>
          <a:pPr algn="ctr"/>
          <a:endParaRPr lang="es-ES" b="1"/>
        </a:p>
      </dgm:t>
    </dgm:pt>
    <dgm:pt modelId="{BD8695AD-2191-4ED0-9021-3828B734F660}">
      <dgm:prSet phldrT="[Texto]"/>
      <dgm:spPr>
        <a:xfrm>
          <a:off x="1162089" y="309409"/>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es-ES" b="1">
              <a:solidFill>
                <a:sysClr val="windowText" lastClr="000000">
                  <a:hueOff val="0"/>
                  <a:satOff val="0"/>
                  <a:lumOff val="0"/>
                  <a:alphaOff val="0"/>
                </a:sysClr>
              </a:solidFill>
              <a:latin typeface="Calibri" panose="020F0502020204030204"/>
              <a:ea typeface="+mn-ea"/>
              <a:cs typeface="+mn-cs"/>
            </a:rPr>
            <a:t>Función </a:t>
          </a:r>
          <a:r>
            <a:rPr lang="es-ES" b="1" dirty="0">
              <a:solidFill>
                <a:sysClr val="windowText" lastClr="000000">
                  <a:hueOff val="0"/>
                  <a:satOff val="0"/>
                  <a:lumOff val="0"/>
                  <a:alphaOff val="0"/>
                </a:sysClr>
              </a:solidFill>
              <a:latin typeface="Calibri" panose="020F0502020204030204"/>
              <a:ea typeface="+mn-ea"/>
              <a:cs typeface="+mn-cs"/>
            </a:rPr>
            <a:t>pública </a:t>
          </a:r>
        </a:p>
      </dgm:t>
    </dgm:pt>
    <dgm:pt modelId="{E36517E8-D9CE-4329-A64B-A74983289C8E}" type="sibTrans" cxnId="{5DDCD20A-D7B6-43DE-8046-89B5791F3255}">
      <dgm:prSet/>
      <dgm:spPr/>
      <dgm:t>
        <a:bodyPr/>
        <a:lstStyle/>
        <a:p>
          <a:pPr algn="ctr"/>
          <a:endParaRPr lang="es-ES" b="1"/>
        </a:p>
      </dgm:t>
    </dgm:pt>
    <dgm:pt modelId="{6EB2F7A6-9142-4723-AE0C-5455F8216ED1}" type="parTrans" cxnId="{5DDCD20A-D7B6-43DE-8046-89B5791F3255}">
      <dgm:prSet/>
      <dgm:spPr>
        <a:xfrm rot="17459832">
          <a:off x="532953" y="938361"/>
          <a:ext cx="926343" cy="21840"/>
        </a:xfrm>
        <a:custGeom>
          <a:avLst/>
          <a:gdLst/>
          <a:ahLst/>
          <a:cxnLst/>
          <a:rect l="0" t="0" r="0" b="0"/>
          <a:pathLst>
            <a:path>
              <a:moveTo>
                <a:pt x="0" y="11381"/>
              </a:moveTo>
              <a:lnTo>
                <a:pt x="897712" y="11381"/>
              </a:lnTo>
            </a:path>
          </a:pathLst>
        </a:custGeom>
        <a:noFill/>
        <a:ln w="12700" cap="flat" cmpd="sng" algn="ctr">
          <a:solidFill>
            <a:sysClr val="windowText" lastClr="000000">
              <a:shade val="6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FB497058-03EC-4348-8585-2BDCE45AAED9}">
      <dgm:prSet/>
      <dgm:spPr>
        <a:xfrm>
          <a:off x="1162089" y="2044139"/>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es-ES" b="1" dirty="0" err="1">
              <a:solidFill>
                <a:sysClr val="windowText" lastClr="000000">
                  <a:hueOff val="0"/>
                  <a:satOff val="0"/>
                  <a:lumOff val="0"/>
                  <a:alphaOff val="0"/>
                </a:sysClr>
              </a:solidFill>
              <a:latin typeface="Calibri" panose="020F0502020204030204"/>
              <a:ea typeface="+mn-ea"/>
              <a:cs typeface="+mn-cs"/>
            </a:rPr>
            <a:t>Ciutadanía</a:t>
          </a:r>
          <a:endParaRPr lang="es-ES" b="1" dirty="0">
            <a:solidFill>
              <a:sysClr val="windowText" lastClr="000000">
                <a:hueOff val="0"/>
                <a:satOff val="0"/>
                <a:lumOff val="0"/>
                <a:alphaOff val="0"/>
              </a:sysClr>
            </a:solidFill>
            <a:latin typeface="Calibri" panose="020F0502020204030204"/>
            <a:ea typeface="+mn-ea"/>
            <a:cs typeface="+mn-cs"/>
          </a:endParaRPr>
        </a:p>
      </dgm:t>
    </dgm:pt>
    <dgm:pt modelId="{0B422D39-7C6B-4208-A6AB-8330A4753B8D}" type="parTrans" cxnId="{6C960D8C-789B-4263-8686-B4B4638C0E4D}">
      <dgm:prSet/>
      <dgm:spPr>
        <a:xfrm rot="4146870">
          <a:off x="530587" y="1805726"/>
          <a:ext cx="931074" cy="21840"/>
        </a:xfrm>
        <a:custGeom>
          <a:avLst/>
          <a:gdLst/>
          <a:ahLst/>
          <a:cxnLst/>
          <a:rect l="0" t="0" r="0" b="0"/>
          <a:pathLst>
            <a:path>
              <a:moveTo>
                <a:pt x="0" y="11381"/>
              </a:moveTo>
              <a:lnTo>
                <a:pt x="902297" y="11381"/>
              </a:lnTo>
            </a:path>
          </a:pathLst>
        </a:custGeom>
        <a:noFill/>
        <a:ln w="12700" cap="flat" cmpd="sng" algn="ctr">
          <a:solidFill>
            <a:sysClr val="windowText" lastClr="000000">
              <a:shade val="6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C66EB6A7-08D9-4C78-ABB0-EBF62E67A477}" type="sibTrans" cxnId="{6C960D8C-789B-4263-8686-B4B4638C0E4D}">
      <dgm:prSet/>
      <dgm:spPr/>
      <dgm:t>
        <a:bodyPr/>
        <a:lstStyle/>
        <a:p>
          <a:pPr algn="ctr"/>
          <a:endParaRPr lang="es-ES" b="1"/>
        </a:p>
      </dgm:t>
    </dgm:pt>
    <dgm:pt modelId="{B6629F55-C264-4CBC-8FA3-58AF84426DAA}">
      <dgm:prSet/>
      <dgm:spPr>
        <a:xfrm>
          <a:off x="2323843" y="1382994"/>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es-ES" b="1" dirty="0" err="1">
              <a:solidFill>
                <a:sysClr val="windowText" lastClr="000000">
                  <a:hueOff val="0"/>
                  <a:satOff val="0"/>
                  <a:lumOff val="0"/>
                  <a:alphaOff val="0"/>
                </a:sysClr>
              </a:solidFill>
              <a:latin typeface="Calibri" panose="020F0502020204030204"/>
              <a:ea typeface="+mn-ea"/>
              <a:cs typeface="+mn-cs"/>
            </a:rPr>
            <a:t>Universidad</a:t>
          </a:r>
          <a:endParaRPr lang="es-ES" b="1" dirty="0">
            <a:solidFill>
              <a:sysClr val="windowText" lastClr="000000">
                <a:hueOff val="0"/>
                <a:satOff val="0"/>
                <a:lumOff val="0"/>
                <a:alphaOff val="0"/>
              </a:sysClr>
            </a:solidFill>
            <a:latin typeface="Calibri" panose="020F0502020204030204"/>
            <a:ea typeface="+mn-ea"/>
            <a:cs typeface="+mn-cs"/>
          </a:endParaRPr>
        </a:p>
      </dgm:t>
    </dgm:pt>
    <dgm:pt modelId="{3A6D34FC-0B28-4AF6-9A79-F3CD833A116D}" type="parTrans" cxnId="{E686284C-7DCB-4D11-86CF-2BA3A4DEF05A}">
      <dgm:prSet/>
      <dgm:spPr>
        <a:xfrm rot="17799542">
          <a:off x="1787982" y="1910102"/>
          <a:ext cx="739790" cy="21840"/>
        </a:xfrm>
        <a:custGeom>
          <a:avLst/>
          <a:gdLst/>
          <a:ahLst/>
          <a:cxnLst/>
          <a:rect l="0" t="0" r="0" b="0"/>
          <a:pathLst>
            <a:path>
              <a:moveTo>
                <a:pt x="0" y="11381"/>
              </a:moveTo>
              <a:lnTo>
                <a:pt x="716925" y="11381"/>
              </a:lnTo>
            </a:path>
          </a:pathLst>
        </a:custGeo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E43889A1-7CCD-4D82-907D-E7E2E2181BD1}" type="sibTrans" cxnId="{E686284C-7DCB-4D11-86CF-2BA3A4DEF05A}">
      <dgm:prSet/>
      <dgm:spPr/>
      <dgm:t>
        <a:bodyPr/>
        <a:lstStyle/>
        <a:p>
          <a:pPr algn="ctr"/>
          <a:endParaRPr lang="es-ES" b="1"/>
        </a:p>
      </dgm:t>
    </dgm:pt>
    <dgm:pt modelId="{4AEBD80B-EBB1-4431-8E70-741E381F647E}">
      <dgm:prSet/>
      <dgm:spPr>
        <a:xfrm>
          <a:off x="3485596" y="1025132"/>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es-ES" b="1" dirty="0" err="1">
              <a:solidFill>
                <a:sysClr val="windowText" lastClr="000000">
                  <a:hueOff val="0"/>
                  <a:satOff val="0"/>
                  <a:lumOff val="0"/>
                  <a:alphaOff val="0"/>
                </a:sysClr>
              </a:solidFill>
              <a:latin typeface="Calibri" panose="020F0502020204030204"/>
              <a:ea typeface="+mn-ea"/>
              <a:cs typeface="+mn-cs"/>
            </a:rPr>
            <a:t>Vicerrectorado</a:t>
          </a:r>
          <a:r>
            <a:rPr lang="es-ES" b="1" dirty="0">
              <a:solidFill>
                <a:sysClr val="windowText" lastClr="000000">
                  <a:hueOff val="0"/>
                  <a:satOff val="0"/>
                  <a:lumOff val="0"/>
                  <a:alphaOff val="0"/>
                </a:sysClr>
              </a:solidFill>
              <a:latin typeface="Calibri" panose="020F0502020204030204"/>
              <a:ea typeface="+mn-ea"/>
              <a:cs typeface="+mn-cs"/>
            </a:rPr>
            <a:t> </a:t>
          </a:r>
          <a:r>
            <a:rPr lang="es-ES" b="1" dirty="0" err="1">
              <a:solidFill>
                <a:sysClr val="windowText" lastClr="000000">
                  <a:hueOff val="0"/>
                  <a:satOff val="0"/>
                  <a:lumOff val="0"/>
                  <a:alphaOff val="0"/>
                </a:sysClr>
              </a:solidFill>
              <a:latin typeface="Calibri" panose="020F0502020204030204"/>
              <a:ea typeface="+mn-ea"/>
              <a:cs typeface="+mn-cs"/>
            </a:rPr>
            <a:t>Participación</a:t>
          </a:r>
          <a:r>
            <a:rPr lang="es-ES" b="1" dirty="0">
              <a:solidFill>
                <a:sysClr val="windowText" lastClr="000000">
                  <a:hueOff val="0"/>
                  <a:satOff val="0"/>
                  <a:lumOff val="0"/>
                  <a:alphaOff val="0"/>
                </a:sysClr>
              </a:solidFill>
              <a:latin typeface="Calibri" panose="020F0502020204030204"/>
              <a:ea typeface="+mn-ea"/>
              <a:cs typeface="+mn-cs"/>
            </a:rPr>
            <a:t> y </a:t>
          </a:r>
          <a:r>
            <a:rPr lang="es-ES" b="1" dirty="0" err="1">
              <a:solidFill>
                <a:sysClr val="windowText" lastClr="000000">
                  <a:hueOff val="0"/>
                  <a:satOff val="0"/>
                  <a:lumOff val="0"/>
                  <a:alphaOff val="0"/>
                </a:sysClr>
              </a:solidFill>
              <a:latin typeface="Calibri" panose="020F0502020204030204"/>
              <a:ea typeface="+mn-ea"/>
              <a:cs typeface="+mn-cs"/>
            </a:rPr>
            <a:t>Territorio</a:t>
          </a:r>
          <a:r>
            <a:rPr lang="es-ES" b="1" dirty="0">
              <a:solidFill>
                <a:sysClr val="windowText" lastClr="000000">
                  <a:hueOff val="0"/>
                  <a:satOff val="0"/>
                  <a:lumOff val="0"/>
                  <a:alphaOff val="0"/>
                </a:sysClr>
              </a:solidFill>
              <a:latin typeface="Calibri" panose="020F0502020204030204"/>
              <a:ea typeface="+mn-ea"/>
              <a:cs typeface="+mn-cs"/>
            </a:rPr>
            <a:t> (UV)</a:t>
          </a:r>
        </a:p>
      </dgm:t>
    </dgm:pt>
    <dgm:pt modelId="{D8312374-3174-4EEC-99C9-04ADA8D6293D}" type="parTrans" cxnId="{2898D68D-A038-4E56-BFB6-DBEB964E520C}">
      <dgm:prSet/>
      <dgm:spPr>
        <a:xfrm rot="18770822">
          <a:off x="3075581" y="1400599"/>
          <a:ext cx="488100" cy="21840"/>
        </a:xfrm>
        <a:custGeom>
          <a:avLst/>
          <a:gdLst/>
          <a:ahLst/>
          <a:cxnLst/>
          <a:rect l="0" t="0" r="0" b="0"/>
          <a:pathLst>
            <a:path>
              <a:moveTo>
                <a:pt x="0" y="11381"/>
              </a:moveTo>
              <a:lnTo>
                <a:pt x="473014" y="11381"/>
              </a:lnTo>
            </a:path>
          </a:pathLst>
        </a:custGeo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50EFCF72-6BD3-4991-A5A0-0232D036B2B7}" type="sibTrans" cxnId="{2898D68D-A038-4E56-BFB6-DBEB964E520C}">
      <dgm:prSet/>
      <dgm:spPr/>
      <dgm:t>
        <a:bodyPr/>
        <a:lstStyle/>
        <a:p>
          <a:pPr algn="ctr"/>
          <a:endParaRPr lang="es-ES" b="1"/>
        </a:p>
      </dgm:t>
    </dgm:pt>
    <dgm:pt modelId="{EEC025DC-C9D4-4E56-B1B2-26BBA5F2A0A9}">
      <dgm:prSet/>
      <dgm:spPr>
        <a:xfrm>
          <a:off x="3485596" y="64433"/>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es-ES" b="1" dirty="0">
              <a:solidFill>
                <a:sysClr val="windowText" lastClr="000000">
                  <a:hueOff val="0"/>
                  <a:satOff val="0"/>
                  <a:lumOff val="0"/>
                  <a:alphaOff val="0"/>
                </a:sysClr>
              </a:solidFill>
              <a:latin typeface="Calibri" panose="020F0502020204030204"/>
              <a:ea typeface="+mn-ea"/>
              <a:cs typeface="+mn-cs"/>
            </a:rPr>
            <a:t>II Curso Integridad y Prevención de la Contractación Pública (IVAP)</a:t>
          </a:r>
        </a:p>
      </dgm:t>
    </dgm:pt>
    <dgm:pt modelId="{A53B72F8-E6F2-4C75-A557-7971065379B4}" type="parTrans" cxnId="{CAC87FF4-5184-43A7-834F-C9F4E9A29FB1}">
      <dgm:prSet/>
      <dgm:spPr>
        <a:xfrm rot="21533703">
          <a:off x="3153636" y="264170"/>
          <a:ext cx="331991" cy="21840"/>
        </a:xfrm>
        <a:custGeom>
          <a:avLst/>
          <a:gdLst/>
          <a:ahLst/>
          <a:cxnLst/>
          <a:rect l="0" t="0" r="0" b="0"/>
          <a:pathLst>
            <a:path>
              <a:moveTo>
                <a:pt x="0" y="11381"/>
              </a:moveTo>
              <a:lnTo>
                <a:pt x="321673" y="11381"/>
              </a:lnTo>
            </a:path>
          </a:pathLst>
        </a:custGeo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45C56873-39F2-43BC-B76A-1CFA05D3C8DB}" type="sibTrans" cxnId="{CAC87FF4-5184-43A7-834F-C9F4E9A29FB1}">
      <dgm:prSet/>
      <dgm:spPr/>
      <dgm:t>
        <a:bodyPr/>
        <a:lstStyle/>
        <a:p>
          <a:pPr algn="ctr"/>
          <a:endParaRPr lang="es-ES" b="1"/>
        </a:p>
      </dgm:t>
    </dgm:pt>
    <dgm:pt modelId="{6E5A3097-B1F1-4329-8D9C-556A0C077611}">
      <dgm:prSet/>
      <dgm:spPr>
        <a:xfrm>
          <a:off x="2331477" y="550569"/>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es-ES" b="1" dirty="0" err="1">
              <a:solidFill>
                <a:sysClr val="windowText" lastClr="000000">
                  <a:hueOff val="0"/>
                  <a:satOff val="0"/>
                  <a:lumOff val="0"/>
                  <a:alphaOff val="0"/>
                </a:sysClr>
              </a:solidFill>
              <a:latin typeface="Calibri" panose="020F0502020204030204"/>
              <a:ea typeface="+mn-ea"/>
              <a:cs typeface="+mn-cs"/>
            </a:rPr>
            <a:t>Administración</a:t>
          </a:r>
          <a:r>
            <a:rPr lang="es-ES" b="1" dirty="0">
              <a:solidFill>
                <a:sysClr val="windowText" lastClr="000000">
                  <a:hueOff val="0"/>
                  <a:satOff val="0"/>
                  <a:lumOff val="0"/>
                  <a:alphaOff val="0"/>
                </a:sysClr>
              </a:solidFill>
              <a:latin typeface="Calibri" panose="020F0502020204030204"/>
              <a:ea typeface="+mn-ea"/>
              <a:cs typeface="+mn-cs"/>
            </a:rPr>
            <a:t> local</a:t>
          </a:r>
        </a:p>
      </dgm:t>
    </dgm:pt>
    <dgm:pt modelId="{A35DD61E-CCF0-4AC5-8F14-C387F64BFCB1}" type="parTrans" cxnId="{85017F03-7FCA-4715-AA54-898C2435FF69}">
      <dgm:prSet/>
      <dgm:spPr>
        <a:xfrm rot="2122949">
          <a:off x="1953452" y="626525"/>
          <a:ext cx="416486" cy="21840"/>
        </a:xfrm>
        <a:custGeom>
          <a:avLst/>
          <a:gdLst/>
          <a:ahLst/>
          <a:cxnLst/>
          <a:rect l="0" t="0" r="0" b="0"/>
          <a:pathLst>
            <a:path>
              <a:moveTo>
                <a:pt x="0" y="11381"/>
              </a:moveTo>
              <a:lnTo>
                <a:pt x="403614" y="11381"/>
              </a:lnTo>
            </a:path>
          </a:pathLst>
        </a:custGeo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9374CCF6-FE17-4B41-AFA5-13413FCE3955}" type="sibTrans" cxnId="{85017F03-7FCA-4715-AA54-898C2435FF69}">
      <dgm:prSet/>
      <dgm:spPr/>
      <dgm:t>
        <a:bodyPr/>
        <a:lstStyle/>
        <a:p>
          <a:pPr algn="ctr"/>
          <a:endParaRPr lang="es-ES" b="1"/>
        </a:p>
      </dgm:t>
    </dgm:pt>
    <dgm:pt modelId="{D841BBB4-7EF5-492B-A7AD-A1CBCF190B9C}">
      <dgm:prSet/>
      <dgm:spPr>
        <a:xfrm>
          <a:off x="3485596" y="547984"/>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es-ES" b="1" dirty="0">
              <a:solidFill>
                <a:sysClr val="windowText" lastClr="000000">
                  <a:hueOff val="0"/>
                  <a:satOff val="0"/>
                  <a:lumOff val="0"/>
                  <a:alphaOff val="0"/>
                </a:sysClr>
              </a:solidFill>
              <a:latin typeface="Calibri" panose="020F0502020204030204"/>
              <a:ea typeface="+mn-ea"/>
              <a:cs typeface="+mn-cs"/>
            </a:rPr>
            <a:t>Programa </a:t>
          </a:r>
          <a:r>
            <a:rPr lang="es-ES" b="1" dirty="0" err="1">
              <a:solidFill>
                <a:sysClr val="windowText" lastClr="000000">
                  <a:hueOff val="0"/>
                  <a:satOff val="0"/>
                  <a:lumOff val="0"/>
                  <a:alphaOff val="0"/>
                </a:sysClr>
              </a:solidFill>
              <a:latin typeface="Calibri" panose="020F0502020204030204"/>
              <a:ea typeface="+mn-ea"/>
              <a:cs typeface="+mn-cs"/>
            </a:rPr>
            <a:t>formación</a:t>
          </a:r>
          <a:r>
            <a:rPr lang="es-ES" b="1" dirty="0">
              <a:solidFill>
                <a:sysClr val="windowText" lastClr="000000">
                  <a:hueOff val="0"/>
                  <a:satOff val="0"/>
                  <a:lumOff val="0"/>
                  <a:alphaOff val="0"/>
                </a:sysClr>
              </a:solidFill>
              <a:latin typeface="Calibri" panose="020F0502020204030204"/>
              <a:ea typeface="+mn-ea"/>
              <a:cs typeface="+mn-cs"/>
            </a:rPr>
            <a:t> </a:t>
          </a:r>
          <a:r>
            <a:rPr lang="es-ES" b="1" dirty="0" err="1">
              <a:solidFill>
                <a:sysClr val="windowText" lastClr="000000">
                  <a:hueOff val="0"/>
                  <a:satOff val="0"/>
                  <a:lumOff val="0"/>
                  <a:alphaOff val="0"/>
                </a:sysClr>
              </a:solidFill>
              <a:latin typeface="Calibri" panose="020F0502020204030204"/>
              <a:ea typeface="+mn-ea"/>
              <a:cs typeface="+mn-cs"/>
            </a:rPr>
            <a:t>cargos electos</a:t>
          </a:r>
          <a:r>
            <a:rPr lang="es-ES" b="1" dirty="0">
              <a:solidFill>
                <a:sysClr val="windowText" lastClr="000000">
                  <a:hueOff val="0"/>
                  <a:satOff val="0"/>
                  <a:lumOff val="0"/>
                  <a:alphaOff val="0"/>
                </a:sysClr>
              </a:solidFill>
              <a:latin typeface="Calibri" panose="020F0502020204030204"/>
              <a:ea typeface="+mn-ea"/>
              <a:cs typeface="+mn-cs"/>
            </a:rPr>
            <a:t> y </a:t>
          </a:r>
          <a:r>
            <a:rPr lang="es-ES" b="1" dirty="0" err="1">
              <a:solidFill>
                <a:sysClr val="windowText" lastClr="000000">
                  <a:hueOff val="0"/>
                  <a:satOff val="0"/>
                  <a:lumOff val="0"/>
                  <a:alphaOff val="0"/>
                </a:sysClr>
              </a:solidFill>
              <a:latin typeface="Calibri" panose="020F0502020204030204"/>
              <a:ea typeface="+mn-ea"/>
              <a:cs typeface="+mn-cs"/>
            </a:rPr>
            <a:t>directivos</a:t>
          </a:r>
          <a:r>
            <a:rPr lang="es-ES" b="1" dirty="0">
              <a:solidFill>
                <a:sysClr val="windowText" lastClr="000000">
                  <a:hueOff val="0"/>
                  <a:satOff val="0"/>
                  <a:lumOff val="0"/>
                  <a:alphaOff val="0"/>
                </a:sysClr>
              </a:solidFill>
              <a:latin typeface="Calibri" panose="020F0502020204030204"/>
              <a:ea typeface="+mn-ea"/>
              <a:cs typeface="+mn-cs"/>
            </a:rPr>
            <a:t> </a:t>
          </a:r>
          <a:r>
            <a:rPr lang="es-ES" b="1" dirty="0" err="1">
              <a:solidFill>
                <a:sysClr val="windowText" lastClr="000000">
                  <a:hueOff val="0"/>
                  <a:satOff val="0"/>
                  <a:lumOff val="0"/>
                  <a:alphaOff val="0"/>
                </a:sysClr>
              </a:solidFill>
              <a:latin typeface="Calibri" panose="020F0502020204030204"/>
              <a:ea typeface="+mn-ea"/>
              <a:cs typeface="+mn-cs"/>
            </a:rPr>
            <a:t>locales</a:t>
          </a:r>
          <a:r>
            <a:rPr lang="es-ES" b="1" dirty="0">
              <a:solidFill>
                <a:sysClr val="windowText" lastClr="000000">
                  <a:hueOff val="0"/>
                  <a:satOff val="0"/>
                  <a:lumOff val="0"/>
                  <a:alphaOff val="0"/>
                </a:sysClr>
              </a:solidFill>
              <a:latin typeface="Calibri" panose="020F0502020204030204"/>
              <a:ea typeface="+mn-ea"/>
              <a:cs typeface="+mn-cs"/>
            </a:rPr>
            <a:t> DIVAL</a:t>
          </a:r>
        </a:p>
      </dgm:t>
    </dgm:pt>
    <dgm:pt modelId="{316E08B3-11E8-4D5D-8651-C97EB7197DC3}" type="parTrans" cxnId="{C2439B69-852F-4D99-BD73-58421BE59E63}">
      <dgm:prSet/>
      <dgm:spPr>
        <a:xfrm rot="21572599">
          <a:off x="3161296" y="745812"/>
          <a:ext cx="324305" cy="21840"/>
        </a:xfrm>
        <a:custGeom>
          <a:avLst/>
          <a:gdLst/>
          <a:ahLst/>
          <a:cxnLst/>
          <a:rect l="0" t="0" r="0" b="0"/>
          <a:pathLst>
            <a:path>
              <a:moveTo>
                <a:pt x="0" y="11381"/>
              </a:moveTo>
              <a:lnTo>
                <a:pt x="314281" y="11381"/>
              </a:lnTo>
            </a:path>
          </a:pathLst>
        </a:custGeo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79C72491-64FF-4967-9518-6CF08D3B2BD0}" type="sibTrans" cxnId="{C2439B69-852F-4D99-BD73-58421BE59E63}">
      <dgm:prSet/>
      <dgm:spPr/>
      <dgm:t>
        <a:bodyPr/>
        <a:lstStyle/>
        <a:p>
          <a:pPr algn="ctr"/>
          <a:endParaRPr lang="es-ES" b="1"/>
        </a:p>
      </dgm:t>
    </dgm:pt>
    <dgm:pt modelId="{707723FC-F33D-4F0A-8836-9BC1636DA217}">
      <dgm:prSet/>
      <dgm:spPr>
        <a:xfrm>
          <a:off x="3485596" y="2456578"/>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es-ES" b="1" dirty="0">
              <a:solidFill>
                <a:sysClr val="windowText" lastClr="000000">
                  <a:hueOff val="0"/>
                  <a:satOff val="0"/>
                  <a:lumOff val="0"/>
                  <a:alphaOff val="0"/>
                </a:sysClr>
              </a:solidFill>
              <a:latin typeface="Calibri" panose="020F0502020204030204"/>
              <a:ea typeface="+mn-ea"/>
              <a:cs typeface="+mn-cs"/>
            </a:rPr>
            <a:t>Consejo de </a:t>
          </a:r>
          <a:r>
            <a:rPr lang="es-ES" b="1" dirty="0" err="1">
              <a:solidFill>
                <a:sysClr val="windowText" lastClr="000000">
                  <a:hueOff val="0"/>
                  <a:satOff val="0"/>
                  <a:lumOff val="0"/>
                  <a:alphaOff val="0"/>
                </a:sysClr>
              </a:solidFill>
              <a:latin typeface="Calibri" panose="020F0502020204030204"/>
              <a:ea typeface="+mn-ea"/>
              <a:cs typeface="+mn-cs"/>
            </a:rPr>
            <a:t>Participación</a:t>
          </a:r>
          <a:r>
            <a:rPr lang="es-ES" b="1" dirty="0">
              <a:solidFill>
                <a:sysClr val="windowText" lastClr="000000">
                  <a:hueOff val="0"/>
                  <a:satOff val="0"/>
                  <a:lumOff val="0"/>
                  <a:alphaOff val="0"/>
                </a:sysClr>
              </a:solidFill>
              <a:latin typeface="Calibri" panose="020F0502020204030204"/>
              <a:ea typeface="+mn-ea"/>
              <a:cs typeface="+mn-cs"/>
            </a:rPr>
            <a:t> AVA</a:t>
          </a:r>
        </a:p>
      </dgm:t>
    </dgm:pt>
    <dgm:pt modelId="{398178AB-9D3D-470A-9A7A-2463874D7135}" type="parTrans" cxnId="{D34D569E-B5C6-4684-BC02-24130CA4B2D7}">
      <dgm:prSet/>
      <dgm:spPr>
        <a:xfrm rot="19457599">
          <a:off x="3115245" y="2772401"/>
          <a:ext cx="408772" cy="21840"/>
        </a:xfrm>
        <a:custGeom>
          <a:avLst/>
          <a:gdLst/>
          <a:ahLst/>
          <a:cxnLst/>
          <a:rect l="0" t="0" r="0" b="0"/>
          <a:pathLst>
            <a:path>
              <a:moveTo>
                <a:pt x="0" y="11381"/>
              </a:moveTo>
              <a:lnTo>
                <a:pt x="396138" y="11381"/>
              </a:lnTo>
            </a:path>
          </a:pathLst>
        </a:custGeo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1341016D-06E2-4306-AC80-CBFE9CEBC93B}" type="sibTrans" cxnId="{D34D569E-B5C6-4684-BC02-24130CA4B2D7}">
      <dgm:prSet/>
      <dgm:spPr/>
      <dgm:t>
        <a:bodyPr/>
        <a:lstStyle/>
        <a:p>
          <a:pPr algn="ctr"/>
          <a:endParaRPr lang="es-ES" b="1"/>
        </a:p>
      </dgm:t>
    </dgm:pt>
    <dgm:pt modelId="{04B39695-071F-463F-9111-0167DE91752F}">
      <dgm:prSet/>
      <dgm:spPr>
        <a:xfrm>
          <a:off x="2323843" y="2695153"/>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a:outerShdw blurRad="76200" dir="13500000" sy="23000" kx="1200000" algn="br" rotWithShape="0">
            <a:prstClr val="black">
              <a:alpha val="20000"/>
            </a:prstClr>
          </a:outerShdw>
        </a:effectLst>
      </dgm:spPr>
      <dgm:t>
        <a:bodyPr/>
        <a:lstStyle/>
        <a:p>
          <a:pPr algn="ctr">
            <a:buNone/>
          </a:pPr>
          <a:r>
            <a:rPr lang="es-ES" b="1" dirty="0" err="1">
              <a:solidFill>
                <a:sysClr val="windowText" lastClr="000000">
                  <a:hueOff val="0"/>
                  <a:satOff val="0"/>
                  <a:lumOff val="0"/>
                  <a:alphaOff val="0"/>
                </a:sysClr>
              </a:solidFill>
              <a:latin typeface="Calibri" panose="020F0502020204030204"/>
              <a:ea typeface="+mn-ea"/>
              <a:cs typeface="+mn-cs"/>
            </a:rPr>
            <a:t>Educación</a:t>
          </a:r>
          <a:r>
            <a:rPr lang="es-ES" b="1" dirty="0">
              <a:solidFill>
                <a:sysClr val="windowText" lastClr="000000">
                  <a:hueOff val="0"/>
                  <a:satOff val="0"/>
                  <a:lumOff val="0"/>
                  <a:alphaOff val="0"/>
                </a:sysClr>
              </a:solidFill>
              <a:latin typeface="Calibri" panose="020F0502020204030204"/>
              <a:ea typeface="+mn-ea"/>
              <a:cs typeface="+mn-cs"/>
            </a:rPr>
            <a:t> </a:t>
          </a:r>
        </a:p>
        <a:p>
          <a:pPr algn="ctr">
            <a:buNone/>
          </a:pPr>
          <a:r>
            <a:rPr lang="es-ES" b="1" dirty="0" err="1">
              <a:solidFill>
                <a:sysClr val="windowText" lastClr="000000">
                  <a:hueOff val="0"/>
                  <a:satOff val="0"/>
                  <a:lumOff val="0"/>
                  <a:alphaOff val="0"/>
                </a:sysClr>
              </a:solidFill>
              <a:latin typeface="Calibri" panose="020F0502020204030204"/>
              <a:ea typeface="+mn-ea"/>
              <a:cs typeface="+mn-cs"/>
            </a:rPr>
            <a:t>Preuniversitaria</a:t>
          </a:r>
          <a:endParaRPr lang="es-ES" b="1" dirty="0">
            <a:solidFill>
              <a:sysClr val="windowText" lastClr="000000">
                <a:hueOff val="0"/>
                <a:satOff val="0"/>
                <a:lumOff val="0"/>
                <a:alphaOff val="0"/>
              </a:sysClr>
            </a:solidFill>
            <a:latin typeface="Calibri" panose="020F0502020204030204"/>
            <a:ea typeface="+mn-ea"/>
            <a:cs typeface="+mn-cs"/>
          </a:endParaRPr>
        </a:p>
      </dgm:t>
    </dgm:pt>
    <dgm:pt modelId="{D8282984-12BB-43FE-AAF5-0DE46F44B6D4}" type="sibTrans" cxnId="{EF4E36FB-F387-446C-9AD4-531EDA9400C3}">
      <dgm:prSet/>
      <dgm:spPr/>
      <dgm:t>
        <a:bodyPr/>
        <a:lstStyle/>
        <a:p>
          <a:pPr algn="ctr"/>
          <a:endParaRPr lang="es-ES" b="1"/>
        </a:p>
      </dgm:t>
    </dgm:pt>
    <dgm:pt modelId="{594768B5-02F8-4B3B-8B2C-374DD34DB2CC}" type="parTrans" cxnId="{EF4E36FB-F387-446C-9AD4-531EDA9400C3}">
      <dgm:prSet/>
      <dgm:spPr>
        <a:xfrm rot="3779071">
          <a:off x="1792503" y="2566182"/>
          <a:ext cx="730750" cy="21840"/>
        </a:xfrm>
        <a:custGeom>
          <a:avLst/>
          <a:gdLst/>
          <a:ahLst/>
          <a:cxnLst/>
          <a:rect l="0" t="0" r="0" b="0"/>
          <a:pathLst>
            <a:path>
              <a:moveTo>
                <a:pt x="0" y="11381"/>
              </a:moveTo>
              <a:lnTo>
                <a:pt x="708164" y="11381"/>
              </a:lnTo>
            </a:path>
          </a:pathLst>
        </a:custGeo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D9118031-616E-40D7-AE01-A10A11385D65}">
      <dgm:prSet/>
      <dgm:spPr>
        <a:xfrm>
          <a:off x="3485596" y="2933727"/>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es-ES" b="1" dirty="0">
              <a:solidFill>
                <a:sysClr val="windowText" lastClr="000000">
                  <a:hueOff val="0"/>
                  <a:satOff val="0"/>
                  <a:lumOff val="0"/>
                  <a:alphaOff val="0"/>
                </a:sysClr>
              </a:solidFill>
              <a:latin typeface="Calibri" panose="020F0502020204030204"/>
              <a:ea typeface="+mn-ea"/>
              <a:cs typeface="+mn-cs"/>
            </a:rPr>
            <a:t>Conselleria </a:t>
          </a:r>
          <a:r>
            <a:rPr lang="es-ES" b="1" dirty="0" err="1">
              <a:solidFill>
                <a:sysClr val="windowText" lastClr="000000">
                  <a:hueOff val="0"/>
                  <a:satOff val="0"/>
                  <a:lumOff val="0"/>
                  <a:alphaOff val="0"/>
                </a:sysClr>
              </a:solidFill>
              <a:latin typeface="Calibri" panose="020F0502020204030204"/>
              <a:ea typeface="+mn-ea"/>
              <a:cs typeface="+mn-cs"/>
            </a:rPr>
            <a:t>de Educación</a:t>
          </a:r>
          <a:r>
            <a:rPr lang="es-ES" b="1" dirty="0">
              <a:solidFill>
                <a:sysClr val="windowText" lastClr="000000">
                  <a:hueOff val="0"/>
                  <a:satOff val="0"/>
                  <a:lumOff val="0"/>
                  <a:alphaOff val="0"/>
                </a:sysClr>
              </a:solidFill>
              <a:latin typeface="Calibri" panose="020F0502020204030204"/>
              <a:ea typeface="+mn-ea"/>
              <a:cs typeface="+mn-cs"/>
            </a:rPr>
            <a:t>, Cultura y Deporte </a:t>
          </a:r>
        </a:p>
      </dgm:t>
    </dgm:pt>
    <dgm:pt modelId="{F5359305-AEE3-4793-BD5A-0A24918948A5}" type="parTrans" cxnId="{EAAF7727-6AF7-4C67-B48E-AB71B46BF5CA}">
      <dgm:prSet/>
      <dgm:spPr>
        <a:xfrm rot="2142401">
          <a:off x="3115245" y="3010975"/>
          <a:ext cx="408772" cy="21840"/>
        </a:xfrm>
        <a:custGeom>
          <a:avLst/>
          <a:gdLst/>
          <a:ahLst/>
          <a:cxnLst/>
          <a:rect l="0" t="0" r="0" b="0"/>
          <a:pathLst>
            <a:path>
              <a:moveTo>
                <a:pt x="0" y="11381"/>
              </a:moveTo>
              <a:lnTo>
                <a:pt x="396138" y="11381"/>
              </a:lnTo>
            </a:path>
          </a:pathLst>
        </a:custGeo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11CF8614-82A9-474E-A3A3-602956BE7EDE}" type="sibTrans" cxnId="{EAAF7727-6AF7-4C67-B48E-AB71B46BF5CA}">
      <dgm:prSet/>
      <dgm:spPr/>
      <dgm:t>
        <a:bodyPr/>
        <a:lstStyle/>
        <a:p>
          <a:pPr algn="ctr"/>
          <a:endParaRPr lang="es-ES" b="1"/>
        </a:p>
      </dgm:t>
    </dgm:pt>
    <dgm:pt modelId="{7AE7F6F5-8E3A-4B13-9BAA-3AAE9FE92F0C}">
      <dgm:prSet/>
      <dgm:spPr>
        <a:xfrm>
          <a:off x="4647349" y="1019747"/>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pt-BR" b="1" dirty="0">
              <a:solidFill>
                <a:sysClr val="windowText" lastClr="000000">
                  <a:hueOff val="0"/>
                  <a:satOff val="0"/>
                  <a:lumOff val="0"/>
                  <a:alphaOff val="0"/>
                </a:sysClr>
              </a:solidFill>
              <a:latin typeface="Calibri" panose="020F0502020204030204"/>
              <a:ea typeface="+mn-ea"/>
              <a:cs typeface="+mn-cs"/>
            </a:rPr>
            <a:t>UNISOCIETAT</a:t>
          </a:r>
        </a:p>
        <a:p>
          <a:pPr algn="ctr">
            <a:buNone/>
          </a:pPr>
          <a:r>
            <a:rPr lang="es-ES" b="1" dirty="0">
              <a:solidFill>
                <a:sysClr val="windowText" lastClr="000000">
                  <a:hueOff val="0"/>
                  <a:satOff val="0"/>
                  <a:lumOff val="0"/>
                  <a:alphaOff val="0"/>
                </a:sysClr>
              </a:solidFill>
              <a:latin typeface="Calibri" panose="020F0502020204030204"/>
              <a:ea typeface="+mn-ea"/>
              <a:cs typeface="+mn-cs"/>
            </a:rPr>
            <a:t>DOCUMENTAL</a:t>
          </a:r>
        </a:p>
        <a:p>
          <a:pPr algn="ctr">
            <a:buNone/>
          </a:pPr>
          <a:r>
            <a:rPr lang="es-ES" b="1" dirty="0">
              <a:solidFill>
                <a:sysClr val="windowText" lastClr="000000">
                  <a:hueOff val="0"/>
                  <a:satOff val="0"/>
                  <a:lumOff val="0"/>
                  <a:alphaOff val="0"/>
                </a:sysClr>
              </a:solidFill>
              <a:latin typeface="Calibri" panose="020F0502020204030204"/>
              <a:ea typeface="+mn-ea"/>
              <a:cs typeface="+mn-cs"/>
            </a:rPr>
            <a:t>UNIV. ESTACIONALES </a:t>
          </a:r>
        </a:p>
      </dgm:t>
    </dgm:pt>
    <dgm:pt modelId="{0293E767-9B11-4900-93C4-1B68A26EFFA0}" type="parTrans" cxnId="{2627B5A1-DB13-4D42-9EB3-D4B2F1A13BDA}">
      <dgm:prSet/>
      <dgm:spPr>
        <a:xfrm rot="21544227">
          <a:off x="4315398" y="1218975"/>
          <a:ext cx="331973" cy="21840"/>
        </a:xfrm>
        <a:custGeom>
          <a:avLst/>
          <a:gdLst/>
          <a:ahLst/>
          <a:cxnLst/>
          <a:rect l="0" t="0" r="0" b="0"/>
          <a:pathLst>
            <a:path>
              <a:moveTo>
                <a:pt x="0" y="11381"/>
              </a:moveTo>
              <a:lnTo>
                <a:pt x="321712" y="11381"/>
              </a:lnTo>
            </a:path>
          </a:pathLst>
        </a:custGeo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9E35ACA7-7AC1-40D3-B6A0-39AEC101C2B1}" type="sibTrans" cxnId="{2627B5A1-DB13-4D42-9EB3-D4B2F1A13BDA}">
      <dgm:prSet/>
      <dgm:spPr/>
      <dgm:t>
        <a:bodyPr/>
        <a:lstStyle/>
        <a:p>
          <a:pPr algn="ctr"/>
          <a:endParaRPr lang="es-ES" b="1"/>
        </a:p>
      </dgm:t>
    </dgm:pt>
    <dgm:pt modelId="{87CDABDA-C127-44B5-A466-A483691AC28D}">
      <dgm:prSet/>
      <dgm:spPr>
        <a:xfrm>
          <a:off x="3485596" y="1740855"/>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es-ES" b="1" dirty="0">
              <a:solidFill>
                <a:sysClr val="windowText" lastClr="000000">
                  <a:hueOff val="0"/>
                  <a:satOff val="0"/>
                  <a:lumOff val="0"/>
                  <a:alphaOff val="0"/>
                </a:sysClr>
              </a:solidFill>
              <a:latin typeface="Calibri" panose="020F0502020204030204"/>
              <a:ea typeface="+mn-ea"/>
              <a:cs typeface="+mn-cs"/>
            </a:rPr>
            <a:t>Producción y difusión audiovisual</a:t>
          </a:r>
        </a:p>
      </dgm:t>
    </dgm:pt>
    <dgm:pt modelId="{10ADB4C6-F9DC-459F-A6A9-9518645FB292}" type="parTrans" cxnId="{BC0E341E-F632-459E-9959-67A93499B110}">
      <dgm:prSet/>
      <dgm:spPr>
        <a:xfrm rot="2829178">
          <a:off x="3075581" y="1758460"/>
          <a:ext cx="488100" cy="21840"/>
        </a:xfrm>
        <a:custGeom>
          <a:avLst/>
          <a:gdLst/>
          <a:ahLst/>
          <a:cxnLst/>
          <a:rect l="0" t="0" r="0" b="0"/>
          <a:pathLst>
            <a:path>
              <a:moveTo>
                <a:pt x="0" y="11381"/>
              </a:moveTo>
              <a:lnTo>
                <a:pt x="473014" y="11381"/>
              </a:lnTo>
            </a:path>
          </a:pathLst>
        </a:custGeo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16A0E9BF-48E8-489C-8D29-A9013E639F78}" type="sibTrans" cxnId="{BC0E341E-F632-459E-9959-67A93499B110}">
      <dgm:prSet/>
      <dgm:spPr/>
      <dgm:t>
        <a:bodyPr/>
        <a:lstStyle/>
        <a:p>
          <a:pPr algn="ctr"/>
          <a:endParaRPr lang="es-ES" b="1"/>
        </a:p>
      </dgm:t>
    </dgm:pt>
    <dgm:pt modelId="{AD7BCB35-7BB6-44C9-BD60-102E11768195}">
      <dgm:prSet/>
      <dgm:spPr>
        <a:xfrm>
          <a:off x="4647349" y="1502281"/>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es-ES" b="1" dirty="0">
              <a:solidFill>
                <a:sysClr val="windowText" lastClr="000000">
                  <a:hueOff val="0"/>
                  <a:satOff val="0"/>
                  <a:lumOff val="0"/>
                  <a:alphaOff val="0"/>
                </a:sysClr>
              </a:solidFill>
              <a:latin typeface="Calibri" panose="020F0502020204030204"/>
              <a:ea typeface="+mn-ea"/>
              <a:cs typeface="+mn-cs"/>
            </a:rPr>
            <a:t>Fase I: 2019-20</a:t>
          </a:r>
        </a:p>
        <a:p>
          <a:pPr algn="ctr">
            <a:buNone/>
          </a:pPr>
          <a:r>
            <a:rPr lang="es-ES" b="1" dirty="0">
              <a:solidFill>
                <a:sysClr val="windowText" lastClr="000000">
                  <a:hueOff val="0"/>
                  <a:satOff val="0"/>
                  <a:lumOff val="0"/>
                  <a:alphaOff val="0"/>
                </a:sysClr>
              </a:solidFill>
              <a:latin typeface="Calibri" panose="020F0502020204030204"/>
              <a:ea typeface="+mn-ea"/>
              <a:cs typeface="+mn-cs"/>
            </a:rPr>
            <a:t>6 </a:t>
          </a:r>
          <a:r>
            <a:rPr lang="es-ES" b="1" dirty="0" err="1">
              <a:solidFill>
                <a:sysClr val="windowText" lastClr="000000">
                  <a:hueOff val="0"/>
                  <a:satOff val="0"/>
                  <a:lumOff val="0"/>
                  <a:alphaOff val="0"/>
                </a:sysClr>
              </a:solidFill>
              <a:latin typeface="Calibri" panose="020F0502020204030204"/>
              <a:ea typeface="+mn-ea"/>
              <a:cs typeface="+mn-cs"/>
            </a:rPr>
            <a:t>Universidades</a:t>
          </a:r>
          <a:r>
            <a:rPr lang="es-ES" b="1" dirty="0">
              <a:solidFill>
                <a:sysClr val="windowText" lastClr="000000">
                  <a:hueOff val="0"/>
                  <a:satOff val="0"/>
                  <a:lumOff val="0"/>
                  <a:alphaOff val="0"/>
                </a:sysClr>
              </a:solidFill>
              <a:latin typeface="Calibri" panose="020F0502020204030204"/>
              <a:ea typeface="+mn-ea"/>
              <a:cs typeface="+mn-cs"/>
            </a:rPr>
            <a:t> -12 grados -18 </a:t>
          </a:r>
          <a:r>
            <a:rPr lang="es-ES" b="1" dirty="0" err="1">
              <a:solidFill>
                <a:sysClr val="windowText" lastClr="000000">
                  <a:hueOff val="0"/>
                  <a:satOff val="0"/>
                  <a:lumOff val="0"/>
                  <a:alphaOff val="0"/>
                </a:sysClr>
              </a:solidFill>
              <a:latin typeface="Calibri" panose="020F0502020204030204"/>
              <a:ea typeface="+mn-ea"/>
              <a:cs typeface="+mn-cs"/>
            </a:rPr>
            <a:t>Departamentos</a:t>
          </a:r>
          <a:r>
            <a:rPr lang="es-ES" b="1" dirty="0">
              <a:solidFill>
                <a:sysClr val="windowText" lastClr="000000">
                  <a:hueOff val="0"/>
                  <a:satOff val="0"/>
                  <a:lumOff val="0"/>
                  <a:alphaOff val="0"/>
                </a:sysClr>
              </a:solidFill>
              <a:latin typeface="Calibri" panose="020F0502020204030204"/>
              <a:ea typeface="+mn-ea"/>
              <a:cs typeface="+mn-cs"/>
            </a:rPr>
            <a:t> </a:t>
          </a:r>
        </a:p>
      </dgm:t>
    </dgm:pt>
    <dgm:pt modelId="{C4114920-85ED-427D-B3FB-D36F77E3F82E}" type="parTrans" cxnId="{02F6000E-BCFF-4DBF-BFB2-A0393E31DE44}">
      <dgm:prSet/>
      <dgm:spPr>
        <a:xfrm rot="19457599">
          <a:off x="4276998" y="1818104"/>
          <a:ext cx="408772" cy="21840"/>
        </a:xfrm>
        <a:custGeom>
          <a:avLst/>
          <a:gdLst/>
          <a:ahLst/>
          <a:cxnLst/>
          <a:rect l="0" t="0" r="0" b="0"/>
          <a:pathLst>
            <a:path>
              <a:moveTo>
                <a:pt x="0" y="11381"/>
              </a:moveTo>
              <a:lnTo>
                <a:pt x="396138" y="11381"/>
              </a:lnTo>
            </a:path>
          </a:pathLst>
        </a:custGeo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25CF9397-7445-4791-B2B1-A4A06D3B5C51}" type="sibTrans" cxnId="{02F6000E-BCFF-4DBF-BFB2-A0393E31DE44}">
      <dgm:prSet/>
      <dgm:spPr/>
      <dgm:t>
        <a:bodyPr/>
        <a:lstStyle/>
        <a:p>
          <a:pPr algn="ctr"/>
          <a:endParaRPr lang="es-ES" b="1"/>
        </a:p>
      </dgm:t>
    </dgm:pt>
    <dgm:pt modelId="{8F2C9D09-3526-452C-83A7-57BFF79C39F7}">
      <dgm:prSet/>
      <dgm:spPr>
        <a:xfrm>
          <a:off x="4647349" y="1979430"/>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es-ES" b="1" dirty="0">
              <a:solidFill>
                <a:sysClr val="windowText" lastClr="000000">
                  <a:hueOff val="0"/>
                  <a:satOff val="0"/>
                  <a:lumOff val="0"/>
                  <a:alphaOff val="0"/>
                </a:sysClr>
              </a:solidFill>
              <a:latin typeface="Calibri" panose="020F0502020204030204"/>
              <a:ea typeface="+mn-ea"/>
              <a:cs typeface="+mn-cs"/>
            </a:rPr>
            <a:t>Fase II: 2020-21</a:t>
          </a:r>
        </a:p>
        <a:p>
          <a:pPr algn="ctr">
            <a:buNone/>
          </a:pPr>
          <a:r>
            <a:rPr lang="es-ES" b="1" dirty="0">
              <a:solidFill>
                <a:sysClr val="windowText" lastClr="000000">
                  <a:hueOff val="0"/>
                  <a:satOff val="0"/>
                  <a:lumOff val="0"/>
                  <a:alphaOff val="0"/>
                </a:sysClr>
              </a:solidFill>
              <a:latin typeface="Calibri" panose="020F0502020204030204"/>
              <a:ea typeface="+mn-ea"/>
              <a:cs typeface="+mn-cs"/>
            </a:rPr>
            <a:t>6 </a:t>
          </a:r>
          <a:r>
            <a:rPr lang="es-ES" b="1" dirty="0" err="1">
              <a:solidFill>
                <a:sysClr val="windowText" lastClr="000000">
                  <a:hueOff val="0"/>
                  <a:satOff val="0"/>
                  <a:lumOff val="0"/>
                  <a:alphaOff val="0"/>
                </a:sysClr>
              </a:solidFill>
              <a:latin typeface="Calibri" panose="020F0502020204030204"/>
              <a:ea typeface="+mn-ea"/>
              <a:cs typeface="+mn-cs"/>
            </a:rPr>
            <a:t>Universidades</a:t>
          </a:r>
          <a:r>
            <a:rPr lang="es-ES" b="1" dirty="0">
              <a:solidFill>
                <a:sysClr val="windowText" lastClr="000000">
                  <a:hueOff val="0"/>
                  <a:satOff val="0"/>
                  <a:lumOff val="0"/>
                  <a:alphaOff val="0"/>
                </a:sysClr>
              </a:solidFill>
              <a:latin typeface="Calibri" panose="020F0502020204030204"/>
              <a:ea typeface="+mn-ea"/>
              <a:cs typeface="+mn-cs"/>
            </a:rPr>
            <a:t> -19 </a:t>
          </a:r>
          <a:r>
            <a:rPr lang="es-ES" b="1" dirty="0" err="1">
              <a:solidFill>
                <a:sysClr val="windowText" lastClr="000000">
                  <a:hueOff val="0"/>
                  <a:satOff val="0"/>
                  <a:lumOff val="0"/>
                  <a:alphaOff val="0"/>
                </a:sysClr>
              </a:solidFill>
              <a:latin typeface="Calibri" panose="020F0502020204030204"/>
              <a:ea typeface="+mn-ea"/>
              <a:cs typeface="+mn-cs"/>
            </a:rPr>
            <a:t>grados </a:t>
          </a:r>
          <a:r>
            <a:rPr lang="es-ES" b="1" dirty="0">
              <a:solidFill>
                <a:sysClr val="windowText" lastClr="000000">
                  <a:hueOff val="0"/>
                  <a:satOff val="0"/>
                  <a:lumOff val="0"/>
                  <a:alphaOff val="0"/>
                </a:sysClr>
              </a:solidFill>
              <a:latin typeface="Calibri" panose="020F0502020204030204"/>
              <a:ea typeface="+mn-ea"/>
              <a:cs typeface="+mn-cs"/>
            </a:rPr>
            <a:t>- 23 </a:t>
          </a:r>
          <a:r>
            <a:rPr lang="es-ES" b="1" dirty="0" err="1">
              <a:solidFill>
                <a:sysClr val="windowText" lastClr="000000">
                  <a:hueOff val="0"/>
                  <a:satOff val="0"/>
                  <a:lumOff val="0"/>
                  <a:alphaOff val="0"/>
                </a:sysClr>
              </a:solidFill>
              <a:latin typeface="Calibri" panose="020F0502020204030204"/>
              <a:ea typeface="+mn-ea"/>
              <a:cs typeface="+mn-cs"/>
            </a:rPr>
            <a:t>Departamentos</a:t>
          </a:r>
          <a:endParaRPr lang="es-ES" b="1" dirty="0">
            <a:solidFill>
              <a:sysClr val="windowText" lastClr="000000">
                <a:hueOff val="0"/>
                <a:satOff val="0"/>
                <a:lumOff val="0"/>
                <a:alphaOff val="0"/>
              </a:sysClr>
            </a:solidFill>
            <a:latin typeface="Calibri" panose="020F0502020204030204"/>
            <a:ea typeface="+mn-ea"/>
            <a:cs typeface="+mn-cs"/>
          </a:endParaRPr>
        </a:p>
      </dgm:t>
    </dgm:pt>
    <dgm:pt modelId="{CB47F5B0-2FED-462B-A133-61527745432F}" type="parTrans" cxnId="{D433FB19-E0C1-448F-A315-728165BA46B1}">
      <dgm:prSet/>
      <dgm:spPr>
        <a:xfrm rot="2142401">
          <a:off x="4276998" y="2056678"/>
          <a:ext cx="408772" cy="21840"/>
        </a:xfrm>
        <a:custGeom>
          <a:avLst/>
          <a:gdLst/>
          <a:ahLst/>
          <a:cxnLst/>
          <a:rect l="0" t="0" r="0" b="0"/>
          <a:pathLst>
            <a:path>
              <a:moveTo>
                <a:pt x="0" y="11381"/>
              </a:moveTo>
              <a:lnTo>
                <a:pt x="396138" y="11381"/>
              </a:lnTo>
            </a:path>
          </a:pathLst>
        </a:custGeo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D7EA6833-D595-4F4F-948D-58AD4EDDC44E}" type="sibTrans" cxnId="{D433FB19-E0C1-448F-A315-728165BA46B1}">
      <dgm:prSet/>
      <dgm:spPr/>
      <dgm:t>
        <a:bodyPr/>
        <a:lstStyle/>
        <a:p>
          <a:pPr algn="ctr"/>
          <a:endParaRPr lang="es-ES" b="1"/>
        </a:p>
      </dgm:t>
    </dgm:pt>
    <dgm:pt modelId="{9B15BBA0-8E1E-406C-BD7D-83B505A458E5}">
      <dgm:prSet/>
      <dgm:spPr>
        <a:xfrm>
          <a:off x="4647349" y="2933727"/>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es-ES" b="1" dirty="0" err="1">
              <a:solidFill>
                <a:sysClr val="windowText" lastClr="000000">
                  <a:hueOff val="0"/>
                  <a:satOff val="0"/>
                  <a:lumOff val="0"/>
                  <a:alphaOff val="0"/>
                </a:sysClr>
              </a:solidFill>
              <a:latin typeface="Calibri" panose="020F0502020204030204"/>
              <a:ea typeface="+mn-ea"/>
              <a:cs typeface="+mn-cs"/>
            </a:rPr>
            <a:t>Integración</a:t>
          </a:r>
          <a:r>
            <a:rPr lang="es-ES" b="1" dirty="0">
              <a:solidFill>
                <a:sysClr val="windowText" lastClr="000000">
                  <a:hueOff val="0"/>
                  <a:satOff val="0"/>
                  <a:lumOff val="0"/>
                  <a:alphaOff val="0"/>
                </a:sysClr>
              </a:solidFill>
              <a:latin typeface="Calibri" panose="020F0502020204030204"/>
              <a:ea typeface="+mn-ea"/>
              <a:cs typeface="+mn-cs"/>
            </a:rPr>
            <a:t> curricular</a:t>
          </a:r>
        </a:p>
      </dgm:t>
    </dgm:pt>
    <dgm:pt modelId="{38C97D98-32D8-454F-9951-536606B69D2B}" type="parTrans" cxnId="{5BF25DFC-0996-49A4-95A9-2E25BB59C479}">
      <dgm:prSet/>
      <dgm:spPr>
        <a:xfrm>
          <a:off x="4315420" y="3130263"/>
          <a:ext cx="331929" cy="21840"/>
        </a:xfrm>
        <a:custGeom>
          <a:avLst/>
          <a:gdLst/>
          <a:ahLst/>
          <a:cxnLst/>
          <a:rect l="0" t="0" r="0" b="0"/>
          <a:pathLst>
            <a:path>
              <a:moveTo>
                <a:pt x="0" y="11381"/>
              </a:moveTo>
              <a:lnTo>
                <a:pt x="321670" y="11381"/>
              </a:lnTo>
            </a:path>
          </a:pathLst>
        </a:custGeo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2C799552-AB6E-4AF4-90DD-914284475234}" type="sibTrans" cxnId="{5BF25DFC-0996-49A4-95A9-2E25BB59C479}">
      <dgm:prSet/>
      <dgm:spPr/>
      <dgm:t>
        <a:bodyPr/>
        <a:lstStyle/>
        <a:p>
          <a:pPr algn="ctr"/>
          <a:endParaRPr lang="es-ES" b="1"/>
        </a:p>
      </dgm:t>
    </dgm:pt>
    <dgm:pt modelId="{345210E0-0DAA-4CB3-BC0B-6457AB71AD9C}">
      <dgm:prSet/>
      <dgm:spPr>
        <a:xfrm>
          <a:off x="4647349" y="2456578"/>
          <a:ext cx="829823" cy="41491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es-ES" b="1" dirty="0" err="1">
              <a:solidFill>
                <a:sysClr val="windowText" lastClr="000000">
                  <a:hueOff val="0"/>
                  <a:satOff val="0"/>
                  <a:lumOff val="0"/>
                  <a:alphaOff val="0"/>
                </a:sysClr>
              </a:solidFill>
              <a:latin typeface="Calibri" panose="020F0502020204030204"/>
              <a:ea typeface="+mn-ea"/>
              <a:cs typeface="+mn-cs"/>
            </a:rPr>
            <a:t>Grupo de Prevención y Fromación</a:t>
          </a:r>
          <a:endParaRPr lang="es-ES" b="1" dirty="0">
            <a:solidFill>
              <a:sysClr val="windowText" lastClr="000000">
                <a:hueOff val="0"/>
                <a:satOff val="0"/>
                <a:lumOff val="0"/>
                <a:alphaOff val="0"/>
              </a:sysClr>
            </a:solidFill>
            <a:latin typeface="Calibri" panose="020F0502020204030204"/>
            <a:ea typeface="+mn-ea"/>
            <a:cs typeface="+mn-cs"/>
          </a:endParaRPr>
        </a:p>
      </dgm:t>
    </dgm:pt>
    <dgm:pt modelId="{9CEA8EBE-761A-4949-AE57-F7937CC7C181}" type="parTrans" cxnId="{4AC06F09-5972-485C-82CB-A3A4592D751A}">
      <dgm:prSet/>
      <dgm:spPr>
        <a:xfrm>
          <a:off x="4315420" y="2653114"/>
          <a:ext cx="331929" cy="21840"/>
        </a:xfrm>
        <a:custGeom>
          <a:avLst/>
          <a:gdLst/>
          <a:ahLst/>
          <a:cxnLst/>
          <a:rect l="0" t="0" r="0" b="0"/>
          <a:pathLst>
            <a:path>
              <a:moveTo>
                <a:pt x="0" y="11381"/>
              </a:moveTo>
              <a:lnTo>
                <a:pt x="321670" y="11381"/>
              </a:lnTo>
            </a:path>
          </a:pathLst>
        </a:custGeo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endParaRPr lang="es-ES" b="1">
            <a:solidFill>
              <a:sysClr val="windowText" lastClr="000000">
                <a:hueOff val="0"/>
                <a:satOff val="0"/>
                <a:lumOff val="0"/>
                <a:alphaOff val="0"/>
              </a:sysClr>
            </a:solidFill>
            <a:latin typeface="Calibri" panose="020F0502020204030204"/>
            <a:ea typeface="+mn-ea"/>
            <a:cs typeface="+mn-cs"/>
          </a:endParaRPr>
        </a:p>
      </dgm:t>
    </dgm:pt>
    <dgm:pt modelId="{BF32D3C2-5037-45E6-B34E-8DA878CEB135}" type="sibTrans" cxnId="{4AC06F09-5972-485C-82CB-A3A4592D751A}">
      <dgm:prSet/>
      <dgm:spPr/>
      <dgm:t>
        <a:bodyPr/>
        <a:lstStyle/>
        <a:p>
          <a:pPr algn="ctr"/>
          <a:endParaRPr lang="es-ES" b="1"/>
        </a:p>
      </dgm:t>
    </dgm:pt>
    <dgm:pt modelId="{CA1072D9-84B4-4B08-A2F4-F1221D2451BA}" type="pres">
      <dgm:prSet presAssocID="{6CB9E7C2-3498-4512-BB86-9076F3B33BFC}" presName="diagram" presStyleCnt="0">
        <dgm:presLayoutVars>
          <dgm:chPref val="1"/>
          <dgm:dir/>
          <dgm:animOne val="branch"/>
          <dgm:animLvl val="lvl"/>
          <dgm:resizeHandles val="exact"/>
        </dgm:presLayoutVars>
      </dgm:prSet>
      <dgm:spPr/>
    </dgm:pt>
    <dgm:pt modelId="{26E6AC76-F64D-4398-BC7F-2A5EADA87180}" type="pres">
      <dgm:prSet presAssocID="{75CBDC0D-F7FA-432D-B1C0-2730D2524A8F}" presName="root1" presStyleCnt="0"/>
      <dgm:spPr/>
    </dgm:pt>
    <dgm:pt modelId="{CE75C198-ECC5-4C89-BD9A-4B1CB5F496C3}" type="pres">
      <dgm:prSet presAssocID="{75CBDC0D-F7FA-432D-B1C0-2730D2524A8F}" presName="LevelOneTextNode" presStyleLbl="node0" presStyleIdx="0" presStyleCnt="1">
        <dgm:presLayoutVars>
          <dgm:chPref val="3"/>
        </dgm:presLayoutVars>
      </dgm:prSet>
      <dgm:spPr/>
    </dgm:pt>
    <dgm:pt modelId="{EF558556-C846-416A-957C-39ECCD0F5628}" type="pres">
      <dgm:prSet presAssocID="{75CBDC0D-F7FA-432D-B1C0-2730D2524A8F}" presName="level2hierChild" presStyleCnt="0"/>
      <dgm:spPr/>
    </dgm:pt>
    <dgm:pt modelId="{BEFA3334-CC5D-44C5-8BD8-456C766676B3}" type="pres">
      <dgm:prSet presAssocID="{6EB2F7A6-9142-4723-AE0C-5455F8216ED1}" presName="conn2-1" presStyleLbl="parChTrans1D2" presStyleIdx="0" presStyleCnt="2"/>
      <dgm:spPr/>
    </dgm:pt>
    <dgm:pt modelId="{E70676D4-1CC8-4DDB-BE94-2572E9E6B056}" type="pres">
      <dgm:prSet presAssocID="{6EB2F7A6-9142-4723-AE0C-5455F8216ED1}" presName="connTx" presStyleLbl="parChTrans1D2" presStyleIdx="0" presStyleCnt="2"/>
      <dgm:spPr/>
    </dgm:pt>
    <dgm:pt modelId="{ADC45CD3-6ABB-4D94-85AF-7E000773941C}" type="pres">
      <dgm:prSet presAssocID="{BD8695AD-2191-4ED0-9021-3828B734F660}" presName="root2" presStyleCnt="0"/>
      <dgm:spPr/>
    </dgm:pt>
    <dgm:pt modelId="{85B7F24E-5333-4039-8192-70DEFD1030F1}" type="pres">
      <dgm:prSet presAssocID="{BD8695AD-2191-4ED0-9021-3828B734F660}" presName="LevelTwoTextNode" presStyleLbl="node2" presStyleIdx="0" presStyleCnt="2">
        <dgm:presLayoutVars>
          <dgm:chPref val="3"/>
        </dgm:presLayoutVars>
      </dgm:prSet>
      <dgm:spPr/>
    </dgm:pt>
    <dgm:pt modelId="{D4F66C5A-DD60-4003-922A-64F5F7CE1566}" type="pres">
      <dgm:prSet presAssocID="{BD8695AD-2191-4ED0-9021-3828B734F660}" presName="level3hierChild" presStyleCnt="0"/>
      <dgm:spPr/>
    </dgm:pt>
    <dgm:pt modelId="{E2EE6FEF-205D-4321-8994-BD321C0E4DD8}" type="pres">
      <dgm:prSet presAssocID="{011A8CE5-15F5-43A3-9271-0985F4C307E0}" presName="conn2-1" presStyleLbl="parChTrans1D3" presStyleIdx="0" presStyleCnt="4"/>
      <dgm:spPr/>
    </dgm:pt>
    <dgm:pt modelId="{A0C023B6-25A7-4207-9C0E-E8109E1F2444}" type="pres">
      <dgm:prSet presAssocID="{011A8CE5-15F5-43A3-9271-0985F4C307E0}" presName="connTx" presStyleLbl="parChTrans1D3" presStyleIdx="0" presStyleCnt="4"/>
      <dgm:spPr/>
    </dgm:pt>
    <dgm:pt modelId="{186943AF-0B29-4570-9E98-54FE430B72A5}" type="pres">
      <dgm:prSet presAssocID="{4197F686-24E4-4B2E-832E-38EEF15CC124}" presName="root2" presStyleCnt="0"/>
      <dgm:spPr/>
    </dgm:pt>
    <dgm:pt modelId="{8A441514-A886-4DF6-A066-C241BA164E5F}" type="pres">
      <dgm:prSet presAssocID="{4197F686-24E4-4B2E-832E-38EEF15CC124}" presName="LevelTwoTextNode" presStyleLbl="node3" presStyleIdx="0" presStyleCnt="4">
        <dgm:presLayoutVars>
          <dgm:chPref val="3"/>
        </dgm:presLayoutVars>
      </dgm:prSet>
      <dgm:spPr/>
    </dgm:pt>
    <dgm:pt modelId="{65859AD0-DCB5-4E6C-A53E-458DBA3BD1D6}" type="pres">
      <dgm:prSet presAssocID="{4197F686-24E4-4B2E-832E-38EEF15CC124}" presName="level3hierChild" presStyleCnt="0"/>
      <dgm:spPr/>
    </dgm:pt>
    <dgm:pt modelId="{1555C378-EC7D-4573-A018-DAD4E848331C}" type="pres">
      <dgm:prSet presAssocID="{A53B72F8-E6F2-4C75-A557-7971065379B4}" presName="conn2-1" presStyleLbl="parChTrans1D4" presStyleIdx="0" presStyleCnt="11"/>
      <dgm:spPr/>
    </dgm:pt>
    <dgm:pt modelId="{62320391-5C88-43CD-846E-7803F418762D}" type="pres">
      <dgm:prSet presAssocID="{A53B72F8-E6F2-4C75-A557-7971065379B4}" presName="connTx" presStyleLbl="parChTrans1D4" presStyleIdx="0" presStyleCnt="11"/>
      <dgm:spPr/>
    </dgm:pt>
    <dgm:pt modelId="{AF974ED5-D1A1-46B0-8524-052C7AB51608}" type="pres">
      <dgm:prSet presAssocID="{EEC025DC-C9D4-4E56-B1B2-26BBA5F2A0A9}" presName="root2" presStyleCnt="0"/>
      <dgm:spPr/>
    </dgm:pt>
    <dgm:pt modelId="{BE281184-E2A6-4A67-B882-996B7C44E2FF}" type="pres">
      <dgm:prSet presAssocID="{EEC025DC-C9D4-4E56-B1B2-26BBA5F2A0A9}" presName="LevelTwoTextNode" presStyleLbl="node4" presStyleIdx="0" presStyleCnt="11" custLinFactNeighborY="-1543">
        <dgm:presLayoutVars>
          <dgm:chPref val="3"/>
        </dgm:presLayoutVars>
      </dgm:prSet>
      <dgm:spPr/>
    </dgm:pt>
    <dgm:pt modelId="{6D6522AC-AC1A-4213-BC72-F79D09B66498}" type="pres">
      <dgm:prSet presAssocID="{EEC025DC-C9D4-4E56-B1B2-26BBA5F2A0A9}" presName="level3hierChild" presStyleCnt="0"/>
      <dgm:spPr/>
    </dgm:pt>
    <dgm:pt modelId="{35C70336-55C2-48A6-8EC3-5BA08FE7FBA7}" type="pres">
      <dgm:prSet presAssocID="{A35DD61E-CCF0-4AC5-8F14-C387F64BFCB1}" presName="conn2-1" presStyleLbl="parChTrans1D3" presStyleIdx="1" presStyleCnt="4"/>
      <dgm:spPr/>
    </dgm:pt>
    <dgm:pt modelId="{B5C84F29-92C3-4E8E-A1A4-1947C09253E2}" type="pres">
      <dgm:prSet presAssocID="{A35DD61E-CCF0-4AC5-8F14-C387F64BFCB1}" presName="connTx" presStyleLbl="parChTrans1D3" presStyleIdx="1" presStyleCnt="4"/>
      <dgm:spPr/>
    </dgm:pt>
    <dgm:pt modelId="{8635C5C1-99F9-42F3-99C5-545FD2FF93A8}" type="pres">
      <dgm:prSet presAssocID="{6E5A3097-B1F1-4329-8D9C-556A0C077611}" presName="root2" presStyleCnt="0"/>
      <dgm:spPr/>
    </dgm:pt>
    <dgm:pt modelId="{D47581D1-F8BD-43EB-9F76-5E1365A9804F}" type="pres">
      <dgm:prSet presAssocID="{6E5A3097-B1F1-4329-8D9C-556A0C077611}" presName="LevelTwoTextNode" presStyleLbl="node3" presStyleIdx="1" presStyleCnt="4" custLinFactNeighborX="920" custLinFactNeighborY="623">
        <dgm:presLayoutVars>
          <dgm:chPref val="3"/>
        </dgm:presLayoutVars>
      </dgm:prSet>
      <dgm:spPr/>
    </dgm:pt>
    <dgm:pt modelId="{25A4A66F-8E12-420B-806E-CE591EBFC45E}" type="pres">
      <dgm:prSet presAssocID="{6E5A3097-B1F1-4329-8D9C-556A0C077611}" presName="level3hierChild" presStyleCnt="0"/>
      <dgm:spPr/>
    </dgm:pt>
    <dgm:pt modelId="{C08B4676-A9FA-4FDD-A72F-B3AFA08C8E48}" type="pres">
      <dgm:prSet presAssocID="{316E08B3-11E8-4D5D-8651-C97EB7197DC3}" presName="conn2-1" presStyleLbl="parChTrans1D4" presStyleIdx="1" presStyleCnt="11"/>
      <dgm:spPr/>
    </dgm:pt>
    <dgm:pt modelId="{49CDDB82-105F-469A-B259-9CB5F13F0ED6}" type="pres">
      <dgm:prSet presAssocID="{316E08B3-11E8-4D5D-8651-C97EB7197DC3}" presName="connTx" presStyleLbl="parChTrans1D4" presStyleIdx="1" presStyleCnt="11"/>
      <dgm:spPr/>
    </dgm:pt>
    <dgm:pt modelId="{A5521BD6-A030-4646-A648-51739FD99948}" type="pres">
      <dgm:prSet presAssocID="{D841BBB4-7EF5-492B-A7AD-A1CBCF190B9C}" presName="root2" presStyleCnt="0"/>
      <dgm:spPr/>
    </dgm:pt>
    <dgm:pt modelId="{82EF6AD8-A6C2-42A7-B924-FF0F5B59130C}" type="pres">
      <dgm:prSet presAssocID="{D841BBB4-7EF5-492B-A7AD-A1CBCF190B9C}" presName="LevelTwoTextNode" presStyleLbl="node4" presStyleIdx="1" presStyleCnt="11">
        <dgm:presLayoutVars>
          <dgm:chPref val="3"/>
        </dgm:presLayoutVars>
      </dgm:prSet>
      <dgm:spPr/>
    </dgm:pt>
    <dgm:pt modelId="{3AC482E4-E0DF-42BE-BF00-FBF3CD2BFFB6}" type="pres">
      <dgm:prSet presAssocID="{D841BBB4-7EF5-492B-A7AD-A1CBCF190B9C}" presName="level3hierChild" presStyleCnt="0"/>
      <dgm:spPr/>
    </dgm:pt>
    <dgm:pt modelId="{8B4E49B6-ECCB-469C-9E70-7900B0974F10}" type="pres">
      <dgm:prSet presAssocID="{0B422D39-7C6B-4208-A6AB-8330A4753B8D}" presName="conn2-1" presStyleLbl="parChTrans1D2" presStyleIdx="1" presStyleCnt="2"/>
      <dgm:spPr/>
    </dgm:pt>
    <dgm:pt modelId="{95121FC8-1240-4E02-B36A-06AD0BF04550}" type="pres">
      <dgm:prSet presAssocID="{0B422D39-7C6B-4208-A6AB-8330A4753B8D}" presName="connTx" presStyleLbl="parChTrans1D2" presStyleIdx="1" presStyleCnt="2"/>
      <dgm:spPr/>
    </dgm:pt>
    <dgm:pt modelId="{6868D348-67C5-45DB-B11B-ECBF66665791}" type="pres">
      <dgm:prSet presAssocID="{FB497058-03EC-4348-8585-2BDCE45AAED9}" presName="root2" presStyleCnt="0"/>
      <dgm:spPr/>
    </dgm:pt>
    <dgm:pt modelId="{D596E983-ADFF-4463-BBC7-8BA3CBEFE6C0}" type="pres">
      <dgm:prSet presAssocID="{FB497058-03EC-4348-8585-2BDCE45AAED9}" presName="LevelTwoTextNode" presStyleLbl="node2" presStyleIdx="1" presStyleCnt="2" custLinFactNeighborY="1221">
        <dgm:presLayoutVars>
          <dgm:chPref val="3"/>
        </dgm:presLayoutVars>
      </dgm:prSet>
      <dgm:spPr/>
    </dgm:pt>
    <dgm:pt modelId="{D0AA0C3E-02DD-48B5-BE70-5C1D02783FA3}" type="pres">
      <dgm:prSet presAssocID="{FB497058-03EC-4348-8585-2BDCE45AAED9}" presName="level3hierChild" presStyleCnt="0"/>
      <dgm:spPr/>
    </dgm:pt>
    <dgm:pt modelId="{3A1B0FB7-7537-4135-94CE-9673320D988E}" type="pres">
      <dgm:prSet presAssocID="{3A6D34FC-0B28-4AF6-9A79-F3CD833A116D}" presName="conn2-1" presStyleLbl="parChTrans1D3" presStyleIdx="2" presStyleCnt="4"/>
      <dgm:spPr/>
    </dgm:pt>
    <dgm:pt modelId="{BAF7EDB6-5FB6-4170-954D-817E29DA40AE}" type="pres">
      <dgm:prSet presAssocID="{3A6D34FC-0B28-4AF6-9A79-F3CD833A116D}" presName="connTx" presStyleLbl="parChTrans1D3" presStyleIdx="2" presStyleCnt="4"/>
      <dgm:spPr/>
    </dgm:pt>
    <dgm:pt modelId="{183DDEDD-56F2-4190-A75C-E74DC2A7E157}" type="pres">
      <dgm:prSet presAssocID="{B6629F55-C264-4CBC-8FA3-58AF84426DAA}" presName="root2" presStyleCnt="0"/>
      <dgm:spPr/>
    </dgm:pt>
    <dgm:pt modelId="{BFF295B9-F671-4EA9-A791-A1481BF545B0}" type="pres">
      <dgm:prSet presAssocID="{B6629F55-C264-4CBC-8FA3-58AF84426DAA}" presName="LevelTwoTextNode" presStyleLbl="node3" presStyleIdx="2" presStyleCnt="4">
        <dgm:presLayoutVars>
          <dgm:chPref val="3"/>
        </dgm:presLayoutVars>
      </dgm:prSet>
      <dgm:spPr/>
    </dgm:pt>
    <dgm:pt modelId="{541CD727-4C2F-4714-BE8C-9B53C632AB32}" type="pres">
      <dgm:prSet presAssocID="{B6629F55-C264-4CBC-8FA3-58AF84426DAA}" presName="level3hierChild" presStyleCnt="0"/>
      <dgm:spPr/>
    </dgm:pt>
    <dgm:pt modelId="{2EE02C60-E9EB-4CD9-8230-CE5A85689EF0}" type="pres">
      <dgm:prSet presAssocID="{D8312374-3174-4EEC-99C9-04ADA8D6293D}" presName="conn2-1" presStyleLbl="parChTrans1D4" presStyleIdx="2" presStyleCnt="11"/>
      <dgm:spPr/>
    </dgm:pt>
    <dgm:pt modelId="{329CF933-094E-4E0B-89DF-1693074A0B0E}" type="pres">
      <dgm:prSet presAssocID="{D8312374-3174-4EEC-99C9-04ADA8D6293D}" presName="connTx" presStyleLbl="parChTrans1D4" presStyleIdx="2" presStyleCnt="11"/>
      <dgm:spPr/>
    </dgm:pt>
    <dgm:pt modelId="{0B738013-D04C-449A-AA30-1CB74ED85C00}" type="pres">
      <dgm:prSet presAssocID="{4AEBD80B-EBB1-4431-8E70-741E381F647E}" presName="root2" presStyleCnt="0"/>
      <dgm:spPr/>
    </dgm:pt>
    <dgm:pt modelId="{856CF5FD-37B9-4617-AC02-3C2F871CB083}" type="pres">
      <dgm:prSet presAssocID="{4AEBD80B-EBB1-4431-8E70-741E381F647E}" presName="LevelTwoTextNode" presStyleLbl="node4" presStyleIdx="2" presStyleCnt="11" custLinFactNeighborX="0">
        <dgm:presLayoutVars>
          <dgm:chPref val="3"/>
        </dgm:presLayoutVars>
      </dgm:prSet>
      <dgm:spPr/>
    </dgm:pt>
    <dgm:pt modelId="{D2D37DF5-FAE4-4B5E-BCAE-F993672C4142}" type="pres">
      <dgm:prSet presAssocID="{4AEBD80B-EBB1-4431-8E70-741E381F647E}" presName="level3hierChild" presStyleCnt="0"/>
      <dgm:spPr/>
    </dgm:pt>
    <dgm:pt modelId="{68B0BDF7-F5C1-463E-9943-C3BE679B92FF}" type="pres">
      <dgm:prSet presAssocID="{0293E767-9B11-4900-93C4-1B68A26EFFA0}" presName="conn2-1" presStyleLbl="parChTrans1D4" presStyleIdx="3" presStyleCnt="11"/>
      <dgm:spPr/>
    </dgm:pt>
    <dgm:pt modelId="{188B6E02-6632-4AD2-9175-57AC65FAB4B9}" type="pres">
      <dgm:prSet presAssocID="{0293E767-9B11-4900-93C4-1B68A26EFFA0}" presName="connTx" presStyleLbl="parChTrans1D4" presStyleIdx="3" presStyleCnt="11"/>
      <dgm:spPr/>
    </dgm:pt>
    <dgm:pt modelId="{C60414BB-8B4B-4237-987A-09CA73660900}" type="pres">
      <dgm:prSet presAssocID="{7AE7F6F5-8E3A-4B13-9BAA-3AAE9FE92F0C}" presName="root2" presStyleCnt="0"/>
      <dgm:spPr/>
    </dgm:pt>
    <dgm:pt modelId="{FD14A14B-48EE-429E-8A39-B5E2A9D50B5C}" type="pres">
      <dgm:prSet presAssocID="{7AE7F6F5-8E3A-4B13-9BAA-3AAE9FE92F0C}" presName="LevelTwoTextNode" presStyleLbl="node4" presStyleIdx="3" presStyleCnt="11" custLinFactNeighborY="-1298">
        <dgm:presLayoutVars>
          <dgm:chPref val="3"/>
        </dgm:presLayoutVars>
      </dgm:prSet>
      <dgm:spPr/>
    </dgm:pt>
    <dgm:pt modelId="{8228696D-46B8-43B0-BD02-4BD02F49E587}" type="pres">
      <dgm:prSet presAssocID="{7AE7F6F5-8E3A-4B13-9BAA-3AAE9FE92F0C}" presName="level3hierChild" presStyleCnt="0"/>
      <dgm:spPr/>
    </dgm:pt>
    <dgm:pt modelId="{827D577C-A2C8-45F3-8A9D-D11A7DD21C20}" type="pres">
      <dgm:prSet presAssocID="{10ADB4C6-F9DC-459F-A6A9-9518645FB292}" presName="conn2-1" presStyleLbl="parChTrans1D4" presStyleIdx="4" presStyleCnt="11"/>
      <dgm:spPr/>
    </dgm:pt>
    <dgm:pt modelId="{59912E51-5C07-4C09-89E9-A7DD368EA786}" type="pres">
      <dgm:prSet presAssocID="{10ADB4C6-F9DC-459F-A6A9-9518645FB292}" presName="connTx" presStyleLbl="parChTrans1D4" presStyleIdx="4" presStyleCnt="11"/>
      <dgm:spPr/>
    </dgm:pt>
    <dgm:pt modelId="{CB425109-0E27-4D9E-8030-E9551600094C}" type="pres">
      <dgm:prSet presAssocID="{87CDABDA-C127-44B5-A466-A483691AC28D}" presName="root2" presStyleCnt="0"/>
      <dgm:spPr/>
    </dgm:pt>
    <dgm:pt modelId="{3C52BB86-8509-4CC1-A866-BC389B00061D}" type="pres">
      <dgm:prSet presAssocID="{87CDABDA-C127-44B5-A466-A483691AC28D}" presName="LevelTwoTextNode" presStyleLbl="node4" presStyleIdx="4" presStyleCnt="11">
        <dgm:presLayoutVars>
          <dgm:chPref val="3"/>
        </dgm:presLayoutVars>
      </dgm:prSet>
      <dgm:spPr/>
    </dgm:pt>
    <dgm:pt modelId="{EF16ED86-95CB-4175-8E69-0CC8C8FBD4AD}" type="pres">
      <dgm:prSet presAssocID="{87CDABDA-C127-44B5-A466-A483691AC28D}" presName="level3hierChild" presStyleCnt="0"/>
      <dgm:spPr/>
    </dgm:pt>
    <dgm:pt modelId="{1A7D06C8-6DCD-4E7B-A230-BE357EF6D47E}" type="pres">
      <dgm:prSet presAssocID="{C4114920-85ED-427D-B3FB-D36F77E3F82E}" presName="conn2-1" presStyleLbl="parChTrans1D4" presStyleIdx="5" presStyleCnt="11"/>
      <dgm:spPr/>
    </dgm:pt>
    <dgm:pt modelId="{ED425B28-3B2D-4DCD-814F-86AC834C8F51}" type="pres">
      <dgm:prSet presAssocID="{C4114920-85ED-427D-B3FB-D36F77E3F82E}" presName="connTx" presStyleLbl="parChTrans1D4" presStyleIdx="5" presStyleCnt="11"/>
      <dgm:spPr/>
    </dgm:pt>
    <dgm:pt modelId="{A098A4B8-EE39-4B17-A73B-D29845704A7B}" type="pres">
      <dgm:prSet presAssocID="{AD7BCB35-7BB6-44C9-BD60-102E11768195}" presName="root2" presStyleCnt="0"/>
      <dgm:spPr/>
    </dgm:pt>
    <dgm:pt modelId="{04A890E7-8BB4-4336-8F9D-223A3283B9F7}" type="pres">
      <dgm:prSet presAssocID="{AD7BCB35-7BB6-44C9-BD60-102E11768195}" presName="LevelTwoTextNode" presStyleLbl="node4" presStyleIdx="5" presStyleCnt="11">
        <dgm:presLayoutVars>
          <dgm:chPref val="3"/>
        </dgm:presLayoutVars>
      </dgm:prSet>
      <dgm:spPr/>
    </dgm:pt>
    <dgm:pt modelId="{7BFF7C2A-CD03-4F7E-8BC8-1E5481853167}" type="pres">
      <dgm:prSet presAssocID="{AD7BCB35-7BB6-44C9-BD60-102E11768195}" presName="level3hierChild" presStyleCnt="0"/>
      <dgm:spPr/>
    </dgm:pt>
    <dgm:pt modelId="{F46E8553-140D-4EDA-9057-CCE9387EC46D}" type="pres">
      <dgm:prSet presAssocID="{CB47F5B0-2FED-462B-A133-61527745432F}" presName="conn2-1" presStyleLbl="parChTrans1D4" presStyleIdx="6" presStyleCnt="11"/>
      <dgm:spPr/>
    </dgm:pt>
    <dgm:pt modelId="{DCB0536C-DC51-4C5A-9BCC-BF12807D4FAA}" type="pres">
      <dgm:prSet presAssocID="{CB47F5B0-2FED-462B-A133-61527745432F}" presName="connTx" presStyleLbl="parChTrans1D4" presStyleIdx="6" presStyleCnt="11"/>
      <dgm:spPr/>
    </dgm:pt>
    <dgm:pt modelId="{3B3FE400-808E-47D4-AC3C-A8E91F83910C}" type="pres">
      <dgm:prSet presAssocID="{8F2C9D09-3526-452C-83A7-57BFF79C39F7}" presName="root2" presStyleCnt="0"/>
      <dgm:spPr/>
    </dgm:pt>
    <dgm:pt modelId="{297C58C1-5699-41F8-A6F6-FB2228AA7A5C}" type="pres">
      <dgm:prSet presAssocID="{8F2C9D09-3526-452C-83A7-57BFF79C39F7}" presName="LevelTwoTextNode" presStyleLbl="node4" presStyleIdx="6" presStyleCnt="11">
        <dgm:presLayoutVars>
          <dgm:chPref val="3"/>
        </dgm:presLayoutVars>
      </dgm:prSet>
      <dgm:spPr/>
    </dgm:pt>
    <dgm:pt modelId="{7113D0D7-26A8-41F8-BC6D-F688D2A6841F}" type="pres">
      <dgm:prSet presAssocID="{8F2C9D09-3526-452C-83A7-57BFF79C39F7}" presName="level3hierChild" presStyleCnt="0"/>
      <dgm:spPr/>
    </dgm:pt>
    <dgm:pt modelId="{10A9CFC8-B988-4EB0-A461-B5F6D2CC571C}" type="pres">
      <dgm:prSet presAssocID="{594768B5-02F8-4B3B-8B2C-374DD34DB2CC}" presName="conn2-1" presStyleLbl="parChTrans1D3" presStyleIdx="3" presStyleCnt="4"/>
      <dgm:spPr/>
    </dgm:pt>
    <dgm:pt modelId="{0DF18983-DF56-4270-AF19-16AFB578F0B2}" type="pres">
      <dgm:prSet presAssocID="{594768B5-02F8-4B3B-8B2C-374DD34DB2CC}" presName="connTx" presStyleLbl="parChTrans1D3" presStyleIdx="3" presStyleCnt="4"/>
      <dgm:spPr/>
    </dgm:pt>
    <dgm:pt modelId="{BA59C339-0DE6-4A31-A39F-AC8B3C12A847}" type="pres">
      <dgm:prSet presAssocID="{04B39695-071F-463F-9111-0167DE91752F}" presName="root2" presStyleCnt="0"/>
      <dgm:spPr/>
    </dgm:pt>
    <dgm:pt modelId="{F72104B3-8249-49B9-AB3E-24A1B17545C9}" type="pres">
      <dgm:prSet presAssocID="{04B39695-071F-463F-9111-0167DE91752F}" presName="LevelTwoTextNode" presStyleLbl="node3" presStyleIdx="3" presStyleCnt="4">
        <dgm:presLayoutVars>
          <dgm:chPref val="3"/>
        </dgm:presLayoutVars>
      </dgm:prSet>
      <dgm:spPr/>
    </dgm:pt>
    <dgm:pt modelId="{7FEB7CDC-7F8B-4987-BBB3-20E67FC1C756}" type="pres">
      <dgm:prSet presAssocID="{04B39695-071F-463F-9111-0167DE91752F}" presName="level3hierChild" presStyleCnt="0"/>
      <dgm:spPr/>
    </dgm:pt>
    <dgm:pt modelId="{A9D67DB5-CEBB-48AA-B2CF-A910C0EFD23D}" type="pres">
      <dgm:prSet presAssocID="{398178AB-9D3D-470A-9A7A-2463874D7135}" presName="conn2-1" presStyleLbl="parChTrans1D4" presStyleIdx="7" presStyleCnt="11"/>
      <dgm:spPr/>
    </dgm:pt>
    <dgm:pt modelId="{92582B76-B842-479F-8045-39C4185660C5}" type="pres">
      <dgm:prSet presAssocID="{398178AB-9D3D-470A-9A7A-2463874D7135}" presName="connTx" presStyleLbl="parChTrans1D4" presStyleIdx="7" presStyleCnt="11"/>
      <dgm:spPr/>
    </dgm:pt>
    <dgm:pt modelId="{81C1286F-6FCE-4F10-B38D-569F366F1978}" type="pres">
      <dgm:prSet presAssocID="{707723FC-F33D-4F0A-8836-9BC1636DA217}" presName="root2" presStyleCnt="0"/>
      <dgm:spPr/>
    </dgm:pt>
    <dgm:pt modelId="{122E9C93-0881-4E17-8BA9-7C8A5504F00D}" type="pres">
      <dgm:prSet presAssocID="{707723FC-F33D-4F0A-8836-9BC1636DA217}" presName="LevelTwoTextNode" presStyleLbl="node4" presStyleIdx="7" presStyleCnt="11" custLinFactNeighborY="0">
        <dgm:presLayoutVars>
          <dgm:chPref val="3"/>
        </dgm:presLayoutVars>
      </dgm:prSet>
      <dgm:spPr/>
    </dgm:pt>
    <dgm:pt modelId="{7EA9AA10-6C73-49A7-8E49-466640409767}" type="pres">
      <dgm:prSet presAssocID="{707723FC-F33D-4F0A-8836-9BC1636DA217}" presName="level3hierChild" presStyleCnt="0"/>
      <dgm:spPr/>
    </dgm:pt>
    <dgm:pt modelId="{ED1954E7-7251-4439-B1F9-BA5045F9A7F8}" type="pres">
      <dgm:prSet presAssocID="{9CEA8EBE-761A-4949-AE57-F7937CC7C181}" presName="conn2-1" presStyleLbl="parChTrans1D4" presStyleIdx="8" presStyleCnt="11"/>
      <dgm:spPr/>
    </dgm:pt>
    <dgm:pt modelId="{A2F7C423-CFFA-45AE-8995-05C6F2E7907A}" type="pres">
      <dgm:prSet presAssocID="{9CEA8EBE-761A-4949-AE57-F7937CC7C181}" presName="connTx" presStyleLbl="parChTrans1D4" presStyleIdx="8" presStyleCnt="11"/>
      <dgm:spPr/>
    </dgm:pt>
    <dgm:pt modelId="{75E7AD9B-65EA-48A6-A8E0-3FCEA54B50A7}" type="pres">
      <dgm:prSet presAssocID="{345210E0-0DAA-4CB3-BC0B-6457AB71AD9C}" presName="root2" presStyleCnt="0"/>
      <dgm:spPr/>
    </dgm:pt>
    <dgm:pt modelId="{A89B0458-D0E2-480F-8360-43B7F86A957B}" type="pres">
      <dgm:prSet presAssocID="{345210E0-0DAA-4CB3-BC0B-6457AB71AD9C}" presName="LevelTwoTextNode" presStyleLbl="node4" presStyleIdx="8" presStyleCnt="11">
        <dgm:presLayoutVars>
          <dgm:chPref val="3"/>
        </dgm:presLayoutVars>
      </dgm:prSet>
      <dgm:spPr/>
    </dgm:pt>
    <dgm:pt modelId="{3C21E4F4-B659-4AFE-BCC9-3B70F4DCED40}" type="pres">
      <dgm:prSet presAssocID="{345210E0-0DAA-4CB3-BC0B-6457AB71AD9C}" presName="level3hierChild" presStyleCnt="0"/>
      <dgm:spPr/>
    </dgm:pt>
    <dgm:pt modelId="{FE3D67B5-04C8-4ED8-9C48-D5A6EF65A639}" type="pres">
      <dgm:prSet presAssocID="{F5359305-AEE3-4793-BD5A-0A24918948A5}" presName="conn2-1" presStyleLbl="parChTrans1D4" presStyleIdx="9" presStyleCnt="11"/>
      <dgm:spPr/>
    </dgm:pt>
    <dgm:pt modelId="{C3B508BE-5951-4550-96E9-E22853D1FAFA}" type="pres">
      <dgm:prSet presAssocID="{F5359305-AEE3-4793-BD5A-0A24918948A5}" presName="connTx" presStyleLbl="parChTrans1D4" presStyleIdx="9" presStyleCnt="11"/>
      <dgm:spPr/>
    </dgm:pt>
    <dgm:pt modelId="{6022EE27-DBF0-4F6A-8368-2D8CC345B027}" type="pres">
      <dgm:prSet presAssocID="{D9118031-616E-40D7-AE01-A10A11385D65}" presName="root2" presStyleCnt="0"/>
      <dgm:spPr/>
    </dgm:pt>
    <dgm:pt modelId="{B70ED221-2EA5-43F7-B0F4-607E6F6273AA}" type="pres">
      <dgm:prSet presAssocID="{D9118031-616E-40D7-AE01-A10A11385D65}" presName="LevelTwoTextNode" presStyleLbl="node4" presStyleIdx="9" presStyleCnt="11">
        <dgm:presLayoutVars>
          <dgm:chPref val="3"/>
        </dgm:presLayoutVars>
      </dgm:prSet>
      <dgm:spPr/>
    </dgm:pt>
    <dgm:pt modelId="{619B8541-2C70-42B7-AB70-FD8AA763879E}" type="pres">
      <dgm:prSet presAssocID="{D9118031-616E-40D7-AE01-A10A11385D65}" presName="level3hierChild" presStyleCnt="0"/>
      <dgm:spPr/>
    </dgm:pt>
    <dgm:pt modelId="{70AB4039-4899-4F09-B89E-43005830B25D}" type="pres">
      <dgm:prSet presAssocID="{38C97D98-32D8-454F-9951-536606B69D2B}" presName="conn2-1" presStyleLbl="parChTrans1D4" presStyleIdx="10" presStyleCnt="11"/>
      <dgm:spPr/>
    </dgm:pt>
    <dgm:pt modelId="{9469D5EE-3E47-46E9-9BFB-24E9CB156761}" type="pres">
      <dgm:prSet presAssocID="{38C97D98-32D8-454F-9951-536606B69D2B}" presName="connTx" presStyleLbl="parChTrans1D4" presStyleIdx="10" presStyleCnt="11"/>
      <dgm:spPr/>
    </dgm:pt>
    <dgm:pt modelId="{BEA017CF-0A6F-469A-A2B7-DC00A87E7D44}" type="pres">
      <dgm:prSet presAssocID="{9B15BBA0-8E1E-406C-BD7D-83B505A458E5}" presName="root2" presStyleCnt="0"/>
      <dgm:spPr/>
    </dgm:pt>
    <dgm:pt modelId="{F78B06E0-9C6F-4EDD-B088-76E8270ADA91}" type="pres">
      <dgm:prSet presAssocID="{9B15BBA0-8E1E-406C-BD7D-83B505A458E5}" presName="LevelTwoTextNode" presStyleLbl="node4" presStyleIdx="10" presStyleCnt="11">
        <dgm:presLayoutVars>
          <dgm:chPref val="3"/>
        </dgm:presLayoutVars>
      </dgm:prSet>
      <dgm:spPr/>
    </dgm:pt>
    <dgm:pt modelId="{119B1CEB-A6F4-4426-B16D-B47A7E6A577A}" type="pres">
      <dgm:prSet presAssocID="{9B15BBA0-8E1E-406C-BD7D-83B505A458E5}" presName="level3hierChild" presStyleCnt="0"/>
      <dgm:spPr/>
    </dgm:pt>
  </dgm:ptLst>
  <dgm:cxnLst>
    <dgm:cxn modelId="{D083EE00-5419-4712-B6D1-104F988CC434}" type="presOf" srcId="{A53B72F8-E6F2-4C75-A557-7971065379B4}" destId="{1555C378-EC7D-4573-A018-DAD4E848331C}" srcOrd="0" destOrd="0" presId="urn:microsoft.com/office/officeart/2005/8/layout/hierarchy2"/>
    <dgm:cxn modelId="{90920E01-CF74-46A6-937B-12BAB0059080}" type="presOf" srcId="{011A8CE5-15F5-43A3-9271-0985F4C307E0}" destId="{E2EE6FEF-205D-4321-8994-BD321C0E4DD8}" srcOrd="0" destOrd="0" presId="urn:microsoft.com/office/officeart/2005/8/layout/hierarchy2"/>
    <dgm:cxn modelId="{85017F03-7FCA-4715-AA54-898C2435FF69}" srcId="{BD8695AD-2191-4ED0-9021-3828B734F660}" destId="{6E5A3097-B1F1-4329-8D9C-556A0C077611}" srcOrd="1" destOrd="0" parTransId="{A35DD61E-CCF0-4AC5-8F14-C387F64BFCB1}" sibTransId="{9374CCF6-FE17-4B41-AFA5-13413FCE3955}"/>
    <dgm:cxn modelId="{4AC06F09-5972-485C-82CB-A3A4592D751A}" srcId="{707723FC-F33D-4F0A-8836-9BC1636DA217}" destId="{345210E0-0DAA-4CB3-BC0B-6457AB71AD9C}" srcOrd="0" destOrd="0" parTransId="{9CEA8EBE-761A-4949-AE57-F7937CC7C181}" sibTransId="{BF32D3C2-5037-45E6-B34E-8DA878CEB135}"/>
    <dgm:cxn modelId="{5DDCD20A-D7B6-43DE-8046-89B5791F3255}" srcId="{75CBDC0D-F7FA-432D-B1C0-2730D2524A8F}" destId="{BD8695AD-2191-4ED0-9021-3828B734F660}" srcOrd="0" destOrd="0" parTransId="{6EB2F7A6-9142-4723-AE0C-5455F8216ED1}" sibTransId="{E36517E8-D9CE-4329-A64B-A74983289C8E}"/>
    <dgm:cxn modelId="{02F6000E-BCFF-4DBF-BFB2-A0393E31DE44}" srcId="{87CDABDA-C127-44B5-A466-A483691AC28D}" destId="{AD7BCB35-7BB6-44C9-BD60-102E11768195}" srcOrd="0" destOrd="0" parTransId="{C4114920-85ED-427D-B3FB-D36F77E3F82E}" sibTransId="{25CF9397-7445-4791-B2B1-A4A06D3B5C51}"/>
    <dgm:cxn modelId="{AFF89412-D62B-4B34-968B-88C7A2324BB5}" type="presOf" srcId="{4197F686-24E4-4B2E-832E-38EEF15CC124}" destId="{8A441514-A886-4DF6-A066-C241BA164E5F}" srcOrd="0" destOrd="0" presId="urn:microsoft.com/office/officeart/2005/8/layout/hierarchy2"/>
    <dgm:cxn modelId="{D433FB19-E0C1-448F-A315-728165BA46B1}" srcId="{87CDABDA-C127-44B5-A466-A483691AC28D}" destId="{8F2C9D09-3526-452C-83A7-57BFF79C39F7}" srcOrd="1" destOrd="0" parTransId="{CB47F5B0-2FED-462B-A133-61527745432F}" sibTransId="{D7EA6833-D595-4F4F-948D-58AD4EDDC44E}"/>
    <dgm:cxn modelId="{BC0E341E-F632-459E-9959-67A93499B110}" srcId="{B6629F55-C264-4CBC-8FA3-58AF84426DAA}" destId="{87CDABDA-C127-44B5-A466-A483691AC28D}" srcOrd="1" destOrd="0" parTransId="{10ADB4C6-F9DC-459F-A6A9-9518645FB292}" sibTransId="{16A0E9BF-48E8-489C-8D29-A9013E639F78}"/>
    <dgm:cxn modelId="{82684B1F-C749-42BD-A44F-9F7580C2955C}" type="presOf" srcId="{0293E767-9B11-4900-93C4-1B68A26EFFA0}" destId="{68B0BDF7-F5C1-463E-9943-C3BE679B92FF}" srcOrd="0" destOrd="0" presId="urn:microsoft.com/office/officeart/2005/8/layout/hierarchy2"/>
    <dgm:cxn modelId="{DF067823-F401-493D-9163-94DBAEDC1148}" type="presOf" srcId="{38C97D98-32D8-454F-9951-536606B69D2B}" destId="{70AB4039-4899-4F09-B89E-43005830B25D}" srcOrd="0" destOrd="0" presId="urn:microsoft.com/office/officeart/2005/8/layout/hierarchy2"/>
    <dgm:cxn modelId="{EAAF7727-6AF7-4C67-B48E-AB71B46BF5CA}" srcId="{04B39695-071F-463F-9111-0167DE91752F}" destId="{D9118031-616E-40D7-AE01-A10A11385D65}" srcOrd="1" destOrd="0" parTransId="{F5359305-AEE3-4793-BD5A-0A24918948A5}" sibTransId="{11CF8614-82A9-474E-A3A3-602956BE7EDE}"/>
    <dgm:cxn modelId="{AA0FCF27-7E76-43B4-9D8D-2452C33B8880}" type="presOf" srcId="{CB47F5B0-2FED-462B-A133-61527745432F}" destId="{F46E8553-140D-4EDA-9057-CCE9387EC46D}" srcOrd="0" destOrd="0" presId="urn:microsoft.com/office/officeart/2005/8/layout/hierarchy2"/>
    <dgm:cxn modelId="{2487822A-C468-4680-9F34-345F1280DC0B}" type="presOf" srcId="{9CEA8EBE-761A-4949-AE57-F7937CC7C181}" destId="{A2F7C423-CFFA-45AE-8995-05C6F2E7907A}" srcOrd="1" destOrd="0" presId="urn:microsoft.com/office/officeart/2005/8/layout/hierarchy2"/>
    <dgm:cxn modelId="{434BED2D-BCCE-45B9-96D9-08F891ABAE29}" type="presOf" srcId="{D8312374-3174-4EEC-99C9-04ADA8D6293D}" destId="{2EE02C60-E9EB-4CD9-8230-CE5A85689EF0}" srcOrd="0" destOrd="0" presId="urn:microsoft.com/office/officeart/2005/8/layout/hierarchy2"/>
    <dgm:cxn modelId="{D7982B30-5AE1-4F0E-82E9-C9070EA4BAA7}" type="presOf" srcId="{707723FC-F33D-4F0A-8836-9BC1636DA217}" destId="{122E9C93-0881-4E17-8BA9-7C8A5504F00D}" srcOrd="0" destOrd="0" presId="urn:microsoft.com/office/officeart/2005/8/layout/hierarchy2"/>
    <dgm:cxn modelId="{52AB8730-DFF1-4023-9E77-0393063FCF2A}" type="presOf" srcId="{D841BBB4-7EF5-492B-A7AD-A1CBCF190B9C}" destId="{82EF6AD8-A6C2-42A7-B924-FF0F5B59130C}" srcOrd="0" destOrd="0" presId="urn:microsoft.com/office/officeart/2005/8/layout/hierarchy2"/>
    <dgm:cxn modelId="{293F6D36-719D-44A2-8200-14B874D40422}" type="presOf" srcId="{0293E767-9B11-4900-93C4-1B68A26EFFA0}" destId="{188B6E02-6632-4AD2-9175-57AC65FAB4B9}" srcOrd="1" destOrd="0" presId="urn:microsoft.com/office/officeart/2005/8/layout/hierarchy2"/>
    <dgm:cxn modelId="{90FE2737-EE03-49D5-BA3A-00102F99018B}" type="presOf" srcId="{87CDABDA-C127-44B5-A466-A483691AC28D}" destId="{3C52BB86-8509-4CC1-A866-BC389B00061D}" srcOrd="0" destOrd="0" presId="urn:microsoft.com/office/officeart/2005/8/layout/hierarchy2"/>
    <dgm:cxn modelId="{D397193E-A13B-4812-A83F-9771C3C6634D}" type="presOf" srcId="{F5359305-AEE3-4793-BD5A-0A24918948A5}" destId="{FE3D67B5-04C8-4ED8-9C48-D5A6EF65A639}" srcOrd="0" destOrd="0" presId="urn:microsoft.com/office/officeart/2005/8/layout/hierarchy2"/>
    <dgm:cxn modelId="{81D9D45F-8A7F-4474-AA0F-AAD536A19ACA}" type="presOf" srcId="{C4114920-85ED-427D-B3FB-D36F77E3F82E}" destId="{ED425B28-3B2D-4DCD-814F-86AC834C8F51}" srcOrd="1" destOrd="0" presId="urn:microsoft.com/office/officeart/2005/8/layout/hierarchy2"/>
    <dgm:cxn modelId="{9DF50561-164F-4A9C-82CA-0AB59F91CD24}" type="presOf" srcId="{6EB2F7A6-9142-4723-AE0C-5455F8216ED1}" destId="{E70676D4-1CC8-4DDB-BE94-2572E9E6B056}" srcOrd="1" destOrd="0" presId="urn:microsoft.com/office/officeart/2005/8/layout/hierarchy2"/>
    <dgm:cxn modelId="{157F2242-56C1-4361-B5E8-90C483B4CF34}" type="presOf" srcId="{B6629F55-C264-4CBC-8FA3-58AF84426DAA}" destId="{BFF295B9-F671-4EA9-A791-A1481BF545B0}" srcOrd="0" destOrd="0" presId="urn:microsoft.com/office/officeart/2005/8/layout/hierarchy2"/>
    <dgm:cxn modelId="{9D6A7746-8EA0-43A3-873C-3AFAB9D6A1CC}" type="presOf" srcId="{EEC025DC-C9D4-4E56-B1B2-26BBA5F2A0A9}" destId="{BE281184-E2A6-4A67-B882-996B7C44E2FF}" srcOrd="0" destOrd="0" presId="urn:microsoft.com/office/officeart/2005/8/layout/hierarchy2"/>
    <dgm:cxn modelId="{648DB266-6AAC-4F96-B7B9-841E52774F2E}" type="presOf" srcId="{0B422D39-7C6B-4208-A6AB-8330A4753B8D}" destId="{8B4E49B6-ECCB-469C-9E70-7900B0974F10}" srcOrd="0" destOrd="0" presId="urn:microsoft.com/office/officeart/2005/8/layout/hierarchy2"/>
    <dgm:cxn modelId="{FBFDC947-5E81-4759-A13B-72D2EA631735}" type="presOf" srcId="{75CBDC0D-F7FA-432D-B1C0-2730D2524A8F}" destId="{CE75C198-ECC5-4C89-BD9A-4B1CB5F496C3}" srcOrd="0" destOrd="0" presId="urn:microsoft.com/office/officeart/2005/8/layout/hierarchy2"/>
    <dgm:cxn modelId="{2515D448-26A1-44F3-9453-099029E78F55}" type="presOf" srcId="{D8312374-3174-4EEC-99C9-04ADA8D6293D}" destId="{329CF933-094E-4E0B-89DF-1693074A0B0E}" srcOrd="1" destOrd="0" presId="urn:microsoft.com/office/officeart/2005/8/layout/hierarchy2"/>
    <dgm:cxn modelId="{E9794F69-185C-4562-B62F-318DD1E2928E}" type="presOf" srcId="{011A8CE5-15F5-43A3-9271-0985F4C307E0}" destId="{A0C023B6-25A7-4207-9C0E-E8109E1F2444}" srcOrd="1" destOrd="0" presId="urn:microsoft.com/office/officeart/2005/8/layout/hierarchy2"/>
    <dgm:cxn modelId="{C2439B69-852F-4D99-BD73-58421BE59E63}" srcId="{6E5A3097-B1F1-4329-8D9C-556A0C077611}" destId="{D841BBB4-7EF5-492B-A7AD-A1CBCF190B9C}" srcOrd="0" destOrd="0" parTransId="{316E08B3-11E8-4D5D-8651-C97EB7197DC3}" sibTransId="{79C72491-64FF-4967-9518-6CF08D3B2BD0}"/>
    <dgm:cxn modelId="{3EE5166B-F16F-482D-81F0-3863D66E30CA}" type="presOf" srcId="{594768B5-02F8-4B3B-8B2C-374DD34DB2CC}" destId="{10A9CFC8-B988-4EB0-A461-B5F6D2CC571C}" srcOrd="0" destOrd="0" presId="urn:microsoft.com/office/officeart/2005/8/layout/hierarchy2"/>
    <dgm:cxn modelId="{E686284C-7DCB-4D11-86CF-2BA3A4DEF05A}" srcId="{FB497058-03EC-4348-8585-2BDCE45AAED9}" destId="{B6629F55-C264-4CBC-8FA3-58AF84426DAA}" srcOrd="0" destOrd="0" parTransId="{3A6D34FC-0B28-4AF6-9A79-F3CD833A116D}" sibTransId="{E43889A1-7CCD-4D82-907D-E7E2E2181BD1}"/>
    <dgm:cxn modelId="{1201864D-0933-452E-9FA2-FCEC6D013EF0}" type="presOf" srcId="{398178AB-9D3D-470A-9A7A-2463874D7135}" destId="{92582B76-B842-479F-8045-39C4185660C5}" srcOrd="1" destOrd="0" presId="urn:microsoft.com/office/officeart/2005/8/layout/hierarchy2"/>
    <dgm:cxn modelId="{5120B46D-DD3C-49A5-ACDE-FC18B408C151}" type="presOf" srcId="{3A6D34FC-0B28-4AF6-9A79-F3CD833A116D}" destId="{BAF7EDB6-5FB6-4170-954D-817E29DA40AE}" srcOrd="1" destOrd="0" presId="urn:microsoft.com/office/officeart/2005/8/layout/hierarchy2"/>
    <dgm:cxn modelId="{40B4A74E-6602-4178-93D4-8F4E503761E2}" type="presOf" srcId="{6EB2F7A6-9142-4723-AE0C-5455F8216ED1}" destId="{BEFA3334-CC5D-44C5-8BD8-456C766676B3}" srcOrd="0" destOrd="0" presId="urn:microsoft.com/office/officeart/2005/8/layout/hierarchy2"/>
    <dgm:cxn modelId="{8EDD804F-7408-44DA-9DC5-1ABC188121E8}" srcId="{BD8695AD-2191-4ED0-9021-3828B734F660}" destId="{4197F686-24E4-4B2E-832E-38EEF15CC124}" srcOrd="0" destOrd="0" parTransId="{011A8CE5-15F5-43A3-9271-0985F4C307E0}" sibTransId="{F51DCCFA-4C1D-4A3C-B13C-C347B322C24C}"/>
    <dgm:cxn modelId="{FA3A1055-6181-43F2-9A03-3D136ACE8CAF}" type="presOf" srcId="{F5359305-AEE3-4793-BD5A-0A24918948A5}" destId="{C3B508BE-5951-4550-96E9-E22853D1FAFA}" srcOrd="1" destOrd="0" presId="urn:microsoft.com/office/officeart/2005/8/layout/hierarchy2"/>
    <dgm:cxn modelId="{C81CE456-BA49-44CF-9EA9-4E5F908563E0}" type="presOf" srcId="{4AEBD80B-EBB1-4431-8E70-741E381F647E}" destId="{856CF5FD-37B9-4617-AC02-3C2F871CB083}" srcOrd="0" destOrd="0" presId="urn:microsoft.com/office/officeart/2005/8/layout/hierarchy2"/>
    <dgm:cxn modelId="{EECB2877-951B-4CC5-821A-EDD145779E77}" type="presOf" srcId="{345210E0-0DAA-4CB3-BC0B-6457AB71AD9C}" destId="{A89B0458-D0E2-480F-8360-43B7F86A957B}" srcOrd="0" destOrd="0" presId="urn:microsoft.com/office/officeart/2005/8/layout/hierarchy2"/>
    <dgm:cxn modelId="{17386457-79C4-4DC1-A65D-36A3BFD60559}" type="presOf" srcId="{7AE7F6F5-8E3A-4B13-9BAA-3AAE9FE92F0C}" destId="{FD14A14B-48EE-429E-8A39-B5E2A9D50B5C}" srcOrd="0" destOrd="0" presId="urn:microsoft.com/office/officeart/2005/8/layout/hierarchy2"/>
    <dgm:cxn modelId="{D13BF17B-73E3-4BB5-AB10-5B4EDFF0497D}" type="presOf" srcId="{10ADB4C6-F9DC-459F-A6A9-9518645FB292}" destId="{59912E51-5C07-4C09-89E9-A7DD368EA786}" srcOrd="1" destOrd="0" presId="urn:microsoft.com/office/officeart/2005/8/layout/hierarchy2"/>
    <dgm:cxn modelId="{3398467C-7828-4940-B7A6-9459CA7B2DF6}" type="presOf" srcId="{04B39695-071F-463F-9111-0167DE91752F}" destId="{F72104B3-8249-49B9-AB3E-24A1B17545C9}" srcOrd="0" destOrd="0" presId="urn:microsoft.com/office/officeart/2005/8/layout/hierarchy2"/>
    <dgm:cxn modelId="{221C0488-6E9E-4CE6-8801-89C0276FB425}" type="presOf" srcId="{6E5A3097-B1F1-4329-8D9C-556A0C077611}" destId="{D47581D1-F8BD-43EB-9F76-5E1365A9804F}" srcOrd="0" destOrd="0" presId="urn:microsoft.com/office/officeart/2005/8/layout/hierarchy2"/>
    <dgm:cxn modelId="{6C960D8C-789B-4263-8686-B4B4638C0E4D}" srcId="{75CBDC0D-F7FA-432D-B1C0-2730D2524A8F}" destId="{FB497058-03EC-4348-8585-2BDCE45AAED9}" srcOrd="1" destOrd="0" parTransId="{0B422D39-7C6B-4208-A6AB-8330A4753B8D}" sibTransId="{C66EB6A7-08D9-4C78-ABB0-EBF62E67A477}"/>
    <dgm:cxn modelId="{2898D68D-A038-4E56-BFB6-DBEB964E520C}" srcId="{B6629F55-C264-4CBC-8FA3-58AF84426DAA}" destId="{4AEBD80B-EBB1-4431-8E70-741E381F647E}" srcOrd="0" destOrd="0" parTransId="{D8312374-3174-4EEC-99C9-04ADA8D6293D}" sibTransId="{50EFCF72-6BD3-4991-A5A0-0232D036B2B7}"/>
    <dgm:cxn modelId="{3B66098E-E09E-45F4-8C9C-C7BDD85E2CCE}" type="presOf" srcId="{D9118031-616E-40D7-AE01-A10A11385D65}" destId="{B70ED221-2EA5-43F7-B0F4-607E6F6273AA}" srcOrd="0" destOrd="0" presId="urn:microsoft.com/office/officeart/2005/8/layout/hierarchy2"/>
    <dgm:cxn modelId="{4B15C396-D5B0-4A06-82A1-A40C6807334D}" type="presOf" srcId="{9CEA8EBE-761A-4949-AE57-F7937CC7C181}" destId="{ED1954E7-7251-4439-B1F9-BA5045F9A7F8}" srcOrd="0" destOrd="0" presId="urn:microsoft.com/office/officeart/2005/8/layout/hierarchy2"/>
    <dgm:cxn modelId="{76A1CD9C-74F2-4519-9C7B-0B1E56FCE88D}" type="presOf" srcId="{316E08B3-11E8-4D5D-8651-C97EB7197DC3}" destId="{C08B4676-A9FA-4FDD-A72F-B3AFA08C8E48}" srcOrd="0" destOrd="0" presId="urn:microsoft.com/office/officeart/2005/8/layout/hierarchy2"/>
    <dgm:cxn modelId="{D34D569E-B5C6-4684-BC02-24130CA4B2D7}" srcId="{04B39695-071F-463F-9111-0167DE91752F}" destId="{707723FC-F33D-4F0A-8836-9BC1636DA217}" srcOrd="0" destOrd="0" parTransId="{398178AB-9D3D-470A-9A7A-2463874D7135}" sibTransId="{1341016D-06E2-4306-AC80-CBFE9CEBC93B}"/>
    <dgm:cxn modelId="{2627B5A1-DB13-4D42-9EB3-D4B2F1A13BDA}" srcId="{4AEBD80B-EBB1-4431-8E70-741E381F647E}" destId="{7AE7F6F5-8E3A-4B13-9BAA-3AAE9FE92F0C}" srcOrd="0" destOrd="0" parTransId="{0293E767-9B11-4900-93C4-1B68A26EFFA0}" sibTransId="{9E35ACA7-7AC1-40D3-B6A0-39AEC101C2B1}"/>
    <dgm:cxn modelId="{17A10EA4-1E67-4DDD-99D8-AC59DDCB9BFD}" type="presOf" srcId="{594768B5-02F8-4B3B-8B2C-374DD34DB2CC}" destId="{0DF18983-DF56-4270-AF19-16AFB578F0B2}" srcOrd="1" destOrd="0" presId="urn:microsoft.com/office/officeart/2005/8/layout/hierarchy2"/>
    <dgm:cxn modelId="{632A27AC-8884-4F57-A248-7BE68FDBBEB4}" type="presOf" srcId="{A35DD61E-CCF0-4AC5-8F14-C387F64BFCB1}" destId="{B5C84F29-92C3-4E8E-A1A4-1947C09253E2}" srcOrd="1" destOrd="0" presId="urn:microsoft.com/office/officeart/2005/8/layout/hierarchy2"/>
    <dgm:cxn modelId="{34E057B2-C8E0-4957-9AD2-9161B81E2506}" type="presOf" srcId="{6CB9E7C2-3498-4512-BB86-9076F3B33BFC}" destId="{CA1072D9-84B4-4B08-A2F4-F1221D2451BA}" srcOrd="0" destOrd="0" presId="urn:microsoft.com/office/officeart/2005/8/layout/hierarchy2"/>
    <dgm:cxn modelId="{38F254B7-A6B8-4D9B-9E9B-4D9BC844A145}" type="presOf" srcId="{9B15BBA0-8E1E-406C-BD7D-83B505A458E5}" destId="{F78B06E0-9C6F-4EDD-B088-76E8270ADA91}" srcOrd="0" destOrd="0" presId="urn:microsoft.com/office/officeart/2005/8/layout/hierarchy2"/>
    <dgm:cxn modelId="{DBB7A6B8-42EA-410A-BFA7-F69ADBDCD8C1}" type="presOf" srcId="{A35DD61E-CCF0-4AC5-8F14-C387F64BFCB1}" destId="{35C70336-55C2-48A6-8EC3-5BA08FE7FBA7}" srcOrd="0" destOrd="0" presId="urn:microsoft.com/office/officeart/2005/8/layout/hierarchy2"/>
    <dgm:cxn modelId="{078AFCBE-19C4-411A-AB77-1C0988CC5266}" type="presOf" srcId="{10ADB4C6-F9DC-459F-A6A9-9518645FB292}" destId="{827D577C-A2C8-45F3-8A9D-D11A7DD21C20}" srcOrd="0" destOrd="0" presId="urn:microsoft.com/office/officeart/2005/8/layout/hierarchy2"/>
    <dgm:cxn modelId="{6EA2C8C0-8CD9-4C33-9A2E-12FFECF52A3F}" type="presOf" srcId="{0B422D39-7C6B-4208-A6AB-8330A4753B8D}" destId="{95121FC8-1240-4E02-B36A-06AD0BF04550}" srcOrd="1" destOrd="0" presId="urn:microsoft.com/office/officeart/2005/8/layout/hierarchy2"/>
    <dgm:cxn modelId="{7E364FC3-EA23-4A06-9DD7-1763533A14F2}" type="presOf" srcId="{BD8695AD-2191-4ED0-9021-3828B734F660}" destId="{85B7F24E-5333-4039-8192-70DEFD1030F1}" srcOrd="0" destOrd="0" presId="urn:microsoft.com/office/officeart/2005/8/layout/hierarchy2"/>
    <dgm:cxn modelId="{A5FC4FC6-BBCE-48AE-9EFB-0C41C760623B}" type="presOf" srcId="{A53B72F8-E6F2-4C75-A557-7971065379B4}" destId="{62320391-5C88-43CD-846E-7803F418762D}" srcOrd="1" destOrd="0" presId="urn:microsoft.com/office/officeart/2005/8/layout/hierarchy2"/>
    <dgm:cxn modelId="{6C9D8AC7-2B79-48F2-B3C1-BE13C3CDDB9D}" type="presOf" srcId="{316E08B3-11E8-4D5D-8651-C97EB7197DC3}" destId="{49CDDB82-105F-469A-B259-9CB5F13F0ED6}" srcOrd="1" destOrd="0" presId="urn:microsoft.com/office/officeart/2005/8/layout/hierarchy2"/>
    <dgm:cxn modelId="{92BA89CD-8097-485E-A52F-2D8255CCD3F9}" type="presOf" srcId="{FB497058-03EC-4348-8585-2BDCE45AAED9}" destId="{D596E983-ADFF-4463-BBC7-8BA3CBEFE6C0}" srcOrd="0" destOrd="0" presId="urn:microsoft.com/office/officeart/2005/8/layout/hierarchy2"/>
    <dgm:cxn modelId="{89CBB0D3-D0C4-4A39-85D3-0DE2C4686A0D}" srcId="{6CB9E7C2-3498-4512-BB86-9076F3B33BFC}" destId="{75CBDC0D-F7FA-432D-B1C0-2730D2524A8F}" srcOrd="0" destOrd="0" parTransId="{AFFDE7D6-38B5-4749-9444-5F12C97FD068}" sibTransId="{166E0337-DCBB-4CAB-8D2B-5EC40E9E2611}"/>
    <dgm:cxn modelId="{3ACF10D4-2A78-4929-865A-24C5613B2676}" type="presOf" srcId="{AD7BCB35-7BB6-44C9-BD60-102E11768195}" destId="{04A890E7-8BB4-4336-8F9D-223A3283B9F7}" srcOrd="0" destOrd="0" presId="urn:microsoft.com/office/officeart/2005/8/layout/hierarchy2"/>
    <dgm:cxn modelId="{DE2547D9-CB69-448F-BA42-6AAA2CCEE978}" type="presOf" srcId="{CB47F5B0-2FED-462B-A133-61527745432F}" destId="{DCB0536C-DC51-4C5A-9BCC-BF12807D4FAA}" srcOrd="1" destOrd="0" presId="urn:microsoft.com/office/officeart/2005/8/layout/hierarchy2"/>
    <dgm:cxn modelId="{A913D9E3-3D98-481C-894C-3E5DD9B3AD56}" type="presOf" srcId="{398178AB-9D3D-470A-9A7A-2463874D7135}" destId="{A9D67DB5-CEBB-48AA-B2CF-A910C0EFD23D}" srcOrd="0" destOrd="0" presId="urn:microsoft.com/office/officeart/2005/8/layout/hierarchy2"/>
    <dgm:cxn modelId="{75999DED-F140-434B-A886-35CB175A15BA}" type="presOf" srcId="{3A6D34FC-0B28-4AF6-9A79-F3CD833A116D}" destId="{3A1B0FB7-7537-4135-94CE-9673320D988E}" srcOrd="0" destOrd="0" presId="urn:microsoft.com/office/officeart/2005/8/layout/hierarchy2"/>
    <dgm:cxn modelId="{3992FFEE-7786-4CBD-BFE9-BB44CA7EA6F6}" type="presOf" srcId="{8F2C9D09-3526-452C-83A7-57BFF79C39F7}" destId="{297C58C1-5699-41F8-A6F6-FB2228AA7A5C}" srcOrd="0" destOrd="0" presId="urn:microsoft.com/office/officeart/2005/8/layout/hierarchy2"/>
    <dgm:cxn modelId="{CFBDC2EF-9F66-484E-94BC-929BB3C3F8AE}" type="presOf" srcId="{C4114920-85ED-427D-B3FB-D36F77E3F82E}" destId="{1A7D06C8-6DCD-4E7B-A230-BE357EF6D47E}" srcOrd="0" destOrd="0" presId="urn:microsoft.com/office/officeart/2005/8/layout/hierarchy2"/>
    <dgm:cxn modelId="{CAC87FF4-5184-43A7-834F-C9F4E9A29FB1}" srcId="{4197F686-24E4-4B2E-832E-38EEF15CC124}" destId="{EEC025DC-C9D4-4E56-B1B2-26BBA5F2A0A9}" srcOrd="0" destOrd="0" parTransId="{A53B72F8-E6F2-4C75-A557-7971065379B4}" sibTransId="{45C56873-39F2-43BC-B76A-1CFA05D3C8DB}"/>
    <dgm:cxn modelId="{623E82F6-FA99-4E34-A784-D853BA39E6BA}" type="presOf" srcId="{38C97D98-32D8-454F-9951-536606B69D2B}" destId="{9469D5EE-3E47-46E9-9BFB-24E9CB156761}" srcOrd="1" destOrd="0" presId="urn:microsoft.com/office/officeart/2005/8/layout/hierarchy2"/>
    <dgm:cxn modelId="{EF4E36FB-F387-446C-9AD4-531EDA9400C3}" srcId="{FB497058-03EC-4348-8585-2BDCE45AAED9}" destId="{04B39695-071F-463F-9111-0167DE91752F}" srcOrd="1" destOrd="0" parTransId="{594768B5-02F8-4B3B-8B2C-374DD34DB2CC}" sibTransId="{D8282984-12BB-43FE-AAF5-0DE46F44B6D4}"/>
    <dgm:cxn modelId="{5BF25DFC-0996-49A4-95A9-2E25BB59C479}" srcId="{D9118031-616E-40D7-AE01-A10A11385D65}" destId="{9B15BBA0-8E1E-406C-BD7D-83B505A458E5}" srcOrd="0" destOrd="0" parTransId="{38C97D98-32D8-454F-9951-536606B69D2B}" sibTransId="{2C799552-AB6E-4AF4-90DD-914284475234}"/>
    <dgm:cxn modelId="{DD83E7DC-5334-4310-9B5A-0D8E9A946897}" type="presParOf" srcId="{CA1072D9-84B4-4B08-A2F4-F1221D2451BA}" destId="{26E6AC76-F64D-4398-BC7F-2A5EADA87180}" srcOrd="0" destOrd="0" presId="urn:microsoft.com/office/officeart/2005/8/layout/hierarchy2"/>
    <dgm:cxn modelId="{D0DA6874-1593-4931-A310-F2380C478487}" type="presParOf" srcId="{26E6AC76-F64D-4398-BC7F-2A5EADA87180}" destId="{CE75C198-ECC5-4C89-BD9A-4B1CB5F496C3}" srcOrd="0" destOrd="0" presId="urn:microsoft.com/office/officeart/2005/8/layout/hierarchy2"/>
    <dgm:cxn modelId="{CE67AC77-C7B4-4FB2-A994-56DD37862580}" type="presParOf" srcId="{26E6AC76-F64D-4398-BC7F-2A5EADA87180}" destId="{EF558556-C846-416A-957C-39ECCD0F5628}" srcOrd="1" destOrd="0" presId="urn:microsoft.com/office/officeart/2005/8/layout/hierarchy2"/>
    <dgm:cxn modelId="{F790A19D-7201-4CD2-BE71-00CE7A1323F4}" type="presParOf" srcId="{EF558556-C846-416A-957C-39ECCD0F5628}" destId="{BEFA3334-CC5D-44C5-8BD8-456C766676B3}" srcOrd="0" destOrd="0" presId="urn:microsoft.com/office/officeart/2005/8/layout/hierarchy2"/>
    <dgm:cxn modelId="{7B9C0C60-C77F-4C2A-9868-737BFA64D652}" type="presParOf" srcId="{BEFA3334-CC5D-44C5-8BD8-456C766676B3}" destId="{E70676D4-1CC8-4DDB-BE94-2572E9E6B056}" srcOrd="0" destOrd="0" presId="urn:microsoft.com/office/officeart/2005/8/layout/hierarchy2"/>
    <dgm:cxn modelId="{77FC9C80-F281-4DB0-B283-D6B5C998D089}" type="presParOf" srcId="{EF558556-C846-416A-957C-39ECCD0F5628}" destId="{ADC45CD3-6ABB-4D94-85AF-7E000773941C}" srcOrd="1" destOrd="0" presId="urn:microsoft.com/office/officeart/2005/8/layout/hierarchy2"/>
    <dgm:cxn modelId="{C5651DB1-D2DC-4590-9ED2-5B41AD96E193}" type="presParOf" srcId="{ADC45CD3-6ABB-4D94-85AF-7E000773941C}" destId="{85B7F24E-5333-4039-8192-70DEFD1030F1}" srcOrd="0" destOrd="0" presId="urn:microsoft.com/office/officeart/2005/8/layout/hierarchy2"/>
    <dgm:cxn modelId="{86256D61-63D3-4A7E-9446-3EA64DEF29B7}" type="presParOf" srcId="{ADC45CD3-6ABB-4D94-85AF-7E000773941C}" destId="{D4F66C5A-DD60-4003-922A-64F5F7CE1566}" srcOrd="1" destOrd="0" presId="urn:microsoft.com/office/officeart/2005/8/layout/hierarchy2"/>
    <dgm:cxn modelId="{4A9BE5CA-BF9F-48FB-817C-08E1C2F35852}" type="presParOf" srcId="{D4F66C5A-DD60-4003-922A-64F5F7CE1566}" destId="{E2EE6FEF-205D-4321-8994-BD321C0E4DD8}" srcOrd="0" destOrd="0" presId="urn:microsoft.com/office/officeart/2005/8/layout/hierarchy2"/>
    <dgm:cxn modelId="{C1A3BC6A-1E0F-4486-B0FC-F1EEA9C340E4}" type="presParOf" srcId="{E2EE6FEF-205D-4321-8994-BD321C0E4DD8}" destId="{A0C023B6-25A7-4207-9C0E-E8109E1F2444}" srcOrd="0" destOrd="0" presId="urn:microsoft.com/office/officeart/2005/8/layout/hierarchy2"/>
    <dgm:cxn modelId="{831CEFF4-6AC1-434C-8AC5-716AA7E4BD02}" type="presParOf" srcId="{D4F66C5A-DD60-4003-922A-64F5F7CE1566}" destId="{186943AF-0B29-4570-9E98-54FE430B72A5}" srcOrd="1" destOrd="0" presId="urn:microsoft.com/office/officeart/2005/8/layout/hierarchy2"/>
    <dgm:cxn modelId="{279AD607-DDB0-4A1D-A555-5AAD791283F9}" type="presParOf" srcId="{186943AF-0B29-4570-9E98-54FE430B72A5}" destId="{8A441514-A886-4DF6-A066-C241BA164E5F}" srcOrd="0" destOrd="0" presId="urn:microsoft.com/office/officeart/2005/8/layout/hierarchy2"/>
    <dgm:cxn modelId="{E0C6B793-84BF-47C1-8997-2C162D120CFC}" type="presParOf" srcId="{186943AF-0B29-4570-9E98-54FE430B72A5}" destId="{65859AD0-DCB5-4E6C-A53E-458DBA3BD1D6}" srcOrd="1" destOrd="0" presId="urn:microsoft.com/office/officeart/2005/8/layout/hierarchy2"/>
    <dgm:cxn modelId="{473C1F35-5D12-4A8A-8C6C-21F12326F98A}" type="presParOf" srcId="{65859AD0-DCB5-4E6C-A53E-458DBA3BD1D6}" destId="{1555C378-EC7D-4573-A018-DAD4E848331C}" srcOrd="0" destOrd="0" presId="urn:microsoft.com/office/officeart/2005/8/layout/hierarchy2"/>
    <dgm:cxn modelId="{3645A040-37D3-4399-9958-8B8F6062D2A3}" type="presParOf" srcId="{1555C378-EC7D-4573-A018-DAD4E848331C}" destId="{62320391-5C88-43CD-846E-7803F418762D}" srcOrd="0" destOrd="0" presId="urn:microsoft.com/office/officeart/2005/8/layout/hierarchy2"/>
    <dgm:cxn modelId="{435BE74B-4246-4BED-B60E-98AE23F95627}" type="presParOf" srcId="{65859AD0-DCB5-4E6C-A53E-458DBA3BD1D6}" destId="{AF974ED5-D1A1-46B0-8524-052C7AB51608}" srcOrd="1" destOrd="0" presId="urn:microsoft.com/office/officeart/2005/8/layout/hierarchy2"/>
    <dgm:cxn modelId="{587AD0D9-12B0-4B14-9DC8-8F7FFF37397B}" type="presParOf" srcId="{AF974ED5-D1A1-46B0-8524-052C7AB51608}" destId="{BE281184-E2A6-4A67-B882-996B7C44E2FF}" srcOrd="0" destOrd="0" presId="urn:microsoft.com/office/officeart/2005/8/layout/hierarchy2"/>
    <dgm:cxn modelId="{6BE86F59-09EE-4720-BEB8-C9A780F6C0CB}" type="presParOf" srcId="{AF974ED5-D1A1-46B0-8524-052C7AB51608}" destId="{6D6522AC-AC1A-4213-BC72-F79D09B66498}" srcOrd="1" destOrd="0" presId="urn:microsoft.com/office/officeart/2005/8/layout/hierarchy2"/>
    <dgm:cxn modelId="{FCFADA3F-7392-4EA1-9F8F-2286F88E5C4F}" type="presParOf" srcId="{D4F66C5A-DD60-4003-922A-64F5F7CE1566}" destId="{35C70336-55C2-48A6-8EC3-5BA08FE7FBA7}" srcOrd="2" destOrd="0" presId="urn:microsoft.com/office/officeart/2005/8/layout/hierarchy2"/>
    <dgm:cxn modelId="{9E4B90BE-C058-4C9F-835E-A3B4BBAF451E}" type="presParOf" srcId="{35C70336-55C2-48A6-8EC3-5BA08FE7FBA7}" destId="{B5C84F29-92C3-4E8E-A1A4-1947C09253E2}" srcOrd="0" destOrd="0" presId="urn:microsoft.com/office/officeart/2005/8/layout/hierarchy2"/>
    <dgm:cxn modelId="{AA0EEBC4-9161-44F7-A37D-0AC65380014B}" type="presParOf" srcId="{D4F66C5A-DD60-4003-922A-64F5F7CE1566}" destId="{8635C5C1-99F9-42F3-99C5-545FD2FF93A8}" srcOrd="3" destOrd="0" presId="urn:microsoft.com/office/officeart/2005/8/layout/hierarchy2"/>
    <dgm:cxn modelId="{A84949A8-3C2A-4766-BF7C-F15BCD34F407}" type="presParOf" srcId="{8635C5C1-99F9-42F3-99C5-545FD2FF93A8}" destId="{D47581D1-F8BD-43EB-9F76-5E1365A9804F}" srcOrd="0" destOrd="0" presId="urn:microsoft.com/office/officeart/2005/8/layout/hierarchy2"/>
    <dgm:cxn modelId="{CBE784F9-EE56-436C-8075-F5C4BDA2BAD5}" type="presParOf" srcId="{8635C5C1-99F9-42F3-99C5-545FD2FF93A8}" destId="{25A4A66F-8E12-420B-806E-CE591EBFC45E}" srcOrd="1" destOrd="0" presId="urn:microsoft.com/office/officeart/2005/8/layout/hierarchy2"/>
    <dgm:cxn modelId="{95DF3C02-A1B8-4693-A7A5-55B4416D8472}" type="presParOf" srcId="{25A4A66F-8E12-420B-806E-CE591EBFC45E}" destId="{C08B4676-A9FA-4FDD-A72F-B3AFA08C8E48}" srcOrd="0" destOrd="0" presId="urn:microsoft.com/office/officeart/2005/8/layout/hierarchy2"/>
    <dgm:cxn modelId="{1EB803C1-4FDE-4275-8E0E-92623F46A8C4}" type="presParOf" srcId="{C08B4676-A9FA-4FDD-A72F-B3AFA08C8E48}" destId="{49CDDB82-105F-469A-B259-9CB5F13F0ED6}" srcOrd="0" destOrd="0" presId="urn:microsoft.com/office/officeart/2005/8/layout/hierarchy2"/>
    <dgm:cxn modelId="{5A957E2B-E66F-417A-9810-3ED82B68C233}" type="presParOf" srcId="{25A4A66F-8E12-420B-806E-CE591EBFC45E}" destId="{A5521BD6-A030-4646-A648-51739FD99948}" srcOrd="1" destOrd="0" presId="urn:microsoft.com/office/officeart/2005/8/layout/hierarchy2"/>
    <dgm:cxn modelId="{6FEAC05F-8CE6-4B9F-869F-7E47DCE59D7C}" type="presParOf" srcId="{A5521BD6-A030-4646-A648-51739FD99948}" destId="{82EF6AD8-A6C2-42A7-B924-FF0F5B59130C}" srcOrd="0" destOrd="0" presId="urn:microsoft.com/office/officeart/2005/8/layout/hierarchy2"/>
    <dgm:cxn modelId="{DD4E268C-05A6-4038-9CF5-155111B6E0D4}" type="presParOf" srcId="{A5521BD6-A030-4646-A648-51739FD99948}" destId="{3AC482E4-E0DF-42BE-BF00-FBF3CD2BFFB6}" srcOrd="1" destOrd="0" presId="urn:microsoft.com/office/officeart/2005/8/layout/hierarchy2"/>
    <dgm:cxn modelId="{1D8577BD-F426-4F14-B1D1-2DB4A0275002}" type="presParOf" srcId="{EF558556-C846-416A-957C-39ECCD0F5628}" destId="{8B4E49B6-ECCB-469C-9E70-7900B0974F10}" srcOrd="2" destOrd="0" presId="urn:microsoft.com/office/officeart/2005/8/layout/hierarchy2"/>
    <dgm:cxn modelId="{152EACF4-091F-43B6-8CF3-92099CE3F5F6}" type="presParOf" srcId="{8B4E49B6-ECCB-469C-9E70-7900B0974F10}" destId="{95121FC8-1240-4E02-B36A-06AD0BF04550}" srcOrd="0" destOrd="0" presId="urn:microsoft.com/office/officeart/2005/8/layout/hierarchy2"/>
    <dgm:cxn modelId="{486528D5-3355-48EB-AAD9-695D66EC35E9}" type="presParOf" srcId="{EF558556-C846-416A-957C-39ECCD0F5628}" destId="{6868D348-67C5-45DB-B11B-ECBF66665791}" srcOrd="3" destOrd="0" presId="urn:microsoft.com/office/officeart/2005/8/layout/hierarchy2"/>
    <dgm:cxn modelId="{3CF63491-7D85-43DE-8B8D-7C20B44266B4}" type="presParOf" srcId="{6868D348-67C5-45DB-B11B-ECBF66665791}" destId="{D596E983-ADFF-4463-BBC7-8BA3CBEFE6C0}" srcOrd="0" destOrd="0" presId="urn:microsoft.com/office/officeart/2005/8/layout/hierarchy2"/>
    <dgm:cxn modelId="{41FCBBF1-14FB-46EB-87D0-EB28366AF717}" type="presParOf" srcId="{6868D348-67C5-45DB-B11B-ECBF66665791}" destId="{D0AA0C3E-02DD-48B5-BE70-5C1D02783FA3}" srcOrd="1" destOrd="0" presId="urn:microsoft.com/office/officeart/2005/8/layout/hierarchy2"/>
    <dgm:cxn modelId="{4E2E81A8-34A1-493A-B9A8-8A0D3FAF361D}" type="presParOf" srcId="{D0AA0C3E-02DD-48B5-BE70-5C1D02783FA3}" destId="{3A1B0FB7-7537-4135-94CE-9673320D988E}" srcOrd="0" destOrd="0" presId="urn:microsoft.com/office/officeart/2005/8/layout/hierarchy2"/>
    <dgm:cxn modelId="{DDFEE57A-A221-4BD6-A2CC-C12D6544AC6B}" type="presParOf" srcId="{3A1B0FB7-7537-4135-94CE-9673320D988E}" destId="{BAF7EDB6-5FB6-4170-954D-817E29DA40AE}" srcOrd="0" destOrd="0" presId="urn:microsoft.com/office/officeart/2005/8/layout/hierarchy2"/>
    <dgm:cxn modelId="{437A7AEC-598D-473B-AFE0-58710F3387F5}" type="presParOf" srcId="{D0AA0C3E-02DD-48B5-BE70-5C1D02783FA3}" destId="{183DDEDD-56F2-4190-A75C-E74DC2A7E157}" srcOrd="1" destOrd="0" presId="urn:microsoft.com/office/officeart/2005/8/layout/hierarchy2"/>
    <dgm:cxn modelId="{97F12A38-8CF2-4648-AD82-56DDDCDAB8D2}" type="presParOf" srcId="{183DDEDD-56F2-4190-A75C-E74DC2A7E157}" destId="{BFF295B9-F671-4EA9-A791-A1481BF545B0}" srcOrd="0" destOrd="0" presId="urn:microsoft.com/office/officeart/2005/8/layout/hierarchy2"/>
    <dgm:cxn modelId="{19FE8ECA-0AC5-4C38-9CC8-A89089FFEC22}" type="presParOf" srcId="{183DDEDD-56F2-4190-A75C-E74DC2A7E157}" destId="{541CD727-4C2F-4714-BE8C-9B53C632AB32}" srcOrd="1" destOrd="0" presId="urn:microsoft.com/office/officeart/2005/8/layout/hierarchy2"/>
    <dgm:cxn modelId="{DD213A59-69EC-4FF3-ABD0-5A93A06D50D5}" type="presParOf" srcId="{541CD727-4C2F-4714-BE8C-9B53C632AB32}" destId="{2EE02C60-E9EB-4CD9-8230-CE5A85689EF0}" srcOrd="0" destOrd="0" presId="urn:microsoft.com/office/officeart/2005/8/layout/hierarchy2"/>
    <dgm:cxn modelId="{9E31C481-A75E-42BD-BB96-8A4EA8EDFF1C}" type="presParOf" srcId="{2EE02C60-E9EB-4CD9-8230-CE5A85689EF0}" destId="{329CF933-094E-4E0B-89DF-1693074A0B0E}" srcOrd="0" destOrd="0" presId="urn:microsoft.com/office/officeart/2005/8/layout/hierarchy2"/>
    <dgm:cxn modelId="{8A5CAE73-4AE2-4661-9F9E-61F7BB92F142}" type="presParOf" srcId="{541CD727-4C2F-4714-BE8C-9B53C632AB32}" destId="{0B738013-D04C-449A-AA30-1CB74ED85C00}" srcOrd="1" destOrd="0" presId="urn:microsoft.com/office/officeart/2005/8/layout/hierarchy2"/>
    <dgm:cxn modelId="{E257BEB6-A706-476A-95A5-9265D95DD17D}" type="presParOf" srcId="{0B738013-D04C-449A-AA30-1CB74ED85C00}" destId="{856CF5FD-37B9-4617-AC02-3C2F871CB083}" srcOrd="0" destOrd="0" presId="urn:microsoft.com/office/officeart/2005/8/layout/hierarchy2"/>
    <dgm:cxn modelId="{35044713-AA22-480F-AEFB-DA5D886CA338}" type="presParOf" srcId="{0B738013-D04C-449A-AA30-1CB74ED85C00}" destId="{D2D37DF5-FAE4-4B5E-BCAE-F993672C4142}" srcOrd="1" destOrd="0" presId="urn:microsoft.com/office/officeart/2005/8/layout/hierarchy2"/>
    <dgm:cxn modelId="{AD334FE9-FA4C-454A-AB8B-0803125C61EE}" type="presParOf" srcId="{D2D37DF5-FAE4-4B5E-BCAE-F993672C4142}" destId="{68B0BDF7-F5C1-463E-9943-C3BE679B92FF}" srcOrd="0" destOrd="0" presId="urn:microsoft.com/office/officeart/2005/8/layout/hierarchy2"/>
    <dgm:cxn modelId="{62CA33AB-E9BF-4F39-84BD-A6DA0985CC84}" type="presParOf" srcId="{68B0BDF7-F5C1-463E-9943-C3BE679B92FF}" destId="{188B6E02-6632-4AD2-9175-57AC65FAB4B9}" srcOrd="0" destOrd="0" presId="urn:microsoft.com/office/officeart/2005/8/layout/hierarchy2"/>
    <dgm:cxn modelId="{33C33018-0E7B-4FF3-ADBD-037E4F971AD3}" type="presParOf" srcId="{D2D37DF5-FAE4-4B5E-BCAE-F993672C4142}" destId="{C60414BB-8B4B-4237-987A-09CA73660900}" srcOrd="1" destOrd="0" presId="urn:microsoft.com/office/officeart/2005/8/layout/hierarchy2"/>
    <dgm:cxn modelId="{49CA7D0F-D69C-48B8-A4A4-E5839249E79E}" type="presParOf" srcId="{C60414BB-8B4B-4237-987A-09CA73660900}" destId="{FD14A14B-48EE-429E-8A39-B5E2A9D50B5C}" srcOrd="0" destOrd="0" presId="urn:microsoft.com/office/officeart/2005/8/layout/hierarchy2"/>
    <dgm:cxn modelId="{854ACC00-A9AA-4D55-A5F0-C0EC771B6181}" type="presParOf" srcId="{C60414BB-8B4B-4237-987A-09CA73660900}" destId="{8228696D-46B8-43B0-BD02-4BD02F49E587}" srcOrd="1" destOrd="0" presId="urn:microsoft.com/office/officeart/2005/8/layout/hierarchy2"/>
    <dgm:cxn modelId="{83A711F4-FA91-4A9D-97FB-5D4A4BA5512B}" type="presParOf" srcId="{541CD727-4C2F-4714-BE8C-9B53C632AB32}" destId="{827D577C-A2C8-45F3-8A9D-D11A7DD21C20}" srcOrd="2" destOrd="0" presId="urn:microsoft.com/office/officeart/2005/8/layout/hierarchy2"/>
    <dgm:cxn modelId="{3BA5B658-2BCA-47FD-B5F4-0A6B43656DDB}" type="presParOf" srcId="{827D577C-A2C8-45F3-8A9D-D11A7DD21C20}" destId="{59912E51-5C07-4C09-89E9-A7DD368EA786}" srcOrd="0" destOrd="0" presId="urn:microsoft.com/office/officeart/2005/8/layout/hierarchy2"/>
    <dgm:cxn modelId="{603E6FF8-F236-4F6F-8426-F439530BFD82}" type="presParOf" srcId="{541CD727-4C2F-4714-BE8C-9B53C632AB32}" destId="{CB425109-0E27-4D9E-8030-E9551600094C}" srcOrd="3" destOrd="0" presId="urn:microsoft.com/office/officeart/2005/8/layout/hierarchy2"/>
    <dgm:cxn modelId="{41F41BA5-4C61-4CFA-AAF2-CE2622860E21}" type="presParOf" srcId="{CB425109-0E27-4D9E-8030-E9551600094C}" destId="{3C52BB86-8509-4CC1-A866-BC389B00061D}" srcOrd="0" destOrd="0" presId="urn:microsoft.com/office/officeart/2005/8/layout/hierarchy2"/>
    <dgm:cxn modelId="{6AE77572-85BB-481F-9A70-8CA619CA2263}" type="presParOf" srcId="{CB425109-0E27-4D9E-8030-E9551600094C}" destId="{EF16ED86-95CB-4175-8E69-0CC8C8FBD4AD}" srcOrd="1" destOrd="0" presId="urn:microsoft.com/office/officeart/2005/8/layout/hierarchy2"/>
    <dgm:cxn modelId="{6B539E2F-94DB-4BB9-80B3-E9F581D677E8}" type="presParOf" srcId="{EF16ED86-95CB-4175-8E69-0CC8C8FBD4AD}" destId="{1A7D06C8-6DCD-4E7B-A230-BE357EF6D47E}" srcOrd="0" destOrd="0" presId="urn:microsoft.com/office/officeart/2005/8/layout/hierarchy2"/>
    <dgm:cxn modelId="{CC10AA65-81F9-4E0C-BB63-231D3612E820}" type="presParOf" srcId="{1A7D06C8-6DCD-4E7B-A230-BE357EF6D47E}" destId="{ED425B28-3B2D-4DCD-814F-86AC834C8F51}" srcOrd="0" destOrd="0" presId="urn:microsoft.com/office/officeart/2005/8/layout/hierarchy2"/>
    <dgm:cxn modelId="{7DD8E1AE-8ABB-4778-B79A-E918381B45E8}" type="presParOf" srcId="{EF16ED86-95CB-4175-8E69-0CC8C8FBD4AD}" destId="{A098A4B8-EE39-4B17-A73B-D29845704A7B}" srcOrd="1" destOrd="0" presId="urn:microsoft.com/office/officeart/2005/8/layout/hierarchy2"/>
    <dgm:cxn modelId="{35EFAAC3-DAFB-44A9-BC2B-3DE1C68B2AA8}" type="presParOf" srcId="{A098A4B8-EE39-4B17-A73B-D29845704A7B}" destId="{04A890E7-8BB4-4336-8F9D-223A3283B9F7}" srcOrd="0" destOrd="0" presId="urn:microsoft.com/office/officeart/2005/8/layout/hierarchy2"/>
    <dgm:cxn modelId="{D40B920F-438E-490D-AEA6-28428C281D58}" type="presParOf" srcId="{A098A4B8-EE39-4B17-A73B-D29845704A7B}" destId="{7BFF7C2A-CD03-4F7E-8BC8-1E5481853167}" srcOrd="1" destOrd="0" presId="urn:microsoft.com/office/officeart/2005/8/layout/hierarchy2"/>
    <dgm:cxn modelId="{8A7CBC8E-BF52-48D8-A8DE-1939E0EB1E1F}" type="presParOf" srcId="{EF16ED86-95CB-4175-8E69-0CC8C8FBD4AD}" destId="{F46E8553-140D-4EDA-9057-CCE9387EC46D}" srcOrd="2" destOrd="0" presId="urn:microsoft.com/office/officeart/2005/8/layout/hierarchy2"/>
    <dgm:cxn modelId="{A24C365C-E9A1-49AC-9084-5373380A820D}" type="presParOf" srcId="{F46E8553-140D-4EDA-9057-CCE9387EC46D}" destId="{DCB0536C-DC51-4C5A-9BCC-BF12807D4FAA}" srcOrd="0" destOrd="0" presId="urn:microsoft.com/office/officeart/2005/8/layout/hierarchy2"/>
    <dgm:cxn modelId="{B6A86C29-B822-41AC-A052-D3A99710C921}" type="presParOf" srcId="{EF16ED86-95CB-4175-8E69-0CC8C8FBD4AD}" destId="{3B3FE400-808E-47D4-AC3C-A8E91F83910C}" srcOrd="3" destOrd="0" presId="urn:microsoft.com/office/officeart/2005/8/layout/hierarchy2"/>
    <dgm:cxn modelId="{3637F861-A392-4565-A8DD-C9704F44C628}" type="presParOf" srcId="{3B3FE400-808E-47D4-AC3C-A8E91F83910C}" destId="{297C58C1-5699-41F8-A6F6-FB2228AA7A5C}" srcOrd="0" destOrd="0" presId="urn:microsoft.com/office/officeart/2005/8/layout/hierarchy2"/>
    <dgm:cxn modelId="{34DC5B05-5F85-40F6-99E6-EB4CCEA52FA0}" type="presParOf" srcId="{3B3FE400-808E-47D4-AC3C-A8E91F83910C}" destId="{7113D0D7-26A8-41F8-BC6D-F688D2A6841F}" srcOrd="1" destOrd="0" presId="urn:microsoft.com/office/officeart/2005/8/layout/hierarchy2"/>
    <dgm:cxn modelId="{8F0C3F8A-EBDF-4BC9-918D-636A68152FB8}" type="presParOf" srcId="{D0AA0C3E-02DD-48B5-BE70-5C1D02783FA3}" destId="{10A9CFC8-B988-4EB0-A461-B5F6D2CC571C}" srcOrd="2" destOrd="0" presId="urn:microsoft.com/office/officeart/2005/8/layout/hierarchy2"/>
    <dgm:cxn modelId="{FAF3D178-111C-4150-AC68-02C6FE03C17B}" type="presParOf" srcId="{10A9CFC8-B988-4EB0-A461-B5F6D2CC571C}" destId="{0DF18983-DF56-4270-AF19-16AFB578F0B2}" srcOrd="0" destOrd="0" presId="urn:microsoft.com/office/officeart/2005/8/layout/hierarchy2"/>
    <dgm:cxn modelId="{062AB03C-84B7-4F71-9EB0-8FDB87C0052E}" type="presParOf" srcId="{D0AA0C3E-02DD-48B5-BE70-5C1D02783FA3}" destId="{BA59C339-0DE6-4A31-A39F-AC8B3C12A847}" srcOrd="3" destOrd="0" presId="urn:microsoft.com/office/officeart/2005/8/layout/hierarchy2"/>
    <dgm:cxn modelId="{C3CC4B4D-3386-4409-A519-777DF4BB233A}" type="presParOf" srcId="{BA59C339-0DE6-4A31-A39F-AC8B3C12A847}" destId="{F72104B3-8249-49B9-AB3E-24A1B17545C9}" srcOrd="0" destOrd="0" presId="urn:microsoft.com/office/officeart/2005/8/layout/hierarchy2"/>
    <dgm:cxn modelId="{553ACE66-9E24-4DC3-B308-EE9D1B02F89B}" type="presParOf" srcId="{BA59C339-0DE6-4A31-A39F-AC8B3C12A847}" destId="{7FEB7CDC-7F8B-4987-BBB3-20E67FC1C756}" srcOrd="1" destOrd="0" presId="urn:microsoft.com/office/officeart/2005/8/layout/hierarchy2"/>
    <dgm:cxn modelId="{3F7DEBA9-CFAB-471C-BDC3-AEE343C5FEF0}" type="presParOf" srcId="{7FEB7CDC-7F8B-4987-BBB3-20E67FC1C756}" destId="{A9D67DB5-CEBB-48AA-B2CF-A910C0EFD23D}" srcOrd="0" destOrd="0" presId="urn:microsoft.com/office/officeart/2005/8/layout/hierarchy2"/>
    <dgm:cxn modelId="{0CD0E2CE-9667-4E00-95CE-CC7E97F6490B}" type="presParOf" srcId="{A9D67DB5-CEBB-48AA-B2CF-A910C0EFD23D}" destId="{92582B76-B842-479F-8045-39C4185660C5}" srcOrd="0" destOrd="0" presId="urn:microsoft.com/office/officeart/2005/8/layout/hierarchy2"/>
    <dgm:cxn modelId="{B46D2416-718F-49E6-ACF9-C73727A03543}" type="presParOf" srcId="{7FEB7CDC-7F8B-4987-BBB3-20E67FC1C756}" destId="{81C1286F-6FCE-4F10-B38D-569F366F1978}" srcOrd="1" destOrd="0" presId="urn:microsoft.com/office/officeart/2005/8/layout/hierarchy2"/>
    <dgm:cxn modelId="{4221F6A9-A37E-45B0-B4A4-560F8D17B971}" type="presParOf" srcId="{81C1286F-6FCE-4F10-B38D-569F366F1978}" destId="{122E9C93-0881-4E17-8BA9-7C8A5504F00D}" srcOrd="0" destOrd="0" presId="urn:microsoft.com/office/officeart/2005/8/layout/hierarchy2"/>
    <dgm:cxn modelId="{6E505815-921B-4E20-969C-4C59B7456C73}" type="presParOf" srcId="{81C1286F-6FCE-4F10-B38D-569F366F1978}" destId="{7EA9AA10-6C73-49A7-8E49-466640409767}" srcOrd="1" destOrd="0" presId="urn:microsoft.com/office/officeart/2005/8/layout/hierarchy2"/>
    <dgm:cxn modelId="{8A06BA8F-EC9D-401C-A681-8579EF5E4FBC}" type="presParOf" srcId="{7EA9AA10-6C73-49A7-8E49-466640409767}" destId="{ED1954E7-7251-4439-B1F9-BA5045F9A7F8}" srcOrd="0" destOrd="0" presId="urn:microsoft.com/office/officeart/2005/8/layout/hierarchy2"/>
    <dgm:cxn modelId="{A49DC472-0C66-4522-B325-F0FCA0D94EDC}" type="presParOf" srcId="{ED1954E7-7251-4439-B1F9-BA5045F9A7F8}" destId="{A2F7C423-CFFA-45AE-8995-05C6F2E7907A}" srcOrd="0" destOrd="0" presId="urn:microsoft.com/office/officeart/2005/8/layout/hierarchy2"/>
    <dgm:cxn modelId="{275E1717-A1E9-4117-836C-4D0348B6B4EF}" type="presParOf" srcId="{7EA9AA10-6C73-49A7-8E49-466640409767}" destId="{75E7AD9B-65EA-48A6-A8E0-3FCEA54B50A7}" srcOrd="1" destOrd="0" presId="urn:microsoft.com/office/officeart/2005/8/layout/hierarchy2"/>
    <dgm:cxn modelId="{F292D5C4-E7DD-4012-802C-19D14FBC1D6F}" type="presParOf" srcId="{75E7AD9B-65EA-48A6-A8E0-3FCEA54B50A7}" destId="{A89B0458-D0E2-480F-8360-43B7F86A957B}" srcOrd="0" destOrd="0" presId="urn:microsoft.com/office/officeart/2005/8/layout/hierarchy2"/>
    <dgm:cxn modelId="{D6CCF196-2AB0-417A-A884-91303676E70E}" type="presParOf" srcId="{75E7AD9B-65EA-48A6-A8E0-3FCEA54B50A7}" destId="{3C21E4F4-B659-4AFE-BCC9-3B70F4DCED40}" srcOrd="1" destOrd="0" presId="urn:microsoft.com/office/officeart/2005/8/layout/hierarchy2"/>
    <dgm:cxn modelId="{5A86D500-22DC-4195-AFFA-EF6739D5C628}" type="presParOf" srcId="{7FEB7CDC-7F8B-4987-BBB3-20E67FC1C756}" destId="{FE3D67B5-04C8-4ED8-9C48-D5A6EF65A639}" srcOrd="2" destOrd="0" presId="urn:microsoft.com/office/officeart/2005/8/layout/hierarchy2"/>
    <dgm:cxn modelId="{37F60AB3-669F-437D-BD3D-3AF060DCF3D8}" type="presParOf" srcId="{FE3D67B5-04C8-4ED8-9C48-D5A6EF65A639}" destId="{C3B508BE-5951-4550-96E9-E22853D1FAFA}" srcOrd="0" destOrd="0" presId="urn:microsoft.com/office/officeart/2005/8/layout/hierarchy2"/>
    <dgm:cxn modelId="{21DD68CB-1488-4163-820E-D840386C9C02}" type="presParOf" srcId="{7FEB7CDC-7F8B-4987-BBB3-20E67FC1C756}" destId="{6022EE27-DBF0-4F6A-8368-2D8CC345B027}" srcOrd="3" destOrd="0" presId="urn:microsoft.com/office/officeart/2005/8/layout/hierarchy2"/>
    <dgm:cxn modelId="{3BE2D7BD-5267-42A7-9F72-FF681F4AD463}" type="presParOf" srcId="{6022EE27-DBF0-4F6A-8368-2D8CC345B027}" destId="{B70ED221-2EA5-43F7-B0F4-607E6F6273AA}" srcOrd="0" destOrd="0" presId="urn:microsoft.com/office/officeart/2005/8/layout/hierarchy2"/>
    <dgm:cxn modelId="{FDAE28C8-0BDB-430A-A1A2-D79D12496512}" type="presParOf" srcId="{6022EE27-DBF0-4F6A-8368-2D8CC345B027}" destId="{619B8541-2C70-42B7-AB70-FD8AA763879E}" srcOrd="1" destOrd="0" presId="urn:microsoft.com/office/officeart/2005/8/layout/hierarchy2"/>
    <dgm:cxn modelId="{28C40B7B-53BA-4092-AFB4-5FB23C154167}" type="presParOf" srcId="{619B8541-2C70-42B7-AB70-FD8AA763879E}" destId="{70AB4039-4899-4F09-B89E-43005830B25D}" srcOrd="0" destOrd="0" presId="urn:microsoft.com/office/officeart/2005/8/layout/hierarchy2"/>
    <dgm:cxn modelId="{84D88B54-D6DE-42B5-A6CC-EDC2D3E3F4E3}" type="presParOf" srcId="{70AB4039-4899-4F09-B89E-43005830B25D}" destId="{9469D5EE-3E47-46E9-9BFB-24E9CB156761}" srcOrd="0" destOrd="0" presId="urn:microsoft.com/office/officeart/2005/8/layout/hierarchy2"/>
    <dgm:cxn modelId="{493692FE-CF02-4011-9982-94FB6F8EA02D}" type="presParOf" srcId="{619B8541-2C70-42B7-AB70-FD8AA763879E}" destId="{BEA017CF-0A6F-469A-A2B7-DC00A87E7D44}" srcOrd="1" destOrd="0" presId="urn:microsoft.com/office/officeart/2005/8/layout/hierarchy2"/>
    <dgm:cxn modelId="{4EE0E7BC-D772-47D2-AB22-347007CD892D}" type="presParOf" srcId="{BEA017CF-0A6F-469A-A2B7-DC00A87E7D44}" destId="{F78B06E0-9C6F-4EDD-B088-76E8270ADA91}" srcOrd="0" destOrd="0" presId="urn:microsoft.com/office/officeart/2005/8/layout/hierarchy2"/>
    <dgm:cxn modelId="{3E103067-B494-4B41-B76B-E2331FF00497}" type="presParOf" srcId="{BEA017CF-0A6F-469A-A2B7-DC00A87E7D44}" destId="{119B1CEB-A6F4-4426-B16D-B47A7E6A577A}" srcOrd="1" destOrd="0" presId="urn:microsoft.com/office/officeart/2005/8/layout/hierarchy2"/>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E75C198-ECC5-4C89-BD9A-4B1CB5F496C3}">
      <dsp:nvSpPr>
        <dsp:cNvPr id="0" name=""/>
        <dsp:cNvSpPr/>
      </dsp:nvSpPr>
      <dsp:spPr>
        <a:xfrm>
          <a:off x="1733" y="1303102"/>
          <a:ext cx="829400" cy="414700"/>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ES" sz="600" b="1" kern="1200" dirty="0" err="1">
              <a:solidFill>
                <a:sysClr val="windowText" lastClr="000000">
                  <a:hueOff val="0"/>
                  <a:satOff val="0"/>
                  <a:lumOff val="0"/>
                  <a:alphaOff val="0"/>
                </a:sysClr>
              </a:solidFill>
              <a:latin typeface="Calibri" panose="020F0502020204030204"/>
              <a:ea typeface="+mn-ea"/>
              <a:cs typeface="+mn-cs"/>
            </a:rPr>
            <a:t>Formación</a:t>
          </a:r>
          <a:r>
            <a:rPr lang="es-ES" sz="600" b="1" kern="1200" dirty="0">
              <a:solidFill>
                <a:sysClr val="windowText" lastClr="000000">
                  <a:hueOff val="0"/>
                  <a:satOff val="0"/>
                  <a:lumOff val="0"/>
                  <a:alphaOff val="0"/>
                </a:sysClr>
              </a:solidFill>
              <a:latin typeface="Calibri" panose="020F0502020204030204"/>
              <a:ea typeface="+mn-ea"/>
              <a:cs typeface="+mn-cs"/>
            </a:rPr>
            <a:t> externa</a:t>
          </a:r>
        </a:p>
      </dsp:txBody>
      <dsp:txXfrm>
        <a:off x="13879" y="1315248"/>
        <a:ext cx="805108" cy="390408"/>
      </dsp:txXfrm>
    </dsp:sp>
    <dsp:sp modelId="{BEFA3334-CC5D-44C5-8BD8-456C766676B3}">
      <dsp:nvSpPr>
        <dsp:cNvPr id="0" name=""/>
        <dsp:cNvSpPr/>
      </dsp:nvSpPr>
      <dsp:spPr>
        <a:xfrm rot="17459832">
          <a:off x="534078" y="1068105"/>
          <a:ext cx="925870" cy="20302"/>
        </a:xfrm>
        <a:custGeom>
          <a:avLst/>
          <a:gdLst/>
          <a:ahLst/>
          <a:cxnLst/>
          <a:rect l="0" t="0" r="0" b="0"/>
          <a:pathLst>
            <a:path>
              <a:moveTo>
                <a:pt x="0" y="11381"/>
              </a:moveTo>
              <a:lnTo>
                <a:pt x="897712" y="11381"/>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967110" y="1091572"/>
        <a:ext cx="0" cy="0"/>
      </dsp:txXfrm>
    </dsp:sp>
    <dsp:sp modelId="{85B7F24E-5333-4039-8192-70DEFD1030F1}">
      <dsp:nvSpPr>
        <dsp:cNvPr id="0" name=""/>
        <dsp:cNvSpPr/>
      </dsp:nvSpPr>
      <dsp:spPr>
        <a:xfrm>
          <a:off x="1162893" y="438711"/>
          <a:ext cx="829400" cy="414700"/>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ES" sz="600" b="1" kern="1200">
              <a:solidFill>
                <a:sysClr val="windowText" lastClr="000000">
                  <a:hueOff val="0"/>
                  <a:satOff val="0"/>
                  <a:lumOff val="0"/>
                  <a:alphaOff val="0"/>
                </a:sysClr>
              </a:solidFill>
              <a:latin typeface="Calibri" panose="020F0502020204030204"/>
              <a:ea typeface="+mn-ea"/>
              <a:cs typeface="+mn-cs"/>
            </a:rPr>
            <a:t>Función </a:t>
          </a:r>
          <a:r>
            <a:rPr lang="es-ES" sz="600" b="1" kern="1200" dirty="0">
              <a:solidFill>
                <a:sysClr val="windowText" lastClr="000000">
                  <a:hueOff val="0"/>
                  <a:satOff val="0"/>
                  <a:lumOff val="0"/>
                  <a:alphaOff val="0"/>
                </a:sysClr>
              </a:solidFill>
              <a:latin typeface="Calibri" panose="020F0502020204030204"/>
              <a:ea typeface="+mn-ea"/>
              <a:cs typeface="+mn-cs"/>
            </a:rPr>
            <a:t>pública </a:t>
          </a:r>
        </a:p>
      </dsp:txBody>
      <dsp:txXfrm>
        <a:off x="1175039" y="450857"/>
        <a:ext cx="805108" cy="390408"/>
      </dsp:txXfrm>
    </dsp:sp>
    <dsp:sp modelId="{E2EE6FEF-205D-4321-8994-BD321C0E4DD8}">
      <dsp:nvSpPr>
        <dsp:cNvPr id="0" name=""/>
        <dsp:cNvSpPr/>
      </dsp:nvSpPr>
      <dsp:spPr>
        <a:xfrm rot="19457599">
          <a:off x="1953892" y="516684"/>
          <a:ext cx="408563" cy="20302"/>
        </a:xfrm>
        <a:custGeom>
          <a:avLst/>
          <a:gdLst/>
          <a:ahLst/>
          <a:cxnLst/>
          <a:rect l="0" t="0" r="0" b="0"/>
          <a:pathLst>
            <a:path>
              <a:moveTo>
                <a:pt x="0" y="11381"/>
              </a:moveTo>
              <a:lnTo>
                <a:pt x="396138" y="11381"/>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2143919" y="524502"/>
        <a:ext cx="0" cy="0"/>
      </dsp:txXfrm>
    </dsp:sp>
    <dsp:sp modelId="{8A441514-A886-4DF6-A066-C241BA164E5F}">
      <dsp:nvSpPr>
        <dsp:cNvPr id="0" name=""/>
        <dsp:cNvSpPr/>
      </dsp:nvSpPr>
      <dsp:spPr>
        <a:xfrm>
          <a:off x="2324054" y="200258"/>
          <a:ext cx="829400" cy="414700"/>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ES" sz="600" b="1" kern="1200" dirty="0" err="1">
              <a:solidFill>
                <a:sysClr val="windowText" lastClr="000000">
                  <a:hueOff val="0"/>
                  <a:satOff val="0"/>
                  <a:lumOff val="0"/>
                  <a:alphaOff val="0"/>
                </a:sysClr>
              </a:solidFill>
              <a:latin typeface="Calibri" panose="020F0502020204030204"/>
              <a:ea typeface="+mn-ea"/>
              <a:cs typeface="+mn-cs"/>
            </a:rPr>
            <a:t>Administración</a:t>
          </a:r>
          <a:r>
            <a:rPr lang="es-ES" sz="600" b="1" kern="1200" dirty="0">
              <a:solidFill>
                <a:sysClr val="windowText" lastClr="000000">
                  <a:hueOff val="0"/>
                  <a:satOff val="0"/>
                  <a:lumOff val="0"/>
                  <a:alphaOff val="0"/>
                </a:sysClr>
              </a:solidFill>
              <a:latin typeface="Calibri" panose="020F0502020204030204"/>
              <a:ea typeface="+mn-ea"/>
              <a:cs typeface="+mn-cs"/>
            </a:rPr>
            <a:t> </a:t>
          </a:r>
          <a:r>
            <a:rPr lang="es-ES" sz="600" b="1" kern="1200" dirty="0" err="1">
              <a:solidFill>
                <a:sysClr val="windowText" lastClr="000000">
                  <a:hueOff val="0"/>
                  <a:satOff val="0"/>
                  <a:lumOff val="0"/>
                  <a:alphaOff val="0"/>
                </a:sysClr>
              </a:solidFill>
              <a:latin typeface="Calibri" panose="020F0502020204030204"/>
              <a:ea typeface="+mn-ea"/>
              <a:cs typeface="+mn-cs"/>
            </a:rPr>
            <a:t>autonómica</a:t>
          </a:r>
          <a:endParaRPr lang="es-ES" sz="600" b="1" kern="1200" dirty="0">
            <a:solidFill>
              <a:sysClr val="windowText" lastClr="000000">
                <a:hueOff val="0"/>
                <a:satOff val="0"/>
                <a:lumOff val="0"/>
                <a:alphaOff val="0"/>
              </a:sysClr>
            </a:solidFill>
            <a:latin typeface="Calibri" panose="020F0502020204030204"/>
            <a:ea typeface="+mn-ea"/>
            <a:cs typeface="+mn-cs"/>
          </a:endParaRPr>
        </a:p>
      </dsp:txBody>
      <dsp:txXfrm>
        <a:off x="2336200" y="212404"/>
        <a:ext cx="805108" cy="390408"/>
      </dsp:txXfrm>
    </dsp:sp>
    <dsp:sp modelId="{1555C378-EC7D-4573-A018-DAD4E848331C}">
      <dsp:nvSpPr>
        <dsp:cNvPr id="0" name=""/>
        <dsp:cNvSpPr/>
      </dsp:nvSpPr>
      <dsp:spPr>
        <a:xfrm rot="21533703">
          <a:off x="3153424" y="394258"/>
          <a:ext cx="331821" cy="20302"/>
        </a:xfrm>
        <a:custGeom>
          <a:avLst/>
          <a:gdLst/>
          <a:ahLst/>
          <a:cxnLst/>
          <a:rect l="0" t="0" r="0" b="0"/>
          <a:pathLst>
            <a:path>
              <a:moveTo>
                <a:pt x="0" y="11381"/>
              </a:moveTo>
              <a:lnTo>
                <a:pt x="321673" y="11381"/>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3310881" y="396276"/>
        <a:ext cx="0" cy="0"/>
      </dsp:txXfrm>
    </dsp:sp>
    <dsp:sp modelId="{BE281184-E2A6-4A67-B882-996B7C44E2FF}">
      <dsp:nvSpPr>
        <dsp:cNvPr id="0" name=""/>
        <dsp:cNvSpPr/>
      </dsp:nvSpPr>
      <dsp:spPr>
        <a:xfrm>
          <a:off x="3485215" y="193860"/>
          <a:ext cx="829400" cy="414700"/>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ES" sz="600" b="1" kern="1200" dirty="0">
              <a:solidFill>
                <a:sysClr val="windowText" lastClr="000000">
                  <a:hueOff val="0"/>
                  <a:satOff val="0"/>
                  <a:lumOff val="0"/>
                  <a:alphaOff val="0"/>
                </a:sysClr>
              </a:solidFill>
              <a:latin typeface="Calibri" panose="020F0502020204030204"/>
              <a:ea typeface="+mn-ea"/>
              <a:cs typeface="+mn-cs"/>
            </a:rPr>
            <a:t>II Curso Integridad y Prevención de la Contractación Pública (IVAP)</a:t>
          </a:r>
        </a:p>
      </dsp:txBody>
      <dsp:txXfrm>
        <a:off x="3497361" y="206006"/>
        <a:ext cx="805108" cy="390408"/>
      </dsp:txXfrm>
    </dsp:sp>
    <dsp:sp modelId="{35C70336-55C2-48A6-8EC3-5BA08FE7FBA7}">
      <dsp:nvSpPr>
        <dsp:cNvPr id="0" name=""/>
        <dsp:cNvSpPr/>
      </dsp:nvSpPr>
      <dsp:spPr>
        <a:xfrm rot="2122949">
          <a:off x="1953852" y="756428"/>
          <a:ext cx="416274" cy="20302"/>
        </a:xfrm>
        <a:custGeom>
          <a:avLst/>
          <a:gdLst/>
          <a:ahLst/>
          <a:cxnLst/>
          <a:rect l="0" t="0" r="0" b="0"/>
          <a:pathLst>
            <a:path>
              <a:moveTo>
                <a:pt x="0" y="11381"/>
              </a:moveTo>
              <a:lnTo>
                <a:pt x="403614" y="11381"/>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2159531" y="752068"/>
        <a:ext cx="0" cy="0"/>
      </dsp:txXfrm>
    </dsp:sp>
    <dsp:sp modelId="{D47581D1-F8BD-43EB-9F76-5E1365A9804F}">
      <dsp:nvSpPr>
        <dsp:cNvPr id="0" name=""/>
        <dsp:cNvSpPr/>
      </dsp:nvSpPr>
      <dsp:spPr>
        <a:xfrm>
          <a:off x="2331685" y="679747"/>
          <a:ext cx="829400" cy="414700"/>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ES" sz="600" b="1" kern="1200" dirty="0" err="1">
              <a:solidFill>
                <a:sysClr val="windowText" lastClr="000000">
                  <a:hueOff val="0"/>
                  <a:satOff val="0"/>
                  <a:lumOff val="0"/>
                  <a:alphaOff val="0"/>
                </a:sysClr>
              </a:solidFill>
              <a:latin typeface="Calibri" panose="020F0502020204030204"/>
              <a:ea typeface="+mn-ea"/>
              <a:cs typeface="+mn-cs"/>
            </a:rPr>
            <a:t>Administración</a:t>
          </a:r>
          <a:r>
            <a:rPr lang="es-ES" sz="600" b="1" kern="1200" dirty="0">
              <a:solidFill>
                <a:sysClr val="windowText" lastClr="000000">
                  <a:hueOff val="0"/>
                  <a:satOff val="0"/>
                  <a:lumOff val="0"/>
                  <a:alphaOff val="0"/>
                </a:sysClr>
              </a:solidFill>
              <a:latin typeface="Calibri" panose="020F0502020204030204"/>
              <a:ea typeface="+mn-ea"/>
              <a:cs typeface="+mn-cs"/>
            </a:rPr>
            <a:t> local</a:t>
          </a:r>
        </a:p>
      </dsp:txBody>
      <dsp:txXfrm>
        <a:off x="2343831" y="691893"/>
        <a:ext cx="805108" cy="390408"/>
      </dsp:txXfrm>
    </dsp:sp>
    <dsp:sp modelId="{C08B4676-A9FA-4FDD-A72F-B3AFA08C8E48}">
      <dsp:nvSpPr>
        <dsp:cNvPr id="0" name=""/>
        <dsp:cNvSpPr/>
      </dsp:nvSpPr>
      <dsp:spPr>
        <a:xfrm rot="21572599">
          <a:off x="3161080" y="875654"/>
          <a:ext cx="324140" cy="20302"/>
        </a:xfrm>
        <a:custGeom>
          <a:avLst/>
          <a:gdLst/>
          <a:ahLst/>
          <a:cxnLst/>
          <a:rect l="0" t="0" r="0" b="0"/>
          <a:pathLst>
            <a:path>
              <a:moveTo>
                <a:pt x="0" y="11381"/>
              </a:moveTo>
              <a:lnTo>
                <a:pt x="314281" y="11381"/>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3314983" y="877767"/>
        <a:ext cx="0" cy="0"/>
      </dsp:txXfrm>
    </dsp:sp>
    <dsp:sp modelId="{82EF6AD8-A6C2-42A7-B924-FF0F5B59130C}">
      <dsp:nvSpPr>
        <dsp:cNvPr id="0" name=""/>
        <dsp:cNvSpPr/>
      </dsp:nvSpPr>
      <dsp:spPr>
        <a:xfrm>
          <a:off x="3485215" y="677164"/>
          <a:ext cx="829400" cy="414700"/>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ES" sz="600" b="1" kern="1200" dirty="0">
              <a:solidFill>
                <a:sysClr val="windowText" lastClr="000000">
                  <a:hueOff val="0"/>
                  <a:satOff val="0"/>
                  <a:lumOff val="0"/>
                  <a:alphaOff val="0"/>
                </a:sysClr>
              </a:solidFill>
              <a:latin typeface="Calibri" panose="020F0502020204030204"/>
              <a:ea typeface="+mn-ea"/>
              <a:cs typeface="+mn-cs"/>
            </a:rPr>
            <a:t>Programa </a:t>
          </a:r>
          <a:r>
            <a:rPr lang="es-ES" sz="600" b="1" kern="1200" dirty="0" err="1">
              <a:solidFill>
                <a:sysClr val="windowText" lastClr="000000">
                  <a:hueOff val="0"/>
                  <a:satOff val="0"/>
                  <a:lumOff val="0"/>
                  <a:alphaOff val="0"/>
                </a:sysClr>
              </a:solidFill>
              <a:latin typeface="Calibri" panose="020F0502020204030204"/>
              <a:ea typeface="+mn-ea"/>
              <a:cs typeface="+mn-cs"/>
            </a:rPr>
            <a:t>formación</a:t>
          </a:r>
          <a:r>
            <a:rPr lang="es-ES" sz="600" b="1" kern="1200" dirty="0">
              <a:solidFill>
                <a:sysClr val="windowText" lastClr="000000">
                  <a:hueOff val="0"/>
                  <a:satOff val="0"/>
                  <a:lumOff val="0"/>
                  <a:alphaOff val="0"/>
                </a:sysClr>
              </a:solidFill>
              <a:latin typeface="Calibri" panose="020F0502020204030204"/>
              <a:ea typeface="+mn-ea"/>
              <a:cs typeface="+mn-cs"/>
            </a:rPr>
            <a:t> </a:t>
          </a:r>
          <a:r>
            <a:rPr lang="es-ES" sz="600" b="1" kern="1200" dirty="0" err="1">
              <a:solidFill>
                <a:sysClr val="windowText" lastClr="000000">
                  <a:hueOff val="0"/>
                  <a:satOff val="0"/>
                  <a:lumOff val="0"/>
                  <a:alphaOff val="0"/>
                </a:sysClr>
              </a:solidFill>
              <a:latin typeface="Calibri" panose="020F0502020204030204"/>
              <a:ea typeface="+mn-ea"/>
              <a:cs typeface="+mn-cs"/>
            </a:rPr>
            <a:t>cargos electos</a:t>
          </a:r>
          <a:r>
            <a:rPr lang="es-ES" sz="600" b="1" kern="1200" dirty="0">
              <a:solidFill>
                <a:sysClr val="windowText" lastClr="000000">
                  <a:hueOff val="0"/>
                  <a:satOff val="0"/>
                  <a:lumOff val="0"/>
                  <a:alphaOff val="0"/>
                </a:sysClr>
              </a:solidFill>
              <a:latin typeface="Calibri" panose="020F0502020204030204"/>
              <a:ea typeface="+mn-ea"/>
              <a:cs typeface="+mn-cs"/>
            </a:rPr>
            <a:t> y </a:t>
          </a:r>
          <a:r>
            <a:rPr lang="es-ES" sz="600" b="1" kern="1200" dirty="0" err="1">
              <a:solidFill>
                <a:sysClr val="windowText" lastClr="000000">
                  <a:hueOff val="0"/>
                  <a:satOff val="0"/>
                  <a:lumOff val="0"/>
                  <a:alphaOff val="0"/>
                </a:sysClr>
              </a:solidFill>
              <a:latin typeface="Calibri" panose="020F0502020204030204"/>
              <a:ea typeface="+mn-ea"/>
              <a:cs typeface="+mn-cs"/>
            </a:rPr>
            <a:t>directivos</a:t>
          </a:r>
          <a:r>
            <a:rPr lang="es-ES" sz="600" b="1" kern="1200" dirty="0">
              <a:solidFill>
                <a:sysClr val="windowText" lastClr="000000">
                  <a:hueOff val="0"/>
                  <a:satOff val="0"/>
                  <a:lumOff val="0"/>
                  <a:alphaOff val="0"/>
                </a:sysClr>
              </a:solidFill>
              <a:latin typeface="Calibri" panose="020F0502020204030204"/>
              <a:ea typeface="+mn-ea"/>
              <a:cs typeface="+mn-cs"/>
            </a:rPr>
            <a:t> </a:t>
          </a:r>
          <a:r>
            <a:rPr lang="es-ES" sz="600" b="1" kern="1200" dirty="0" err="1">
              <a:solidFill>
                <a:sysClr val="windowText" lastClr="000000">
                  <a:hueOff val="0"/>
                  <a:satOff val="0"/>
                  <a:lumOff val="0"/>
                  <a:alphaOff val="0"/>
                </a:sysClr>
              </a:solidFill>
              <a:latin typeface="Calibri" panose="020F0502020204030204"/>
              <a:ea typeface="+mn-ea"/>
              <a:cs typeface="+mn-cs"/>
            </a:rPr>
            <a:t>locales</a:t>
          </a:r>
          <a:r>
            <a:rPr lang="es-ES" sz="600" b="1" kern="1200" dirty="0">
              <a:solidFill>
                <a:sysClr val="windowText" lastClr="000000">
                  <a:hueOff val="0"/>
                  <a:satOff val="0"/>
                  <a:lumOff val="0"/>
                  <a:alphaOff val="0"/>
                </a:sysClr>
              </a:solidFill>
              <a:latin typeface="Calibri" panose="020F0502020204030204"/>
              <a:ea typeface="+mn-ea"/>
              <a:cs typeface="+mn-cs"/>
            </a:rPr>
            <a:t> DIVAL</a:t>
          </a:r>
        </a:p>
      </dsp:txBody>
      <dsp:txXfrm>
        <a:off x="3497361" y="689310"/>
        <a:ext cx="805108" cy="390408"/>
      </dsp:txXfrm>
    </dsp:sp>
    <dsp:sp modelId="{8B4E49B6-ECCB-469C-9E70-7900B0974F10}">
      <dsp:nvSpPr>
        <dsp:cNvPr id="0" name=""/>
        <dsp:cNvSpPr/>
      </dsp:nvSpPr>
      <dsp:spPr>
        <a:xfrm rot="4146870">
          <a:off x="531714" y="1935028"/>
          <a:ext cx="930599" cy="20302"/>
        </a:xfrm>
        <a:custGeom>
          <a:avLst/>
          <a:gdLst/>
          <a:ahLst/>
          <a:cxnLst/>
          <a:rect l="0" t="0" r="0" b="0"/>
          <a:pathLst>
            <a:path>
              <a:moveTo>
                <a:pt x="0" y="11381"/>
              </a:moveTo>
              <a:lnTo>
                <a:pt x="902297" y="11381"/>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1010455" y="1915149"/>
        <a:ext cx="0" cy="0"/>
      </dsp:txXfrm>
    </dsp:sp>
    <dsp:sp modelId="{D596E983-ADFF-4463-BBC7-8BA3CBEFE6C0}">
      <dsp:nvSpPr>
        <dsp:cNvPr id="0" name=""/>
        <dsp:cNvSpPr/>
      </dsp:nvSpPr>
      <dsp:spPr>
        <a:xfrm>
          <a:off x="1162893" y="2172556"/>
          <a:ext cx="829400" cy="414700"/>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ES" sz="600" b="1" kern="1200" dirty="0" err="1">
              <a:solidFill>
                <a:sysClr val="windowText" lastClr="000000">
                  <a:hueOff val="0"/>
                  <a:satOff val="0"/>
                  <a:lumOff val="0"/>
                  <a:alphaOff val="0"/>
                </a:sysClr>
              </a:solidFill>
              <a:latin typeface="Calibri" panose="020F0502020204030204"/>
              <a:ea typeface="+mn-ea"/>
              <a:cs typeface="+mn-cs"/>
            </a:rPr>
            <a:t>Ciutadanía</a:t>
          </a:r>
          <a:endParaRPr lang="es-ES" sz="600" b="1" kern="1200" dirty="0">
            <a:solidFill>
              <a:sysClr val="windowText" lastClr="000000">
                <a:hueOff val="0"/>
                <a:satOff val="0"/>
                <a:lumOff val="0"/>
                <a:alphaOff val="0"/>
              </a:sysClr>
            </a:solidFill>
            <a:latin typeface="Calibri" panose="020F0502020204030204"/>
            <a:ea typeface="+mn-ea"/>
            <a:cs typeface="+mn-cs"/>
          </a:endParaRPr>
        </a:p>
      </dsp:txBody>
      <dsp:txXfrm>
        <a:off x="1175039" y="2184702"/>
        <a:ext cx="805108" cy="390408"/>
      </dsp:txXfrm>
    </dsp:sp>
    <dsp:sp modelId="{3A1B0FB7-7537-4135-94CE-9673320D988E}">
      <dsp:nvSpPr>
        <dsp:cNvPr id="0" name=""/>
        <dsp:cNvSpPr/>
      </dsp:nvSpPr>
      <dsp:spPr>
        <a:xfrm rot="17799542">
          <a:off x="1788467" y="2039351"/>
          <a:ext cx="739413" cy="20302"/>
        </a:xfrm>
        <a:custGeom>
          <a:avLst/>
          <a:gdLst/>
          <a:ahLst/>
          <a:cxnLst/>
          <a:rect l="0" t="0" r="0" b="0"/>
          <a:pathLst>
            <a:path>
              <a:moveTo>
                <a:pt x="0" y="11381"/>
              </a:moveTo>
              <a:lnTo>
                <a:pt x="716925" y="11381"/>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2133360" y="2057728"/>
        <a:ext cx="0" cy="0"/>
      </dsp:txXfrm>
    </dsp:sp>
    <dsp:sp modelId="{BFF295B9-F671-4EA9-A791-A1481BF545B0}">
      <dsp:nvSpPr>
        <dsp:cNvPr id="0" name=""/>
        <dsp:cNvSpPr/>
      </dsp:nvSpPr>
      <dsp:spPr>
        <a:xfrm>
          <a:off x="2324054" y="1511748"/>
          <a:ext cx="829400" cy="414700"/>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ES" sz="600" b="1" kern="1200" dirty="0" err="1">
              <a:solidFill>
                <a:sysClr val="windowText" lastClr="000000">
                  <a:hueOff val="0"/>
                  <a:satOff val="0"/>
                  <a:lumOff val="0"/>
                  <a:alphaOff val="0"/>
                </a:sysClr>
              </a:solidFill>
              <a:latin typeface="Calibri" panose="020F0502020204030204"/>
              <a:ea typeface="+mn-ea"/>
              <a:cs typeface="+mn-cs"/>
            </a:rPr>
            <a:t>Universidad</a:t>
          </a:r>
          <a:endParaRPr lang="es-ES" sz="600" b="1" kern="1200" dirty="0">
            <a:solidFill>
              <a:sysClr val="windowText" lastClr="000000">
                <a:hueOff val="0"/>
                <a:satOff val="0"/>
                <a:lumOff val="0"/>
                <a:alphaOff val="0"/>
              </a:sysClr>
            </a:solidFill>
            <a:latin typeface="Calibri" panose="020F0502020204030204"/>
            <a:ea typeface="+mn-ea"/>
            <a:cs typeface="+mn-cs"/>
          </a:endParaRPr>
        </a:p>
      </dsp:txBody>
      <dsp:txXfrm>
        <a:off x="2336200" y="1523894"/>
        <a:ext cx="805108" cy="390408"/>
      </dsp:txXfrm>
    </dsp:sp>
    <dsp:sp modelId="{2EE02C60-E9EB-4CD9-8230-CE5A85689EF0}">
      <dsp:nvSpPr>
        <dsp:cNvPr id="0" name=""/>
        <dsp:cNvSpPr/>
      </dsp:nvSpPr>
      <dsp:spPr>
        <a:xfrm rot="18770822">
          <a:off x="3075409" y="1530107"/>
          <a:ext cx="487851" cy="20302"/>
        </a:xfrm>
        <a:custGeom>
          <a:avLst/>
          <a:gdLst/>
          <a:ahLst/>
          <a:cxnLst/>
          <a:rect l="0" t="0" r="0" b="0"/>
          <a:pathLst>
            <a:path>
              <a:moveTo>
                <a:pt x="0" y="11381"/>
              </a:moveTo>
              <a:lnTo>
                <a:pt x="473014" y="11381"/>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3302099" y="1540906"/>
        <a:ext cx="0" cy="0"/>
      </dsp:txXfrm>
    </dsp:sp>
    <dsp:sp modelId="{856CF5FD-37B9-4617-AC02-3C2F871CB083}">
      <dsp:nvSpPr>
        <dsp:cNvPr id="0" name=""/>
        <dsp:cNvSpPr/>
      </dsp:nvSpPr>
      <dsp:spPr>
        <a:xfrm>
          <a:off x="3485215" y="1154069"/>
          <a:ext cx="829400" cy="414700"/>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ES" sz="600" b="1" kern="1200" dirty="0" err="1">
              <a:solidFill>
                <a:sysClr val="windowText" lastClr="000000">
                  <a:hueOff val="0"/>
                  <a:satOff val="0"/>
                  <a:lumOff val="0"/>
                  <a:alphaOff val="0"/>
                </a:sysClr>
              </a:solidFill>
              <a:latin typeface="Calibri" panose="020F0502020204030204"/>
              <a:ea typeface="+mn-ea"/>
              <a:cs typeface="+mn-cs"/>
            </a:rPr>
            <a:t>Vicerrectorado</a:t>
          </a:r>
          <a:r>
            <a:rPr lang="es-ES" sz="600" b="1" kern="1200" dirty="0">
              <a:solidFill>
                <a:sysClr val="windowText" lastClr="000000">
                  <a:hueOff val="0"/>
                  <a:satOff val="0"/>
                  <a:lumOff val="0"/>
                  <a:alphaOff val="0"/>
                </a:sysClr>
              </a:solidFill>
              <a:latin typeface="Calibri" panose="020F0502020204030204"/>
              <a:ea typeface="+mn-ea"/>
              <a:cs typeface="+mn-cs"/>
            </a:rPr>
            <a:t> </a:t>
          </a:r>
          <a:r>
            <a:rPr lang="es-ES" sz="600" b="1" kern="1200" dirty="0" err="1">
              <a:solidFill>
                <a:sysClr val="windowText" lastClr="000000">
                  <a:hueOff val="0"/>
                  <a:satOff val="0"/>
                  <a:lumOff val="0"/>
                  <a:alphaOff val="0"/>
                </a:sysClr>
              </a:solidFill>
              <a:latin typeface="Calibri" panose="020F0502020204030204"/>
              <a:ea typeface="+mn-ea"/>
              <a:cs typeface="+mn-cs"/>
            </a:rPr>
            <a:t>Participación</a:t>
          </a:r>
          <a:r>
            <a:rPr lang="es-ES" sz="600" b="1" kern="1200" dirty="0">
              <a:solidFill>
                <a:sysClr val="windowText" lastClr="000000">
                  <a:hueOff val="0"/>
                  <a:satOff val="0"/>
                  <a:lumOff val="0"/>
                  <a:alphaOff val="0"/>
                </a:sysClr>
              </a:solidFill>
              <a:latin typeface="Calibri" panose="020F0502020204030204"/>
              <a:ea typeface="+mn-ea"/>
              <a:cs typeface="+mn-cs"/>
            </a:rPr>
            <a:t> y </a:t>
          </a:r>
          <a:r>
            <a:rPr lang="es-ES" sz="600" b="1" kern="1200" dirty="0" err="1">
              <a:solidFill>
                <a:sysClr val="windowText" lastClr="000000">
                  <a:hueOff val="0"/>
                  <a:satOff val="0"/>
                  <a:lumOff val="0"/>
                  <a:alphaOff val="0"/>
                </a:sysClr>
              </a:solidFill>
              <a:latin typeface="Calibri" panose="020F0502020204030204"/>
              <a:ea typeface="+mn-ea"/>
              <a:cs typeface="+mn-cs"/>
            </a:rPr>
            <a:t>Territorio</a:t>
          </a:r>
          <a:r>
            <a:rPr lang="es-ES" sz="600" b="1" kern="1200" dirty="0">
              <a:solidFill>
                <a:sysClr val="windowText" lastClr="000000">
                  <a:hueOff val="0"/>
                  <a:satOff val="0"/>
                  <a:lumOff val="0"/>
                  <a:alphaOff val="0"/>
                </a:sysClr>
              </a:solidFill>
              <a:latin typeface="Calibri" panose="020F0502020204030204"/>
              <a:ea typeface="+mn-ea"/>
              <a:cs typeface="+mn-cs"/>
            </a:rPr>
            <a:t> (UV)</a:t>
          </a:r>
        </a:p>
      </dsp:txBody>
      <dsp:txXfrm>
        <a:off x="3497361" y="1166215"/>
        <a:ext cx="805108" cy="390408"/>
      </dsp:txXfrm>
    </dsp:sp>
    <dsp:sp modelId="{68B0BDF7-F5C1-463E-9943-C3BE679B92FF}">
      <dsp:nvSpPr>
        <dsp:cNvPr id="0" name=""/>
        <dsp:cNvSpPr/>
      </dsp:nvSpPr>
      <dsp:spPr>
        <a:xfrm rot="21544227">
          <a:off x="4314594" y="1348576"/>
          <a:ext cx="331803" cy="20302"/>
        </a:xfrm>
        <a:custGeom>
          <a:avLst/>
          <a:gdLst/>
          <a:ahLst/>
          <a:cxnLst/>
          <a:rect l="0" t="0" r="0" b="0"/>
          <a:pathLst>
            <a:path>
              <a:moveTo>
                <a:pt x="0" y="11381"/>
              </a:moveTo>
              <a:lnTo>
                <a:pt x="321712" y="11381"/>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4472068" y="1350569"/>
        <a:ext cx="0" cy="0"/>
      </dsp:txXfrm>
    </dsp:sp>
    <dsp:sp modelId="{FD14A14B-48EE-429E-8A39-B5E2A9D50B5C}">
      <dsp:nvSpPr>
        <dsp:cNvPr id="0" name=""/>
        <dsp:cNvSpPr/>
      </dsp:nvSpPr>
      <dsp:spPr>
        <a:xfrm>
          <a:off x="4646376" y="1148686"/>
          <a:ext cx="829400" cy="414700"/>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t-BR" sz="600" b="1" kern="1200" dirty="0">
              <a:solidFill>
                <a:sysClr val="windowText" lastClr="000000">
                  <a:hueOff val="0"/>
                  <a:satOff val="0"/>
                  <a:lumOff val="0"/>
                  <a:alphaOff val="0"/>
                </a:sysClr>
              </a:solidFill>
              <a:latin typeface="Calibri" panose="020F0502020204030204"/>
              <a:ea typeface="+mn-ea"/>
              <a:cs typeface="+mn-cs"/>
            </a:rPr>
            <a:t>UNISOCIETAT</a:t>
          </a:r>
        </a:p>
        <a:p>
          <a:pPr marL="0" lvl="0" indent="0" algn="ctr" defTabSz="266700">
            <a:lnSpc>
              <a:spcPct val="90000"/>
            </a:lnSpc>
            <a:spcBef>
              <a:spcPct val="0"/>
            </a:spcBef>
            <a:spcAft>
              <a:spcPct val="35000"/>
            </a:spcAft>
            <a:buNone/>
          </a:pPr>
          <a:r>
            <a:rPr lang="es-ES" sz="600" b="1" kern="1200" dirty="0">
              <a:solidFill>
                <a:sysClr val="windowText" lastClr="000000">
                  <a:hueOff val="0"/>
                  <a:satOff val="0"/>
                  <a:lumOff val="0"/>
                  <a:alphaOff val="0"/>
                </a:sysClr>
              </a:solidFill>
              <a:latin typeface="Calibri" panose="020F0502020204030204"/>
              <a:ea typeface="+mn-ea"/>
              <a:cs typeface="+mn-cs"/>
            </a:rPr>
            <a:t>DOCUMENTAL</a:t>
          </a:r>
        </a:p>
        <a:p>
          <a:pPr marL="0" lvl="0" indent="0" algn="ctr" defTabSz="266700">
            <a:lnSpc>
              <a:spcPct val="90000"/>
            </a:lnSpc>
            <a:spcBef>
              <a:spcPct val="0"/>
            </a:spcBef>
            <a:spcAft>
              <a:spcPct val="35000"/>
            </a:spcAft>
            <a:buNone/>
          </a:pPr>
          <a:r>
            <a:rPr lang="es-ES" sz="600" b="1" kern="1200" dirty="0">
              <a:solidFill>
                <a:sysClr val="windowText" lastClr="000000">
                  <a:hueOff val="0"/>
                  <a:satOff val="0"/>
                  <a:lumOff val="0"/>
                  <a:alphaOff val="0"/>
                </a:sysClr>
              </a:solidFill>
              <a:latin typeface="Calibri" panose="020F0502020204030204"/>
              <a:ea typeface="+mn-ea"/>
              <a:cs typeface="+mn-cs"/>
            </a:rPr>
            <a:t>UNIV. ESTACIONALES </a:t>
          </a:r>
        </a:p>
      </dsp:txBody>
      <dsp:txXfrm>
        <a:off x="4658522" y="1160832"/>
        <a:ext cx="805108" cy="390408"/>
      </dsp:txXfrm>
    </dsp:sp>
    <dsp:sp modelId="{827D577C-A2C8-45F3-8A9D-D11A7DD21C20}">
      <dsp:nvSpPr>
        <dsp:cNvPr id="0" name=""/>
        <dsp:cNvSpPr/>
      </dsp:nvSpPr>
      <dsp:spPr>
        <a:xfrm rot="2829178">
          <a:off x="3075409" y="1887786"/>
          <a:ext cx="487851" cy="20302"/>
        </a:xfrm>
        <a:custGeom>
          <a:avLst/>
          <a:gdLst/>
          <a:ahLst/>
          <a:cxnLst/>
          <a:rect l="0" t="0" r="0" b="0"/>
          <a:pathLst>
            <a:path>
              <a:moveTo>
                <a:pt x="0" y="11381"/>
              </a:moveTo>
              <a:lnTo>
                <a:pt x="473014" y="11381"/>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3319983" y="1880701"/>
        <a:ext cx="0" cy="0"/>
      </dsp:txXfrm>
    </dsp:sp>
    <dsp:sp modelId="{3C52BB86-8509-4CC1-A866-BC389B00061D}">
      <dsp:nvSpPr>
        <dsp:cNvPr id="0" name=""/>
        <dsp:cNvSpPr/>
      </dsp:nvSpPr>
      <dsp:spPr>
        <a:xfrm>
          <a:off x="3485215" y="1869427"/>
          <a:ext cx="829400" cy="414700"/>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ES" sz="600" b="1" kern="1200" dirty="0">
              <a:solidFill>
                <a:sysClr val="windowText" lastClr="000000">
                  <a:hueOff val="0"/>
                  <a:satOff val="0"/>
                  <a:lumOff val="0"/>
                  <a:alphaOff val="0"/>
                </a:sysClr>
              </a:solidFill>
              <a:latin typeface="Calibri" panose="020F0502020204030204"/>
              <a:ea typeface="+mn-ea"/>
              <a:cs typeface="+mn-cs"/>
            </a:rPr>
            <a:t>Producción y difusión audiovisual</a:t>
          </a:r>
        </a:p>
      </dsp:txBody>
      <dsp:txXfrm>
        <a:off x="3497361" y="1881573"/>
        <a:ext cx="805108" cy="390408"/>
      </dsp:txXfrm>
    </dsp:sp>
    <dsp:sp modelId="{1A7D06C8-6DCD-4E7B-A230-BE357EF6D47E}">
      <dsp:nvSpPr>
        <dsp:cNvPr id="0" name=""/>
        <dsp:cNvSpPr/>
      </dsp:nvSpPr>
      <dsp:spPr>
        <a:xfrm rot="19457599">
          <a:off x="4276214" y="1947399"/>
          <a:ext cx="408563" cy="20302"/>
        </a:xfrm>
        <a:custGeom>
          <a:avLst/>
          <a:gdLst/>
          <a:ahLst/>
          <a:cxnLst/>
          <a:rect l="0" t="0" r="0" b="0"/>
          <a:pathLst>
            <a:path>
              <a:moveTo>
                <a:pt x="0" y="11381"/>
              </a:moveTo>
              <a:lnTo>
                <a:pt x="396138" y="11381"/>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4466241" y="1955218"/>
        <a:ext cx="0" cy="0"/>
      </dsp:txXfrm>
    </dsp:sp>
    <dsp:sp modelId="{04A890E7-8BB4-4336-8F9D-223A3283B9F7}">
      <dsp:nvSpPr>
        <dsp:cNvPr id="0" name=""/>
        <dsp:cNvSpPr/>
      </dsp:nvSpPr>
      <dsp:spPr>
        <a:xfrm>
          <a:off x="4646376" y="1630974"/>
          <a:ext cx="829400" cy="414700"/>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ES" sz="600" b="1" kern="1200" dirty="0">
              <a:solidFill>
                <a:sysClr val="windowText" lastClr="000000">
                  <a:hueOff val="0"/>
                  <a:satOff val="0"/>
                  <a:lumOff val="0"/>
                  <a:alphaOff val="0"/>
                </a:sysClr>
              </a:solidFill>
              <a:latin typeface="Calibri" panose="020F0502020204030204"/>
              <a:ea typeface="+mn-ea"/>
              <a:cs typeface="+mn-cs"/>
            </a:rPr>
            <a:t>Fase I: 2019-20</a:t>
          </a:r>
        </a:p>
        <a:p>
          <a:pPr marL="0" lvl="0" indent="0" algn="ctr" defTabSz="266700">
            <a:lnSpc>
              <a:spcPct val="90000"/>
            </a:lnSpc>
            <a:spcBef>
              <a:spcPct val="0"/>
            </a:spcBef>
            <a:spcAft>
              <a:spcPct val="35000"/>
            </a:spcAft>
            <a:buNone/>
          </a:pPr>
          <a:r>
            <a:rPr lang="es-ES" sz="600" b="1" kern="1200" dirty="0">
              <a:solidFill>
                <a:sysClr val="windowText" lastClr="000000">
                  <a:hueOff val="0"/>
                  <a:satOff val="0"/>
                  <a:lumOff val="0"/>
                  <a:alphaOff val="0"/>
                </a:sysClr>
              </a:solidFill>
              <a:latin typeface="Calibri" panose="020F0502020204030204"/>
              <a:ea typeface="+mn-ea"/>
              <a:cs typeface="+mn-cs"/>
            </a:rPr>
            <a:t>6 </a:t>
          </a:r>
          <a:r>
            <a:rPr lang="es-ES" sz="600" b="1" kern="1200" dirty="0" err="1">
              <a:solidFill>
                <a:sysClr val="windowText" lastClr="000000">
                  <a:hueOff val="0"/>
                  <a:satOff val="0"/>
                  <a:lumOff val="0"/>
                  <a:alphaOff val="0"/>
                </a:sysClr>
              </a:solidFill>
              <a:latin typeface="Calibri" panose="020F0502020204030204"/>
              <a:ea typeface="+mn-ea"/>
              <a:cs typeface="+mn-cs"/>
            </a:rPr>
            <a:t>Universidades</a:t>
          </a:r>
          <a:r>
            <a:rPr lang="es-ES" sz="600" b="1" kern="1200" dirty="0">
              <a:solidFill>
                <a:sysClr val="windowText" lastClr="000000">
                  <a:hueOff val="0"/>
                  <a:satOff val="0"/>
                  <a:lumOff val="0"/>
                  <a:alphaOff val="0"/>
                </a:sysClr>
              </a:solidFill>
              <a:latin typeface="Calibri" panose="020F0502020204030204"/>
              <a:ea typeface="+mn-ea"/>
              <a:cs typeface="+mn-cs"/>
            </a:rPr>
            <a:t> -12 grados -18 </a:t>
          </a:r>
          <a:r>
            <a:rPr lang="es-ES" sz="600" b="1" kern="1200" dirty="0" err="1">
              <a:solidFill>
                <a:sysClr val="windowText" lastClr="000000">
                  <a:hueOff val="0"/>
                  <a:satOff val="0"/>
                  <a:lumOff val="0"/>
                  <a:alphaOff val="0"/>
                </a:sysClr>
              </a:solidFill>
              <a:latin typeface="Calibri" panose="020F0502020204030204"/>
              <a:ea typeface="+mn-ea"/>
              <a:cs typeface="+mn-cs"/>
            </a:rPr>
            <a:t>Departamentos</a:t>
          </a:r>
          <a:r>
            <a:rPr lang="es-ES" sz="600" b="1" kern="1200" dirty="0">
              <a:solidFill>
                <a:sysClr val="windowText" lastClr="000000">
                  <a:hueOff val="0"/>
                  <a:satOff val="0"/>
                  <a:lumOff val="0"/>
                  <a:alphaOff val="0"/>
                </a:sysClr>
              </a:solidFill>
              <a:latin typeface="Calibri" panose="020F0502020204030204"/>
              <a:ea typeface="+mn-ea"/>
              <a:cs typeface="+mn-cs"/>
            </a:rPr>
            <a:t> </a:t>
          </a:r>
        </a:p>
      </dsp:txBody>
      <dsp:txXfrm>
        <a:off x="4658522" y="1643120"/>
        <a:ext cx="805108" cy="390408"/>
      </dsp:txXfrm>
    </dsp:sp>
    <dsp:sp modelId="{F46E8553-140D-4EDA-9057-CCE9387EC46D}">
      <dsp:nvSpPr>
        <dsp:cNvPr id="0" name=""/>
        <dsp:cNvSpPr/>
      </dsp:nvSpPr>
      <dsp:spPr>
        <a:xfrm rot="2142401">
          <a:off x="4276214" y="2185852"/>
          <a:ext cx="408563" cy="20302"/>
        </a:xfrm>
        <a:custGeom>
          <a:avLst/>
          <a:gdLst/>
          <a:ahLst/>
          <a:cxnLst/>
          <a:rect l="0" t="0" r="0" b="0"/>
          <a:pathLst>
            <a:path>
              <a:moveTo>
                <a:pt x="0" y="11381"/>
              </a:moveTo>
              <a:lnTo>
                <a:pt x="396138" y="11381"/>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4478163" y="2181748"/>
        <a:ext cx="0" cy="0"/>
      </dsp:txXfrm>
    </dsp:sp>
    <dsp:sp modelId="{297C58C1-5699-41F8-A6F6-FB2228AA7A5C}">
      <dsp:nvSpPr>
        <dsp:cNvPr id="0" name=""/>
        <dsp:cNvSpPr/>
      </dsp:nvSpPr>
      <dsp:spPr>
        <a:xfrm>
          <a:off x="4646376" y="2107880"/>
          <a:ext cx="829400" cy="414700"/>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ES" sz="600" b="1" kern="1200" dirty="0">
              <a:solidFill>
                <a:sysClr val="windowText" lastClr="000000">
                  <a:hueOff val="0"/>
                  <a:satOff val="0"/>
                  <a:lumOff val="0"/>
                  <a:alphaOff val="0"/>
                </a:sysClr>
              </a:solidFill>
              <a:latin typeface="Calibri" panose="020F0502020204030204"/>
              <a:ea typeface="+mn-ea"/>
              <a:cs typeface="+mn-cs"/>
            </a:rPr>
            <a:t>Fase II: 2020-21</a:t>
          </a:r>
        </a:p>
        <a:p>
          <a:pPr marL="0" lvl="0" indent="0" algn="ctr" defTabSz="266700">
            <a:lnSpc>
              <a:spcPct val="90000"/>
            </a:lnSpc>
            <a:spcBef>
              <a:spcPct val="0"/>
            </a:spcBef>
            <a:spcAft>
              <a:spcPct val="35000"/>
            </a:spcAft>
            <a:buNone/>
          </a:pPr>
          <a:r>
            <a:rPr lang="es-ES" sz="600" b="1" kern="1200" dirty="0">
              <a:solidFill>
                <a:sysClr val="windowText" lastClr="000000">
                  <a:hueOff val="0"/>
                  <a:satOff val="0"/>
                  <a:lumOff val="0"/>
                  <a:alphaOff val="0"/>
                </a:sysClr>
              </a:solidFill>
              <a:latin typeface="Calibri" panose="020F0502020204030204"/>
              <a:ea typeface="+mn-ea"/>
              <a:cs typeface="+mn-cs"/>
            </a:rPr>
            <a:t>6 </a:t>
          </a:r>
          <a:r>
            <a:rPr lang="es-ES" sz="600" b="1" kern="1200" dirty="0" err="1">
              <a:solidFill>
                <a:sysClr val="windowText" lastClr="000000">
                  <a:hueOff val="0"/>
                  <a:satOff val="0"/>
                  <a:lumOff val="0"/>
                  <a:alphaOff val="0"/>
                </a:sysClr>
              </a:solidFill>
              <a:latin typeface="Calibri" panose="020F0502020204030204"/>
              <a:ea typeface="+mn-ea"/>
              <a:cs typeface="+mn-cs"/>
            </a:rPr>
            <a:t>Universidades</a:t>
          </a:r>
          <a:r>
            <a:rPr lang="es-ES" sz="600" b="1" kern="1200" dirty="0">
              <a:solidFill>
                <a:sysClr val="windowText" lastClr="000000">
                  <a:hueOff val="0"/>
                  <a:satOff val="0"/>
                  <a:lumOff val="0"/>
                  <a:alphaOff val="0"/>
                </a:sysClr>
              </a:solidFill>
              <a:latin typeface="Calibri" panose="020F0502020204030204"/>
              <a:ea typeface="+mn-ea"/>
              <a:cs typeface="+mn-cs"/>
            </a:rPr>
            <a:t> -19 </a:t>
          </a:r>
          <a:r>
            <a:rPr lang="es-ES" sz="600" b="1" kern="1200" dirty="0" err="1">
              <a:solidFill>
                <a:sysClr val="windowText" lastClr="000000">
                  <a:hueOff val="0"/>
                  <a:satOff val="0"/>
                  <a:lumOff val="0"/>
                  <a:alphaOff val="0"/>
                </a:sysClr>
              </a:solidFill>
              <a:latin typeface="Calibri" panose="020F0502020204030204"/>
              <a:ea typeface="+mn-ea"/>
              <a:cs typeface="+mn-cs"/>
            </a:rPr>
            <a:t>grados </a:t>
          </a:r>
          <a:r>
            <a:rPr lang="es-ES" sz="600" b="1" kern="1200" dirty="0">
              <a:solidFill>
                <a:sysClr val="windowText" lastClr="000000">
                  <a:hueOff val="0"/>
                  <a:satOff val="0"/>
                  <a:lumOff val="0"/>
                  <a:alphaOff val="0"/>
                </a:sysClr>
              </a:solidFill>
              <a:latin typeface="Calibri" panose="020F0502020204030204"/>
              <a:ea typeface="+mn-ea"/>
              <a:cs typeface="+mn-cs"/>
            </a:rPr>
            <a:t>- 23 </a:t>
          </a:r>
          <a:r>
            <a:rPr lang="es-ES" sz="600" b="1" kern="1200" dirty="0" err="1">
              <a:solidFill>
                <a:sysClr val="windowText" lastClr="000000">
                  <a:hueOff val="0"/>
                  <a:satOff val="0"/>
                  <a:lumOff val="0"/>
                  <a:alphaOff val="0"/>
                </a:sysClr>
              </a:solidFill>
              <a:latin typeface="Calibri" panose="020F0502020204030204"/>
              <a:ea typeface="+mn-ea"/>
              <a:cs typeface="+mn-cs"/>
            </a:rPr>
            <a:t>Departamentos</a:t>
          </a:r>
          <a:endParaRPr lang="es-ES" sz="600" b="1" kern="1200" dirty="0">
            <a:solidFill>
              <a:sysClr val="windowText" lastClr="000000">
                <a:hueOff val="0"/>
                <a:satOff val="0"/>
                <a:lumOff val="0"/>
                <a:alphaOff val="0"/>
              </a:sysClr>
            </a:solidFill>
            <a:latin typeface="Calibri" panose="020F0502020204030204"/>
            <a:ea typeface="+mn-ea"/>
            <a:cs typeface="+mn-cs"/>
          </a:endParaRPr>
        </a:p>
      </dsp:txBody>
      <dsp:txXfrm>
        <a:off x="4658522" y="2120026"/>
        <a:ext cx="805108" cy="390408"/>
      </dsp:txXfrm>
    </dsp:sp>
    <dsp:sp modelId="{10A9CFC8-B988-4EB0-A461-B5F6D2CC571C}">
      <dsp:nvSpPr>
        <dsp:cNvPr id="0" name=""/>
        <dsp:cNvSpPr/>
      </dsp:nvSpPr>
      <dsp:spPr>
        <a:xfrm rot="3779071">
          <a:off x="1792985" y="2695096"/>
          <a:ext cx="730377" cy="20302"/>
        </a:xfrm>
        <a:custGeom>
          <a:avLst/>
          <a:gdLst/>
          <a:ahLst/>
          <a:cxnLst/>
          <a:rect l="0" t="0" r="0" b="0"/>
          <a:pathLst>
            <a:path>
              <a:moveTo>
                <a:pt x="0" y="11381"/>
              </a:moveTo>
              <a:lnTo>
                <a:pt x="708164" y="11381"/>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2166147" y="2680687"/>
        <a:ext cx="0" cy="0"/>
      </dsp:txXfrm>
    </dsp:sp>
    <dsp:sp modelId="{F72104B3-8249-49B9-AB3E-24A1B17545C9}">
      <dsp:nvSpPr>
        <dsp:cNvPr id="0" name=""/>
        <dsp:cNvSpPr/>
      </dsp:nvSpPr>
      <dsp:spPr>
        <a:xfrm>
          <a:off x="2324054" y="2823238"/>
          <a:ext cx="829400" cy="414700"/>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a:outerShdw blurRad="76200" dir="13500000" sy="23000" kx="1200000" algn="br" rotWithShape="0">
            <a:prstClr val="black">
              <a:alpha val="2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ES" sz="600" b="1" kern="1200" dirty="0" err="1">
              <a:solidFill>
                <a:sysClr val="windowText" lastClr="000000">
                  <a:hueOff val="0"/>
                  <a:satOff val="0"/>
                  <a:lumOff val="0"/>
                  <a:alphaOff val="0"/>
                </a:sysClr>
              </a:solidFill>
              <a:latin typeface="Calibri" panose="020F0502020204030204"/>
              <a:ea typeface="+mn-ea"/>
              <a:cs typeface="+mn-cs"/>
            </a:rPr>
            <a:t>Educación</a:t>
          </a:r>
          <a:r>
            <a:rPr lang="es-ES" sz="600" b="1" kern="1200" dirty="0">
              <a:solidFill>
                <a:sysClr val="windowText" lastClr="000000">
                  <a:hueOff val="0"/>
                  <a:satOff val="0"/>
                  <a:lumOff val="0"/>
                  <a:alphaOff val="0"/>
                </a:sysClr>
              </a:solidFill>
              <a:latin typeface="Calibri" panose="020F0502020204030204"/>
              <a:ea typeface="+mn-ea"/>
              <a:cs typeface="+mn-cs"/>
            </a:rPr>
            <a:t> </a:t>
          </a:r>
        </a:p>
        <a:p>
          <a:pPr marL="0" lvl="0" indent="0" algn="ctr" defTabSz="266700">
            <a:lnSpc>
              <a:spcPct val="90000"/>
            </a:lnSpc>
            <a:spcBef>
              <a:spcPct val="0"/>
            </a:spcBef>
            <a:spcAft>
              <a:spcPct val="35000"/>
            </a:spcAft>
            <a:buNone/>
          </a:pPr>
          <a:r>
            <a:rPr lang="es-ES" sz="600" b="1" kern="1200" dirty="0" err="1">
              <a:solidFill>
                <a:sysClr val="windowText" lastClr="000000">
                  <a:hueOff val="0"/>
                  <a:satOff val="0"/>
                  <a:lumOff val="0"/>
                  <a:alphaOff val="0"/>
                </a:sysClr>
              </a:solidFill>
              <a:latin typeface="Calibri" panose="020F0502020204030204"/>
              <a:ea typeface="+mn-ea"/>
              <a:cs typeface="+mn-cs"/>
            </a:rPr>
            <a:t>Preuniversitaria</a:t>
          </a:r>
          <a:endParaRPr lang="es-ES" sz="600" b="1" kern="1200" dirty="0">
            <a:solidFill>
              <a:sysClr val="windowText" lastClr="000000">
                <a:hueOff val="0"/>
                <a:satOff val="0"/>
                <a:lumOff val="0"/>
                <a:alphaOff val="0"/>
              </a:sysClr>
            </a:solidFill>
            <a:latin typeface="Calibri" panose="020F0502020204030204"/>
            <a:ea typeface="+mn-ea"/>
            <a:cs typeface="+mn-cs"/>
          </a:endParaRPr>
        </a:p>
      </dsp:txBody>
      <dsp:txXfrm>
        <a:off x="2336200" y="2835384"/>
        <a:ext cx="805108" cy="390408"/>
      </dsp:txXfrm>
    </dsp:sp>
    <dsp:sp modelId="{A9D67DB5-CEBB-48AA-B2CF-A910C0EFD23D}">
      <dsp:nvSpPr>
        <dsp:cNvPr id="0" name=""/>
        <dsp:cNvSpPr/>
      </dsp:nvSpPr>
      <dsp:spPr>
        <a:xfrm rot="19457599">
          <a:off x="3115053" y="2901210"/>
          <a:ext cx="408563" cy="20302"/>
        </a:xfrm>
        <a:custGeom>
          <a:avLst/>
          <a:gdLst/>
          <a:ahLst/>
          <a:cxnLst/>
          <a:rect l="0" t="0" r="0" b="0"/>
          <a:pathLst>
            <a:path>
              <a:moveTo>
                <a:pt x="0" y="11381"/>
              </a:moveTo>
              <a:lnTo>
                <a:pt x="396138" y="11381"/>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3305080" y="2909028"/>
        <a:ext cx="0" cy="0"/>
      </dsp:txXfrm>
    </dsp:sp>
    <dsp:sp modelId="{122E9C93-0881-4E17-8BA9-7C8A5504F00D}">
      <dsp:nvSpPr>
        <dsp:cNvPr id="0" name=""/>
        <dsp:cNvSpPr/>
      </dsp:nvSpPr>
      <dsp:spPr>
        <a:xfrm>
          <a:off x="3485215" y="2584785"/>
          <a:ext cx="829400" cy="414700"/>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ES" sz="600" b="1" kern="1200" dirty="0">
              <a:solidFill>
                <a:sysClr val="windowText" lastClr="000000">
                  <a:hueOff val="0"/>
                  <a:satOff val="0"/>
                  <a:lumOff val="0"/>
                  <a:alphaOff val="0"/>
                </a:sysClr>
              </a:solidFill>
              <a:latin typeface="Calibri" panose="020F0502020204030204"/>
              <a:ea typeface="+mn-ea"/>
              <a:cs typeface="+mn-cs"/>
            </a:rPr>
            <a:t>Consejo de </a:t>
          </a:r>
          <a:r>
            <a:rPr lang="es-ES" sz="600" b="1" kern="1200" dirty="0" err="1">
              <a:solidFill>
                <a:sysClr val="windowText" lastClr="000000">
                  <a:hueOff val="0"/>
                  <a:satOff val="0"/>
                  <a:lumOff val="0"/>
                  <a:alphaOff val="0"/>
                </a:sysClr>
              </a:solidFill>
              <a:latin typeface="Calibri" panose="020F0502020204030204"/>
              <a:ea typeface="+mn-ea"/>
              <a:cs typeface="+mn-cs"/>
            </a:rPr>
            <a:t>Participación</a:t>
          </a:r>
          <a:r>
            <a:rPr lang="es-ES" sz="600" b="1" kern="1200" dirty="0">
              <a:solidFill>
                <a:sysClr val="windowText" lastClr="000000">
                  <a:hueOff val="0"/>
                  <a:satOff val="0"/>
                  <a:lumOff val="0"/>
                  <a:alphaOff val="0"/>
                </a:sysClr>
              </a:solidFill>
              <a:latin typeface="Calibri" panose="020F0502020204030204"/>
              <a:ea typeface="+mn-ea"/>
              <a:cs typeface="+mn-cs"/>
            </a:rPr>
            <a:t> AVA</a:t>
          </a:r>
        </a:p>
      </dsp:txBody>
      <dsp:txXfrm>
        <a:off x="3497361" y="2596931"/>
        <a:ext cx="805108" cy="390408"/>
      </dsp:txXfrm>
    </dsp:sp>
    <dsp:sp modelId="{ED1954E7-7251-4439-B1F9-BA5045F9A7F8}">
      <dsp:nvSpPr>
        <dsp:cNvPr id="0" name=""/>
        <dsp:cNvSpPr/>
      </dsp:nvSpPr>
      <dsp:spPr>
        <a:xfrm>
          <a:off x="4314616" y="2781984"/>
          <a:ext cx="331760" cy="20302"/>
        </a:xfrm>
        <a:custGeom>
          <a:avLst/>
          <a:gdLst/>
          <a:ahLst/>
          <a:cxnLst/>
          <a:rect l="0" t="0" r="0" b="0"/>
          <a:pathLst>
            <a:path>
              <a:moveTo>
                <a:pt x="0" y="11381"/>
              </a:moveTo>
              <a:lnTo>
                <a:pt x="321670" y="11381"/>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4472202" y="2783841"/>
        <a:ext cx="0" cy="0"/>
      </dsp:txXfrm>
    </dsp:sp>
    <dsp:sp modelId="{A89B0458-D0E2-480F-8360-43B7F86A957B}">
      <dsp:nvSpPr>
        <dsp:cNvPr id="0" name=""/>
        <dsp:cNvSpPr/>
      </dsp:nvSpPr>
      <dsp:spPr>
        <a:xfrm>
          <a:off x="4646376" y="2584785"/>
          <a:ext cx="829400" cy="414700"/>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ES" sz="600" b="1" kern="1200" dirty="0" err="1">
              <a:solidFill>
                <a:sysClr val="windowText" lastClr="000000">
                  <a:hueOff val="0"/>
                  <a:satOff val="0"/>
                  <a:lumOff val="0"/>
                  <a:alphaOff val="0"/>
                </a:sysClr>
              </a:solidFill>
              <a:latin typeface="Calibri" panose="020F0502020204030204"/>
              <a:ea typeface="+mn-ea"/>
              <a:cs typeface="+mn-cs"/>
            </a:rPr>
            <a:t>Grupo de Prevención y Fromación</a:t>
          </a:r>
          <a:endParaRPr lang="es-ES" sz="600" b="1" kern="1200" dirty="0">
            <a:solidFill>
              <a:sysClr val="windowText" lastClr="000000">
                <a:hueOff val="0"/>
                <a:satOff val="0"/>
                <a:lumOff val="0"/>
                <a:alphaOff val="0"/>
              </a:sysClr>
            </a:solidFill>
            <a:latin typeface="Calibri" panose="020F0502020204030204"/>
            <a:ea typeface="+mn-ea"/>
            <a:cs typeface="+mn-cs"/>
          </a:endParaRPr>
        </a:p>
      </dsp:txBody>
      <dsp:txXfrm>
        <a:off x="4658522" y="2596931"/>
        <a:ext cx="805108" cy="390408"/>
      </dsp:txXfrm>
    </dsp:sp>
    <dsp:sp modelId="{FE3D67B5-04C8-4ED8-9C48-D5A6EF65A639}">
      <dsp:nvSpPr>
        <dsp:cNvPr id="0" name=""/>
        <dsp:cNvSpPr/>
      </dsp:nvSpPr>
      <dsp:spPr>
        <a:xfrm rot="2142401">
          <a:off x="3115053" y="3139663"/>
          <a:ext cx="408563" cy="20302"/>
        </a:xfrm>
        <a:custGeom>
          <a:avLst/>
          <a:gdLst/>
          <a:ahLst/>
          <a:cxnLst/>
          <a:rect l="0" t="0" r="0" b="0"/>
          <a:pathLst>
            <a:path>
              <a:moveTo>
                <a:pt x="0" y="11381"/>
              </a:moveTo>
              <a:lnTo>
                <a:pt x="396138" y="11381"/>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3317002" y="3135559"/>
        <a:ext cx="0" cy="0"/>
      </dsp:txXfrm>
    </dsp:sp>
    <dsp:sp modelId="{B70ED221-2EA5-43F7-B0F4-607E6F6273AA}">
      <dsp:nvSpPr>
        <dsp:cNvPr id="0" name=""/>
        <dsp:cNvSpPr/>
      </dsp:nvSpPr>
      <dsp:spPr>
        <a:xfrm>
          <a:off x="3485215" y="3061690"/>
          <a:ext cx="829400" cy="414700"/>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ES" sz="600" b="1" kern="1200" dirty="0">
              <a:solidFill>
                <a:sysClr val="windowText" lastClr="000000">
                  <a:hueOff val="0"/>
                  <a:satOff val="0"/>
                  <a:lumOff val="0"/>
                  <a:alphaOff val="0"/>
                </a:sysClr>
              </a:solidFill>
              <a:latin typeface="Calibri" panose="020F0502020204030204"/>
              <a:ea typeface="+mn-ea"/>
              <a:cs typeface="+mn-cs"/>
            </a:rPr>
            <a:t>Conselleria </a:t>
          </a:r>
          <a:r>
            <a:rPr lang="es-ES" sz="600" b="1" kern="1200" dirty="0" err="1">
              <a:solidFill>
                <a:sysClr val="windowText" lastClr="000000">
                  <a:hueOff val="0"/>
                  <a:satOff val="0"/>
                  <a:lumOff val="0"/>
                  <a:alphaOff val="0"/>
                </a:sysClr>
              </a:solidFill>
              <a:latin typeface="Calibri" panose="020F0502020204030204"/>
              <a:ea typeface="+mn-ea"/>
              <a:cs typeface="+mn-cs"/>
            </a:rPr>
            <a:t>de Educación</a:t>
          </a:r>
          <a:r>
            <a:rPr lang="es-ES" sz="600" b="1" kern="1200" dirty="0">
              <a:solidFill>
                <a:sysClr val="windowText" lastClr="000000">
                  <a:hueOff val="0"/>
                  <a:satOff val="0"/>
                  <a:lumOff val="0"/>
                  <a:alphaOff val="0"/>
                </a:sysClr>
              </a:solidFill>
              <a:latin typeface="Calibri" panose="020F0502020204030204"/>
              <a:ea typeface="+mn-ea"/>
              <a:cs typeface="+mn-cs"/>
            </a:rPr>
            <a:t>, Cultura y Deporte </a:t>
          </a:r>
        </a:p>
      </dsp:txBody>
      <dsp:txXfrm>
        <a:off x="3497361" y="3073836"/>
        <a:ext cx="805108" cy="390408"/>
      </dsp:txXfrm>
    </dsp:sp>
    <dsp:sp modelId="{70AB4039-4899-4F09-B89E-43005830B25D}">
      <dsp:nvSpPr>
        <dsp:cNvPr id="0" name=""/>
        <dsp:cNvSpPr/>
      </dsp:nvSpPr>
      <dsp:spPr>
        <a:xfrm>
          <a:off x="4314616" y="3258889"/>
          <a:ext cx="331760" cy="20302"/>
        </a:xfrm>
        <a:custGeom>
          <a:avLst/>
          <a:gdLst/>
          <a:ahLst/>
          <a:cxnLst/>
          <a:rect l="0" t="0" r="0" b="0"/>
          <a:pathLst>
            <a:path>
              <a:moveTo>
                <a:pt x="0" y="11381"/>
              </a:moveTo>
              <a:lnTo>
                <a:pt x="321670" y="11381"/>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b="1" kern="1200">
            <a:solidFill>
              <a:sysClr val="windowText" lastClr="000000">
                <a:hueOff val="0"/>
                <a:satOff val="0"/>
                <a:lumOff val="0"/>
                <a:alphaOff val="0"/>
              </a:sysClr>
            </a:solidFill>
            <a:latin typeface="Calibri" panose="020F0502020204030204"/>
            <a:ea typeface="+mn-ea"/>
            <a:cs typeface="+mn-cs"/>
          </a:endParaRPr>
        </a:p>
      </dsp:txBody>
      <dsp:txXfrm>
        <a:off x="4472202" y="3260746"/>
        <a:ext cx="0" cy="0"/>
      </dsp:txXfrm>
    </dsp:sp>
    <dsp:sp modelId="{F78B06E0-9C6F-4EDD-B088-76E8270ADA91}">
      <dsp:nvSpPr>
        <dsp:cNvPr id="0" name=""/>
        <dsp:cNvSpPr/>
      </dsp:nvSpPr>
      <dsp:spPr>
        <a:xfrm>
          <a:off x="4646376" y="3061690"/>
          <a:ext cx="829400" cy="414700"/>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ES" sz="600" b="1" kern="1200" dirty="0" err="1">
              <a:solidFill>
                <a:sysClr val="windowText" lastClr="000000">
                  <a:hueOff val="0"/>
                  <a:satOff val="0"/>
                  <a:lumOff val="0"/>
                  <a:alphaOff val="0"/>
                </a:sysClr>
              </a:solidFill>
              <a:latin typeface="Calibri" panose="020F0502020204030204"/>
              <a:ea typeface="+mn-ea"/>
              <a:cs typeface="+mn-cs"/>
            </a:rPr>
            <a:t>Integración</a:t>
          </a:r>
          <a:r>
            <a:rPr lang="es-ES" sz="600" b="1" kern="1200" dirty="0">
              <a:solidFill>
                <a:sysClr val="windowText" lastClr="000000">
                  <a:hueOff val="0"/>
                  <a:satOff val="0"/>
                  <a:lumOff val="0"/>
                  <a:alphaOff val="0"/>
                </a:sysClr>
              </a:solidFill>
              <a:latin typeface="Calibri" panose="020F0502020204030204"/>
              <a:ea typeface="+mn-ea"/>
              <a:cs typeface="+mn-cs"/>
            </a:rPr>
            <a:t> curricular</a:t>
          </a:r>
        </a:p>
      </dsp:txBody>
      <dsp:txXfrm>
        <a:off x="4658522" y="3073836"/>
        <a:ext cx="805108" cy="390408"/>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AVA">
    <a:dk1>
      <a:sysClr val="windowText" lastClr="000000"/>
    </a:dk1>
    <a:lt1>
      <a:sysClr val="window" lastClr="FFFFFF"/>
    </a:lt1>
    <a:dk2>
      <a:srgbClr val="44546A"/>
    </a:dk2>
    <a:lt2>
      <a:srgbClr val="E7E6E6"/>
    </a:lt2>
    <a:accent1>
      <a:srgbClr val="9D2235"/>
    </a:accent1>
    <a:accent2>
      <a:srgbClr val="27251F"/>
    </a:accent2>
    <a:accent3>
      <a:srgbClr val="C6C6C6"/>
    </a:accent3>
    <a:accent4>
      <a:srgbClr val="EABAC2"/>
    </a:accent4>
    <a:accent5>
      <a:srgbClr val="CE9FA1"/>
    </a:accent5>
    <a:accent6>
      <a:srgbClr val="D8C1BD"/>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AVA">
    <a:dk1>
      <a:sysClr val="windowText" lastClr="000000"/>
    </a:dk1>
    <a:lt1>
      <a:sysClr val="window" lastClr="FFFFFF"/>
    </a:lt1>
    <a:dk2>
      <a:srgbClr val="44546A"/>
    </a:dk2>
    <a:lt2>
      <a:srgbClr val="E7E6E6"/>
    </a:lt2>
    <a:accent1>
      <a:srgbClr val="9D2235"/>
    </a:accent1>
    <a:accent2>
      <a:srgbClr val="27251F"/>
    </a:accent2>
    <a:accent3>
      <a:srgbClr val="C6C6C6"/>
    </a:accent3>
    <a:accent4>
      <a:srgbClr val="EABAC2"/>
    </a:accent4>
    <a:accent5>
      <a:srgbClr val="CE9FA1"/>
    </a:accent5>
    <a:accent6>
      <a:srgbClr val="D8C1BD"/>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0</TotalTime>
  <Pages>1</Pages>
  <Words>81042</Words>
  <Characters>445735</Characters>
  <DocSecurity>0</DocSecurity>
  <Lines>3714</Lines>
  <Paragraphs>1051</Paragraphs>
  <ScaleCrop>false</ScaleCrop>
  <Company/>
  <LinksUpToDate>false</LinksUpToDate>
  <CharactersWithSpaces>525726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dcterms:created xsi:type="dcterms:W3CDTF">2022-07-12T09:35:00Z</dcterms:created>
  <dcterms:modified xsi:type="dcterms:W3CDTF">2022-07-12T09:35:00Z</dcterms:modified>
</cp:coreProperties>
</file>